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hd w:fill="F7F0E7"/>
        <w:pBdr>
          <w:left w:val="single" w:sz="28" w:space="12" w:color="B5543C"/>
        </w:pBdr>
        <w:spacing w:before="200" w:after="160"/>
        <w:ind w:left="240"/>
      </w:pPr>
      <w:r>
        <w:t>Secure Multi-Domain Payment Company</w:t>
      </w:r>
    </w:p>
    <w:p>
      <w:pPr>
        <w:spacing w:after="240"/>
      </w:pPr>
      <w:r>
        <w:rPr>
          <w:i/>
          <w:color w:val="B5543C"/>
          <w:sz w:val="26"/>
        </w:rPr>
        <w:t>A defense-in-depth application and infrastructure architecture</w:t>
      </w:r>
    </w:p>
    <w:p>
      <w:r>
        <w:t>Cybersecurity Architecture Assignment  |  28 October 2026</w:t>
      </w:r>
    </w:p>
    <w:p>
      <w:pPr>
        <w:pStyle w:val="Heading2"/>
      </w:pPr>
      <w:r>
        <w:t>Design objective</w:t>
      </w:r>
    </w:p>
    <w:p>
      <w:r>
        <w:t>Design five applications with distinct business purposes and clear trust boundaries. Keep cardholder data exposure narrow, verify every user and service request, and make each application useful without granting access to another domain’s data or administrative controls.</w:t>
      </w:r>
    </w:p>
    <w:tbl>
      <w:tblPr>
        <w:tblStyle w:val="TableGrid"/>
        <w:tblW w:type="auto" w:w="0"/>
        <w:jc w:val="center"/>
        <w:tblLook w:firstColumn="1" w:firstRow="1" w:lastColumn="0" w:lastRow="0" w:noHBand="0" w:noVBand="1" w:val="04A0"/>
      </w:tblPr>
      <w:tblGrid>
        <w:gridCol w:w="10166"/>
      </w:tblGrid>
      <w:tr>
        <w:trPr>
          <w:cantSplit/>
        </w:trPr>
        <w:tc>
          <w:tcPr>
            <w:tcW w:type="dxa" w:w="10166"/>
            <w:vAlign w:val="center"/>
            <w:shd w:fill="40254A"/>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Pr>
                <w:b/>
                <w:color w:val="FFFFFF"/>
              </w:rPr>
            </w:r>
            <w:r>
              <w:rPr>
                <w:rFonts w:ascii="Aptos" w:hAnsi="Aptos"/>
                <w:b/>
                <w:color w:val="FFFFFF"/>
                <w:sz w:val="18"/>
              </w:rPr>
              <w:t>ARCHITECTURE AT A GLANCE</w:t>
            </w:r>
          </w:p>
        </w:tc>
      </w:tr>
      <w:tr>
        <w:trPr>
          <w:cantSplit/>
        </w:trPr>
        <w:tc>
          <w:tcPr>
            <w:tcW w:type="dxa" w:w="10166"/>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8"/>
              </w:rPr>
              <w:t>Five purpose-built applications | Separate public entry points | Central identity with per-app authorization | Isolated data stores | Dedicated cardholder-data environment (CDE) | Centralized monitoring and recovery</w:t>
            </w:r>
          </w:p>
        </w:tc>
      </w:tr>
    </w:tbl>
    <w:p>
      <w:pPr>
        <w:spacing w:after="20"/>
      </w:pPr>
    </w:p>
    <w:p>
      <w:pPr>
        <w:pStyle w:val="Heading1"/>
      </w:pPr>
      <w:r>
        <w:t>Executive summary</w:t>
      </w:r>
    </w:p>
    <w:p>
      <w:r>
        <w:t>The company operates a customer wallet, merchant portal, payment API, fraud and risk workbench, and settlement and reconciliation console. Each application has a distinct user population, service identity, data store, and deployment boundary. The payment API is the only domain that initiates payment processing; the merchant portal manages merchant configuration and reporting; the customer wallet manages customer instruments and activity; risk analysts review signals and cases; finance operations reconcile settlement records.</w:t>
      </w:r>
    </w:p>
    <w:p>
      <w:r>
        <w:t>A shared identity provider, API gateway, workload identity, secrets service, key management service, security monitoring platform, and backup service provide common controls. Shared services do not create shared access: applications receive scoped credentials and policy-enforced interfaces. Card data is tokenized at ingress, and the CDE is isolated from general application workloads. PCI DSS applicability and scope must be confirmed by the company’s assessor based on actual flows and implementation.</w:t>
      </w:r>
    </w:p>
    <w:p>
      <w:pPr>
        <w:pStyle w:val="Heading1"/>
      </w:pPr>
      <w:r>
        <w:t>1. Application and domain design</w:t>
      </w:r>
    </w:p>
    <w:p>
      <w:pPr>
        <w:pStyle w:val="Heading2"/>
      </w:pPr>
      <w:r>
        <w:t>1. Customer Wallet</w:t>
      </w:r>
    </w:p>
    <w:p>
      <w:r>
        <w:t>Domain: wallet.payco.example</w:t>
      </w:r>
    </w:p>
    <w:tbl>
      <w:tblPr>
        <w:tblStyle w:val="TableGrid"/>
        <w:tblW w:type="auto" w:w="0"/>
        <w:jc w:val="center"/>
        <w:tblLook w:firstColumn="1" w:firstRow="1" w:lastColumn="0" w:lastRow="0" w:noHBand="0" w:noVBand="1" w:val="04A0"/>
      </w:tblPr>
      <w:tblGrid>
        <w:gridCol w:w="5083"/>
        <w:gridCol w:w="5083"/>
      </w:tblGrid>
      <w:tr>
        <w:trPr>
          <w:cantSplit/>
        </w:trPr>
        <w:tc>
          <w:tcPr>
            <w:tcW w:type="dxa" w:w="1987"/>
            <w:vAlign w:val="center"/>
            <w:shd w:fill="40254A"/>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Pr>
                <w:b/>
                <w:color w:val="FFFFFF"/>
              </w:rPr>
            </w:r>
            <w:r>
              <w:rPr>
                <w:rFonts w:ascii="Aptos" w:hAnsi="Aptos"/>
                <w:b/>
                <w:color w:val="FFFFFF"/>
                <w:sz w:val="15"/>
              </w:rPr>
              <w:t>Required design field</w:t>
            </w:r>
          </w:p>
        </w:tc>
        <w:tc>
          <w:tcPr>
            <w:tcW w:type="dxa" w:w="8568"/>
            <w:vAlign w:val="center"/>
            <w:shd w:fill="40254A"/>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Pr>
                <w:b/>
                <w:color w:val="FFFFFF"/>
              </w:rPr>
            </w:r>
            <w:r>
              <w:rPr>
                <w:rFonts w:ascii="Aptos" w:hAnsi="Aptos"/>
                <w:b/>
                <w:color w:val="FFFFFF"/>
                <w:sz w:val="15"/>
              </w:rPr>
              <w:t>Specification</w:t>
            </w:r>
          </w:p>
        </w:tc>
      </w:tr>
      <w:tr>
        <w:trPr>
          <w:cantSplit/>
        </w:trPr>
        <w:tc>
          <w:tcPr>
            <w:tcW w:type="dxa" w:w="1987"/>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Purpose</w:t>
            </w:r>
          </w:p>
        </w:tc>
        <w:tc>
          <w:tcPr>
            <w:tcW w:type="dxa" w:w="8568"/>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Give consumers a self-service place to manage payment methods and view their own transactions.</w:t>
            </w:r>
          </w:p>
        </w:tc>
      </w:tr>
      <w:tr>
        <w:trPr>
          <w:cantSplit/>
        </w:trPr>
        <w:tc>
          <w:tcPr>
            <w:tcW w:type="dxa" w:w="1987"/>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Users</w:t>
            </w:r>
          </w:p>
        </w:tc>
        <w:tc>
          <w:tcPr>
            <w:tcW w:type="dxa" w:w="8568"/>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Consumers; customer support agents with approved, time-limited case access.</w:t>
            </w:r>
          </w:p>
        </w:tc>
      </w:tr>
      <w:tr>
        <w:trPr>
          <w:cantSplit/>
        </w:trPr>
        <w:tc>
          <w:tcPr>
            <w:tcW w:type="dxa" w:w="1987"/>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Main features</w:t>
            </w:r>
          </w:p>
        </w:tc>
        <w:tc>
          <w:tcPr>
            <w:tcW w:type="dxa" w:w="8568"/>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Sign-up and recovery; tokenized card enrollment; payment initiation; transaction history; dispute intake; notification preferences.</w:t>
            </w:r>
          </w:p>
        </w:tc>
      </w:tr>
      <w:tr>
        <w:trPr>
          <w:cantSplit/>
        </w:trPr>
        <w:tc>
          <w:tcPr>
            <w:tcW w:type="dxa" w:w="1987"/>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Data handled</w:t>
            </w:r>
          </w:p>
        </w:tc>
        <w:tc>
          <w:tcPr>
            <w:tcW w:type="dxa" w:w="8568"/>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Customer profile, contact details, token references, transaction summaries, consent and audit events. No storage of CVV; PAN is not retained by this domain.</w:t>
            </w:r>
          </w:p>
        </w:tc>
      </w:tr>
      <w:tr>
        <w:trPr>
          <w:cantSplit/>
        </w:trPr>
        <w:tc>
          <w:tcPr>
            <w:tcW w:type="dxa" w:w="1987"/>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Frontend technology</w:t>
            </w:r>
          </w:p>
        </w:tc>
        <w:tc>
          <w:tcPr>
            <w:tcW w:type="dxa" w:w="8568"/>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React + TypeScript responsive web app.</w:t>
            </w:r>
          </w:p>
        </w:tc>
      </w:tr>
      <w:tr>
        <w:trPr>
          <w:cantSplit/>
        </w:trPr>
        <w:tc>
          <w:tcPr>
            <w:tcW w:type="dxa" w:w="1987"/>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Backend technology</w:t>
            </w:r>
          </w:p>
        </w:tc>
        <w:tc>
          <w:tcPr>
            <w:tcW w:type="dxa" w:w="8568"/>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Java/Kotlin Spring Boot services behind the API gateway; asynchronous notifications.</w:t>
            </w:r>
          </w:p>
        </w:tc>
      </w:tr>
      <w:tr>
        <w:trPr>
          <w:cantSplit/>
        </w:trPr>
        <w:tc>
          <w:tcPr>
            <w:tcW w:type="dxa" w:w="1987"/>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Database / storage</w:t>
            </w:r>
          </w:p>
        </w:tc>
        <w:tc>
          <w:tcPr>
            <w:tcW w:type="dxa" w:w="8568"/>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PostgreSQL for customer/profile records; Redis only for short-lived sessions/cache; object storage for uploaded dispute evidence with malware scanning.</w:t>
            </w:r>
          </w:p>
        </w:tc>
      </w:tr>
      <w:tr>
        <w:trPr>
          <w:cantSplit/>
        </w:trPr>
        <w:tc>
          <w:tcPr>
            <w:tcW w:type="dxa" w:w="1987"/>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Hosting platform</w:t>
            </w:r>
          </w:p>
        </w:tc>
        <w:tc>
          <w:tcPr>
            <w:tcW w:type="dxa" w:w="8568"/>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AWS: CloudFront/WAF public edge; isolated private application subnets; managed database in private data subnets; KMS encryption.</w:t>
            </w:r>
          </w:p>
        </w:tc>
      </w:tr>
    </w:tbl>
    <w:p>
      <w:pPr>
        <w:spacing w:after="20"/>
      </w:pPr>
    </w:p>
    <w:p>
      <w:pPr>
        <w:pStyle w:val="Heading2"/>
      </w:pPr>
      <w:r>
        <w:t>2. Merchant Portal</w:t>
      </w:r>
    </w:p>
    <w:p>
      <w:r>
        <w:t>Domain: merchant.payco.example</w:t>
      </w:r>
    </w:p>
    <w:tbl>
      <w:tblPr>
        <w:tblStyle w:val="TableGrid"/>
        <w:tblW w:type="auto" w:w="0"/>
        <w:jc w:val="center"/>
        <w:tblLook w:firstColumn="1" w:firstRow="1" w:lastColumn="0" w:lastRow="0" w:noHBand="0" w:noVBand="1" w:val="04A0"/>
      </w:tblPr>
      <w:tblGrid>
        <w:gridCol w:w="5083"/>
        <w:gridCol w:w="5083"/>
      </w:tblGrid>
      <w:tr>
        <w:trPr>
          <w:cantSplit/>
        </w:trPr>
        <w:tc>
          <w:tcPr>
            <w:tcW w:type="dxa" w:w="1987"/>
            <w:vAlign w:val="center"/>
            <w:shd w:fill="40254A"/>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Pr>
                <w:b/>
                <w:color w:val="FFFFFF"/>
              </w:rPr>
            </w:r>
            <w:r>
              <w:rPr>
                <w:rFonts w:ascii="Aptos" w:hAnsi="Aptos"/>
                <w:b/>
                <w:color w:val="FFFFFF"/>
                <w:sz w:val="15"/>
              </w:rPr>
              <w:t>Required design field</w:t>
            </w:r>
          </w:p>
        </w:tc>
        <w:tc>
          <w:tcPr>
            <w:tcW w:type="dxa" w:w="8568"/>
            <w:vAlign w:val="center"/>
            <w:shd w:fill="40254A"/>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Pr>
                <w:b/>
                <w:color w:val="FFFFFF"/>
              </w:rPr>
            </w:r>
            <w:r>
              <w:rPr>
                <w:rFonts w:ascii="Aptos" w:hAnsi="Aptos"/>
                <w:b/>
                <w:color w:val="FFFFFF"/>
                <w:sz w:val="15"/>
              </w:rPr>
              <w:t>Specification</w:t>
            </w:r>
          </w:p>
        </w:tc>
      </w:tr>
      <w:tr>
        <w:trPr>
          <w:cantSplit/>
        </w:trPr>
        <w:tc>
          <w:tcPr>
            <w:tcW w:type="dxa" w:w="1987"/>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Purpose</w:t>
            </w:r>
          </w:p>
        </w:tc>
        <w:tc>
          <w:tcPr>
            <w:tcW w:type="dxa" w:w="8568"/>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Let business customers configure their merchant account and access scoped operational reports.</w:t>
            </w:r>
          </w:p>
        </w:tc>
      </w:tr>
      <w:tr>
        <w:trPr>
          <w:cantSplit/>
        </w:trPr>
        <w:tc>
          <w:tcPr>
            <w:tcW w:type="dxa" w:w="1987"/>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Users</w:t>
            </w:r>
          </w:p>
        </w:tc>
        <w:tc>
          <w:tcPr>
            <w:tcW w:type="dxa" w:w="8568"/>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Merchant owners, finance users, developers, and merchant support.</w:t>
            </w:r>
          </w:p>
        </w:tc>
      </w:tr>
      <w:tr>
        <w:trPr>
          <w:cantSplit/>
        </w:trPr>
        <w:tc>
          <w:tcPr>
            <w:tcW w:type="dxa" w:w="1987"/>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Main features</w:t>
            </w:r>
          </w:p>
        </w:tc>
        <w:tc>
          <w:tcPr>
            <w:tcW w:type="dxa" w:w="8568"/>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Merchant onboarding status; role management; API key lifecycle; payout/report views; webhook configuration; dispute response.</w:t>
            </w:r>
          </w:p>
        </w:tc>
      </w:tr>
      <w:tr>
        <w:trPr>
          <w:cantSplit/>
        </w:trPr>
        <w:tc>
          <w:tcPr>
            <w:tcW w:type="dxa" w:w="1987"/>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Data handled</w:t>
            </w:r>
          </w:p>
        </w:tc>
        <w:tc>
          <w:tcPr>
            <w:tcW w:type="dxa" w:w="8568"/>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Merchant legal/profile data, user memberships, payout summaries, API key metadata (never plaintext secrets), webhook endpoints, dispute evidence.</w:t>
            </w:r>
          </w:p>
        </w:tc>
      </w:tr>
      <w:tr>
        <w:trPr>
          <w:cantSplit/>
        </w:trPr>
        <w:tc>
          <w:tcPr>
            <w:tcW w:type="dxa" w:w="1987"/>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Frontend technology</w:t>
            </w:r>
          </w:p>
        </w:tc>
        <w:tc>
          <w:tcPr>
            <w:tcW w:type="dxa" w:w="8568"/>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Angular + TypeScript.</w:t>
            </w:r>
          </w:p>
        </w:tc>
      </w:tr>
      <w:tr>
        <w:trPr>
          <w:cantSplit/>
        </w:trPr>
        <w:tc>
          <w:tcPr>
            <w:tcW w:type="dxa" w:w="1987"/>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Backend technology</w:t>
            </w:r>
          </w:p>
        </w:tc>
        <w:tc>
          <w:tcPr>
            <w:tcW w:type="dxa" w:w="8568"/>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Node.js/TypeScript services; API gateway; isolated webhook delivery worker.</w:t>
            </w:r>
          </w:p>
        </w:tc>
      </w:tr>
      <w:tr>
        <w:trPr>
          <w:cantSplit/>
        </w:trPr>
        <w:tc>
          <w:tcPr>
            <w:tcW w:type="dxa" w:w="1987"/>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Database / storage</w:t>
            </w:r>
          </w:p>
        </w:tc>
        <w:tc>
          <w:tcPr>
            <w:tcW w:type="dxa" w:w="8568"/>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Aurora PostgreSQL for merchant configuration; S3 for reports/evidence; secrets manager for webhook signing secrets.</w:t>
            </w:r>
          </w:p>
        </w:tc>
      </w:tr>
      <w:tr>
        <w:trPr>
          <w:cantSplit/>
        </w:trPr>
        <w:tc>
          <w:tcPr>
            <w:tcW w:type="dxa" w:w="1987"/>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Hosting platform</w:t>
            </w:r>
          </w:p>
        </w:tc>
        <w:tc>
          <w:tcPr>
            <w:tcW w:type="dxa" w:w="8568"/>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AWS: separate app account/VPC from customer services; WAF; private services; outbound webhook egress proxy with destination controls.</w:t>
            </w:r>
          </w:p>
        </w:tc>
      </w:tr>
    </w:tbl>
    <w:p>
      <w:pPr>
        <w:spacing w:after="20"/>
      </w:pPr>
    </w:p>
    <w:p>
      <w:pPr>
        <w:pStyle w:val="Heading2"/>
      </w:pPr>
      <w:r>
        <w:t>3. Payment Processing API</w:t>
      </w:r>
    </w:p>
    <w:p>
      <w:r>
        <w:t>Domain: api.payco.example</w:t>
      </w:r>
    </w:p>
    <w:tbl>
      <w:tblPr>
        <w:tblStyle w:val="TableGrid"/>
        <w:tblW w:type="auto" w:w="0"/>
        <w:jc w:val="center"/>
        <w:tblLook w:firstColumn="1" w:firstRow="1" w:lastColumn="0" w:lastRow="0" w:noHBand="0" w:noVBand="1" w:val="04A0"/>
      </w:tblPr>
      <w:tblGrid>
        <w:gridCol w:w="5083"/>
        <w:gridCol w:w="5083"/>
      </w:tblGrid>
      <w:tr>
        <w:trPr>
          <w:cantSplit/>
        </w:trPr>
        <w:tc>
          <w:tcPr>
            <w:tcW w:type="dxa" w:w="1987"/>
            <w:vAlign w:val="center"/>
            <w:shd w:fill="40254A"/>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Pr>
                <w:b/>
                <w:color w:val="FFFFFF"/>
              </w:rPr>
            </w:r>
            <w:r>
              <w:rPr>
                <w:rFonts w:ascii="Aptos" w:hAnsi="Aptos"/>
                <w:b/>
                <w:color w:val="FFFFFF"/>
                <w:sz w:val="15"/>
              </w:rPr>
              <w:t>Required design field</w:t>
            </w:r>
          </w:p>
        </w:tc>
        <w:tc>
          <w:tcPr>
            <w:tcW w:type="dxa" w:w="8568"/>
            <w:vAlign w:val="center"/>
            <w:shd w:fill="40254A"/>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Pr>
                <w:b/>
                <w:color w:val="FFFFFF"/>
              </w:rPr>
            </w:r>
            <w:r>
              <w:rPr>
                <w:rFonts w:ascii="Aptos" w:hAnsi="Aptos"/>
                <w:b/>
                <w:color w:val="FFFFFF"/>
                <w:sz w:val="15"/>
              </w:rPr>
              <w:t>Specification</w:t>
            </w:r>
          </w:p>
        </w:tc>
      </w:tr>
      <w:tr>
        <w:trPr>
          <w:cantSplit/>
        </w:trPr>
        <w:tc>
          <w:tcPr>
            <w:tcW w:type="dxa" w:w="1987"/>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Purpose</w:t>
            </w:r>
          </w:p>
        </w:tc>
        <w:tc>
          <w:tcPr>
            <w:tcW w:type="dxa" w:w="8568"/>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Authorize, capture, refund, and query payment transactions for authenticated merchants and approved internal callers.</w:t>
            </w:r>
          </w:p>
        </w:tc>
      </w:tr>
      <w:tr>
        <w:trPr>
          <w:cantSplit/>
        </w:trPr>
        <w:tc>
          <w:tcPr>
            <w:tcW w:type="dxa" w:w="1987"/>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Users</w:t>
            </w:r>
          </w:p>
        </w:tc>
        <w:tc>
          <w:tcPr>
            <w:tcW w:type="dxa" w:w="8568"/>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Merchant systems using OAuth client credentials/mTLS; internal payment services; tightly restricted on-call engineers.</w:t>
            </w:r>
          </w:p>
        </w:tc>
      </w:tr>
      <w:tr>
        <w:trPr>
          <w:cantSplit/>
        </w:trPr>
        <w:tc>
          <w:tcPr>
            <w:tcW w:type="dxa" w:w="1987"/>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Main features</w:t>
            </w:r>
          </w:p>
        </w:tc>
        <w:tc>
          <w:tcPr>
            <w:tcW w:type="dxa" w:w="8568"/>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Payment authorization/capture/refund; idempotency; tokenization handoff; routing; status query; signed webhooks.</w:t>
            </w:r>
          </w:p>
        </w:tc>
      </w:tr>
      <w:tr>
        <w:trPr>
          <w:cantSplit/>
        </w:trPr>
        <w:tc>
          <w:tcPr>
            <w:tcW w:type="dxa" w:w="1987"/>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Data handled</w:t>
            </w:r>
          </w:p>
        </w:tc>
        <w:tc>
          <w:tcPr>
            <w:tcW w:type="dxa" w:w="8568"/>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Transaction details, token references, merchant IDs, amount/currency, authorization response and restricted payment telemetry. PAN is handled only inside the CDE through a validated payment provider/tokenization component; CVV must not be stored after authorization.</w:t>
            </w:r>
          </w:p>
        </w:tc>
      </w:tr>
      <w:tr>
        <w:trPr>
          <w:cantSplit/>
        </w:trPr>
        <w:tc>
          <w:tcPr>
            <w:tcW w:type="dxa" w:w="1987"/>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Frontend technology</w:t>
            </w:r>
          </w:p>
        </w:tc>
        <w:tc>
          <w:tcPr>
            <w:tcW w:type="dxa" w:w="8568"/>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No consumer UI; OpenAPI client SDKs and merchant integration documentation.</w:t>
            </w:r>
          </w:p>
        </w:tc>
      </w:tr>
      <w:tr>
        <w:trPr>
          <w:cantSplit/>
        </w:trPr>
        <w:tc>
          <w:tcPr>
            <w:tcW w:type="dxa" w:w="1987"/>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Backend technology</w:t>
            </w:r>
          </w:p>
        </w:tc>
        <w:tc>
          <w:tcPr>
            <w:tcW w:type="dxa" w:w="8568"/>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Go services on Kubernetes/EKS; API gateway; queue-driven workers; mTLS between services.</w:t>
            </w:r>
          </w:p>
        </w:tc>
      </w:tr>
      <w:tr>
        <w:trPr>
          <w:cantSplit/>
        </w:trPr>
        <w:tc>
          <w:tcPr>
            <w:tcW w:type="dxa" w:w="1987"/>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Database / storage</w:t>
            </w:r>
          </w:p>
        </w:tc>
        <w:tc>
          <w:tcPr>
            <w:tcW w:type="dxa" w:w="8568"/>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Aurora PostgreSQL for transaction ledger; Kafka/MSK for event stream; DynamoDB for idempotency keys; CDE token vault maintained separately.</w:t>
            </w:r>
          </w:p>
        </w:tc>
      </w:tr>
      <w:tr>
        <w:trPr>
          <w:cantSplit/>
        </w:trPr>
        <w:tc>
          <w:tcPr>
            <w:tcW w:type="dxa" w:w="1987"/>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Hosting platform</w:t>
            </w:r>
          </w:p>
        </w:tc>
        <w:tc>
          <w:tcPr>
            <w:tcW w:type="dxa" w:w="8568"/>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AWS dedicated CDE account/VPC and subnets; private endpoints; strict ingress/egress allowlists; no direct public database access; HSM-backed key management where applicable.</w:t>
            </w:r>
          </w:p>
        </w:tc>
      </w:tr>
    </w:tbl>
    <w:p>
      <w:pPr>
        <w:spacing w:after="20"/>
      </w:pPr>
    </w:p>
    <w:p>
      <w:pPr>
        <w:pStyle w:val="Heading2"/>
      </w:pPr>
      <w:r>
        <w:t>4. Fraud and Risk Workbench</w:t>
      </w:r>
    </w:p>
    <w:p>
      <w:r>
        <w:t>Domain: risk.payco.example</w:t>
      </w:r>
    </w:p>
    <w:tbl>
      <w:tblPr>
        <w:tblStyle w:val="TableGrid"/>
        <w:tblW w:type="auto" w:w="0"/>
        <w:jc w:val="center"/>
        <w:tblLook w:firstColumn="1" w:firstRow="1" w:lastColumn="0" w:lastRow="0" w:noHBand="0" w:noVBand="1" w:val="04A0"/>
      </w:tblPr>
      <w:tblGrid>
        <w:gridCol w:w="5083"/>
        <w:gridCol w:w="5083"/>
      </w:tblGrid>
      <w:tr>
        <w:trPr>
          <w:cantSplit/>
        </w:trPr>
        <w:tc>
          <w:tcPr>
            <w:tcW w:type="dxa" w:w="1987"/>
            <w:vAlign w:val="center"/>
            <w:shd w:fill="40254A"/>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Pr>
                <w:b/>
                <w:color w:val="FFFFFF"/>
              </w:rPr>
            </w:r>
            <w:r>
              <w:rPr>
                <w:rFonts w:ascii="Aptos" w:hAnsi="Aptos"/>
                <w:b/>
                <w:color w:val="FFFFFF"/>
                <w:sz w:val="15"/>
              </w:rPr>
              <w:t>Required design field</w:t>
            </w:r>
          </w:p>
        </w:tc>
        <w:tc>
          <w:tcPr>
            <w:tcW w:type="dxa" w:w="8568"/>
            <w:vAlign w:val="center"/>
            <w:shd w:fill="40254A"/>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Pr>
                <w:b/>
                <w:color w:val="FFFFFF"/>
              </w:rPr>
            </w:r>
            <w:r>
              <w:rPr>
                <w:rFonts w:ascii="Aptos" w:hAnsi="Aptos"/>
                <w:b/>
                <w:color w:val="FFFFFF"/>
                <w:sz w:val="15"/>
              </w:rPr>
              <w:t>Specification</w:t>
            </w:r>
          </w:p>
        </w:tc>
      </w:tr>
      <w:tr>
        <w:trPr>
          <w:cantSplit/>
        </w:trPr>
        <w:tc>
          <w:tcPr>
            <w:tcW w:type="dxa" w:w="1987"/>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Purpose</w:t>
            </w:r>
          </w:p>
        </w:tc>
        <w:tc>
          <w:tcPr>
            <w:tcW w:type="dxa" w:w="8568"/>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Help risk staff investigate suspicious activity and tune decision rules without operating customer or merchant accounts.</w:t>
            </w:r>
          </w:p>
        </w:tc>
      </w:tr>
      <w:tr>
        <w:trPr>
          <w:cantSplit/>
        </w:trPr>
        <w:tc>
          <w:tcPr>
            <w:tcW w:type="dxa" w:w="1987"/>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Users</w:t>
            </w:r>
          </w:p>
        </w:tc>
        <w:tc>
          <w:tcPr>
            <w:tcW w:type="dxa" w:w="8568"/>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Fraud analysts, risk managers, model operations staff.</w:t>
            </w:r>
          </w:p>
        </w:tc>
      </w:tr>
      <w:tr>
        <w:trPr>
          <w:cantSplit/>
        </w:trPr>
        <w:tc>
          <w:tcPr>
            <w:tcW w:type="dxa" w:w="1987"/>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Main features</w:t>
            </w:r>
          </w:p>
        </w:tc>
        <w:tc>
          <w:tcPr>
            <w:tcW w:type="dxa" w:w="8568"/>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Case queue; risk signals; investigation notes; controlled rule/model releases; alert triage; evidence trail.</w:t>
            </w:r>
          </w:p>
        </w:tc>
      </w:tr>
      <w:tr>
        <w:trPr>
          <w:cantSplit/>
        </w:trPr>
        <w:tc>
          <w:tcPr>
            <w:tcW w:type="dxa" w:w="1987"/>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Data handled</w:t>
            </w:r>
          </w:p>
        </w:tc>
        <w:tc>
          <w:tcPr>
            <w:tcW w:type="dxa" w:w="8568"/>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Pseudonymized transaction features, device/risk signals, case notes, model metadata and decision outcomes. Minimize direct identifiers; no raw PAN/CVV.</w:t>
            </w:r>
          </w:p>
        </w:tc>
      </w:tr>
      <w:tr>
        <w:trPr>
          <w:cantSplit/>
        </w:trPr>
        <w:tc>
          <w:tcPr>
            <w:tcW w:type="dxa" w:w="1987"/>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Frontend technology</w:t>
            </w:r>
          </w:p>
        </w:tc>
        <w:tc>
          <w:tcPr>
            <w:tcW w:type="dxa" w:w="8568"/>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React + TypeScript single-page app.</w:t>
            </w:r>
          </w:p>
        </w:tc>
      </w:tr>
      <w:tr>
        <w:trPr>
          <w:cantSplit/>
        </w:trPr>
        <w:tc>
          <w:tcPr>
            <w:tcW w:type="dxa" w:w="1987"/>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Backend technology</w:t>
            </w:r>
          </w:p>
        </w:tc>
        <w:tc>
          <w:tcPr>
            <w:tcW w:type="dxa" w:w="8568"/>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Python/FastAPI risk services; streaming feature pipeline; isolated model inference service.</w:t>
            </w:r>
          </w:p>
        </w:tc>
      </w:tr>
      <w:tr>
        <w:trPr>
          <w:cantSplit/>
        </w:trPr>
        <w:tc>
          <w:tcPr>
            <w:tcW w:type="dxa" w:w="1987"/>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Database / storage</w:t>
            </w:r>
          </w:p>
        </w:tc>
        <w:tc>
          <w:tcPr>
            <w:tcW w:type="dxa" w:w="8568"/>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S3 data lake with classified zones; Redshift analytics; PostgreSQL case store; key-value feature store.</w:t>
            </w:r>
          </w:p>
        </w:tc>
      </w:tr>
      <w:tr>
        <w:trPr>
          <w:cantSplit/>
        </w:trPr>
        <w:tc>
          <w:tcPr>
            <w:tcW w:type="dxa" w:w="1987"/>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Hosting platform</w:t>
            </w:r>
          </w:p>
        </w:tc>
        <w:tc>
          <w:tcPr>
            <w:tcW w:type="dxa" w:w="8568"/>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AWS isolated analytics account/VPC; private endpoints; de-identified replicated feeds; analyst access through managed device and secure access proxy.</w:t>
            </w:r>
          </w:p>
        </w:tc>
      </w:tr>
    </w:tbl>
    <w:p>
      <w:pPr>
        <w:spacing w:after="20"/>
      </w:pPr>
    </w:p>
    <w:p>
      <w:pPr>
        <w:pStyle w:val="Heading2"/>
      </w:pPr>
      <w:r>
        <w:t>5. Settlement and Reconciliation Console</w:t>
      </w:r>
    </w:p>
    <w:p>
      <w:r>
        <w:t>Domain: ops.payco.example</w:t>
      </w:r>
    </w:p>
    <w:tbl>
      <w:tblPr>
        <w:tblStyle w:val="TableGrid"/>
        <w:tblW w:type="auto" w:w="0"/>
        <w:jc w:val="center"/>
        <w:tblLook w:firstColumn="1" w:firstRow="1" w:lastColumn="0" w:lastRow="0" w:noHBand="0" w:noVBand="1" w:val="04A0"/>
      </w:tblPr>
      <w:tblGrid>
        <w:gridCol w:w="5083"/>
        <w:gridCol w:w="5083"/>
      </w:tblGrid>
      <w:tr>
        <w:trPr>
          <w:cantSplit/>
        </w:trPr>
        <w:tc>
          <w:tcPr>
            <w:tcW w:type="dxa" w:w="1987"/>
            <w:vAlign w:val="center"/>
            <w:shd w:fill="40254A"/>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Pr>
                <w:b/>
                <w:color w:val="FFFFFF"/>
              </w:rPr>
            </w:r>
            <w:r>
              <w:rPr>
                <w:rFonts w:ascii="Aptos" w:hAnsi="Aptos"/>
                <w:b/>
                <w:color w:val="FFFFFF"/>
                <w:sz w:val="15"/>
              </w:rPr>
              <w:t>Required design field</w:t>
            </w:r>
          </w:p>
        </w:tc>
        <w:tc>
          <w:tcPr>
            <w:tcW w:type="dxa" w:w="8568"/>
            <w:vAlign w:val="center"/>
            <w:shd w:fill="40254A"/>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Pr>
                <w:b/>
                <w:color w:val="FFFFFF"/>
              </w:rPr>
            </w:r>
            <w:r>
              <w:rPr>
                <w:rFonts w:ascii="Aptos" w:hAnsi="Aptos"/>
                <w:b/>
                <w:color w:val="FFFFFF"/>
                <w:sz w:val="15"/>
              </w:rPr>
              <w:t>Specification</w:t>
            </w:r>
          </w:p>
        </w:tc>
      </w:tr>
      <w:tr>
        <w:trPr>
          <w:cantSplit/>
        </w:trPr>
        <w:tc>
          <w:tcPr>
            <w:tcW w:type="dxa" w:w="1987"/>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Purpose</w:t>
            </w:r>
          </w:p>
        </w:tc>
        <w:tc>
          <w:tcPr>
            <w:tcW w:type="dxa" w:w="8568"/>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Reconcile processor, bank, ledger, and payout records and manage settlement exceptions.</w:t>
            </w:r>
          </w:p>
        </w:tc>
      </w:tr>
      <w:tr>
        <w:trPr>
          <w:cantSplit/>
        </w:trPr>
        <w:tc>
          <w:tcPr>
            <w:tcW w:type="dxa" w:w="1987"/>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Users</w:t>
            </w:r>
          </w:p>
        </w:tc>
        <w:tc>
          <w:tcPr>
            <w:tcW w:type="dxa" w:w="8568"/>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Finance operations, treasury, auditors (read-only), and controlled operations administrators.</w:t>
            </w:r>
          </w:p>
        </w:tc>
      </w:tr>
      <w:tr>
        <w:trPr>
          <w:cantSplit/>
        </w:trPr>
        <w:tc>
          <w:tcPr>
            <w:tcW w:type="dxa" w:w="1987"/>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Main features</w:t>
            </w:r>
          </w:p>
        </w:tc>
        <w:tc>
          <w:tcPr>
            <w:tcW w:type="dxa" w:w="8568"/>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Daily file ingestion; matching and exception workflow; payout approvals; ledger export; close reports; evidence and audit trail.</w:t>
            </w:r>
          </w:p>
        </w:tc>
      </w:tr>
      <w:tr>
        <w:trPr>
          <w:cantSplit/>
        </w:trPr>
        <w:tc>
          <w:tcPr>
            <w:tcW w:type="dxa" w:w="1987"/>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Data handled</w:t>
            </w:r>
          </w:p>
        </w:tc>
        <w:tc>
          <w:tcPr>
            <w:tcW w:type="dxa" w:w="8568"/>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Settlement files, bank/processor references, payout totals, accounting mappings, exception notes and approvals. No card verification data; avoid full PAN.</w:t>
            </w:r>
          </w:p>
        </w:tc>
      </w:tr>
      <w:tr>
        <w:trPr>
          <w:cantSplit/>
        </w:trPr>
        <w:tc>
          <w:tcPr>
            <w:tcW w:type="dxa" w:w="1987"/>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Frontend technology</w:t>
            </w:r>
          </w:p>
        </w:tc>
        <w:tc>
          <w:tcPr>
            <w:tcW w:type="dxa" w:w="8568"/>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Vue + TypeScript.</w:t>
            </w:r>
          </w:p>
        </w:tc>
      </w:tr>
      <w:tr>
        <w:trPr>
          <w:cantSplit/>
        </w:trPr>
        <w:tc>
          <w:tcPr>
            <w:tcW w:type="dxa" w:w="1987"/>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Backend technology</w:t>
            </w:r>
          </w:p>
        </w:tc>
        <w:tc>
          <w:tcPr>
            <w:tcW w:type="dxa" w:w="8568"/>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C#/.NET services; scheduled ingestion workers; approval workflow service.</w:t>
            </w:r>
          </w:p>
        </w:tc>
      </w:tr>
      <w:tr>
        <w:trPr>
          <w:cantSplit/>
        </w:trPr>
        <w:tc>
          <w:tcPr>
            <w:tcW w:type="dxa" w:w="1987"/>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Database / storage</w:t>
            </w:r>
          </w:p>
        </w:tc>
        <w:tc>
          <w:tcPr>
            <w:tcW w:type="dxa" w:w="8568"/>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SQL Server/Aurora PostgreSQL for reconciliation; S3 object lock for retained source files and reports.</w:t>
            </w:r>
          </w:p>
        </w:tc>
      </w:tr>
      <w:tr>
        <w:trPr>
          <w:cantSplit/>
        </w:trPr>
        <w:tc>
          <w:tcPr>
            <w:tcW w:type="dxa" w:w="1987"/>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Hosting platform</w:t>
            </w:r>
          </w:p>
        </w:tc>
        <w:tc>
          <w:tcPr>
            <w:tcW w:type="dxa" w:w="8568"/>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AWS separate operations account/VPC; private app/data tiers; managed file-transfer endpoint; tightly controlled outbound finance integrations.</w:t>
            </w:r>
          </w:p>
        </w:tc>
      </w:tr>
    </w:tbl>
    <w:p>
      <w:pPr>
        <w:spacing w:after="20"/>
      </w:pPr>
    </w:p>
    <w:p>
      <w:pPr>
        <w:pStyle w:val="Heading1"/>
      </w:pPr>
      <w:r>
        <w:t>2. Shared security architecture</w:t>
      </w:r>
    </w:p>
    <w:p>
      <w:pPr>
        <w:pStyle w:val="Heading2"/>
      </w:pPr>
      <w:r>
        <w:t>Trust-boundary and request flow</w:t>
      </w:r>
    </w:p>
    <w:p>
      <w:r>
        <w:t>User or merchant workload → DNS/CDN and DDoS protection → web application firewall → identity-aware access and API gateway → application service in its own private workload boundary → policy-checked service-to-service call → application-specific database. The Payment Processing API adds a separate CDE boundary and tokenization interface. Risk and settlement receive purpose-limited, minimized data feeds rather than unrestricted access to the transaction database. Logs, security alerts, key management, and backups flow to dedicated security and recovery services.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728"/>
            <w:vAlign w:val="center"/>
            <w:shd w:fill="40254A"/>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Pr>
                <w:b/>
                <w:color w:val="FFFFFF"/>
              </w:rPr>
            </w:r>
            <w:r>
              <w:rPr>
                <w:rFonts w:ascii="Aptos" w:hAnsi="Aptos"/>
                <w:b/>
                <w:color w:val="FFFFFF"/>
                <w:sz w:val="15"/>
              </w:rPr>
              <w:t>Zone</w:t>
            </w:r>
          </w:p>
        </w:tc>
        <w:tc>
          <w:tcPr>
            <w:tcW w:type="dxa" w:w="4464"/>
            <w:vAlign w:val="center"/>
            <w:shd w:fill="40254A"/>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Pr>
                <w:b/>
                <w:color w:val="FFFFFF"/>
              </w:rPr>
            </w:r>
            <w:r>
              <w:rPr>
                <w:rFonts w:ascii="Aptos" w:hAnsi="Aptos"/>
                <w:b/>
                <w:color w:val="FFFFFF"/>
                <w:sz w:val="15"/>
              </w:rPr>
              <w:t>Contents</w:t>
            </w:r>
          </w:p>
        </w:tc>
        <w:tc>
          <w:tcPr>
            <w:tcW w:type="dxa" w:w="4464"/>
            <w:vAlign w:val="center"/>
            <w:shd w:fill="40254A"/>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Pr>
                <w:b/>
                <w:color w:val="FFFFFF"/>
              </w:rPr>
            </w:r>
            <w:r>
              <w:rPr>
                <w:rFonts w:ascii="Aptos" w:hAnsi="Aptos"/>
                <w:b/>
                <w:color w:val="FFFFFF"/>
                <w:sz w:val="15"/>
              </w:rPr>
              <w:t>Allowed paths</w:t>
            </w:r>
          </w:p>
        </w:tc>
      </w:tr>
      <w:tr>
        <w:trPr>
          <w:cantSplit/>
        </w:trPr>
        <w:tc>
          <w:tcPr>
            <w:tcW w:type="dxa" w:w="1728"/>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Public edge</w:t>
            </w:r>
          </w:p>
        </w:tc>
        <w:tc>
          <w:tcPr>
            <w:tcW w:type="dxa" w:w="4464"/>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DNS, CDN, DDoS protection, WAF, public API gateway.</w:t>
            </w:r>
          </w:p>
        </w:tc>
        <w:tc>
          <w:tcPr>
            <w:tcW w:type="dxa" w:w="4464"/>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HTTPS only to approved gateway routes. No edge-to-database or edge-to-admin path.</w:t>
            </w:r>
          </w:p>
        </w:tc>
      </w:tr>
      <w:tr>
        <w:trPr>
          <w:cantSplit/>
        </w:trPr>
        <w:tc>
          <w:tcPr>
            <w:tcW w:type="dxa" w:w="1728"/>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Application zones</w:t>
            </w:r>
          </w:p>
        </w:tc>
        <w:tc>
          <w:tcPr>
            <w:tcW w:type="dxa" w:w="4464"/>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Five separately deployed application services, each with its own workload identity and security policy.</w:t>
            </w:r>
          </w:p>
        </w:tc>
        <w:tc>
          <w:tcPr>
            <w:tcW w:type="dxa" w:w="4464"/>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Explicit service-to-service calls using mTLS and workload identity; default deny for east-west traffic.</w:t>
            </w:r>
          </w:p>
        </w:tc>
      </w:tr>
      <w:tr>
        <w:trPr>
          <w:cantSplit/>
        </w:trPr>
        <w:tc>
          <w:tcPr>
            <w:tcW w:type="dxa" w:w="1728"/>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CDE</w:t>
            </w:r>
          </w:p>
        </w:tc>
        <w:tc>
          <w:tcPr>
            <w:tcW w:type="dxa" w:w="4464"/>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Payment API components that can affect or handle account data; token vault/provider integration; dedicated key boundary.</w:t>
            </w:r>
          </w:p>
        </w:tc>
        <w:tc>
          <w:tcPr>
            <w:tcW w:type="dxa" w:w="4464"/>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Only approved payment services and management paths; strict egress allowlist; no analyst or portal direct access.</w:t>
            </w:r>
          </w:p>
        </w:tc>
      </w:tr>
      <w:tr>
        <w:trPr>
          <w:cantSplit/>
        </w:trPr>
        <w:tc>
          <w:tcPr>
            <w:tcW w:type="dxa" w:w="1728"/>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Data zones</w:t>
            </w:r>
          </w:p>
        </w:tc>
        <w:tc>
          <w:tcPr>
            <w:tcW w:type="dxa" w:w="4464"/>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Separate databases, queues, buckets, and encryption keys per application; classified analytics and immutable audit storage.</w:t>
            </w:r>
          </w:p>
        </w:tc>
        <w:tc>
          <w:tcPr>
            <w:tcW w:type="dxa" w:w="4464"/>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Private endpoints; database identities scoped per service; no shared superuser credential; purpose-limited replicas.</w:t>
            </w:r>
          </w:p>
        </w:tc>
      </w:tr>
      <w:tr>
        <w:trPr>
          <w:cantSplit/>
        </w:trPr>
        <w:tc>
          <w:tcPr>
            <w:tcW w:type="dxa" w:w="1728"/>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Management and security</w:t>
            </w:r>
          </w:p>
        </w:tc>
        <w:tc>
          <w:tcPr>
            <w:tcW w:type="dxa" w:w="4464"/>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Privileged access gateway, CI/CD, secrets and KMS, SIEM, vulnerability management, backup and recovery.</w:t>
            </w:r>
          </w:p>
        </w:tc>
        <w:tc>
          <w:tcPr>
            <w:tcW w:type="dxa" w:w="4464"/>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Strong admin MFA and just-in-time access. CI/CD promotion uses signed artifacts and controlled service identities.</w:t>
            </w:r>
          </w:p>
        </w:tc>
      </w:tr>
    </w:tbl>
    <w:p>
      <w:pPr>
        <w:spacing w:after="20"/>
      </w:pPr>
    </w:p>
    <w:p>
      <w:pPr>
        <w:pStyle w:val="Heading2"/>
      </w:pPr>
      <w:r>
        <w:t>Identity, authentication, and authorization</w:t>
      </w:r>
    </w:p>
    <w:p>
      <w:pPr>
        <w:pStyle w:val="ListBullet"/>
        <w:spacing w:after="40"/>
      </w:pPr>
      <w:r>
        <w:t>Use a central OIDC identity provider for workforce and customer authentication, with separate tenant-aware clients and policies. Require phishing-resistant MFA (passkeys/security keys) for workforce and privileged roles; offer risk-based step-up authentication for sensitive customer actions.</w:t>
      </w:r>
    </w:p>
    <w:p>
      <w:pPr>
        <w:pStyle w:val="ListBullet"/>
        <w:spacing w:after="40"/>
      </w:pPr>
      <w:r>
        <w:t>Use short-lived access tokens with issuer, audience, expiry, and scope validation. Keep customer, merchant, workforce, and machine identities distinct. Authenticate service workloads using short-lived workload identity and mTLS; do not distribute long-lived shared API keys.</w:t>
      </w:r>
    </w:p>
    <w:p>
      <w:pPr>
        <w:pStyle w:val="ListBullet"/>
        <w:spacing w:after="40"/>
      </w:pPr>
      <w:r>
        <w:t>Authorize every resource operation server-side. Combine role-based access with tenant, object ownership, transaction state, and purpose attributes. Enforce tenant IDs from trusted identity claims, never from untrusted request fields alone. Deny by default and check access on every request.</w:t>
      </w:r>
    </w:p>
    <w:p>
      <w:pPr>
        <w:pStyle w:val="ListBullet"/>
        <w:spacing w:after="40"/>
      </w:pPr>
      <w:r>
        <w:t>Apply least privilege to people and services. Separate payment execution, refunds, payout approval, rule deployment, and audit duties. Require dual approval for high-value payout or production rule changes; time-limit elevated privileges and record session activity.</w:t>
      </w:r>
    </w:p>
    <w:p>
      <w:pPr>
        <w:pStyle w:val="ListBullet"/>
        <w:spacing w:after="40"/>
      </w:pPr>
      <w:r>
        <w:t>Protect account recovery and credential lifecycle: verified recovery, throttling, breached-password screening, session revocation, device/session review, secure logout, and alerts for changes to payout destinations or authentication factors.</w:t>
      </w:r>
    </w:p>
    <w:p>
      <w:pPr>
        <w:pStyle w:val="Heading2"/>
      </w:pPr>
      <w:r>
        <w:t>Defense in depth</w:t>
      </w:r>
    </w:p>
    <w:tbl>
      <w:tblPr>
        <w:tblStyle w:val="TableGrid"/>
        <w:tblW w:type="auto" w:w="0"/>
        <w:jc w:val="center"/>
        <w:tblLook w:firstColumn="1" w:firstRow="1" w:lastColumn="0" w:lastRow="0" w:noHBand="0" w:noVBand="1" w:val="04A0"/>
      </w:tblPr>
      <w:tblGrid>
        <w:gridCol w:w="5083"/>
        <w:gridCol w:w="5083"/>
      </w:tblGrid>
      <w:tr>
        <w:trPr>
          <w:cantSplit/>
        </w:trPr>
        <w:tc>
          <w:tcPr>
            <w:tcW w:type="dxa" w:w="1872"/>
            <w:vAlign w:val="center"/>
            <w:shd w:fill="40254A"/>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Pr>
                <w:b/>
                <w:color w:val="FFFFFF"/>
              </w:rPr>
            </w:r>
            <w:r>
              <w:rPr>
                <w:rFonts w:ascii="Aptos" w:hAnsi="Aptos"/>
                <w:b/>
                <w:color w:val="FFFFFF"/>
                <w:sz w:val="15"/>
              </w:rPr>
              <w:t>Layer</w:t>
            </w:r>
          </w:p>
        </w:tc>
        <w:tc>
          <w:tcPr>
            <w:tcW w:type="dxa" w:w="8784"/>
            <w:vAlign w:val="center"/>
            <w:shd w:fill="40254A"/>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Pr>
                <w:b/>
                <w:color w:val="FFFFFF"/>
              </w:rPr>
            </w:r>
            <w:r>
              <w:rPr>
                <w:rFonts w:ascii="Aptos" w:hAnsi="Aptos"/>
                <w:b/>
                <w:color w:val="FFFFFF"/>
                <w:sz w:val="15"/>
              </w:rPr>
              <w:t>Controls</w:t>
            </w:r>
          </w:p>
        </w:tc>
      </w:tr>
      <w:tr>
        <w:trPr>
          <w:cantSplit/>
        </w:trPr>
        <w:tc>
          <w:tcPr>
            <w:tcW w:type="dxa" w:w="1872"/>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Edge and transport</w:t>
            </w:r>
          </w:p>
        </w:tc>
        <w:tc>
          <w:tcPr>
            <w:tcW w:type="dxa" w:w="8784"/>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DDoS protection, managed WAF rules, bot/rate controls, TLS 1.2+ (prefer TLS 1.3), HSTS, secure cookies, strict CORS and content security policy.</w:t>
            </w:r>
          </w:p>
        </w:tc>
      </w:tr>
      <w:tr>
        <w:trPr>
          <w:cantSplit/>
        </w:trPr>
        <w:tc>
          <w:tcPr>
            <w:tcW w:type="dxa" w:w="1872"/>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Application</w:t>
            </w:r>
          </w:p>
        </w:tc>
        <w:tc>
          <w:tcPr>
            <w:tcW w:type="dxa" w:w="8784"/>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Threat modeling; secure coding; input validation; parameterized database access; output encoding; CSRF protection where applicable; abuse controls; dependency and secret scanning; independent security testing.</w:t>
            </w:r>
          </w:p>
        </w:tc>
      </w:tr>
      <w:tr>
        <w:trPr>
          <w:cantSplit/>
        </w:trPr>
        <w:tc>
          <w:tcPr>
            <w:tcW w:type="dxa" w:w="1872"/>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Identity and service</w:t>
            </w:r>
          </w:p>
        </w:tc>
        <w:tc>
          <w:tcPr>
            <w:tcW w:type="dxa" w:w="8784"/>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MFA, short-lived tokens, workload identity, mTLS, scoped authorization, session risk checks, privileged access management and just-in-time elevation.</w:t>
            </w:r>
          </w:p>
        </w:tc>
      </w:tr>
      <w:tr>
        <w:trPr>
          <w:cantSplit/>
        </w:trPr>
        <w:tc>
          <w:tcPr>
            <w:tcW w:type="dxa" w:w="1872"/>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Data and keys</w:t>
            </w:r>
          </w:p>
        </w:tc>
        <w:tc>
          <w:tcPr>
            <w:tcW w:type="dxa" w:w="8784"/>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Data classification and minimization; encryption in transit and at rest; KMS/HSM-backed key custody and rotation; tokenization; managed secrets; backups encrypted with separate recovery credentials.</w:t>
            </w:r>
          </w:p>
        </w:tc>
      </w:tr>
      <w:tr>
        <w:trPr>
          <w:cantSplit/>
        </w:trPr>
        <w:tc>
          <w:tcPr>
            <w:tcW w:type="dxa" w:w="1872"/>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Infrastructure and operations</w:t>
            </w:r>
          </w:p>
        </w:tc>
        <w:tc>
          <w:tcPr>
            <w:tcW w:type="dxa" w:w="8784"/>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Hardened images; patch and vulnerability SLAs based on risk; signed builds; infrastructure as code review; container admission policy; EDR; immutable centralized logs; alerting and incident playbooks.</w:t>
            </w:r>
          </w:p>
        </w:tc>
      </w:tr>
      <w:tr>
        <w:trPr>
          <w:cantSplit/>
        </w:trPr>
        <w:tc>
          <w:tcPr>
            <w:tcW w:type="dxa" w:w="1872"/>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Resilience</w:t>
            </w:r>
          </w:p>
        </w:tc>
        <w:tc>
          <w:tcPr>
            <w:tcW w:type="dxa" w:w="8784"/>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Multi-zone deployment; tested backups and point-in-time recovery; defined RTO/RPO per service; fail-closed behavior for sensitive operations; replay-safe queues and idempotent payment APIs.</w:t>
            </w:r>
          </w:p>
        </w:tc>
      </w:tr>
    </w:tbl>
    <w:p>
      <w:pPr>
        <w:spacing w:after="20"/>
      </w:pPr>
    </w:p>
    <w:p>
      <w:pPr>
        <w:pStyle w:val="Heading1"/>
      </w:pPr>
      <w:r>
        <w:t>3. Threats and mitigations</w:t>
      </w:r>
    </w:p>
    <w:tbl>
      <w:tblPr>
        <w:tblStyle w:val="TableGrid"/>
        <w:tblW w:type="auto" w:w="0"/>
        <w:jc w:val="center"/>
        <w:tblLook w:firstColumn="1" w:firstRow="1" w:lastColumn="0" w:lastRow="0" w:noHBand="0" w:noVBand="1" w:val="04A0"/>
      </w:tblPr>
      <w:tblGrid>
        <w:gridCol w:w="5083"/>
        <w:gridCol w:w="5083"/>
      </w:tblGrid>
      <w:tr>
        <w:trPr>
          <w:cantSplit/>
        </w:trPr>
        <w:tc>
          <w:tcPr>
            <w:tcW w:type="dxa" w:w="2880"/>
            <w:vAlign w:val="center"/>
            <w:shd w:fill="40254A"/>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Pr>
                <w:b/>
                <w:color w:val="FFFFFF"/>
              </w:rPr>
            </w:r>
            <w:r>
              <w:rPr>
                <w:rFonts w:ascii="Aptos" w:hAnsi="Aptos"/>
                <w:b/>
                <w:color w:val="FFFFFF"/>
                <w:sz w:val="15"/>
              </w:rPr>
              <w:t>Threat / failure</w:t>
            </w:r>
          </w:p>
        </w:tc>
        <w:tc>
          <w:tcPr>
            <w:tcW w:type="dxa" w:w="7776"/>
            <w:vAlign w:val="center"/>
            <w:shd w:fill="40254A"/>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Pr>
                <w:b/>
                <w:color w:val="FFFFFF"/>
              </w:rPr>
            </w:r>
            <w:r>
              <w:rPr>
                <w:rFonts w:ascii="Aptos" w:hAnsi="Aptos"/>
                <w:b/>
                <w:color w:val="FFFFFF"/>
                <w:sz w:val="15"/>
              </w:rPr>
              <w:t>Primary safeguards and response</w:t>
            </w:r>
          </w:p>
        </w:tc>
      </w:tr>
      <w:tr>
        <w:trPr>
          <w:cantSplit/>
        </w:trPr>
        <w:tc>
          <w:tcPr>
            <w:tcW w:type="dxa" w:w="2880"/>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Account takeover or credential stuffing</w:t>
            </w:r>
          </w:p>
        </w:tc>
        <w:tc>
          <w:tcPr>
            <w:tcW w:type="dxa" w:w="7776"/>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Phishing-resistant MFA for staff; risk-based step-up; rate limiting and bot detection; breached-credential checks; secure recovery; alerts and rapid session/token revocation.</w:t>
            </w:r>
          </w:p>
        </w:tc>
      </w:tr>
      <w:tr>
        <w:trPr>
          <w:cantSplit/>
        </w:trPr>
        <w:tc>
          <w:tcPr>
            <w:tcW w:type="dxa" w:w="2880"/>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Cross-tenant data exposure / IDOR</w:t>
            </w:r>
          </w:p>
        </w:tc>
        <w:tc>
          <w:tcPr>
            <w:tcW w:type="dxa" w:w="7776"/>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Tenant-aware authorization on every object; server-derived tenant context; deny-by-default policy tests; database row-level controls where suitable; audit access and investigate anomalous reads.</w:t>
            </w:r>
          </w:p>
        </w:tc>
      </w:tr>
      <w:tr>
        <w:trPr>
          <w:cantSplit/>
        </w:trPr>
        <w:tc>
          <w:tcPr>
            <w:tcW w:type="dxa" w:w="2880"/>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Compromised merchant API credential</w:t>
            </w:r>
          </w:p>
        </w:tc>
        <w:tc>
          <w:tcPr>
            <w:tcW w:type="dxa" w:w="7776"/>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OAuth client credentials and mTLS options; scopes and merchant binding; short token lifetime; secret rotation/revocation; rate and amount limits; anomaly detection; idempotency and webhook signature validation.</w:t>
            </w:r>
          </w:p>
        </w:tc>
      </w:tr>
      <w:tr>
        <w:trPr>
          <w:cantSplit/>
        </w:trPr>
        <w:tc>
          <w:tcPr>
            <w:tcW w:type="dxa" w:w="2880"/>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Payment service or CDE compromise</w:t>
            </w:r>
          </w:p>
        </w:tc>
        <w:tc>
          <w:tcPr>
            <w:tcW w:type="dxa" w:w="7776"/>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Dedicated CDE account and network; tokenization; minimal CDE components; strict egress; hardened images; privileged access controls; continuous monitoring; incident containment and forensic preservation.</w:t>
            </w:r>
          </w:p>
        </w:tc>
      </w:tr>
      <w:tr>
        <w:trPr>
          <w:cantSplit/>
        </w:trPr>
        <w:tc>
          <w:tcPr>
            <w:tcW w:type="dxa" w:w="2880"/>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Insider misuse or fraudulent payout</w:t>
            </w:r>
          </w:p>
        </w:tc>
        <w:tc>
          <w:tcPr>
            <w:tcW w:type="dxa" w:w="7776"/>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Separation of duties; dual approval for sensitive changes; just-in-time privilege; immutable logs; transaction limits; out-of-band verification of payout changes; periodic access review.</w:t>
            </w:r>
          </w:p>
        </w:tc>
      </w:tr>
      <w:tr>
        <w:trPr>
          <w:cantSplit/>
        </w:trPr>
        <w:tc>
          <w:tcPr>
            <w:tcW w:type="dxa" w:w="2880"/>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Supply-chain compromise</w:t>
            </w:r>
          </w:p>
        </w:tc>
        <w:tc>
          <w:tcPr>
            <w:tcW w:type="dxa" w:w="7776"/>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Pinned dependencies; SBOM; signed build artifacts; isolated build runners; protected branches and review; secrets scanning; vulnerability response; provenance checks before deployment.</w:t>
            </w:r>
          </w:p>
        </w:tc>
      </w:tr>
      <w:tr>
        <w:trPr>
          <w:cantSplit/>
        </w:trPr>
        <w:tc>
          <w:tcPr>
            <w:tcW w:type="dxa" w:w="2880"/>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Ransomware / destructive change</w:t>
            </w:r>
          </w:p>
        </w:tc>
        <w:tc>
          <w:tcPr>
            <w:tcW w:type="dxa" w:w="7776"/>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Immutable and isolated backups; separate recovery identities; tested restoration; endpoint controls; least-privileged deployment; database point-in-time recovery; incident response exercises.</w:t>
            </w:r>
          </w:p>
        </w:tc>
      </w:tr>
      <w:tr>
        <w:trPr>
          <w:cantSplit/>
        </w:trPr>
        <w:tc>
          <w:tcPr>
            <w:tcW w:type="dxa" w:w="2880"/>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Webhook SSRF / data exfiltration</w:t>
            </w:r>
          </w:p>
        </w:tc>
        <w:tc>
          <w:tcPr>
            <w:tcW w:type="dxa" w:w="7776"/>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Egress proxy; block private/link-local/metadata ranges; DNS and redirect revalidation; response size/time limits; signed payloads; retries with limits; destination change alerts.</w:t>
            </w:r>
          </w:p>
        </w:tc>
      </w:tr>
    </w:tbl>
    <w:p>
      <w:pPr>
        <w:spacing w:after="20"/>
      </w:pPr>
    </w:p>
    <w:p>
      <w:pPr>
        <w:pStyle w:val="Heading1"/>
      </w:pPr>
      <w:r>
        <w:t>4. Data protection and operational controls</w:t>
      </w:r>
    </w:p>
    <w:p>
      <w:pPr>
        <w:pStyle w:val="ListBullet"/>
        <w:spacing w:after="40"/>
      </w:pPr>
      <w:r>
        <w:t>Classify data as public, internal, confidential, or restricted. Treat payment account data, credentials, identity documents, and high-risk behavioral signals as restricted. Maintain a data inventory and documented flows for each domain.</w:t>
      </w:r>
    </w:p>
    <w:p>
      <w:pPr>
        <w:pStyle w:val="ListBullet"/>
        <w:spacing w:after="40"/>
      </w:pPr>
      <w:r>
        <w:t>Keep sensitive authentication data out of logs, analytics, support tools, backups, and test environments. Tokenize payment instruments at the earliest feasible point and keep detokenization behind a narrowly authorized CDE service. Retain only what is required for a defined purpose and period.</w:t>
      </w:r>
    </w:p>
    <w:p>
      <w:pPr>
        <w:pStyle w:val="ListBullet"/>
        <w:spacing w:after="40"/>
      </w:pPr>
      <w:r>
        <w:t>Use per-domain encryption keys and database identities. Rotate and revoke keys through controlled processes; separate key administration from application administration. Do not place secrets in source code, container images, frontends, or logs.</w:t>
      </w:r>
    </w:p>
    <w:p>
      <w:pPr>
        <w:pStyle w:val="ListBullet"/>
        <w:spacing w:after="40"/>
      </w:pPr>
      <w:r>
        <w:t>Centralize security events in a tamper-resistant SIEM: authentication, authorization denials, privilege grants, payment state changes, payout approvals, key/secret use, data exports, configuration changes, and deployment events. Synchronize clocks and protect log access.</w:t>
      </w:r>
    </w:p>
    <w:p>
      <w:pPr>
        <w:pStyle w:val="ListBullet"/>
        <w:spacing w:after="40"/>
      </w:pPr>
      <w:r>
        <w:t>Operate incident response for account takeover, card-data exposure, fraudulent settlement, ransomware, and cloud credential compromise. Define notification, evidence preservation, containment, recovery, and post-incident review responsibilities.</w:t>
      </w:r>
    </w:p>
    <w:p>
      <w:pPr>
        <w:pStyle w:val="ListBullet"/>
        <w:spacing w:after="40"/>
      </w:pPr>
      <w:r>
        <w:t>Use secure SDLC gates: threat model changes, peer review, automated static and dependency analysis, secret scanning, infrastructure-as-code checks, container scanning, and security verification against OWASP ASVS. Test production-like controls before release.</w:t>
      </w:r>
    </w:p>
    <w:p>
      <w:pPr>
        <w:pStyle w:val="Heading1"/>
      </w:pPr>
      <w:r>
        <w:t>5. Implementation roadmap</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944"/>
            <w:vAlign w:val="center"/>
            <w:shd w:fill="40254A"/>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Pr>
                <w:b/>
                <w:color w:val="FFFFFF"/>
              </w:rPr>
            </w:r>
            <w:r>
              <w:rPr>
                <w:rFonts w:ascii="Aptos" w:hAnsi="Aptos"/>
                <w:b/>
                <w:color w:val="FFFFFF"/>
                <w:sz w:val="15"/>
              </w:rPr>
              <w:t>Phase</w:t>
            </w:r>
          </w:p>
        </w:tc>
        <w:tc>
          <w:tcPr>
            <w:tcW w:type="dxa" w:w="5472"/>
            <w:vAlign w:val="center"/>
            <w:shd w:fill="40254A"/>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Pr>
                <w:b/>
                <w:color w:val="FFFFFF"/>
              </w:rPr>
            </w:r>
            <w:r>
              <w:rPr>
                <w:rFonts w:ascii="Aptos" w:hAnsi="Aptos"/>
                <w:b/>
                <w:color w:val="FFFFFF"/>
                <w:sz w:val="15"/>
              </w:rPr>
              <w:t>Work products</w:t>
            </w:r>
          </w:p>
        </w:tc>
        <w:tc>
          <w:tcPr>
            <w:tcW w:type="dxa" w:w="3240"/>
            <w:vAlign w:val="center"/>
            <w:shd w:fill="40254A"/>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Pr>
                <w:b/>
                <w:color w:val="FFFFFF"/>
              </w:rPr>
            </w:r>
            <w:r>
              <w:rPr>
                <w:rFonts w:ascii="Aptos" w:hAnsi="Aptos"/>
                <w:b/>
                <w:color w:val="FFFFFF"/>
                <w:sz w:val="15"/>
              </w:rPr>
              <w:t>Exit condition</w:t>
            </w:r>
          </w:p>
        </w:tc>
      </w:tr>
      <w:tr>
        <w:trPr>
          <w:cantSplit/>
        </w:trPr>
        <w:tc>
          <w:tcPr>
            <w:tcW w:type="dxa" w:w="1944"/>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1. Foundation</w:t>
            </w:r>
          </w:p>
        </w:tc>
        <w:tc>
          <w:tcPr>
            <w:tcW w:type="dxa" w:w="5472"/>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Cloud account and network boundaries; identity provider; MFA; centralized audit logging; KMS; CI/CD guardrails; asset and data inventory.</w:t>
            </w:r>
          </w:p>
        </w:tc>
        <w:tc>
          <w:tcPr>
            <w:tcW w:type="dxa" w:w="3240"/>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Administrative access is controlled and logged; default-deny network policy and secure deployment path operate.</w:t>
            </w:r>
          </w:p>
        </w:tc>
      </w:tr>
      <w:tr>
        <w:trPr>
          <w:cantSplit/>
        </w:trPr>
        <w:tc>
          <w:tcPr>
            <w:tcW w:type="dxa" w:w="1944"/>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2. Customer and merchant domains</w:t>
            </w:r>
          </w:p>
        </w:tc>
        <w:tc>
          <w:tcPr>
            <w:tcW w:type="dxa" w:w="5472"/>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Build wallet and portal with isolated data stores, tenant authorization, account recovery, secure webhook and support workflows.</w:t>
            </w:r>
          </w:p>
        </w:tc>
        <w:tc>
          <w:tcPr>
            <w:tcW w:type="dxa" w:w="3240"/>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Security review validates separation of customer, merchant, and workforce identities and data.</w:t>
            </w:r>
          </w:p>
        </w:tc>
      </w:tr>
      <w:tr>
        <w:trPr>
          <w:cantSplit/>
        </w:trPr>
        <w:tc>
          <w:tcPr>
            <w:tcW w:type="dxa" w:w="1944"/>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3. Payment API and CDE</w:t>
            </w:r>
          </w:p>
        </w:tc>
        <w:tc>
          <w:tcPr>
            <w:tcW w:type="dxa" w:w="5472"/>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Implement tokenized processing, idempotency, service identity, restricted ingress/egress, key custody, transaction ledger, and monitoring.</w:t>
            </w:r>
          </w:p>
        </w:tc>
        <w:tc>
          <w:tcPr>
            <w:tcW w:type="dxa" w:w="3240"/>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Payment flows and PCI scope are documented; assessor and security team review CDE boundary and applicable controls.</w:t>
            </w:r>
          </w:p>
        </w:tc>
      </w:tr>
      <w:tr>
        <w:trPr>
          <w:cantSplit/>
        </w:trPr>
        <w:tc>
          <w:tcPr>
            <w:tcW w:type="dxa" w:w="1944"/>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4. Risk and settlement domains</w:t>
            </w:r>
          </w:p>
        </w:tc>
        <w:tc>
          <w:tcPr>
            <w:tcW w:type="dxa" w:w="5472"/>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Add minimized feeds, case management, reconciliation approvals, immutable evidence, and controlled finance integrations.</w:t>
            </w:r>
          </w:p>
        </w:tc>
        <w:tc>
          <w:tcPr>
            <w:tcW w:type="dxa" w:w="3240"/>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No direct broad access to CDE; high-risk operations enforce approvals and auditable records.</w:t>
            </w:r>
          </w:p>
        </w:tc>
      </w:tr>
      <w:tr>
        <w:trPr>
          <w:cantSplit/>
        </w:trPr>
        <w:tc>
          <w:tcPr>
            <w:tcW w:type="dxa" w:w="1944"/>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5. Assurance and resilience</w:t>
            </w:r>
          </w:p>
        </w:tc>
        <w:tc>
          <w:tcPr>
            <w:tcW w:type="dxa" w:w="5472"/>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Application security verification; penetration test; recovery and incident exercises; access recertification; operational runbooks.</w:t>
            </w:r>
          </w:p>
        </w:tc>
        <w:tc>
          <w:tcPr>
            <w:tcW w:type="dxa" w:w="3240"/>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5"/>
              </w:rPr>
              <w:t>Findings are remediated or risk accepted by accountable owners; restore and incident exercises meet approved objectives.</w:t>
            </w:r>
          </w:p>
        </w:tc>
      </w:tr>
    </w:tbl>
    <w:p>
      <w:pPr>
        <w:spacing w:after="20"/>
      </w:pPr>
    </w:p>
    <w:p>
      <w:pPr>
        <w:pStyle w:val="Heading1"/>
      </w:pPr>
      <w:r>
        <w:t>6. Assignment requirement crosswalk</w:t>
      </w:r>
    </w:p>
    <w:tbl>
      <w:tblPr>
        <w:tblStyle w:val="TableGrid"/>
        <w:tblW w:type="auto" w:w="0"/>
        <w:jc w:val="center"/>
        <w:tblLook w:firstColumn="1" w:firstRow="1" w:lastColumn="0" w:lastRow="0" w:noHBand="0" w:noVBand="1" w:val="04A0"/>
      </w:tblPr>
      <w:tblGrid>
        <w:gridCol w:w="5083"/>
        <w:gridCol w:w="5083"/>
      </w:tblGrid>
      <w:tr>
        <w:trPr>
          <w:cantSplit/>
        </w:trPr>
        <w:tc>
          <w:tcPr>
            <w:tcW w:type="dxa" w:w="3888"/>
            <w:vAlign w:val="center"/>
            <w:shd w:fill="40254A"/>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Pr>
                <w:b/>
                <w:color w:val="FFFFFF"/>
              </w:rPr>
            </w:r>
            <w:r>
              <w:rPr>
                <w:rFonts w:ascii="Aptos" w:hAnsi="Aptos"/>
                <w:b/>
                <w:color w:val="FFFFFF"/>
                <w:sz w:val="16"/>
              </w:rPr>
              <w:t>Assignment requirement</w:t>
            </w:r>
          </w:p>
        </w:tc>
        <w:tc>
          <w:tcPr>
            <w:tcW w:type="dxa" w:w="6768"/>
            <w:vAlign w:val="center"/>
            <w:shd w:fill="40254A"/>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Pr>
                <w:b/>
                <w:color w:val="FFFFFF"/>
              </w:rPr>
            </w:r>
            <w:r>
              <w:rPr>
                <w:rFonts w:ascii="Aptos" w:hAnsi="Aptos"/>
                <w:b/>
                <w:color w:val="FFFFFF"/>
                <w:sz w:val="16"/>
              </w:rPr>
              <w:t>Where addressed</w:t>
            </w:r>
          </w:p>
        </w:tc>
      </w:tr>
      <w:tr>
        <w:trPr>
          <w:cantSplit/>
        </w:trPr>
        <w:tc>
          <w:tcPr>
            <w:tcW w:type="dxa" w:w="3888"/>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6"/>
              </w:rPr>
              <w:t>At least five applications, each with a distinct purpose</w:t>
            </w:r>
          </w:p>
        </w:tc>
        <w:tc>
          <w:tcPr>
            <w:tcW w:type="dxa" w:w="6768"/>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6"/>
              </w:rPr>
              <w:t>Section 1: five applications and different business outcomes.</w:t>
            </w:r>
          </w:p>
        </w:tc>
      </w:tr>
      <w:tr>
        <w:trPr>
          <w:cantSplit/>
        </w:trPr>
        <w:tc>
          <w:tcPr>
            <w:tcW w:type="dxa" w:w="3888"/>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6"/>
              </w:rPr>
              <w:t>Purpose, users, features, data, frontend, backend, database, hosting for each</w:t>
            </w:r>
          </w:p>
        </w:tc>
        <w:tc>
          <w:tcPr>
            <w:tcW w:type="dxa" w:w="6768"/>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6"/>
              </w:rPr>
              <w:t>Section 1: one complete specification table for each application.</w:t>
            </w:r>
          </w:p>
        </w:tc>
      </w:tr>
      <w:tr>
        <w:trPr>
          <w:cantSplit/>
        </w:trPr>
        <w:tc>
          <w:tcPr>
            <w:tcW w:type="dxa" w:w="3888"/>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6"/>
              </w:rPr>
              <w:t>Defense in Depth</w:t>
            </w:r>
          </w:p>
        </w:tc>
        <w:tc>
          <w:tcPr>
            <w:tcW w:type="dxa" w:w="6768"/>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6"/>
              </w:rPr>
              <w:t>Section 2: layered controls; Section 3: threat mitigations.</w:t>
            </w:r>
          </w:p>
        </w:tc>
      </w:tr>
      <w:tr>
        <w:trPr>
          <w:cantSplit/>
        </w:trPr>
        <w:tc>
          <w:tcPr>
            <w:tcW w:type="dxa" w:w="3888"/>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6"/>
              </w:rPr>
              <w:t>Least Privilege</w:t>
            </w:r>
          </w:p>
        </w:tc>
        <w:tc>
          <w:tcPr>
            <w:tcW w:type="dxa" w:w="6768"/>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6"/>
              </w:rPr>
              <w:t>Section 2: scoped user/service access, separation of duties, time-limited elevation.</w:t>
            </w:r>
          </w:p>
        </w:tc>
      </w:tr>
      <w:tr>
        <w:trPr>
          <w:cantSplit/>
        </w:trPr>
        <w:tc>
          <w:tcPr>
            <w:tcW w:type="dxa" w:w="3888"/>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6"/>
              </w:rPr>
              <w:t>Zero Trust</w:t>
            </w:r>
          </w:p>
        </w:tc>
        <w:tc>
          <w:tcPr>
            <w:tcW w:type="dxa" w:w="6768"/>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6"/>
              </w:rPr>
              <w:t>Section 2: identity-aware decisions, per-request authorization, workload identity, no implicit trust by network location.</w:t>
            </w:r>
          </w:p>
        </w:tc>
      </w:tr>
      <w:tr>
        <w:trPr>
          <w:cantSplit/>
        </w:trPr>
        <w:tc>
          <w:tcPr>
            <w:tcW w:type="dxa" w:w="3888"/>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6"/>
              </w:rPr>
              <w:t>Secure Authentication</w:t>
            </w:r>
          </w:p>
        </w:tc>
        <w:tc>
          <w:tcPr>
            <w:tcW w:type="dxa" w:w="6768"/>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6"/>
              </w:rPr>
              <w:t>Section 2: central OIDC, MFA, step-up, secure recovery, short-lived tokens.</w:t>
            </w:r>
          </w:p>
        </w:tc>
      </w:tr>
      <w:tr>
        <w:trPr>
          <w:cantSplit/>
        </w:trPr>
        <w:tc>
          <w:tcPr>
            <w:tcW w:type="dxa" w:w="3888"/>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6"/>
              </w:rPr>
              <w:t>Strong Authorization</w:t>
            </w:r>
          </w:p>
        </w:tc>
        <w:tc>
          <w:tcPr>
            <w:tcW w:type="dxa" w:w="6768"/>
            <w:vAlign w:val="center"/>
            <w:shd w:fill="FBF8F3"/>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6"/>
              </w:rPr>
              <w:t>Section 2: deny-by-default, tenant/object/state checks, service scopes and approvals.</w:t>
            </w:r>
          </w:p>
        </w:tc>
      </w:tr>
      <w:tr>
        <w:trPr>
          <w:cantSplit/>
        </w:trPr>
        <w:tc>
          <w:tcPr>
            <w:tcW w:type="dxa" w:w="3888"/>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6"/>
              </w:rPr>
              <w:t>Network Segmentation</w:t>
            </w:r>
          </w:p>
        </w:tc>
        <w:tc>
          <w:tcPr>
            <w:tcW w:type="dxa" w:w="6768"/>
            <w:vAlign w:val="center"/>
            <w:shd w:fill="F7F0E7"/>
            <w:tcBorders>
              <w:top w:val="single" w:sz="4" w:color="E7DCCF"/>
              <w:left w:val="single" w:sz="4" w:color="E7DCCF"/>
              <w:bottom w:val="single" w:sz="4" w:color="E7DCCF"/>
              <w:right w:val="single" w:sz="4" w:color="E7DCCF"/>
              <w:insideH w:val="single" w:sz="4" w:color="E7DCCF"/>
              <w:insideV w:val="single" w:sz="4" w:color="E7DCCF"/>
            </w:tcBorders>
          </w:tcPr>
          <w:p>
            <w:pPr>
              <w:spacing w:after="20"/>
            </w:pPr>
            <w:r/>
            <w:r>
              <w:rPr>
                <w:rFonts w:ascii="Aptos" w:hAnsi="Aptos"/>
                <w:b w:val="0"/>
                <w:sz w:val="16"/>
              </w:rPr>
              <w:t>Section 2: separate app zones, dedicated CDE, data zones, management/security zone and explicit allowed paths.</w:t>
            </w:r>
          </w:p>
        </w:tc>
      </w:tr>
    </w:tbl>
    <w:p>
      <w:pPr>
        <w:spacing w:after="20"/>
      </w:pPr>
    </w:p>
    <w:p>
      <w:pPr>
        <w:pStyle w:val="Heading1"/>
      </w:pPr>
      <w:r>
        <w:t>References</w:t>
      </w:r>
    </w:p>
    <w:p>
      <w:r>
        <w:t>1. NIST, SP 800-207, Zero Trust Architecture (2020). https://csrc.nist.gov/pubs/sp/800/207/final</w:t>
      </w:r>
    </w:p>
    <w:p>
      <w:r>
        <w:t>2. NIST, SP 800-207A, A Zero Trust Architecture Model for Access Control in Cloud-Native Applications in Multi-Cloud Environments (2023). https://csrc.nist.gov/pubs/sp/800/207/a/final</w:t>
      </w:r>
    </w:p>
    <w:p>
      <w:r>
        <w:t>3. PCI Security Standards Council, PCI DSS v4.0.1 and supporting document library. https://www.pcisecuritystandards.org/document_library/</w:t>
      </w:r>
    </w:p>
    <w:p>
      <w:r>
        <w:t>4. OWASP, Application Security Verification Standard (ASVS), version 5.0.0 (published 30 May 2025). https://asvs.owasp.org/</w:t>
      </w:r>
    </w:p>
    <w:p>
      <w:r>
        <w:t>Design note: This is a reference architecture for an assignment. Final implementation, regulatory scope, control selection, retention periods, and cloud configuration must be validated against the company’s jurisdictions, payment partners, risk profile, and qualified assessors.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66B78"/>
        <w:sz w:val="16"/>
      </w:rPr>
      <w:t>SECURITY ARCHITECTURE  •  28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B5543C"/>
        <w:sz w:val="16"/>
      </w:rPr>
      <w:t>SECURE PAYMENT COMPANY  |  ARCHITECTURE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332E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w:hAnsi="Aptos"/>
      <w:b/>
      <w:bCs/>
      <w:color w:val="40254A"/>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B5543C"/>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B5543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w:hAnsi="Aptos"/>
      <w:b/>
      <w:color w:val="40254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pPr>
    <w:rPr>
      <w:rFonts w:ascii="Aptos" w:hAnsi="Aptos"/>
      <w:b/>
      <w:color w:val="332E38"/>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Multi-Domain Payment Company Architecture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