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B4F72"/>
          <w:sz w:val="52"/>
          <w:szCs w:val="52"/>
        </w:rPr>
        <w:t xml:space="preserve">DID THE ONE-CHILD POLICY ACTUALLY WORK?</w:t>
      </w:r>
    </w:p>
    <w:p>
      <w:pPr>
        <w:spacing w:after="80"/>
      </w:pPr>
      <w:r>
        <w:rPr>
          <w:rFonts w:ascii="Calibri" w:cs="Calibri" w:eastAsia="Calibri" w:hAnsi="Calibri"/>
          <w:i/>
          <w:iCs/>
          <w:color w:val="555555"/>
          <w:sz w:val="28"/>
          <w:szCs w:val="28"/>
        </w:rPr>
        <w:t xml:space="preserve">A Synthetic Control Analysis of China's 1979 Fertility Policy</w:t>
      </w:r>
    </w:p>
    <w:p>
      <w:pPr>
        <w:spacing w:after="60"/>
      </w:pPr>
      <w:r>
        <w:rPr>
          <w:rFonts w:ascii="Calibri" w:cs="Calibri" w:eastAsia="Calibri" w:hAnsi="Calibri"/>
          <w:color w:val="555555"/>
          <w:sz w:val="20"/>
          <w:szCs w:val="20"/>
        </w:rPr>
        <w:t xml:space="preserve">Srisha Raj  ·  UC Berkeley, Department of Statistics  ·  2025</w:t>
      </w:r>
    </w:p>
    <w:p>
      <w:pPr>
        <w:spacing w:after="240"/>
      </w:pPr>
      <w:r>
        <w:rPr>
          <w:rFonts w:ascii="Calibri" w:cs="Calibri" w:eastAsia="Calibri" w:hAnsi="Calibri"/>
          <w:color w:val="555555"/>
          <w:sz w:val="20"/>
          <w:szCs w:val="20"/>
        </w:rPr>
        <w:t xml:space="preserve">Data: World Bank Development Indicators  ·  Method: Synthetic Control (Abadie et al.)</w:t>
      </w:r>
    </w:p>
    <w:p>
      <w:pPr>
        <w:pBdr>
          <w:bottom w:val="single" w:color="1B4F72" w:sz="4" w:space="4"/>
        </w:pBdr>
        <w:spacing w:after="200"/>
      </w:pPr>
    </w:p>
    <w:p>
      <w:pPr>
        <w:spacing w:after="200"/>
      </w:pPr>
    </w:p>
    <w:p>
      <w:pPr>
        <w:spacing w:after="100"/>
      </w:pPr>
      <w:r>
        <w:rPr>
          <w:rFonts w:ascii="Calibri" w:cs="Calibri" w:eastAsia="Calibri" w:hAnsi="Calibri"/>
          <w:b/>
          <w:bCs/>
          <w:caps/>
          <w:color w:val="1B4F72"/>
          <w:sz w:val="22"/>
          <w:szCs w:val="22"/>
        </w:rPr>
        <w:t xml:space="preserve">ABSTRACT</w:t>
      </w:r>
    </w:p>
    <w:p>
      <w:pPr>
        <w:spacing w:after="160"/>
      </w:pPr>
      <w:r>
        <w:rPr>
          <w:rFonts w:ascii="Georgia" w:cs="Georgia" w:eastAsia="Georgia" w:hAnsi="Georgia"/>
          <w:color w:val="111111"/>
          <w:sz w:val="22"/>
          <w:szCs w:val="22"/>
        </w:rPr>
        <w:t xml:space="preserve">China's One-Child Policy (1979) is routinely cited as one of the most sweeping demographic interventions in human history. But how much of the post-1979 fertility decline did the policy actually cause — and how much would have happened anyway? This analysis applies the Synthetic Control Method (Abadie, Diamond &amp; Hainmueller, 2010) to construct a counterfactual "Synthetic China" from a weighted blend of countries with comparable pre-1979 demographic trajectories. The donor pool consists of ten countries matched on fertility rate, GDP, urbanization, and child mortality across 1969–1978. Results show that Synthetic China — a composite of 76.8% Thailand and 21.4% South Korea — closely tracked real China before 1979, but declined at a nearly identical rate afterward. The average post-treatment gap is small (+0.054 TFR). This suggests the fertility decline China experienced may have been largely structural — driven by economic development, urbanization, and demographic momentum — rather than uniquely attributable to the policy itself. Findings are interpreted cautiously: the national-level unit of analysis and donor pool limitations constrain causal inference. Province-level analysis is proposed as a more decisive next step.</w:t>
      </w:r>
    </w:p>
    <w:p>
      <w:pPr>
        <w:spacing w:after="200"/>
      </w:pPr>
    </w:p>
    <w:p>
      <w:pPr>
        <w:pBdr>
          <w:bottom w:val="single" w:color="1B4F72" w:sz="4" w:space="4"/>
        </w:pBdr>
        <w:spacing w:after="200"/>
      </w:pPr>
    </w:p>
    <w:p>
      <w:pPr>
        <w:spacing w:after="240"/>
      </w:pPr>
    </w:p>
    <w:p>
      <w:pPr>
        <w:pStyle w:val="Heading2"/>
        <w:spacing w:after="120" w:before="320"/>
      </w:pPr>
      <w:r>
        <w:t xml:space="preserve">1.  Background and Motivation</w:t>
      </w:r>
      <w:r>
        <w:rPr>
          <w:rFonts w:ascii="Calibri" w:cs="Calibri" w:eastAsia="Calibri" w:hAnsi="Calibri"/>
          <w:b/>
          <w:bCs/>
          <w:color w:val="1B4F72"/>
          <w:sz w:val="26"/>
          <w:szCs w:val="26"/>
        </w:rPr>
        <w:t xml:space="preserve">1.  Background and Motivation</w:t>
      </w:r>
    </w:p>
    <w:p>
      <w:pPr>
        <w:spacing w:after="160"/>
      </w:pPr>
      <w:r>
        <w:rPr>
          <w:rFonts w:ascii="Georgia" w:cs="Georgia" w:eastAsia="Georgia" w:hAnsi="Georgia"/>
          <w:color w:val="111111"/>
          <w:sz w:val="22"/>
          <w:szCs w:val="22"/>
        </w:rPr>
        <w:t xml:space="preserve">In 1979, the Chinese government introduced one of the most ambitious and coercive fertility policies ever implemented: a nationwide limit, enforced through fines, employment penalties, and in many documented cases, forced sterilization and abortion, of one child per couple. By most accounts, it worked. China's total fertility rate (TFR) fell from roughly 2.8 births per woman in 1979 to 1.6 by 2000.</w:t>
      </w:r>
    </w:p>
    <w:p>
      <w:pPr>
        <w:spacing w:after="160"/>
      </w:pPr>
      <w:r>
        <w:rPr>
          <w:rFonts w:ascii="Georgia" w:cs="Georgia" w:eastAsia="Georgia" w:hAnsi="Georgia"/>
          <w:color w:val="111111"/>
          <w:sz w:val="22"/>
          <w:szCs w:val="22"/>
        </w:rPr>
        <w:t xml:space="preserve">The problem is that this is not actually a meaningful comparison. China's fertility had already been falling sharply for two decades before the policy was introduced — from 6.1 in 1960 to 2.8 by 1979. That is an enormous decline driven by forces entirely independent of the One-Child Policy: rapid urbanization, rising female education and labor force participation, improving child survival rates, and the economic logic of smaller families in industrializing economies.</w:t>
      </w:r>
    </w:p>
    <w:p>
      <w:pPr>
        <w:spacing w:after="160"/>
      </w:pPr>
      <w:r>
        <w:rPr>
          <w:rFonts w:ascii="Georgia" w:cs="Georgia" w:eastAsia="Georgia" w:hAnsi="Georgia"/>
          <w:color w:val="111111"/>
          <w:sz w:val="22"/>
          <w:szCs w:val="22"/>
        </w:rPr>
        <w:t xml:space="preserve">The real question, then, is not "did fertility fall after 1979?" — it did. The question is: </w:t>
      </w:r>
    </w:p>
    <w:p>
      <w:pPr>
        <w:pBdr>
          <w:left w:val="thick" w:color="1B4F72" w:sz="16" w:space="12"/>
        </w:pBdr>
        <w:spacing w:after="160" w:before="80"/>
        <w:ind w:left="720"/>
      </w:pPr>
      <w:r>
        <w:rPr>
          <w:rFonts w:ascii="Georgia" w:cs="Georgia" w:eastAsia="Georgia" w:hAnsi="Georgia"/>
          <w:b/>
          <w:bCs/>
          <w:i/>
          <w:iCs/>
          <w:sz w:val="22"/>
          <w:szCs w:val="22"/>
        </w:rPr>
        <w:t xml:space="preserve">How much of that decline would have happened anyway, without any policy at all?</w:t>
      </w:r>
    </w:p>
    <w:p>
      <w:pPr>
        <w:spacing w:after="160"/>
      </w:pPr>
      <w:r>
        <w:rPr>
          <w:rFonts w:ascii="Georgia" w:cs="Georgia" w:eastAsia="Georgia" w:hAnsi="Georgia"/>
          <w:color w:val="111111"/>
          <w:sz w:val="22"/>
          <w:szCs w:val="22"/>
        </w:rPr>
        <w:t xml:space="preserve">Answering this requires a credible counterfactual: an estimate of what China's fertility trajectory would have looked like without the policy. That is what this analysis attempts to build.</w:t>
      </w:r>
    </w:p>
    <w:p>
      <w:pPr>
        <w:spacing w:after="120"/>
      </w:pPr>
    </w:p>
    <w:p>
      <w:pPr>
        <w:pStyle w:val="Heading2"/>
        <w:spacing w:after="120" w:before="320"/>
      </w:pPr>
      <w:r>
        <w:t xml:space="preserve">2.  Method: Synthetic Control</w:t>
      </w:r>
      <w:r>
        <w:rPr>
          <w:rFonts w:ascii="Calibri" w:cs="Calibri" w:eastAsia="Calibri" w:hAnsi="Calibri"/>
          <w:b/>
          <w:bCs/>
          <w:color w:val="1B4F72"/>
          <w:sz w:val="26"/>
          <w:szCs w:val="26"/>
        </w:rPr>
        <w:t xml:space="preserve">2.  Method: Synthetic Control</w:t>
      </w:r>
    </w:p>
    <w:p>
      <w:pPr>
        <w:spacing w:after="160"/>
      </w:pPr>
      <w:r>
        <w:rPr>
          <w:rFonts w:ascii="Georgia" w:cs="Georgia" w:eastAsia="Georgia" w:hAnsi="Georgia"/>
          <w:color w:val="111111"/>
          <w:sz w:val="22"/>
          <w:szCs w:val="22"/>
        </w:rPr>
        <w:t xml:space="preserve">The Synthetic Control Method (SCM), introduced by Abadie and Gardeazabal (2003) and formalized in Abadie, Diamond &amp; Hainmueller (2010), is designed for exactly this setting: a single treated unit, a policy with a known start date, and a set of potential comparison units.</w:t>
      </w:r>
    </w:p>
    <w:p>
      <w:pPr>
        <w:spacing w:after="160"/>
      </w:pPr>
      <w:r>
        <w:rPr>
          <w:rFonts w:ascii="Georgia" w:cs="Georgia" w:eastAsia="Georgia" w:hAnsi="Georgia"/>
          <w:color w:val="111111"/>
          <w:sz w:val="22"/>
          <w:szCs w:val="22"/>
        </w:rPr>
        <w:t xml:space="preserve">The logic is straightforward. Rather than picking one comparison country and hoping it is a good match, SCM constructs a weighted combination of donor countries whose pre-treatment trajectory most closely resembles the treated unit. The weights are chosen to minimize the pre-treatment discrepancy across both the outcome variable and a set of predictor covariates. The counterfactual is then the weighted synthetic unit's post-treatment trajectory.</w:t>
      </w:r>
    </w:p>
    <w:p>
      <w:pPr>
        <w:spacing w:after="80" w:before="200"/>
      </w:pPr>
      <w:r>
        <w:rPr>
          <w:rFonts w:ascii="Calibri" w:cs="Calibri" w:eastAsia="Calibri" w:hAnsi="Calibri"/>
          <w:b/>
          <w:bCs/>
          <w:caps/>
          <w:color w:val="555555"/>
          <w:sz w:val="22"/>
          <w:szCs w:val="22"/>
        </w:rPr>
        <w:t xml:space="preserve">Donor Pool</w:t>
      </w:r>
    </w:p>
    <w:p>
      <w:pPr>
        <w:spacing w:after="160"/>
      </w:pPr>
      <w:r>
        <w:rPr>
          <w:rFonts w:ascii="Georgia" w:cs="Georgia" w:eastAsia="Georgia" w:hAnsi="Georgia"/>
          <w:color w:val="111111"/>
          <w:sz w:val="22"/>
          <w:szCs w:val="22"/>
        </w:rPr>
        <w:t xml:space="preserve">Ten countries were selected as potential donors: Thailand, South Korea, Turkey, Pakistan, Philippines, Sri Lanka, Morocco, Tunisia, Brazil, and Mexico. Selection criteria: (1) no comparable national fertility policy during the study window; (2) similar developmental range to China circa 1979; (3) complete data availability across all four predictors for 1969–2015. Vietnam was excluded despite initially being considered — it had its own government fertility campaigns beginning in the late 1970s, which would contaminate the counterfactual.</w:t>
      </w:r>
    </w:p>
    <w:p>
      <w:pPr>
        <w:spacing w:after="80" w:before="200"/>
      </w:pPr>
      <w:r>
        <w:rPr>
          <w:rFonts w:ascii="Calibri" w:cs="Calibri" w:eastAsia="Calibri" w:hAnsi="Calibri"/>
          <w:b/>
          <w:bCs/>
          <w:caps/>
          <w:color w:val="555555"/>
          <w:sz w:val="22"/>
          <w:szCs w:val="22"/>
        </w:rPr>
        <w:t xml:space="preserve">Predictors and Outcome</w:t>
      </w:r>
    </w:p>
    <w:p>
      <w:pPr>
        <w:spacing w:after="160"/>
      </w:pPr>
      <w:r>
        <w:rPr>
          <w:rFonts w:ascii="Georgia" w:cs="Georgia" w:eastAsia="Georgia" w:hAnsi="Georgia"/>
          <w:color w:val="111111"/>
          <w:sz w:val="22"/>
          <w:szCs w:val="22"/>
        </w:rPr>
        <w:t xml:space="preserve">The outcome variable is the Total Fertility Rate (TFR), defined as the average number of births per woman over a lifetime. Four pre-treatment predictors were used to construct the synthetic weights:</w:t>
      </w:r>
    </w:p>
    <w:p>
      <w:pPr>
        <w:spacing w:after="160"/>
      </w:pPr>
      <w:r>
        <w:rPr>
          <w:rFonts w:ascii="Georgia" w:cs="Georgia" w:eastAsia="Georgia" w:hAnsi="Georgia"/>
          <w:color w:val="111111"/>
          <w:sz w:val="22"/>
          <w:szCs w:val="22"/>
        </w:rPr>
        <w:t xml:space="preserve">  •  Log GDP per capita (current USD) — captures economic development trajectory</w:t>
      </w:r>
    </w:p>
    <w:p>
      <w:pPr>
        <w:spacing w:after="160"/>
      </w:pPr>
      <w:r>
        <w:rPr>
          <w:rFonts w:ascii="Georgia" w:cs="Georgia" w:eastAsia="Georgia" w:hAnsi="Georgia"/>
          <w:color w:val="111111"/>
          <w:sz w:val="22"/>
          <w:szCs w:val="22"/>
        </w:rPr>
        <w:t xml:space="preserve">  •  Urban population (% of total) — captures structural demographic modernization</w:t>
      </w:r>
    </w:p>
    <w:p>
      <w:pPr>
        <w:spacing w:after="160"/>
      </w:pPr>
      <w:r>
        <w:rPr>
          <w:rFonts w:ascii="Georgia" w:cs="Georgia" w:eastAsia="Georgia" w:hAnsi="Georgia"/>
          <w:color w:val="111111"/>
          <w:sz w:val="22"/>
          <w:szCs w:val="22"/>
        </w:rPr>
        <w:t xml:space="preserve">  •  Under-5 child mortality rate (per 1,000 live births) — captures the "child survival" dynamic central to fertility transitions</w:t>
      </w:r>
    </w:p>
    <w:p>
      <w:pPr>
        <w:spacing w:after="160"/>
      </w:pPr>
      <w:r>
        <w:rPr>
          <w:rFonts w:ascii="Georgia" w:cs="Georgia" w:eastAsia="Georgia" w:hAnsi="Georgia"/>
          <w:color w:val="111111"/>
          <w:sz w:val="22"/>
          <w:szCs w:val="22"/>
        </w:rPr>
        <w:t xml:space="preserve">  •  Mean pre-treatment fertility rate (1969–1978) — ensures the synthetic unit matches China's outcome level directly</w:t>
      </w:r>
    </w:p>
    <w:p>
      <w:pPr>
        <w:spacing w:after="80"/>
      </w:pPr>
    </w:p>
    <w:p>
      <w:pPr>
        <w:spacing w:after="160"/>
      </w:pPr>
      <w:r>
        <w:rPr>
          <w:rFonts w:ascii="Georgia" w:cs="Georgia" w:eastAsia="Georgia" w:hAnsi="Georgia"/>
          <w:color w:val="111111"/>
          <w:sz w:val="22"/>
          <w:szCs w:val="22"/>
        </w:rPr>
        <w:t xml:space="preserve">The optimization window is 1969–1978 (the decade prior to the policy). The analysis window extends through 2015. Vietnam and Turkey's canonical names in the World Bank database ("Viet Nam" and "Turkiye") were harmonized. GDP was log-transformed given its right-skewed distribution across the donor pool.</w:t>
      </w:r>
    </w:p>
    <w:p>
      <w:pPr>
        <w:spacing w:after="120"/>
      </w:pPr>
    </w:p>
    <w:p>
      <w:pPr>
        <w:pStyle w:val="Heading2"/>
        <w:spacing w:after="120" w:before="320"/>
      </w:pPr>
      <w:r>
        <w:t xml:space="preserve">3.  Results</w:t>
      </w:r>
      <w:r>
        <w:rPr>
          <w:rFonts w:ascii="Calibri" w:cs="Calibri" w:eastAsia="Calibri" w:hAnsi="Calibri"/>
          <w:b/>
          <w:bCs/>
          <w:color w:val="1B4F72"/>
          <w:sz w:val="26"/>
          <w:szCs w:val="26"/>
        </w:rPr>
        <w:t xml:space="preserve">3.  Results</w:t>
      </w:r>
    </w:p>
    <w:p>
      <w:pPr>
        <w:spacing w:after="80" w:before="200"/>
      </w:pPr>
      <w:r>
        <w:rPr>
          <w:rFonts w:ascii="Calibri" w:cs="Calibri" w:eastAsia="Calibri" w:hAnsi="Calibri"/>
          <w:b/>
          <w:bCs/>
          <w:caps/>
          <w:color w:val="555555"/>
          <w:sz w:val="22"/>
          <w:szCs w:val="22"/>
        </w:rPr>
        <w:t xml:space="preserve">Synthetic Weights</w:t>
      </w:r>
    </w:p>
    <w:p>
      <w:pPr>
        <w:spacing w:after="160"/>
      </w:pPr>
      <w:r>
        <w:rPr>
          <w:rFonts w:ascii="Georgia" w:cs="Georgia" w:eastAsia="Georgia" w:hAnsi="Georgia"/>
          <w:color w:val="111111"/>
          <w:sz w:val="22"/>
          <w:szCs w:val="22"/>
        </w:rPr>
        <w:t xml:space="preserve">The optimization assigned meaningful weight to only three countries in the donor pool:</w:t>
      </w:r>
    </w:p>
    <w:p>
      <w:pPr>
        <w:spacing w:after="160"/>
      </w:pPr>
      <w:r>
        <w:rPr>
          <w:rFonts w:ascii="Georgia" w:cs="Georgia" w:eastAsia="Georgia" w:hAnsi="Georgia"/>
          <w:color w:val="111111"/>
          <w:sz w:val="22"/>
          <w:szCs w:val="22"/>
        </w:rPr>
        <w:t xml:space="preserve">  •  Thailand:      76.8%</w:t>
      </w:r>
    </w:p>
    <w:p>
      <w:pPr>
        <w:spacing w:after="160"/>
      </w:pPr>
      <w:r>
        <w:rPr>
          <w:rFonts w:ascii="Georgia" w:cs="Georgia" w:eastAsia="Georgia" w:hAnsi="Georgia"/>
          <w:color w:val="111111"/>
          <w:sz w:val="22"/>
          <w:szCs w:val="22"/>
        </w:rPr>
        <w:t xml:space="preserve">  •  South Korea:   21.4%</w:t>
      </w:r>
    </w:p>
    <w:p>
      <w:pPr>
        <w:spacing w:after="160"/>
      </w:pPr>
      <w:r>
        <w:rPr>
          <w:rFonts w:ascii="Georgia" w:cs="Georgia" w:eastAsia="Georgia" w:hAnsi="Georgia"/>
          <w:color w:val="111111"/>
          <w:sz w:val="22"/>
          <w:szCs w:val="22"/>
        </w:rPr>
        <w:t xml:space="preserve">  •  Turkey:         1.8%</w:t>
      </w:r>
    </w:p>
    <w:p>
      <w:pPr>
        <w:spacing w:after="80"/>
      </w:pPr>
    </w:p>
    <w:p>
      <w:pPr>
        <w:spacing w:after="160"/>
      </w:pPr>
      <w:r>
        <w:rPr>
          <w:rFonts w:ascii="Georgia" w:cs="Georgia" w:eastAsia="Georgia" w:hAnsi="Georgia"/>
          <w:color w:val="111111"/>
          <w:sz w:val="22"/>
          <w:szCs w:val="22"/>
        </w:rPr>
        <w:t xml:space="preserve">The remaining seven countries received zero weight. This is a feature of the method, not a limitation — SCM favors sparse, interpretable solutions. Synthetic China is essentially a blend of rapid-development-era Thailand and South Korea, two economies that underwent their own fertility transitions in the 1970s and 1980s under very different policy environments.</w:t>
      </w:r>
    </w:p>
    <w:p>
      <w:pPr>
        <w:spacing w:after="80" w:before="200"/>
      </w:pPr>
      <w:r>
        <w:rPr>
          <w:rFonts w:ascii="Calibri" w:cs="Calibri" w:eastAsia="Calibri" w:hAnsi="Calibri"/>
          <w:b/>
          <w:bCs/>
          <w:caps/>
          <w:color w:val="555555"/>
          <w:sz w:val="22"/>
          <w:szCs w:val="22"/>
        </w:rPr>
        <w:t xml:space="preserve">Pre-Treatment Fit</w:t>
      </w:r>
    </w:p>
    <w:p>
      <w:pPr>
        <w:spacing w:after="160"/>
      </w:pPr>
      <w:r>
        <w:rPr>
          <w:rFonts w:ascii="Georgia" w:cs="Georgia" w:eastAsia="Georgia" w:hAnsi="Georgia"/>
          <w:color w:val="111111"/>
          <w:sz w:val="22"/>
          <w:szCs w:val="22"/>
        </w:rPr>
        <w:t xml:space="preserve">The pre-treatment RMSPE (Root Mean Squared Prediction Error) between real China and Synthetic China is 0.596 TFR units. Across a pre-treatment TFR range of approximately 2.8–5.1, this represents a reasonable but imperfect fit. The synthetic unit tracks the general downward trend of China's fertility, but sits somewhat above real China in the early 1970s — a reflection of the difficulty in finding donor countries that experienced the same sharp early decline China did.</w:t>
      </w:r>
    </w:p>
    <w:p>
      <w:pPr>
        <w:spacing w:after="160"/>
      </w:pPr>
      <w:r>
        <w:rPr>
          <w:rFonts w:ascii="Georgia" w:cs="Georgia" w:eastAsia="Georgia" w:hAnsi="Georgia"/>
          <w:color w:val="111111"/>
          <w:sz w:val="22"/>
          <w:szCs w:val="22"/>
        </w:rPr>
        <w:t xml:space="preserve">This imperfect pre-treatment fit is itself informative: it suggests China's pre-1979 fertility trajectory was somewhat unusual within the donor pool, and that any post-1979 comparisons carry uncertainty.</w:t>
      </w:r>
    </w:p>
    <w:p>
      <w:pPr>
        <w:spacing w:after="80" w:before="200"/>
      </w:pPr>
      <w:r>
        <w:rPr>
          <w:rFonts w:ascii="Calibri" w:cs="Calibri" w:eastAsia="Calibri" w:hAnsi="Calibri"/>
          <w:b/>
          <w:bCs/>
          <w:caps/>
          <w:color w:val="555555"/>
          <w:sz w:val="22"/>
          <w:szCs w:val="22"/>
        </w:rPr>
        <w:t xml:space="preserve">Post-Treatment Gap</w:t>
      </w:r>
    </w:p>
    <w:p>
      <w:pPr>
        <w:spacing w:after="160"/>
      </w:pPr>
      <w:r>
        <w:rPr>
          <w:rFonts w:ascii="Georgia" w:cs="Georgia" w:eastAsia="Georgia" w:hAnsi="Georgia"/>
          <w:color w:val="111111"/>
          <w:sz w:val="22"/>
          <w:szCs w:val="22"/>
        </w:rPr>
        <w:t xml:space="preserve">The key result: after 1979, Synthetic China and real China decline at nearly the same rate. The average post-treatment gap — real China minus Synthetic China — is +0.054 TFR. This means real China's fertility was, on average, marginally higher than the synthetic counterfactual, not lower.</w:t>
      </w:r>
    </w:p>
    <w:p>
      <w:pPr>
        <w:spacing w:after="160"/>
      </w:pPr>
      <w:r>
        <w:rPr>
          <w:rFonts w:ascii="Georgia" w:cs="Georgia" w:eastAsia="Georgia" w:hAnsi="Georgia"/>
          <w:color w:val="111111"/>
          <w:sz w:val="22"/>
          <w:szCs w:val="22"/>
        </w:rPr>
        <w:t xml:space="preserve">If the One-Child Policy had a strong suppressive effect on fertility, we would expect a persistent and widening negative gap (real China well below synthetic China) after 1979. That pattern does not appear. The two series track each other closely through the 1980s and 1990s.</w:t>
      </w:r>
    </w:p>
    <w:p>
      <w:pPr>
        <w:spacing w:after="120"/>
      </w:pPr>
    </w:p>
    <w:p>
      <w:pPr>
        <w:pStyle w:val="Heading2"/>
        <w:spacing w:after="120" w:before="320"/>
      </w:pPr>
      <w:r>
        <w:t xml:space="preserve">4.  What This Does — and Does Not — Mean</w:t>
      </w:r>
      <w:r>
        <w:rPr>
          <w:rFonts w:ascii="Calibri" w:cs="Calibri" w:eastAsia="Calibri" w:hAnsi="Calibri"/>
          <w:b/>
          <w:bCs/>
          <w:color w:val="1B4F72"/>
          <w:sz w:val="26"/>
          <w:szCs w:val="26"/>
        </w:rPr>
        <w:t xml:space="preserve">4.  What This Does — and Does Not — Mean</w:t>
      </w:r>
    </w:p>
    <w:p>
      <w:pPr>
        <w:spacing w:after="160"/>
      </w:pPr>
      <w:r>
        <w:rPr>
          <w:rFonts w:ascii="Georgia" w:cs="Georgia" w:eastAsia="Georgia" w:hAnsi="Georgia"/>
          <w:color w:val="111111"/>
          <w:sz w:val="22"/>
          <w:szCs w:val="22"/>
        </w:rPr>
        <w:t xml:space="preserve">This is not a finding that the One-Child Policy had no effect. It is a finding that its effect is difficult to isolate from the broader demographic transition already underway.</w:t>
      </w:r>
    </w:p>
    <w:p>
      <w:pPr>
        <w:spacing w:after="160"/>
      </w:pPr>
      <w:r>
        <w:rPr>
          <w:rFonts w:ascii="Georgia" w:cs="Georgia" w:eastAsia="Georgia" w:hAnsi="Georgia"/>
          <w:color w:val="111111"/>
          <w:sz w:val="22"/>
          <w:szCs w:val="22"/>
        </w:rPr>
        <w:t xml:space="preserve">Thailand and South Korea — the two countries that dominate Synthetic China — both experienced dramatic fertility declines across the same period without comparable coercive policies. South Korea went from 4.5 TFR in 1970 to 1.6 by 1990. Thailand went from 5.4 to 2.1 over roughly the same window. The underlying drivers — rising incomes, urbanization, improving child survival, female education — were powerful enough to produce very similar outcomes across very different policy contexts.</w:t>
      </w:r>
    </w:p>
    <w:p>
      <w:pPr>
        <w:spacing w:after="160"/>
      </w:pPr>
      <w:r>
        <w:rPr>
          <w:rFonts w:ascii="Georgia" w:cs="Georgia" w:eastAsia="Georgia" w:hAnsi="Georgia"/>
          <w:color w:val="111111"/>
          <w:sz w:val="22"/>
          <w:szCs w:val="22"/>
        </w:rPr>
        <w:t xml:space="preserve">Two interpretations are defensible from these results:</w:t>
      </w:r>
    </w:p>
    <w:p>
      <w:pPr>
        <w:spacing w:after="160"/>
      </w:pPr>
      <w:r>
        <w:rPr>
          <w:rFonts w:ascii="Georgia" w:cs="Georgia" w:eastAsia="Georgia" w:hAnsi="Georgia"/>
          <w:b/>
          <w:bCs/>
          <w:sz w:val="22"/>
          <w:szCs w:val="22"/>
        </w:rPr>
        <w:t xml:space="preserve">1.  Structural dominance: </w:t>
      </w:r>
      <w:r>
        <w:rPr>
          <w:rFonts w:ascii="Georgia" w:cs="Georgia" w:eastAsia="Georgia" w:hAnsi="Georgia"/>
          <w:sz w:val="22"/>
          <w:szCs w:val="22"/>
        </w:rPr>
        <w:t xml:space="preserve">The fertility transition China experienced was largely driven by economic modernization forces that would have produced similar declines regardless of the One-Child Policy. The policy may have had marginal, hard-to-detect effects at the national level.</w:t>
      </w:r>
    </w:p>
    <w:p>
      <w:pPr>
        <w:spacing w:after="160"/>
      </w:pPr>
      <w:r>
        <w:rPr>
          <w:rFonts w:ascii="Georgia" w:cs="Georgia" w:eastAsia="Georgia" w:hAnsi="Georgia"/>
          <w:b/>
          <w:bCs/>
          <w:sz w:val="22"/>
          <w:szCs w:val="22"/>
        </w:rPr>
        <w:t xml:space="preserve">2.  Donor pool limitations: </w:t>
      </w:r>
      <w:r>
        <w:rPr>
          <w:rFonts w:ascii="Georgia" w:cs="Georgia" w:eastAsia="Georgia" w:hAnsi="Georgia"/>
          <w:sz w:val="22"/>
          <w:szCs w:val="22"/>
        </w:rPr>
        <w:t xml:space="preserve">No combination of these ten countries can cleanly replicate China's unique pre-1979 trajectory, meaning the synthetic counterfactual is noisy enough that a real policy effect could be obscured. This is a genuine methodological constraint.</w:t>
      </w:r>
    </w:p>
    <w:p>
      <w:pPr>
        <w:spacing w:after="80"/>
      </w:pPr>
    </w:p>
    <w:p>
      <w:pPr>
        <w:spacing w:after="160"/>
      </w:pPr>
      <w:r>
        <w:rPr>
          <w:rFonts w:ascii="Georgia" w:cs="Georgia" w:eastAsia="Georgia" w:hAnsi="Georgia"/>
          <w:color w:val="111111"/>
          <w:sz w:val="22"/>
          <w:szCs w:val="22"/>
        </w:rPr>
        <w:t xml:space="preserve">The honest answer is that both are likely true to some degree. National-level analysis of a single country's policy is always going to be underpowered for detecting effects that are layered on top of strong pre-existing trends.</w:t>
      </w:r>
    </w:p>
    <w:p>
      <w:pPr>
        <w:spacing w:after="120"/>
      </w:pPr>
    </w:p>
    <w:p>
      <w:pPr>
        <w:pStyle w:val="Heading2"/>
        <w:spacing w:after="120" w:before="320"/>
      </w:pPr>
      <w:r>
        <w:t xml:space="preserve">5.  Limitations</w:t>
      </w:r>
      <w:r>
        <w:rPr>
          <w:rFonts w:ascii="Calibri" w:cs="Calibri" w:eastAsia="Calibri" w:hAnsi="Calibri"/>
          <w:b/>
          <w:bCs/>
          <w:color w:val="1B4F72"/>
          <w:sz w:val="26"/>
          <w:szCs w:val="26"/>
        </w:rPr>
        <w:t xml:space="preserve">5.  Limitations</w:t>
      </w:r>
    </w:p>
    <w:p>
      <w:pPr>
        <w:spacing w:after="160"/>
      </w:pPr>
      <w:r>
        <w:rPr>
          <w:rFonts w:ascii="Georgia" w:cs="Georgia" w:eastAsia="Georgia" w:hAnsi="Georgia"/>
          <w:color w:val="111111"/>
          <w:sz w:val="22"/>
          <w:szCs w:val="22"/>
        </w:rPr>
        <w:t xml:space="preserve">Several limitations constrain these findings and should be stated plainly:</w:t>
      </w:r>
    </w:p>
    <w:p>
      <w:pPr>
        <w:spacing w:after="160"/>
      </w:pPr>
      <w:r>
        <w:rPr>
          <w:rFonts w:ascii="Georgia" w:cs="Georgia" w:eastAsia="Georgia" w:hAnsi="Georgia"/>
          <w:b/>
          <w:bCs/>
          <w:sz w:val="22"/>
          <w:szCs w:val="22"/>
        </w:rPr>
        <w:t xml:space="preserve">Unit of analysis: </w:t>
      </w:r>
      <w:r>
        <w:rPr>
          <w:rFonts w:ascii="Georgia" w:cs="Georgia" w:eastAsia="Georgia" w:hAnsi="Georgia"/>
          <w:sz w:val="22"/>
          <w:szCs w:val="22"/>
        </w:rPr>
        <w:t xml:space="preserve">Using China as a single unit aggregates enormous internal heterogeneity. Implementation of the One-Child Policy varied dramatically by province, urban vs. rural setting, and ethnic minority status. A national-level TFR masks that variation entirely.</w:t>
      </w:r>
    </w:p>
    <w:p>
      <w:pPr>
        <w:spacing w:after="160"/>
      </w:pPr>
      <w:r>
        <w:rPr>
          <w:rFonts w:ascii="Georgia" w:cs="Georgia" w:eastAsia="Georgia" w:hAnsi="Georgia"/>
          <w:b/>
          <w:bCs/>
          <w:sz w:val="22"/>
          <w:szCs w:val="22"/>
        </w:rPr>
        <w:t xml:space="preserve">Pre-treatment fit quality: </w:t>
      </w:r>
      <w:r>
        <w:rPr>
          <w:rFonts w:ascii="Georgia" w:cs="Georgia" w:eastAsia="Georgia" w:hAnsi="Georgia"/>
          <w:sz w:val="22"/>
          <w:szCs w:val="22"/>
        </w:rPr>
        <w:t xml:space="preserve">An RMSPE of 0.596 is acceptable but not tight. In Abadie et al.'s original California smoking study, pre-treatment fit was far closer. A looser fit means less confidence in the counterfactual.</w:t>
      </w:r>
    </w:p>
    <w:p>
      <w:pPr>
        <w:spacing w:after="160"/>
      </w:pPr>
      <w:r>
        <w:rPr>
          <w:rFonts w:ascii="Georgia" w:cs="Georgia" w:eastAsia="Georgia" w:hAnsi="Georgia"/>
          <w:b/>
          <w:bCs/>
          <w:sz w:val="22"/>
          <w:szCs w:val="22"/>
        </w:rPr>
        <w:t xml:space="preserve">No placebo test: </w:t>
      </w:r>
      <w:r>
        <w:rPr>
          <w:rFonts w:ascii="Georgia" w:cs="Georgia" w:eastAsia="Georgia" w:hAnsi="Georgia"/>
          <w:sz w:val="22"/>
          <w:szCs w:val="22"/>
        </w:rPr>
        <w:t xml:space="preserve">The standard robustness check for SCM — applying the same procedure to each donor country as a "falsification test" — was not conducted in this analysis. This would allow assessment of whether China's post-treatment pattern is unusual relative to the distribution of placebo gaps.</w:t>
      </w:r>
    </w:p>
    <w:p>
      <w:pPr>
        <w:spacing w:after="160"/>
      </w:pPr>
      <w:r>
        <w:rPr>
          <w:rFonts w:ascii="Georgia" w:cs="Georgia" w:eastAsia="Georgia" w:hAnsi="Georgia"/>
          <w:b/>
          <w:bCs/>
          <w:sz w:val="22"/>
          <w:szCs w:val="22"/>
        </w:rPr>
        <w:t xml:space="preserve">Single outcome variable: </w:t>
      </w:r>
      <w:r>
        <w:rPr>
          <w:rFonts w:ascii="Georgia" w:cs="Georgia" w:eastAsia="Georgia" w:hAnsi="Georgia"/>
          <w:sz w:val="22"/>
          <w:szCs w:val="22"/>
        </w:rPr>
        <w:t xml:space="preserve">Fertility rate captures births per woman but not the policy's effects on sex ratios, forced procedures, or long-run family structure — outcomes that may be more directly and uniquely attributable to coercive enforcement.</w:t>
      </w:r>
    </w:p>
    <w:p>
      <w:pPr>
        <w:spacing w:after="120"/>
      </w:pPr>
    </w:p>
    <w:p>
      <w:pPr>
        <w:pStyle w:val="Heading2"/>
        <w:spacing w:after="120" w:before="320"/>
      </w:pPr>
      <w:r>
        <w:t xml:space="preserve">6.  Next Steps</w:t>
      </w:r>
      <w:r>
        <w:rPr>
          <w:rFonts w:ascii="Calibri" w:cs="Calibri" w:eastAsia="Calibri" w:hAnsi="Calibri"/>
          <w:b/>
          <w:bCs/>
          <w:color w:val="1B4F72"/>
          <w:sz w:val="26"/>
          <w:szCs w:val="26"/>
        </w:rPr>
        <w:t xml:space="preserve">6.  Next Steps</w:t>
      </w:r>
    </w:p>
    <w:p>
      <w:pPr>
        <w:spacing w:after="160"/>
      </w:pPr>
      <w:r>
        <w:rPr>
          <w:rFonts w:ascii="Georgia" w:cs="Georgia" w:eastAsia="Georgia" w:hAnsi="Georgia"/>
          <w:color w:val="111111"/>
          <w:sz w:val="22"/>
          <w:szCs w:val="22"/>
        </w:rPr>
        <w:t xml:space="preserve">The natural extension of this work is a sub-national analysis. China's provinces vary considerably in when and how strictly the One-Child Policy was enforced. Provinces where enforcement was early and strict can be compared to provinces where it was delayed or weakly implemented — creating variation in "treatment" within the country itself.</w:t>
      </w:r>
    </w:p>
    <w:p>
      <w:pPr>
        <w:spacing w:after="160"/>
      </w:pPr>
      <w:r>
        <w:rPr>
          <w:rFonts w:ascii="Georgia" w:cs="Georgia" w:eastAsia="Georgia" w:hAnsi="Georgia"/>
          <w:color w:val="111111"/>
          <w:sz w:val="22"/>
          <w:szCs w:val="22"/>
        </w:rPr>
        <w:t xml:space="preserve">This approach avoids the donor pool problem entirely: the comparison units (provinces) share China's political economy, culture, and economic trajectory. The remaining variation is the policy, not noise from cross-country differences.</w:t>
      </w:r>
    </w:p>
    <w:p>
      <w:pPr>
        <w:spacing w:after="160"/>
      </w:pPr>
      <w:r>
        <w:rPr>
          <w:rFonts w:ascii="Georgia" w:cs="Georgia" w:eastAsia="Georgia" w:hAnsi="Georgia"/>
          <w:color w:val="111111"/>
          <w:sz w:val="22"/>
          <w:szCs w:val="22"/>
        </w:rPr>
        <w:t xml:space="preserve">Additional outcome variables worth examining: sex ratio at birth (a well-documented consequence of sex-selective abortion under the policy), female labor force participation, and household size and structure. These may show sharper policy effects than aggregate fertility rate, particularly in the early enforcement period of the 1980s.</w:t>
      </w:r>
    </w:p>
    <w:p>
      <w:pPr>
        <w:spacing w:after="120"/>
      </w:pPr>
    </w:p>
    <w:p>
      <w:pPr>
        <w:pStyle w:val="Heading2"/>
        <w:spacing w:after="120" w:before="320"/>
      </w:pPr>
      <w:r>
        <w:t xml:space="preserve">7.  Data and Replication</w:t>
      </w:r>
      <w:r>
        <w:rPr>
          <w:rFonts w:ascii="Calibri" w:cs="Calibri" w:eastAsia="Calibri" w:hAnsi="Calibri"/>
          <w:b/>
          <w:bCs/>
          <w:color w:val="1B4F72"/>
          <w:sz w:val="26"/>
          <w:szCs w:val="26"/>
        </w:rPr>
        <w:t xml:space="preserve">7.  Data and Replication</w:t>
      </w:r>
    </w:p>
    <w:p>
      <w:pPr>
        <w:spacing w:after="160"/>
      </w:pPr>
      <w:r>
        <w:rPr>
          <w:rFonts w:ascii="Georgia" w:cs="Georgia" w:eastAsia="Georgia" w:hAnsi="Georgia"/>
          <w:color w:val="111111"/>
          <w:sz w:val="22"/>
          <w:szCs w:val="22"/>
        </w:rPr>
        <w:t xml:space="preserve">All data are sourced from the World Bank World Development Indicators (accessed July 2025). Indicators used:</w:t>
      </w:r>
    </w:p>
    <w:p>
      <w:pPr>
        <w:spacing w:after="160"/>
      </w:pPr>
      <w:r>
        <w:rPr>
          <w:rFonts w:ascii="Georgia" w:cs="Georgia" w:eastAsia="Georgia" w:hAnsi="Georgia"/>
          <w:color w:val="111111"/>
          <w:sz w:val="22"/>
          <w:szCs w:val="22"/>
        </w:rPr>
        <w:t xml:space="preserve">  •  SP.DYN.TFRT.IN — Total fertility rate (births per woman)</w:t>
      </w:r>
    </w:p>
    <w:p>
      <w:pPr>
        <w:spacing w:after="160"/>
      </w:pPr>
      <w:r>
        <w:rPr>
          <w:rFonts w:ascii="Georgia" w:cs="Georgia" w:eastAsia="Georgia" w:hAnsi="Georgia"/>
          <w:color w:val="111111"/>
          <w:sz w:val="22"/>
          <w:szCs w:val="22"/>
        </w:rPr>
        <w:t xml:space="preserve">  •  NY.GDP.MKTP.CD — GDP (current USD), log-transformed</w:t>
      </w:r>
    </w:p>
    <w:p>
      <w:pPr>
        <w:spacing w:after="160"/>
      </w:pPr>
      <w:r>
        <w:rPr>
          <w:rFonts w:ascii="Georgia" w:cs="Georgia" w:eastAsia="Georgia" w:hAnsi="Georgia"/>
          <w:color w:val="111111"/>
          <w:sz w:val="22"/>
          <w:szCs w:val="22"/>
        </w:rPr>
        <w:t xml:space="preserve">  •  SP.URB.TOTL.IN.ZS — Urban population (% of total)</w:t>
      </w:r>
    </w:p>
    <w:p>
      <w:pPr>
        <w:spacing w:after="160"/>
      </w:pPr>
      <w:r>
        <w:rPr>
          <w:rFonts w:ascii="Georgia" w:cs="Georgia" w:eastAsia="Georgia" w:hAnsi="Georgia"/>
          <w:color w:val="111111"/>
          <w:sz w:val="22"/>
          <w:szCs w:val="22"/>
        </w:rPr>
        <w:t xml:space="preserve">  •  SH.DYN.MORT — Mortality rate, under-5 (per 1,000 live births)</w:t>
      </w:r>
    </w:p>
    <w:p>
      <w:pPr>
        <w:spacing w:after="80"/>
      </w:pPr>
    </w:p>
    <w:p>
      <w:pPr>
        <w:spacing w:after="160"/>
      </w:pPr>
      <w:r>
        <w:rPr>
          <w:rFonts w:ascii="Georgia" w:cs="Georgia" w:eastAsia="Georgia" w:hAnsi="Georgia"/>
          <w:color w:val="111111"/>
          <w:sz w:val="22"/>
          <w:szCs w:val="22"/>
        </w:rPr>
        <w:t xml:space="preserve">Analysis conducted in Python using the pysyncon library (v0.x). Full replication code is available at github.com/srisha-raj/china-onechild-policy-scm.</w:t>
      </w:r>
    </w:p>
    <w:p>
      <w:pPr>
        <w:spacing w:after="120"/>
      </w:pPr>
    </w:p>
    <w:p>
      <w:pPr>
        <w:pBdr>
          <w:bottom w:val="single" w:color="1B4F72" w:sz="4" w:space="4"/>
        </w:pBdr>
        <w:spacing w:after="200"/>
      </w:pPr>
    </w:p>
    <w:p>
      <w:pPr>
        <w:spacing w:after="160"/>
      </w:pPr>
    </w:p>
    <w:p>
      <w:pPr>
        <w:spacing w:after="100"/>
      </w:pPr>
      <w:r>
        <w:rPr>
          <w:rFonts w:ascii="Calibri" w:cs="Calibri" w:eastAsia="Calibri" w:hAnsi="Calibri"/>
          <w:b/>
          <w:bCs/>
          <w:caps/>
          <w:color w:val="1B4F72"/>
          <w:sz w:val="22"/>
          <w:szCs w:val="22"/>
        </w:rPr>
        <w:t xml:space="preserve">REFERENCES</w:t>
      </w:r>
    </w:p>
    <w:p>
      <w:pPr>
        <w:spacing w:after="160"/>
      </w:pPr>
      <w:r>
        <w:rPr>
          <w:rFonts w:ascii="Georgia" w:cs="Georgia" w:eastAsia="Georgia" w:hAnsi="Georgia"/>
          <w:color w:val="111111"/>
          <w:sz w:val="22"/>
          <w:szCs w:val="22"/>
        </w:rPr>
        <w:t xml:space="preserve">Abadie, A., &amp; Gardeazabal, J. (2003). The economic costs of conflict: A case study of the Basque Country. American Economic Review, 93(1), 113–132.</w:t>
      </w:r>
    </w:p>
    <w:p>
      <w:pPr>
        <w:spacing w:after="160"/>
      </w:pPr>
      <w:r>
        <w:rPr>
          <w:rFonts w:ascii="Georgia" w:cs="Georgia" w:eastAsia="Georgia" w:hAnsi="Georgia"/>
          <w:color w:val="111111"/>
          <w:sz w:val="22"/>
          <w:szCs w:val="22"/>
        </w:rPr>
        <w:t xml:space="preserve">Abadie, A., Diamond, A., &amp; Hainmueller, J. (2010). Synthetic control methods for comparative case studies. Journal of the American Statistical Association, 105(490), 493–505.</w:t>
      </w:r>
    </w:p>
    <w:p>
      <w:pPr>
        <w:spacing w:after="160"/>
      </w:pPr>
      <w:r>
        <w:rPr>
          <w:rFonts w:ascii="Georgia" w:cs="Georgia" w:eastAsia="Georgia" w:hAnsi="Georgia"/>
          <w:color w:val="111111"/>
          <w:sz w:val="22"/>
          <w:szCs w:val="22"/>
        </w:rPr>
        <w:t xml:space="preserve">Basten, S., &amp; Jiang, Q. (2015). Fertility in China: An uncertain future. Population Studies, 69(S1), S97–S105.</w:t>
      </w:r>
    </w:p>
    <w:p>
      <w:pPr>
        <w:spacing w:after="160"/>
      </w:pPr>
      <w:r>
        <w:rPr>
          <w:rFonts w:ascii="Georgia" w:cs="Georgia" w:eastAsia="Georgia" w:hAnsi="Georgia"/>
          <w:color w:val="111111"/>
          <w:sz w:val="22"/>
          <w:szCs w:val="22"/>
        </w:rPr>
        <w:t xml:space="preserve">Cai, Y. (2010). China's below-replacement fertility: Government policy or socioeconomic development? Population and Development Review, 36(3), 419–440.</w:t>
      </w:r>
    </w:p>
    <w:p>
      <w:pPr>
        <w:spacing w:after="160"/>
      </w:pPr>
      <w:r>
        <w:rPr>
          <w:rFonts w:ascii="Georgia" w:cs="Georgia" w:eastAsia="Georgia" w:hAnsi="Georgia"/>
          <w:color w:val="111111"/>
          <w:sz w:val="22"/>
          <w:szCs w:val="22"/>
        </w:rPr>
        <w:t xml:space="preserve">World Bank. (2025). World Development Indicators. The World Bank Group. https://data.worldbank.org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2026-07-30T22:02:47.982Z</dcterms:created>
  <dcterms:modified xsi:type="dcterms:W3CDTF">2026-07-30T22:02:47.995Z</dcterms:modified>
</cp:coreProperties>
</file>

<file path=docProps/custom.xml><?xml version="1.0" encoding="utf-8"?>
<Properties xmlns="http://schemas.openxmlformats.org/officeDocument/2006/custom-properties" xmlns:vt="http://schemas.openxmlformats.org/officeDocument/2006/docPropsVTypes"/>
</file>