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Specification: Non-SD Billing &amp; Collection Report (ZFI_NSD)</w:t>
      </w:r>
    </w:p>
    <w:p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 Created: </w:t>
      </w:r>
      <w:r>
        <w:t>2026-06-05</w:t>
        <w:br/>
      </w:r>
      <w:r>
        <w:rPr>
          <w:b/>
        </w:rPr>
        <w:t xml:space="preserve">Author: </w:t>
      </w:r>
      <w:r>
        <w:t>rishabh.sharma@diligentglobal.com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Classification: </w:t>
      </w:r>
      <w:r>
        <w:t>Internal</w:t>
      </w:r>
    </w:p>
    <w:p/>
    <w:p>
      <w:pPr>
        <w:pStyle w:val="Heading1"/>
      </w:pPr>
      <w:r>
        <w:t>1. Executive Summary</w:t>
      </w:r>
    </w:p>
    <w:p>
      <w:r>
        <w:t>This Technical Specification outlines the complete architectural design, data models, integration points, and implementation details for the Non-SD (non-Sales &amp; Distribution) Billing &amp; Collection Report system in SAP S/4HANA. The system leverages SAP's Core Data Services (CDS) analytical framework to provide real-time aggregated billing, collection, and receivables data without requiring periodic batch runs.</w:t>
      </w:r>
    </w:p>
    <w:p>
      <w:pPr>
        <w:pStyle w:val="ListBullet"/>
      </w:pPr>
      <w:r>
        <w:t>Key Characteristics:</w:t>
      </w:r>
    </w:p>
    <w:p>
      <w:pPr>
        <w:pStyle w:val="ListBullet2"/>
      </w:pPr>
      <w:r>
        <w:t>Pure CDS analytical model (no external ABAP logic classes)</w:t>
      </w:r>
    </w:p>
    <w:p>
      <w:pPr>
        <w:pStyle w:val="ListBullet2"/>
      </w:pPr>
      <w:r>
        <w:t>Flat merged-joins architecture for optimal query performance</w:t>
      </w:r>
    </w:p>
    <w:p>
      <w:pPr>
        <w:pStyle w:val="ListBullet2"/>
      </w:pPr>
      <w:r>
        <w:t>OData V4 consumption layer for UI/reporting tools</w:t>
      </w:r>
    </w:p>
    <w:p>
      <w:pPr>
        <w:pStyle w:val="ListBullet2"/>
      </w:pPr>
      <w:r>
        <w:t>Multi-currency support via company-code ledger (HSL)</w:t>
      </w:r>
    </w:p>
    <w:p>
      <w:pPr>
        <w:pStyle w:val="ListBullet2"/>
      </w:pPr>
      <w:r>
        <w:t>Time-independent parametric design (fiscal year as parameter)</w:t>
      </w:r>
    </w:p>
    <w:p>
      <w:pPr>
        <w:pStyle w:val="Heading1"/>
      </w:pPr>
      <w:r>
        <w:t>2. System Objectives</w:t>
      </w:r>
    </w:p>
    <w:p>
      <w:pPr>
        <w:pStyle w:val="Heading2"/>
      </w:pPr>
      <w:r>
        <w:t>2.1 Primary Objectives</w:t>
      </w:r>
    </w:p>
    <w:p>
      <w:pPr>
        <w:pStyle w:val="ListNumber"/>
      </w:pPr>
      <w:r>
        <w:t>Centralized Billing Data: Aggregate billing and collection transactions from ACDOCA (Universal Journal) enriched with master data</w:t>
      </w:r>
    </w:p>
    <w:p>
      <w:pPr>
        <w:pStyle w:val="ListNumber"/>
      </w:pPr>
      <w:r>
        <w:t>Real-Time Reporting: Enable on-demand reporting without batch dependencies</w:t>
      </w:r>
    </w:p>
    <w:p>
      <w:pPr>
        <w:pStyle w:val="ListNumber"/>
      </w:pPr>
      <w:r>
        <w:t>Flexible Filtering: Support filtering by Company Code, Customer, Profit Center, and Internal Order</w:t>
      </w:r>
    </w:p>
    <w:p>
      <w:pPr>
        <w:pStyle w:val="ListNumber"/>
      </w:pPr>
      <w:r>
        <w:t>53-Column Output: Standardized output format with all required financial metrics</w:t>
      </w:r>
    </w:p>
    <w:p>
      <w:pPr>
        <w:pStyle w:val="ListNumber"/>
      </w:pPr>
      <w:r>
        <w:t>Compliance: Support DoF/Non-DoF tracking, Related-Party flagging, and Payment Terms visibility</w:t>
      </w:r>
    </w:p>
    <w:p>
      <w:pPr>
        <w:pStyle w:val="Heading2"/>
      </w:pPr>
      <w:r>
        <w:t>2.2 Business Scope</w:t>
      </w:r>
    </w:p>
    <w:p>
      <w:pPr>
        <w:pStyle w:val="ListBullet"/>
      </w:pPr>
      <w:r>
        <w:t>Entity Coverage: All company codes and customers within the financial ledger (RLDNR = '0L')</w:t>
      </w:r>
    </w:p>
    <w:p>
      <w:pPr>
        <w:pStyle w:val="ListBullet"/>
      </w:pPr>
      <w:r>
        <w:t>Transaction Types:</w:t>
      </w:r>
    </w:p>
    <w:p>
      <w:pPr>
        <w:pStyle w:val="ListBullet2"/>
      </w:pPr>
      <w:r>
        <w:t>Billing documents: DR (Invoices), DG (Debit Memos), RV (Billing documents)</w:t>
      </w:r>
    </w:p>
    <w:p>
      <w:pPr>
        <w:pStyle w:val="ListBullet2"/>
      </w:pPr>
      <w:r>
        <w:t>Collections: DZ (Payments), Z4 (Clearing documents)</w:t>
      </w:r>
    </w:p>
    <w:p>
      <w:pPr>
        <w:pStyle w:val="ListBullet"/>
      </w:pPr>
      <w:r>
        <w:t>Time Range: Current fiscal year + historical "as of" year-end snapshots</w:t>
      </w:r>
    </w:p>
    <w:p>
      <w:pPr>
        <w:pStyle w:val="ListBullet"/>
      </w:pPr>
      <w:r>
        <w:t>Currency: Company-code local currency (HSL from ACDOCA)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Report Output Structure (53 Columns)</w:t>
      </w:r>
    </w:p>
    <w:p>
      <w:pPr>
        <w:pStyle w:val="Heading3"/>
      </w:pPr>
      <w:r>
        <w:t>3.1.1 Master Data Attributes (Columns 1–11)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Source Table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Mandatory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Entity</w:t>
            </w:r>
          </w:p>
        </w:tc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Company code description (BUTXT)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KNA1</w:t>
            </w:r>
          </w:p>
        </w:tc>
        <w:tc>
          <w:tcPr>
            <w:tcW w:type="dxa" w:w="1728"/>
          </w:tcPr>
          <w:p>
            <w:r>
              <w:t>Customer name (NAME1)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ADRC</w:t>
            </w:r>
          </w:p>
        </w:tc>
        <w:tc>
          <w:tcPr>
            <w:tcW w:type="dxa" w:w="1728"/>
          </w:tcPr>
          <w:p>
            <w:r>
              <w:t>Customer city (CITY1) from primary address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T005T</w:t>
            </w:r>
          </w:p>
        </w:tc>
        <w:tc>
          <w:tcPr>
            <w:tcW w:type="dxa" w:w="1728"/>
          </w:tcPr>
          <w:p>
            <w:r>
              <w:t>Country name in English; filter SPRAS='E'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Research Center</w:t>
            </w:r>
          </w:p>
        </w:tc>
        <w:tc>
          <w:tcPr>
            <w:tcW w:type="dxa" w:w="1728"/>
          </w:tcPr>
          <w:p>
            <w:r>
              <w:t>CEPCT</w:t>
            </w:r>
          </w:p>
        </w:tc>
        <w:tc>
          <w:tcPr>
            <w:tcW w:type="dxa" w:w="1728"/>
          </w:tcPr>
          <w:p>
            <w:r>
              <w:t>Profit center long text in English; filter SPRAS='E'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DoF/Non-DoF Flag</w:t>
            </w:r>
          </w:p>
        </w:tc>
        <w:tc>
          <w:tcPr>
            <w:tcW w:type="dxa" w:w="1728"/>
          </w:tcPr>
          <w:p>
            <w:r>
              <w:t>CASE logic</w:t>
            </w:r>
          </w:p>
        </w:tc>
        <w:tc>
          <w:tcPr>
            <w:tcW w:type="dxa" w:w="1728"/>
          </w:tcPr>
          <w:p>
            <w:r>
              <w:t>Profit center prefix: 'N%' = Non-DoF, else DoF Funded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Profit Center Code</w:t>
            </w:r>
          </w:p>
        </w:tc>
        <w:tc>
          <w:tcPr>
            <w:tcW w:type="dxa" w:w="1728"/>
          </w:tcPr>
          <w:p>
            <w:r>
              <w:t>ACDOCA</w:t>
            </w:r>
          </w:p>
        </w:tc>
        <w:tc>
          <w:tcPr>
            <w:tcW w:type="dxa" w:w="1728"/>
          </w:tcPr>
          <w:p>
            <w:r>
              <w:t>Profit center GL posting (PRCTR)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Internal Order</w:t>
            </w:r>
          </w:p>
        </w:tc>
        <w:tc>
          <w:tcPr>
            <w:tcW w:type="dxa" w:w="1728"/>
          </w:tcPr>
          <w:p>
            <w:r>
              <w:t>ACDOCA</w:t>
            </w:r>
          </w:p>
        </w:tc>
        <w:tc>
          <w:tcPr>
            <w:tcW w:type="dxa" w:w="1728"/>
          </w:tcPr>
          <w:p>
            <w:r>
              <w:t>Internal order (AUFNR)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Revenue GL</w:t>
            </w:r>
          </w:p>
        </w:tc>
        <w:tc>
          <w:tcPr>
            <w:tcW w:type="dxa" w:w="1728"/>
          </w:tcPr>
          <w:p>
            <w:r>
              <w:t>ACDOCA</w:t>
            </w:r>
          </w:p>
        </w:tc>
        <w:tc>
          <w:tcPr>
            <w:tcW w:type="dxa" w:w="1728"/>
          </w:tcPr>
          <w:p>
            <w:r>
              <w:t>GL account code (RACCT)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Related Party Flag</w:t>
            </w:r>
          </w:p>
        </w:tc>
        <w:tc>
          <w:tcPr>
            <w:tcW w:type="dxa" w:w="1728"/>
          </w:tcPr>
          <w:p>
            <w:r>
              <w:t>CASE logic</w:t>
            </w:r>
          </w:p>
        </w:tc>
        <w:tc>
          <w:tcPr>
            <w:tcW w:type="dxa" w:w="1728"/>
          </w:tcPr>
          <w:p>
            <w:r>
              <w:t>Customer account type: KTOKD='ZRPC' → 'Yes', else 'No'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Payment Terms (Days)</w:t>
            </w:r>
          </w:p>
        </w:tc>
        <w:tc>
          <w:tcPr>
            <w:tcW w:type="dxa" w:w="1728"/>
          </w:tcPr>
          <w:p>
            <w:r>
              <w:t>T052</w:t>
            </w:r>
          </w:p>
        </w:tc>
        <w:tc>
          <w:tcPr>
            <w:tcW w:type="dxa" w:w="1728"/>
          </w:tcPr>
          <w:p>
            <w:r>
              <w:t>Payment terms days (ZTAG1) from KNB1.ZTERM lookup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3"/>
      </w:pPr>
      <w:r>
        <w:t>3.1.2 Amount Billed without VAT (Columns 12–25)</w:t>
      </w:r>
    </w:p>
    <w:p>
      <w:r>
        <w:t>All measures apply filters: Document Type: DR, DG, RV | Tax Indicator: KTOSL = '' | Ledger: RLDNR = '0L'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Time Filter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Amount Billed as of 31.12.24 without VAT</w:t>
            </w:r>
          </w:p>
        </w:tc>
        <w:tc>
          <w:tcPr>
            <w:tcW w:type="dxa" w:w="2160"/>
          </w:tcPr>
          <w:p>
            <w:r>
              <w:t>GJAHR &lt; P_FiscalYear</w:t>
            </w:r>
          </w:p>
        </w:tc>
        <w:tc>
          <w:tcPr>
            <w:tcW w:type="dxa" w:w="2160"/>
          </w:tcPr>
          <w:p>
            <w:r>
              <w:t>SUM(HSL)</w:t>
            </w:r>
          </w:p>
        </w:tc>
      </w:tr>
      <w:tr>
        <w:tc>
          <w:tcPr>
            <w:tcW w:type="dxa" w:w="2160"/>
          </w:tcPr>
          <w:p>
            <w:r>
              <w:t>13–24</w:t>
            </w:r>
          </w:p>
        </w:tc>
        <w:tc>
          <w:tcPr>
            <w:tcW w:type="dxa" w:w="2160"/>
          </w:tcPr>
          <w:p>
            <w:r>
              <w:t>Amount Billed [Month]-25 without VAT</w:t>
            </w:r>
          </w:p>
        </w:tc>
        <w:tc>
          <w:tcPr>
            <w:tcW w:type="dxa" w:w="2160"/>
          </w:tcPr>
          <w:p>
            <w:r>
              <w:t>GJAHR=P_FiscalYear, POPER='01'–'12'</w:t>
            </w:r>
          </w:p>
        </w:tc>
        <w:tc>
          <w:tcPr>
            <w:tcW w:type="dxa" w:w="2160"/>
          </w:tcPr>
          <w:p>
            <w:r>
              <w:t>SUM(HSL) per month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Amount Billed 2025 without VAT</w:t>
            </w:r>
          </w:p>
        </w:tc>
        <w:tc>
          <w:tcPr>
            <w:tcW w:type="dxa" w:w="2160"/>
          </w:tcPr>
          <w:p>
            <w:r>
              <w:t>GJAHR=P_FiscalYear (all POPER)</w:t>
            </w:r>
          </w:p>
        </w:tc>
        <w:tc>
          <w:tcPr>
            <w:tcW w:type="dxa" w:w="2160"/>
          </w:tcPr>
          <w:p>
            <w:r>
              <w:t>SUM(HSL) annual</w:t>
            </w:r>
          </w:p>
        </w:tc>
      </w:tr>
    </w:tbl>
    <w:p>
      <w:pPr>
        <w:pStyle w:val="Heading3"/>
      </w:pPr>
      <w:r>
        <w:t>3.1.3 Amount Billed with VAT (Columns 26–39)</w:t>
      </w:r>
    </w:p>
    <w:p>
      <w:r>
        <w:t>All measures apply filters: Document Type: DR, DG, RV | Tax Indicator: KTOSL IN ('', 'MWS') | Ledger: RLDNR = '0L'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Time Filter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Amount Billed as of 31.12.24 with VAT</w:t>
            </w:r>
          </w:p>
        </w:tc>
        <w:tc>
          <w:tcPr>
            <w:tcW w:type="dxa" w:w="2160"/>
          </w:tcPr>
          <w:p>
            <w:r>
              <w:t>GJAHR &lt; P_FiscalYear</w:t>
            </w:r>
          </w:p>
        </w:tc>
        <w:tc>
          <w:tcPr>
            <w:tcW w:type="dxa" w:w="2160"/>
          </w:tcPr>
          <w:p>
            <w:r>
              <w:t>SUM(HSL)</w:t>
            </w:r>
          </w:p>
        </w:tc>
      </w:tr>
      <w:tr>
        <w:tc>
          <w:tcPr>
            <w:tcW w:type="dxa" w:w="2160"/>
          </w:tcPr>
          <w:p>
            <w:r>
              <w:t>27–38</w:t>
            </w:r>
          </w:p>
        </w:tc>
        <w:tc>
          <w:tcPr>
            <w:tcW w:type="dxa" w:w="2160"/>
          </w:tcPr>
          <w:p>
            <w:r>
              <w:t>Amount Billed [Month]-25 with VAT</w:t>
            </w:r>
          </w:p>
        </w:tc>
        <w:tc>
          <w:tcPr>
            <w:tcW w:type="dxa" w:w="2160"/>
          </w:tcPr>
          <w:p>
            <w:r>
              <w:t>GJAHR=P_FiscalYear, POPER='01'–'12'</w:t>
            </w:r>
          </w:p>
        </w:tc>
        <w:tc>
          <w:tcPr>
            <w:tcW w:type="dxa" w:w="2160"/>
          </w:tcPr>
          <w:p>
            <w:r>
              <w:t>SUM(HSL) per month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Amount Billed 2025 with VAT</w:t>
            </w:r>
          </w:p>
        </w:tc>
        <w:tc>
          <w:tcPr>
            <w:tcW w:type="dxa" w:w="2160"/>
          </w:tcPr>
          <w:p>
            <w:r>
              <w:t>GJAHR=P_FiscalYear (all POPER)</w:t>
            </w:r>
          </w:p>
        </w:tc>
        <w:tc>
          <w:tcPr>
            <w:tcW w:type="dxa" w:w="2160"/>
          </w:tcPr>
          <w:p>
            <w:r>
              <w:t>SUM(HSL) annual</w:t>
            </w:r>
          </w:p>
        </w:tc>
      </w:tr>
    </w:tbl>
    <w:p>
      <w:pPr>
        <w:pStyle w:val="Heading3"/>
      </w:pPr>
      <w:r>
        <w:t>3.1.4 Amount Collected with VAT (Columns 40–53)</w:t>
      </w:r>
    </w:p>
    <w:p>
      <w:r>
        <w:t>All measures apply filters: Document Type: DZ, Z4 | Direction: DRCRK = 'S' | Ledger: RLDNR = '0L'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Time Filter</w:t>
            </w:r>
          </w:p>
        </w:tc>
        <w:tc>
          <w:tcPr>
            <w:tcW w:type="dxa" w:w="2160"/>
          </w:tcPr>
          <w:p>
            <w:r>
              <w:t>Formula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Amount Collected as of 31.12.24 with VAT</w:t>
            </w:r>
          </w:p>
        </w:tc>
        <w:tc>
          <w:tcPr>
            <w:tcW w:type="dxa" w:w="2160"/>
          </w:tcPr>
          <w:p>
            <w:r>
              <w:t>GJAHR &lt; P_FiscalYear</w:t>
            </w:r>
          </w:p>
        </w:tc>
        <w:tc>
          <w:tcPr>
            <w:tcW w:type="dxa" w:w="2160"/>
          </w:tcPr>
          <w:p>
            <w:r>
              <w:t>SUM(HSL)</w:t>
            </w:r>
          </w:p>
        </w:tc>
      </w:tr>
      <w:tr>
        <w:tc>
          <w:tcPr>
            <w:tcW w:type="dxa" w:w="2160"/>
          </w:tcPr>
          <w:p>
            <w:r>
              <w:t>41–52</w:t>
            </w:r>
          </w:p>
        </w:tc>
        <w:tc>
          <w:tcPr>
            <w:tcW w:type="dxa" w:w="2160"/>
          </w:tcPr>
          <w:p>
            <w:r>
              <w:t>Amount Collected [Month]-25 with VAT</w:t>
            </w:r>
          </w:p>
        </w:tc>
        <w:tc>
          <w:tcPr>
            <w:tcW w:type="dxa" w:w="2160"/>
          </w:tcPr>
          <w:p>
            <w:r>
              <w:t>GJAHR=P_FiscalYear, POPER='01'–'12'</w:t>
            </w:r>
          </w:p>
        </w:tc>
        <w:tc>
          <w:tcPr>
            <w:tcW w:type="dxa" w:w="2160"/>
          </w:tcPr>
          <w:p>
            <w:r>
              <w:t>SUM(HSL) per month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Amount Collected 2025 with VAT</w:t>
            </w:r>
          </w:p>
        </w:tc>
        <w:tc>
          <w:tcPr>
            <w:tcW w:type="dxa" w:w="2160"/>
          </w:tcPr>
          <w:p>
            <w:r>
              <w:t>GJAHR=P_FiscalYear (all POPER)</w:t>
            </w:r>
          </w:p>
        </w:tc>
        <w:tc>
          <w:tcPr>
            <w:tcW w:type="dxa" w:w="2160"/>
          </w:tcPr>
          <w:p>
            <w:r>
              <w:t>SUM(HSL) annual</w:t>
            </w:r>
          </w:p>
        </w:tc>
      </w:tr>
    </w:tbl>
    <w:p>
      <w:pPr>
        <w:pStyle w:val="Heading1"/>
      </w:pPr>
      <w:r>
        <w:t>4. Technical Architecture</w:t>
      </w:r>
    </w:p>
    <w:p>
      <w:pPr>
        <w:pStyle w:val="Heading2"/>
      </w:pPr>
      <w:r>
        <w:t>4.1 System Landscape</w:t>
      </w:r>
    </w:p>
    <w:p>
      <w:r>
        <w:t>The system is built on SAP S/4HANA on-premise with a three-layer CDS framework: the CUBE view for core aggregation with table joins, the QUERY view for consumption with OData annotations, and the service layer (RAP) that binds to OData V4.</w:t>
      </w:r>
    </w:p>
    <w:p>
      <w:pPr>
        <w:pStyle w:val="Heading2"/>
      </w:pPr>
      <w:r>
        <w:t>4.2 CDS Layer Architecture</w:t>
      </w:r>
    </w:p>
    <w:p>
      <w:pPr>
        <w:pStyle w:val="Heading3"/>
      </w:pPr>
      <w:r>
        <w:t>4.2.1 CUBE View: ZFI_NSD_I_Billing_Cube</w:t>
      </w:r>
    </w:p>
    <w:p>
      <w:r>
        <w:t>Purpose: Core aggregation layer; contains all joins, filtering, and measure definitions.</w:t>
      </w:r>
    </w:p>
    <w:p>
      <w:pPr>
        <w:pStyle w:val="ListBullet"/>
      </w:pPr>
      <w:r>
        <w:t>Key Characteristics:</w:t>
      </w:r>
    </w:p>
    <w:p>
      <w:pPr>
        <w:pStyle w:val="ListBullet2"/>
      </w:pPr>
      <w:r>
        <w:t>@Analytics.dataCategory: #CUBE</w:t>
      </w:r>
    </w:p>
    <w:p>
      <w:pPr>
        <w:pStyle w:val="ListBullet2"/>
      </w:pPr>
      <w:r>
        <w:t>Source: ACDOCA with 8 LEFT OUTER JOINs</w:t>
      </w:r>
    </w:p>
    <w:p>
      <w:pPr>
        <w:pStyle w:val="ListBullet2"/>
      </w:pPr>
      <w:r>
        <w:t>Grouping: RBUKRS, KUNNR, PRCTR, AUFNR</w:t>
      </w:r>
    </w:p>
    <w:p>
      <w:pPr>
        <w:pStyle w:val="ListBullet2"/>
      </w:pPr>
      <w:r>
        <w:t>Measures: 42 aggregated columns</w:t>
      </w:r>
    </w:p>
    <w:p>
      <w:pPr>
        <w:pStyle w:val="Heading3"/>
      </w:pPr>
      <w:r>
        <w:t>4.2.2 QUERY View: ZFI_NSD_C_NonSdBilling</w:t>
      </w:r>
    </w:p>
    <w:p>
      <w:r>
        <w:t>Purpose: Consumption layer; exposes CUBE via OData.</w:t>
      </w:r>
    </w:p>
    <w:p>
      <w:pPr>
        <w:pStyle w:val="ListBullet"/>
      </w:pPr>
      <w:r>
        <w:t>@Analytics.query: true</w:t>
      </w:r>
    </w:p>
    <w:p>
      <w:pPr>
        <w:pStyle w:val="ListBullet"/>
      </w:pPr>
      <w:r>
        <w:t>Filters: Company Code (mandatory), Customer, Profit Center, Internal Order (optional)</w:t>
      </w:r>
    </w:p>
    <w:p>
      <w:pPr>
        <w:pStyle w:val="ListBullet"/>
      </w:pPr>
      <w:r>
        <w:t>Parameters: P_FiscalYear (4-digit numeric)</w:t>
      </w:r>
    </w:p>
    <w:p>
      <w:pPr>
        <w:pStyle w:val="Heading1"/>
      </w:pPr>
      <w:r>
        <w:t>5. Data Model &amp; Semantics</w:t>
      </w:r>
    </w:p>
    <w:p>
      <w:pPr>
        <w:pStyle w:val="Heading2"/>
      </w:pPr>
      <w:r>
        <w:t>5.1 Core Entity Model</w:t>
      </w:r>
    </w:p>
    <w:p>
      <w:r>
        <w:t>Primary Entity: NonSdBilling</w:t>
      </w:r>
    </w:p>
    <w:p>
      <w:pPr>
        <w:pStyle w:val="ListBullet"/>
      </w:pPr>
      <w:r>
        <w:t>Keys: RBUKRS, KUNNR, PRCTR, AUFNR</w:t>
      </w:r>
    </w:p>
    <w:p>
      <w:pPr>
        <w:pStyle w:val="ListBullet"/>
      </w:pPr>
      <w:r>
        <w:t>Attributes: 11 master data fields</w:t>
      </w:r>
    </w:p>
    <w:p>
      <w:pPr>
        <w:pStyle w:val="ListBullet"/>
      </w:pPr>
      <w:r>
        <w:t>Measures: 42 aggregated amounts</w:t>
      </w:r>
    </w:p>
    <w:p>
      <w:pPr>
        <w:pStyle w:val="Heading2"/>
      </w:pPr>
      <w:r>
        <w:t>5.2 Currency &amp; Decimals</w:t>
      </w:r>
    </w:p>
    <w:p>
      <w:pPr>
        <w:pStyle w:val="ListBullet"/>
      </w:pPr>
      <w:r>
        <w:t>Currency Field: Company-code local currency (HSL)</w:t>
      </w:r>
    </w:p>
    <w:p>
      <w:pPr>
        <w:pStyle w:val="ListBullet"/>
      </w:pPr>
      <w:r>
        <w:t>Decimal Places: 2 (standard SAP)</w:t>
      </w:r>
    </w:p>
    <w:p>
      <w:pPr>
        <w:pStyle w:val="ListBullet"/>
      </w:pPr>
      <w:r>
        <w:t>Type: abap.curr(19,2)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Conditions</w:t>
            </w:r>
          </w:p>
        </w:tc>
      </w:tr>
      <w:tr>
        <w:tc>
          <w:tcPr>
            <w:tcW w:type="dxa" w:w="2880"/>
          </w:tcPr>
          <w:p>
            <w:r>
              <w:t>Single-Company Query</w:t>
            </w:r>
          </w:p>
        </w:tc>
        <w:tc>
          <w:tcPr>
            <w:tcW w:type="dxa" w:w="2880"/>
          </w:tcPr>
          <w:p>
            <w:r>
              <w:t>&lt; 2 seconds</w:t>
            </w:r>
          </w:p>
        </w:tc>
        <w:tc>
          <w:tcPr>
            <w:tcW w:type="dxa" w:w="2880"/>
          </w:tcPr>
          <w:p>
            <w:r>
              <w:t>10 filters applied</w:t>
            </w:r>
          </w:p>
        </w:tc>
      </w:tr>
      <w:tr>
        <w:tc>
          <w:tcPr>
            <w:tcW w:type="dxa" w:w="2880"/>
          </w:tcPr>
          <w:p>
            <w:r>
              <w:t>Multi-Company Query</w:t>
            </w:r>
          </w:p>
        </w:tc>
        <w:tc>
          <w:tcPr>
            <w:tcW w:type="dxa" w:w="2880"/>
          </w:tcPr>
          <w:p>
            <w:r>
              <w:t>&lt; 5 seconds</w:t>
            </w:r>
          </w:p>
        </w:tc>
        <w:tc>
          <w:tcPr>
            <w:tcW w:type="dxa" w:w="2880"/>
          </w:tcPr>
          <w:p>
            <w:r>
              <w:t>Up to 5 company codes</w:t>
            </w:r>
          </w:p>
        </w:tc>
      </w:tr>
      <w:tr>
        <w:tc>
          <w:tcPr>
            <w:tcW w:type="dxa" w:w="2880"/>
          </w:tcPr>
          <w:p>
            <w:r>
              <w:t>Result Set Size</w:t>
            </w:r>
          </w:p>
        </w:tc>
        <w:tc>
          <w:tcPr>
            <w:tcW w:type="dxa" w:w="2880"/>
          </w:tcPr>
          <w:p>
            <w:r>
              <w:t>≤ 10,000 rows</w:t>
            </w:r>
          </w:p>
        </w:tc>
        <w:tc>
          <w:tcPr>
            <w:tcW w:type="dxa" w:w="2880"/>
          </w:tcPr>
          <w:p>
            <w:r>
              <w:t>Per query</w:t>
            </w:r>
          </w:p>
        </w:tc>
      </w:tr>
      <w:tr>
        <w:tc>
          <w:tcPr>
            <w:tcW w:type="dxa" w:w="2880"/>
          </w:tcPr>
          <w:p>
            <w:r>
              <w:t>Metadata Load</w:t>
            </w:r>
          </w:p>
        </w:tc>
        <w:tc>
          <w:tcPr>
            <w:tcW w:type="dxa" w:w="2880"/>
          </w:tcPr>
          <w:p>
            <w:r>
              <w:t>&lt; 500 ms</w:t>
            </w:r>
          </w:p>
        </w:tc>
        <w:tc>
          <w:tcPr>
            <w:tcW w:type="dxa" w:w="2880"/>
          </w:tcPr>
          <w:p>
            <w:r>
              <w:t>OData endpoint</w:t>
            </w:r>
          </w:p>
        </w:tc>
      </w:tr>
      <w:tr>
        <w:tc>
          <w:tcPr>
            <w:tcW w:type="dxa" w:w="2880"/>
          </w:tcPr>
          <w:p>
            <w:r>
              <w:t>Parallel Requests</w:t>
            </w:r>
          </w:p>
        </w:tc>
        <w:tc>
          <w:tcPr>
            <w:tcW w:type="dxa" w:w="2880"/>
          </w:tcPr>
          <w:p>
            <w:r>
              <w:t>≥ 10 concurrent</w:t>
            </w:r>
          </w:p>
        </w:tc>
        <w:tc>
          <w:tcPr>
            <w:tcW w:type="dxa" w:w="2880"/>
          </w:tcPr>
          <w:p>
            <w:r>
              <w:t>Simultaneous users</w:t>
            </w:r>
          </w:p>
        </w:tc>
      </w:tr>
    </w:tbl>
    <w:p>
      <w:pPr>
        <w:pStyle w:val="Heading2"/>
      </w:pPr>
      <w:r>
        <w:t>6.2 Scalability</w:t>
      </w:r>
    </w:p>
    <w:p>
      <w:pPr>
        <w:pStyle w:val="ListBullet"/>
      </w:pPr>
      <w:r>
        <w:t>Data Volume: ACDOCA 500M+ rows; CUBE aggregates to millions</w:t>
      </w:r>
    </w:p>
    <w:p>
      <w:pPr>
        <w:pStyle w:val="ListBullet"/>
      </w:pPr>
      <w:r>
        <w:t>Horizontal Growth: Time-independent design</w:t>
      </w:r>
    </w:p>
    <w:p>
      <w:pPr>
        <w:pStyle w:val="ListBullet"/>
      </w:pPr>
      <w:r>
        <w:t>User Concurrency: 50+ concurrent analytical users</w:t>
      </w:r>
    </w:p>
    <w:p>
      <w:pPr>
        <w:pStyle w:val="Heading2"/>
      </w:pPr>
      <w:r>
        <w:t>6.3 Security</w:t>
      </w:r>
    </w:p>
    <w:p>
      <w:pPr>
        <w:pStyle w:val="ListBullet"/>
      </w:pPr>
      <w:r>
        <w:t>OData Security: TLS 1.2+</w:t>
      </w:r>
    </w:p>
    <w:p>
      <w:pPr>
        <w:pStyle w:val="ListBullet"/>
      </w:pPr>
      <w:r>
        <w:t>Authentication: SAP user credentials</w:t>
      </w:r>
    </w:p>
    <w:p>
      <w:pPr>
        <w:pStyle w:val="ListBullet"/>
      </w:pPr>
      <w:r>
        <w:t>Authorization: PFCG roles (ZFI_NSD_VIEWER, ZFI_NSD_ADMIN)</w:t>
      </w:r>
    </w:p>
    <w:p>
      <w:pPr>
        <w:pStyle w:val="ListBullet"/>
      </w:pPr>
      <w:r>
        <w:t>Audit Logging: OData requests via SAP audit trail</w:t>
      </w:r>
    </w:p>
    <w:p>
      <w:pPr>
        <w:pStyle w:val="Heading1"/>
      </w:pPr>
      <w:r>
        <w:t>7. Integration Points</w:t>
      </w:r>
    </w:p>
    <w:p>
      <w:pPr>
        <w:pStyle w:val="Heading2"/>
      </w:pPr>
      <w:r>
        <w:t>7.1 Data Source Integration</w:t>
      </w:r>
    </w:p>
    <w:p>
      <w:pPr>
        <w:pStyle w:val="ListBullet"/>
      </w:pPr>
      <w:r>
        <w:t>Primary Source: ACDOCA (Universal Journal)</w:t>
      </w:r>
    </w:p>
    <w:p>
      <w:pPr>
        <w:pStyle w:val="ListBullet"/>
      </w:pPr>
      <w:r>
        <w:t>Frequency: Real-time (no ETL; CDS native queries)</w:t>
      </w:r>
    </w:p>
    <w:p>
      <w:pPr>
        <w:pStyle w:val="Heading2"/>
      </w:pPr>
      <w:r>
        <w:t>7.2 Consumption Integrations</w:t>
      </w:r>
    </w:p>
    <w:p>
      <w:pPr>
        <w:pStyle w:val="ListBullet"/>
      </w:pPr>
      <w:r>
        <w:t>Fiori Analytical Apps: OData V4 protocol</w:t>
      </w:r>
    </w:p>
    <w:p>
      <w:pPr>
        <w:pStyle w:val="ListBullet"/>
      </w:pPr>
      <w:r>
        <w:t>Analysis for Office: Excel Data Model integration</w:t>
      </w:r>
    </w:p>
    <w:p>
      <w:pPr>
        <w:pStyle w:val="ListBullet"/>
      </w:pPr>
      <w:r>
        <w:t>SAP Analytics Cloud: Analytical query model</w:t>
      </w:r>
    </w:p>
    <w:p>
      <w:pPr>
        <w:pStyle w:val="ListBullet"/>
      </w:pPr>
      <w:r>
        <w:t>Custom Web Applications: REST API via OData V4</w:t>
      </w:r>
    </w:p>
    <w:p>
      <w:pPr>
        <w:pStyle w:val="Heading1"/>
      </w:pPr>
      <w:r>
        <w:t>8. Configuration &amp; Customization</w:t>
      </w:r>
    </w:p>
    <w:p>
      <w:pPr>
        <w:pStyle w:val="Heading2"/>
      </w:pPr>
      <w:r>
        <w:t>8.1 Installation Steps</w:t>
      </w:r>
    </w:p>
    <w:p>
      <w:pPr>
        <w:pStyle w:val="ListNumber"/>
      </w:pPr>
      <w:r>
        <w:t>Clone Repository via abapGit</w:t>
      </w:r>
    </w:p>
    <w:p>
      <w:pPr>
        <w:pStyle w:val="ListNumber"/>
      </w:pPr>
      <w:r>
        <w:t>Activate Objects: package → CUBE → QUERY → Service Def → Service Binding</w:t>
      </w:r>
    </w:p>
    <w:p>
      <w:pPr>
        <w:pStyle w:val="ListNumber"/>
      </w:pPr>
      <w:r>
        <w:t>Test OData Endpoint via SODATA_EXPLORE</w:t>
      </w:r>
    </w:p>
    <w:p>
      <w:pPr>
        <w:pStyle w:val="ListNumber"/>
      </w:pPr>
      <w:r>
        <w:t>Verify metadata loads without errors</w:t>
      </w:r>
    </w:p>
    <w:p>
      <w:pPr>
        <w:pStyle w:val="Heading2"/>
      </w:pPr>
      <w:r>
        <w:t>8.2 Customization Scenarios</w:t>
      </w:r>
    </w:p>
    <w:p>
      <w:pPr>
        <w:pStyle w:val="Heading3"/>
      </w:pPr>
      <w:r>
        <w:t>Add a New Measure:</w:t>
      </w:r>
    </w:p>
    <w:p>
      <w:pPr>
        <w:pStyle w:val="ListNumber"/>
      </w:pPr>
      <w:r>
        <w:t>Edit CUBE view; add SUM/CASE measure</w:t>
      </w:r>
    </w:p>
    <w:p>
      <w:pPr>
        <w:pStyle w:val="ListNumber"/>
      </w:pPr>
      <w:r>
        <w:t>Activate CUBE view</w:t>
      </w:r>
    </w:p>
    <w:p>
      <w:pPr>
        <w:pStyle w:val="ListNumber"/>
      </w:pPr>
      <w:r>
        <w:t>Add field to QUERY view with label</w:t>
      </w:r>
    </w:p>
    <w:p>
      <w:pPr>
        <w:pStyle w:val="ListNumber"/>
      </w:pPr>
      <w:r>
        <w:t>Activate QUERY view</w:t>
      </w:r>
    </w:p>
    <w:p>
      <w:pPr>
        <w:pStyle w:val="Heading3"/>
      </w:pPr>
      <w:r>
        <w:t>Add Master Data Column:</w:t>
      </w:r>
    </w:p>
    <w:p>
      <w:pPr>
        <w:pStyle w:val="ListNumber"/>
      </w:pPr>
      <w:r>
        <w:t>Add JOIN to CUBE view</w:t>
      </w:r>
    </w:p>
    <w:p>
      <w:pPr>
        <w:pStyle w:val="ListNumber"/>
      </w:pPr>
      <w:r>
        <w:t>Select new field</w:t>
      </w:r>
    </w:p>
    <w:p>
      <w:pPr>
        <w:pStyle w:val="ListNumber"/>
      </w:pPr>
      <w:r>
        <w:t>Add to QUERY view with label</w:t>
      </w:r>
    </w:p>
    <w:p>
      <w:pPr>
        <w:pStyle w:val="Heading1"/>
      </w:pPr>
      <w:r>
        <w:t>9. Testing &amp; Validation</w:t>
      </w:r>
    </w:p>
    <w:p>
      <w:pPr>
        <w:pStyle w:val="Heading2"/>
      </w:pPr>
      <w:r>
        <w:t>9.1 Unit-Level Testing</w:t>
      </w:r>
    </w:p>
    <w:p>
      <w:pPr>
        <w:pStyle w:val="ListBullet"/>
      </w:pPr>
      <w:r>
        <w:t>CUBE view activates without syntax errors</w:t>
      </w:r>
    </w:p>
    <w:p>
      <w:pPr>
        <w:pStyle w:val="ListBullet"/>
      </w:pPr>
      <w:r>
        <w:t>All 42 measures return numeric (abap.curr(19,2))</w:t>
      </w:r>
    </w:p>
    <w:p>
      <w:pPr>
        <w:pStyle w:val="ListBullet"/>
      </w:pPr>
      <w:r>
        <w:t>GROUP BY cardinality correct (one row per key)</w:t>
      </w:r>
    </w:p>
    <w:p>
      <w:pPr>
        <w:pStyle w:val="ListBullet"/>
      </w:pPr>
      <w:r>
        <w:t>YTD filter logic validates correctly</w:t>
      </w:r>
    </w:p>
    <w:p>
      <w:pPr>
        <w:pStyle w:val="Heading2"/>
      </w:pPr>
      <w:r>
        <w:t>9.2 Integration Testing</w:t>
      </w:r>
    </w:p>
    <w:p>
      <w:pPr>
        <w:pStyle w:val="ListBullet"/>
      </w:pPr>
      <w:r>
        <w:t>OData metadata loads (all 53 columns)</w:t>
      </w:r>
    </w:p>
    <w:p>
      <w:pPr>
        <w:pStyle w:val="ListBullet"/>
      </w:pPr>
      <w:r>
        <w:t>Filter by Company Code works</w:t>
      </w:r>
    </w:p>
    <w:p>
      <w:pPr>
        <w:pStyle w:val="ListBullet"/>
      </w:pPr>
      <w:r>
        <w:t>Multi-filter queries return correct intersection</w:t>
      </w:r>
    </w:p>
    <w:p>
      <w:pPr>
        <w:pStyle w:val="ListBullet"/>
      </w:pPr>
      <w:r>
        <w:t>P_FiscalYear parameter logic correct</w:t>
      </w:r>
    </w:p>
    <w:p>
      <w:pPr>
        <w:pStyle w:val="Heading2"/>
      </w:pPr>
      <w:r>
        <w:t>9.3 Performance Testing</w:t>
      </w:r>
    </w:p>
    <w:p>
      <w:pPr>
        <w:pStyle w:val="ListBullet"/>
      </w:pPr>
      <w:r>
        <w:t>Single-company query: &lt; 2 seconds (1000 rows)</w:t>
      </w:r>
    </w:p>
    <w:p>
      <w:pPr>
        <w:pStyle w:val="ListBullet"/>
      </w:pPr>
      <w:r>
        <w:t>Multi-company query: &lt; 5 seconds (5000 rows)</w:t>
      </w:r>
    </w:p>
    <w:p>
      <w:pPr>
        <w:pStyle w:val="ListBullet"/>
      </w:pPr>
      <w:r>
        <w:t>Concurrent users: 10+ simultaneous requests</w:t>
      </w:r>
    </w:p>
    <w:p>
      <w:pPr>
        <w:pStyle w:val="ListBullet"/>
      </w:pPr>
      <w:r>
        <w:t>Pagination: Correct page returned via $skip/$top</w:t>
      </w:r>
    </w:p>
    <w:p>
      <w:pPr>
        <w:pStyle w:val="Heading1"/>
      </w:pPr>
      <w:r>
        <w:t>10. Deployment &amp; Release Management</w:t>
      </w:r>
    </w:p>
    <w:p>
      <w:pPr>
        <w:pStyle w:val="Heading2"/>
      </w:pPr>
      <w:r>
        <w:t>10.1 Release Checklist</w:t>
      </w:r>
    </w:p>
    <w:p>
      <w:pPr>
        <w:pStyle w:val="ListBullet"/>
      </w:pPr>
      <w:r>
        <w:t>All CDS views compile without errors</w:t>
      </w:r>
    </w:p>
    <w:p>
      <w:pPr>
        <w:pStyle w:val="ListBullet"/>
      </w:pPr>
      <w:r>
        <w:t>Objects activated in correct order</w:t>
      </w:r>
    </w:p>
    <w:p>
      <w:pPr>
        <w:pStyle w:val="ListBullet"/>
      </w:pPr>
      <w:r>
        <w:t>OData service binding accessible</w:t>
      </w:r>
    </w:p>
    <w:p>
      <w:pPr>
        <w:pStyle w:val="ListBullet"/>
      </w:pPr>
      <w:r>
        <w:t>Metadata validation passed</w:t>
      </w:r>
    </w:p>
    <w:p>
      <w:pPr>
        <w:pStyle w:val="ListBullet"/>
      </w:pPr>
      <w:r>
        <w:t>Sample query executed successfully</w:t>
      </w:r>
    </w:p>
    <w:p>
      <w:pPr>
        <w:pStyle w:val="ListBullet"/>
      </w:pPr>
      <w:r>
        <w:t>Performance benchmark met (&lt; 5 sec)</w:t>
      </w:r>
    </w:p>
    <w:p>
      <w:pPr>
        <w:pStyle w:val="ListBullet"/>
      </w:pPr>
      <w:r>
        <w:t>UAT sign-off received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abapGit tag created (v1.0-prod)</w:t>
      </w:r>
    </w:p>
    <w:p>
      <w:pPr>
        <w:pStyle w:val="Heading2"/>
      </w:pPr>
      <w:r>
        <w:t>10.2 Version Control</w:t>
      </w:r>
    </w:p>
    <w:p>
      <w:pPr>
        <w:pStyle w:val="ListBullet"/>
      </w:pPr>
      <w:r>
        <w:t>main: Production-ready code (protected)</w:t>
      </w:r>
    </w:p>
    <w:p>
      <w:pPr>
        <w:pStyle w:val="ListBullet"/>
      </w:pPr>
      <w:r>
        <w:t>develop: Integration branch for features</w:t>
      </w:r>
    </w:p>
    <w:p>
      <w:pPr>
        <w:pStyle w:val="ListBullet"/>
      </w:pPr>
      <w:r>
        <w:t>feature/*: Individual feature branches</w:t>
      </w:r>
    </w:p>
    <w:p>
      <w:pPr>
        <w:pStyle w:val="Heading1"/>
      </w:pPr>
      <w:r>
        <w:t>11. Maintenance &amp; Operations</w:t>
      </w:r>
    </w:p>
    <w:p>
      <w:pPr>
        <w:pStyle w:val="Heading2"/>
      </w:pPr>
      <w:r>
        <w:t>11.1 Operational Checks</w:t>
      </w:r>
    </w:p>
    <w:p>
      <w:pPr>
        <w:pStyle w:val="Heading3"/>
      </w:pPr>
      <w:r>
        <w:t>Daily:</w:t>
      </w:r>
    </w:p>
    <w:p>
      <w:pPr>
        <w:pStyle w:val="ListBullet"/>
      </w:pPr>
      <w:r>
        <w:t>OData endpoint availability</w:t>
      </w:r>
    </w:p>
    <w:p>
      <w:pPr>
        <w:pStyle w:val="ListBullet"/>
      </w:pPr>
      <w:r>
        <w:t>ACDOCA posting volume sanity check</w:t>
      </w:r>
    </w:p>
    <w:p>
      <w:pPr>
        <w:pStyle w:val="Heading3"/>
      </w:pPr>
      <w:r>
        <w:t>Weekly:</w:t>
      </w:r>
    </w:p>
    <w:p>
      <w:pPr>
        <w:pStyle w:val="ListBullet"/>
      </w:pPr>
      <w:r>
        <w:t>CUBE view query performance (ST05)</w:t>
      </w:r>
    </w:p>
    <w:p>
      <w:pPr>
        <w:pStyle w:val="ListBullet"/>
      </w:pPr>
      <w:r>
        <w:t>Master data staleness (consistency)</w:t>
      </w:r>
    </w:p>
    <w:p>
      <w:pPr>
        <w:pStyle w:val="Heading3"/>
      </w:pPr>
      <w:r>
        <w:t>Monthly:</w:t>
      </w:r>
    </w:p>
    <w:p>
      <w:pPr>
        <w:pStyle w:val="ListBullet"/>
      </w:pPr>
      <w:r>
        <w:t>Backup and disaster recovery test</w:t>
      </w:r>
    </w:p>
    <w:p>
      <w:pPr>
        <w:pStyle w:val="ListBullet"/>
      </w:pPr>
      <w:r>
        <w:t>Review audit logs (access patterns)</w:t>
      </w:r>
    </w:p>
    <w:p>
      <w:pPr>
        <w:pStyle w:val="Heading2"/>
      </w:pPr>
      <w:r>
        <w:t>11.2 Known Limitations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Limitation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Workaround</w:t>
            </w:r>
          </w:p>
        </w:tc>
      </w:tr>
      <w:tr>
        <w:tc>
          <w:tcPr>
            <w:tcW w:type="dxa" w:w="2880"/>
          </w:tcPr>
          <w:p>
            <w:r>
              <w:t>Revenue GL undefined</w:t>
            </w:r>
          </w:p>
        </w:tc>
        <w:tc>
          <w:tcPr>
            <w:tcW w:type="dxa" w:w="2880"/>
          </w:tcPr>
          <w:p>
            <w:r>
              <w:t>Business logic unclear</w:t>
            </w:r>
          </w:p>
        </w:tc>
        <w:tc>
          <w:tcPr>
            <w:tcW w:type="dxa" w:w="2880"/>
          </w:tcPr>
          <w:p>
            <w:r>
              <w:t>Clarify with Finance</w:t>
            </w:r>
          </w:p>
        </w:tc>
      </w:tr>
      <w:tr>
        <w:tc>
          <w:tcPr>
            <w:tcW w:type="dxa" w:w="2880"/>
          </w:tcPr>
          <w:p>
            <w:r>
              <w:t>No real-time VAT reversal</w:t>
            </w:r>
          </w:p>
        </w:tc>
        <w:tc>
          <w:tcPr>
            <w:tcW w:type="dxa" w:w="2880"/>
          </w:tcPr>
          <w:p>
            <w:r>
              <w:t>VAT not separated</w:t>
            </w:r>
          </w:p>
        </w:tc>
        <w:tc>
          <w:tcPr>
            <w:tcW w:type="dxa" w:w="2880"/>
          </w:tcPr>
          <w:p>
            <w:r>
              <w:t>Use ACDOCA detail</w:t>
            </w:r>
          </w:p>
        </w:tc>
      </w:tr>
      <w:tr>
        <w:tc>
          <w:tcPr>
            <w:tcW w:type="dxa" w:w="2880"/>
          </w:tcPr>
          <w:p>
            <w:r>
              <w:t>Period labels hard-coded</w:t>
            </w:r>
          </w:p>
        </w:tc>
        <w:tc>
          <w:tcPr>
            <w:tcW w:type="dxa" w:w="2880"/>
          </w:tcPr>
          <w:p>
            <w:r>
              <w:t>Labels 2025 only</w:t>
            </w:r>
          </w:p>
        </w:tc>
        <w:tc>
          <w:tcPr>
            <w:tcW w:type="dxa" w:w="2880"/>
          </w:tcPr>
          <w:p>
            <w:r>
              <w:t>UI app adjusts dynamically</w:t>
            </w:r>
          </w:p>
        </w:tc>
      </w:tr>
      <w:tr>
        <w:tc>
          <w:tcPr>
            <w:tcW w:type="dxa" w:w="2880"/>
          </w:tcPr>
          <w:p>
            <w:r>
              <w:t>No company restriction (v1.0)</w:t>
            </w:r>
          </w:p>
        </w:tc>
        <w:tc>
          <w:tcPr>
            <w:tcW w:type="dxa" w:w="2880"/>
          </w:tcPr>
          <w:p>
            <w:r>
              <w:t>All users see all companies</w:t>
            </w:r>
          </w:p>
        </w:tc>
        <w:tc>
          <w:tcPr>
            <w:tcW w:type="dxa" w:w="2880"/>
          </w:tcPr>
          <w:p>
            <w:r>
              <w:t>Implement DCL later</w:t>
            </w:r>
          </w:p>
        </w:tc>
      </w:tr>
    </w:tbl>
    <w:p>
      <w:pPr>
        <w:pStyle w:val="Heading1"/>
      </w:pPr>
      <w:r>
        <w:t>12. Future Enhancements &amp; Roadmap</w:t>
      </w:r>
    </w:p>
    <w:p>
      <w:pPr>
        <w:pStyle w:val="Heading2"/>
      </w:pPr>
      <w:r>
        <w:t>Phase 2 (Q3 2026)</w:t>
      </w:r>
    </w:p>
    <w:p>
      <w:pPr>
        <w:pStyle w:val="ListBullet"/>
      </w:pPr>
      <w:r>
        <w:t>Data-Level Security (DCL)</w:t>
      </w:r>
    </w:p>
    <w:p>
      <w:pPr>
        <w:pStyle w:val="ListBullet"/>
      </w:pPr>
      <w:r>
        <w:t>Performance Optimization with indexes</w:t>
      </w:r>
    </w:p>
    <w:p>
      <w:pPr>
        <w:pStyle w:val="ListBullet"/>
      </w:pPr>
      <w:r>
        <w:t>CO-PA Integration</w:t>
      </w:r>
    </w:p>
    <w:p>
      <w:pPr>
        <w:pStyle w:val="ListBullet"/>
      </w:pPr>
      <w:r>
        <w:t>Advanced Analytics (DSO, CCC)</w:t>
      </w:r>
    </w:p>
    <w:p>
      <w:pPr>
        <w:pStyle w:val="Heading2"/>
      </w:pPr>
      <w:r>
        <w:t>Phase 3 (Q4 2026)</w:t>
      </w:r>
    </w:p>
    <w:p>
      <w:pPr>
        <w:pStyle w:val="ListBullet"/>
      </w:pPr>
      <w:r>
        <w:t>Fiori UX Redesign (ALP)</w:t>
      </w:r>
    </w:p>
    <w:p>
      <w:pPr>
        <w:pStyle w:val="ListBullet"/>
      </w:pPr>
      <w:r>
        <w:t>Mobile Support</w:t>
      </w:r>
    </w:p>
    <w:p>
      <w:pPr>
        <w:pStyle w:val="ListBullet"/>
      </w:pPr>
      <w:r>
        <w:t>Scheduled Reporting</w:t>
      </w:r>
    </w:p>
    <w:p>
      <w:pPr>
        <w:pStyle w:val="Heading2"/>
      </w:pPr>
      <w:r>
        <w:t>Phase 4 (2027)</w:t>
      </w:r>
    </w:p>
    <w:p>
      <w:pPr>
        <w:pStyle w:val="ListBullet"/>
      </w:pPr>
      <w:r>
        <w:t>AI/ML Anomaly Detection</w:t>
      </w:r>
    </w:p>
    <w:p>
      <w:pPr>
        <w:pStyle w:val="ListBullet"/>
      </w:pPr>
      <w:r>
        <w:t>Predictive Collection</w:t>
      </w:r>
    </w:p>
    <w:p>
      <w:pPr>
        <w:pStyle w:val="ListBullet"/>
      </w:pPr>
      <w:r>
        <w:t>Multi-Currency Reporting</w:t>
      </w:r>
    </w:p>
    <w:p>
      <w:pPr>
        <w:pStyle w:val="Heading1"/>
      </w:pPr>
      <w:r>
        <w:t>Appendix A: SAP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ACDOCA</w:t>
            </w:r>
          </w:p>
        </w:tc>
        <w:tc>
          <w:tcPr>
            <w:tcW w:type="dxa" w:w="2880"/>
          </w:tcPr>
          <w:p>
            <w:r>
              <w:t>Universal Journal</w:t>
            </w:r>
          </w:p>
        </w:tc>
        <w:tc>
          <w:tcPr>
            <w:tcW w:type="dxa" w:w="2880"/>
          </w:tcPr>
          <w:p>
            <w:r>
              <w:t>RBUKRS, KUNNR, PRCTR, AUFNR, GJAHR</w:t>
            </w:r>
          </w:p>
        </w:tc>
      </w:tr>
      <w:tr>
        <w:tc>
          <w:tcPr>
            <w:tcW w:type="dxa" w:w="2880"/>
          </w:tcPr>
          <w:p>
            <w:r>
              <w:t>T001</w:t>
            </w:r>
          </w:p>
        </w:tc>
        <w:tc>
          <w:tcPr>
            <w:tcW w:type="dxa" w:w="2880"/>
          </w:tcPr>
          <w:p>
            <w:r>
              <w:t>Company Code</w:t>
            </w:r>
          </w:p>
        </w:tc>
        <w:tc>
          <w:tcPr>
            <w:tcW w:type="dxa" w:w="2880"/>
          </w:tcPr>
          <w:p>
            <w:r>
              <w:t>BUKRS, BUTXT</w:t>
            </w:r>
          </w:p>
        </w:tc>
      </w:tr>
      <w:tr>
        <w:tc>
          <w:tcPr>
            <w:tcW w:type="dxa" w:w="2880"/>
          </w:tcPr>
          <w:p>
            <w:r>
              <w:t>KNA1</w:t>
            </w:r>
          </w:p>
        </w:tc>
        <w:tc>
          <w:tcPr>
            <w:tcW w:type="dxa" w:w="2880"/>
          </w:tcPr>
          <w:p>
            <w:r>
              <w:t>Customer Master</w:t>
            </w:r>
          </w:p>
        </w:tc>
        <w:tc>
          <w:tcPr>
            <w:tcW w:type="dxa" w:w="2880"/>
          </w:tcPr>
          <w:p>
            <w:r>
              <w:t>KUNNR, NAME1, KTOKD</w:t>
            </w:r>
          </w:p>
        </w:tc>
      </w:tr>
      <w:tr>
        <w:tc>
          <w:tcPr>
            <w:tcW w:type="dxa" w:w="2880"/>
          </w:tcPr>
          <w:p>
            <w:r>
              <w:t>ADRC</w:t>
            </w:r>
          </w:p>
        </w:tc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ADDRNUMBER, CITY1, COUNTRY</w:t>
            </w:r>
          </w:p>
        </w:tc>
      </w:tr>
      <w:tr>
        <w:tc>
          <w:tcPr>
            <w:tcW w:type="dxa" w:w="2880"/>
          </w:tcPr>
          <w:p>
            <w:r>
              <w:t>T005T</w:t>
            </w:r>
          </w:p>
        </w:tc>
        <w:tc>
          <w:tcPr>
            <w:tcW w:type="dxa" w:w="2880"/>
          </w:tcPr>
          <w:p>
            <w:r>
              <w:t>Country Text</w:t>
            </w:r>
          </w:p>
        </w:tc>
        <w:tc>
          <w:tcPr>
            <w:tcW w:type="dxa" w:w="2880"/>
          </w:tcPr>
          <w:p>
            <w:r>
              <w:t>LAND1, LANDX50, SPRAS</w:t>
            </w:r>
          </w:p>
        </w:tc>
      </w:tr>
      <w:tr>
        <w:tc>
          <w:tcPr>
            <w:tcW w:type="dxa" w:w="2880"/>
          </w:tcPr>
          <w:p>
            <w:r>
              <w:t>CEPCT</w:t>
            </w:r>
          </w:p>
        </w:tc>
        <w:tc>
          <w:tcPr>
            <w:tcW w:type="dxa" w:w="2880"/>
          </w:tcPr>
          <w:p>
            <w:r>
              <w:t>Profit Center</w:t>
            </w:r>
          </w:p>
        </w:tc>
        <w:tc>
          <w:tcPr>
            <w:tcW w:type="dxa" w:w="2880"/>
          </w:tcPr>
          <w:p>
            <w:r>
              <w:t>PRCTR, LTEXT, SPRAS</w:t>
            </w:r>
          </w:p>
        </w:tc>
      </w:tr>
      <w:tr>
        <w:tc>
          <w:tcPr>
            <w:tcW w:type="dxa" w:w="2880"/>
          </w:tcPr>
          <w:p>
            <w:r>
              <w:t>KNB1</w:t>
            </w:r>
          </w:p>
        </w:tc>
        <w:tc>
          <w:tcPr>
            <w:tcW w:type="dxa" w:w="2880"/>
          </w:tcPr>
          <w:p>
            <w:r>
              <w:t>Cust by Co</w:t>
            </w:r>
          </w:p>
        </w:tc>
        <w:tc>
          <w:tcPr>
            <w:tcW w:type="dxa" w:w="2880"/>
          </w:tcPr>
          <w:p>
            <w:r>
              <w:t>BUKRS, KUNNR, ZTERM</w:t>
            </w:r>
          </w:p>
        </w:tc>
      </w:tr>
      <w:tr>
        <w:tc>
          <w:tcPr>
            <w:tcW w:type="dxa" w:w="2880"/>
          </w:tcPr>
          <w:p>
            <w:r>
              <w:t>T052</w:t>
            </w:r>
          </w:p>
        </w:tc>
        <w:tc>
          <w:tcPr>
            <w:tcW w:type="dxa" w:w="2880"/>
          </w:tcPr>
          <w:p>
            <w:r>
              <w:t>Payment Terms</w:t>
            </w:r>
          </w:p>
        </w:tc>
        <w:tc>
          <w:tcPr>
            <w:tcW w:type="dxa" w:w="2880"/>
          </w:tcPr>
          <w:p>
            <w:r>
              <w:t>ZTERM, ZTAG1</w:t>
            </w:r>
          </w:p>
        </w:tc>
      </w:tr>
    </w:tbl>
    <w:p>
      <w:pPr>
        <w:pStyle w:val="Heading1"/>
      </w:pPr>
      <w:r>
        <w:t>Appendix B: OData V4 Examples</w:t>
      </w:r>
    </w:p>
    <w:p>
      <w:pPr>
        <w:pStyle w:val="Heading2"/>
      </w:pPr>
      <w:r>
        <w:t>Query 1: Single Company &amp; Customer</w:t>
      </w:r>
    </w:p>
    <w:p>
      <w:pPr>
        <w:pStyle w:val="IntenseQuote"/>
        <w:ind w:left="720"/>
      </w:pPr>
      <w:r>
        <w:t>GET /odata/v4/zfi_nsd_ui_nonsd_billing/NonSdBilling?$select=Entity,CustomerName&amp;$filter=CompanyCode eq '1000' and Customer eq '0000001234'&amp;P_FiscalYear=2025</w:t>
      </w:r>
    </w:p>
    <w:p>
      <w:pPr>
        <w:pStyle w:val="Heading2"/>
      </w:pPr>
      <w:r>
        <w:t>Query 2: Multi-Company with Ordering</w:t>
      </w:r>
    </w:p>
    <w:p>
      <w:pPr>
        <w:pStyle w:val="IntenseQuote"/>
        <w:ind w:left="720"/>
      </w:pPr>
      <w:r>
        <w:t>GET /odata/v4/zfi_nsd_ui_nonsd_billing/NonSdBilling?$filter=CompanyCode in ('1000','2000')&amp;$orderby=AmountBilledYear_NoVAT desc&amp;$top=100&amp;P_FiscalYear=2025</w:t>
      </w:r>
    </w:p>
    <w:p>
      <w:pPr>
        <w:pStyle w:val="Heading2"/>
      </w:pPr>
      <w:r>
        <w:t>Query 3: Profit Center Analysis</w:t>
      </w:r>
    </w:p>
    <w:p>
      <w:pPr>
        <w:pStyle w:val="IntenseQuote"/>
        <w:ind w:left="720"/>
      </w:pPr>
      <w:r>
        <w:t>GET /odata/v4/zfi_nsd_ui_nonsd_billing/NonSdBilling?$filter=CompanyCode eq '1000'&amp;$select=ProfitCenterCode,ResearchCenter,AmountBilledYear_NoVAT&amp;P_FiscalYear=2025</w:t>
      </w:r>
    </w:p>
    <w:p/>
    <w:p>
      <w:pPr>
        <w:spacing w:before="240"/>
        <w:jc w:val="center"/>
      </w:pPr>
      <w:r>
        <w:t>End of Technical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