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FoodLoop</w:t>
      </w:r>
    </w:p>
    <w:p>
      <w:pPr>
        <w:spacing w:after="280"/>
      </w:pPr>
      <w:r>
        <w:rPr>
          <w:b/>
          <w:color w:val="1B8A83"/>
          <w:sz w:val="26"/>
        </w:rPr>
        <w:t>Applied AI portfolio project | Concept note</w:t>
      </w:r>
    </w:p>
    <w:p>
      <w:pPr>
        <w:pStyle w:val="Subtitle"/>
      </w:pPr>
      <w:r>
        <w:t>SDG 2 - Zero Hunger | ML benchmark + human-reviewed redistribution workflow</w:t>
      </w:r>
    </w:p>
    <w:p>
      <w:pPr>
        <w:pStyle w:val="Heading1"/>
      </w:pPr>
      <w:r>
        <w:t>1. Project idea</w:t>
      </w:r>
    </w:p>
    <w:p>
      <w:r>
        <w:t>FoodLoop is a portfolio project with two connected components: an offline machine-learning benchmark that studies EPA modeled food-waste flows by sector, and a browser prototype that helps a donor route a time-sensitive surplus offer to a suitable local recipient. The ML benchmark is an exploratory analysis layer; it does not predict donation acceptance or drive recipient selection. The matching interface applies explicit eligibility constraints and an explainable ranking score, then leaves safety and pickup decisions to a person.</w:t>
      </w:r>
    </w:p>
    <w:p>
      <w:pPr>
        <w:pStyle w:val="Heading1"/>
      </w:pPr>
      <w:r>
        <w:t>2. Problem and users</w:t>
      </w:r>
    </w:p>
    <w:p>
      <w:r>
        <w:t>Surplus food and unmet local need can exist at the same time, yet coordination often depends on manual calls or messaging. Donors have limited time to find a suitable recipient, while recipient capacity and pickup availability change. The first users are repeat donors at one campus or neighborhood and one trusted food bank, shelter, or community kitchen.</w:t>
      </w:r>
    </w:p>
    <w:p>
      <w:pPr>
        <w:pStyle w:val="Heading1"/>
      </w:pPr>
      <w:r>
        <w:t>3. Proposed solution and user journey</w:t>
      </w:r>
    </w:p>
    <w:p>
      <w:pPr>
        <w:pStyle w:val="ListNumber"/>
      </w:pPr>
      <w:r>
        <w:t>Donor enters food category, estimated quantity, preparation/storage details, pickup location, and deadline.</w:t>
      </w:r>
    </w:p>
    <w:p>
      <w:pPr>
        <w:pStyle w:val="ListNumber"/>
      </w:pPr>
      <w:r>
        <w:t>Hard constraints remove recipients that cannot accept the category, quantity, service area, or pickup window.</w:t>
      </w:r>
    </w:p>
    <w:p>
      <w:pPr>
        <w:pStyle w:val="ListNumber"/>
      </w:pPr>
      <w:r>
        <w:t>A transparent weighted score ranks the remaining candidates; a donor or coordinator reviews the reasons and contacts the recipient.</w:t>
      </w:r>
    </w:p>
    <w:p>
      <w:pPr>
        <w:pStyle w:val="ListNumber"/>
      </w:pPr>
      <w:r>
        <w:t>A person confirms food handling and pickup. The prototype does not send messages or claim a donation is complete.</w:t>
      </w:r>
    </w:p>
    <w:p>
      <w:pPr>
        <w:pStyle w:val="Heading1"/>
      </w:pPr>
      <w:r>
        <w:t>4. AI / ML approach</w:t>
      </w:r>
    </w:p>
    <w:p>
      <w:r>
        <w:t>The offline ML benchmark uses the EPA U.S. Food Waste Flows Between Sectors 2018 method 2 file (8,315 cleaned modeled flow rows). It predicts log1p(FlowAmount in kg) from NAICS producer-sector prefixes and consumed-sector codes using ridge regression. A validation split selects regularization strength; the final test split holds out complete producing-sector codes. The benchmark includes a median-only baseline and reports MAE, RMSE, and R-squared on the log target. The model is trained on EPA modeled sector flows, not measured donations.</w:t>
      </w:r>
    </w:p>
    <w:p>
      <w:r>
        <w:t>Data source: U.S. EPA Office of Research and Development, U.S. Food Waste Flows Between Sectors, 2018 v1.3.2, DOI 10.23719/1529936. The dataset catalog and license details are included in the project repository at data/README.md.</w:t>
      </w:r>
    </w:p>
    <w:p>
      <w:r>
        <w:t>The matching prototype is separate: explicit rules filter candidates and an interpretable weighted score orders those who remain. A future donor-recipient acceptance model would require consented event-level partner data with reliable outcomes, time-aware evaluation, and calibration. No synthetic acceptance labels or probabilities are presented as real evidence.</w:t>
      </w:r>
    </w:p>
    <w:p>
      <w:pPr>
        <w:pStyle w:val="Heading1"/>
      </w:pPr>
      <w:r>
        <w:t>5. Scope and technology</w:t>
      </w:r>
    </w:p>
    <w:p>
      <w:r>
        <w:t>The demo is a dependency-free HTML/CSS/JavaScript page. The reproducible ML workflow is Python with NumPy and pandas (`analysis/train_model.py`); the checked-in dataset and metrics allow the pipeline to run offline. The dataset files and provenance are under `data/`. The prototype is not a food-safety authority, logistics provider, or automated allocation system.</w:t>
      </w:r>
    </w:p>
    <w:p>
      <w:pPr>
        <w:pStyle w:val="Heading1"/>
      </w:pPr>
      <w:r>
        <w:t>6. Model benchmark and pilot evaluation</w:t>
      </w:r>
    </w:p>
    <w:p>
      <w:r>
        <w:t>Current grouped-holdout result: 1,642 test rows from producing-sector codes excluded from training. Ridge regression achieved MAE 0.942 and RMSE 1.258 on log1p(kg), compared with 1.980 MAE and 2.425 RMSE for the median baseline; test R-squared was 0.730 versus -0.001. This is one fixed split on modeled 2018 national flows, not evidence of current/local prediction quality. Full run details are in `results/metrics.json`.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5324B"/>
          </w:tcPr>
          <w:p>
            <w:r>
              <w:rPr>
                <w:b/>
                <w:color w:val="FFFFFF"/>
              </w:rPr>
              <w:t>Measure</w:t>
            </w:r>
          </w:p>
        </w:tc>
        <w:tc>
          <w:tcPr>
            <w:tcW w:type="dxa" w:w="3312"/>
            <w:shd w:fill="15324B"/>
          </w:tcPr>
          <w:p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3312"/>
            <w:shd w:fill="15324B"/>
          </w:tcPr>
          <w:p>
            <w:r>
              <w:rPr>
                <w:b/>
                <w:color w:val="FFFFFF"/>
              </w:rPr>
              <w:t>Pilot target (hypothesis)</w:t>
            </w:r>
          </w:p>
        </w:tc>
      </w:tr>
      <w:tr>
        <w:tc>
          <w:tcPr>
            <w:tcW w:type="dxa" w:w="3312"/>
          </w:tcPr>
          <w:p>
            <w:r>
              <w:t>Rescued food</w:t>
            </w:r>
          </w:p>
        </w:tc>
        <w:tc>
          <w:tcPr>
            <w:tcW w:type="dxa" w:w="3312"/>
          </w:tcPr>
          <w:p>
            <w:r>
              <w:t>Weight or portions in completed handoffs</w:t>
            </w:r>
          </w:p>
        </w:tc>
        <w:tc>
          <w:tcPr>
            <w:tcW w:type="dxa" w:w="3312"/>
          </w:tcPr>
          <w:p>
            <w:r>
              <w:t>Track baseline; improve over manual process</w:t>
            </w:r>
          </w:p>
        </w:tc>
      </w:tr>
      <w:tr>
        <w:tc>
          <w:tcPr>
            <w:tcW w:type="dxa" w:w="3312"/>
          </w:tcPr>
          <w:p>
            <w:r>
              <w:t>Match acceptance</w:t>
            </w:r>
          </w:p>
        </w:tc>
        <w:tc>
          <w:tcPr>
            <w:tcW w:type="dxa" w:w="3312"/>
          </w:tcPr>
          <w:p>
            <w:r>
              <w:t>Offers accepted / offers sent</w:t>
            </w:r>
          </w:p>
        </w:tc>
        <w:tc>
          <w:tcPr>
            <w:tcW w:type="dxa" w:w="3312"/>
          </w:tcPr>
          <w:p>
            <w:r>
              <w:t>Compare ranking vs coordinator choice</w:t>
            </w:r>
          </w:p>
        </w:tc>
      </w:tr>
      <w:tr>
        <w:tc>
          <w:tcPr>
            <w:tcW w:type="dxa" w:w="3312"/>
          </w:tcPr>
          <w:p>
            <w:r>
              <w:t>Pickup completion</w:t>
            </w:r>
          </w:p>
        </w:tc>
        <w:tc>
          <w:tcPr>
            <w:tcW w:type="dxa" w:w="3312"/>
          </w:tcPr>
          <w:p>
            <w:r>
              <w:t>Completed / accepted offers</w:t>
            </w:r>
          </w:p>
        </w:tc>
        <w:tc>
          <w:tcPr>
            <w:tcW w:type="dxa" w:w="3312"/>
          </w:tcPr>
          <w:p>
            <w:r>
              <w:t>Identify operational drop-offs</w:t>
            </w:r>
          </w:p>
        </w:tc>
      </w:tr>
      <w:tr>
        <w:tc>
          <w:tcPr>
            <w:tcW w:type="dxa" w:w="3312"/>
          </w:tcPr>
          <w:p>
            <w:r>
              <w:t>Time to match</w:t>
            </w:r>
          </w:p>
        </w:tc>
        <w:tc>
          <w:tcPr>
            <w:tcW w:type="dxa" w:w="3312"/>
          </w:tcPr>
          <w:p>
            <w:r>
              <w:t>Minutes from offer to confirmed recipient</w:t>
            </w:r>
          </w:p>
        </w:tc>
        <w:tc>
          <w:tcPr>
            <w:tcW w:type="dxa" w:w="3312"/>
          </w:tcPr>
          <w:p>
            <w:r>
              <w:t>Reduce median time against manual baseline</w:t>
            </w:r>
          </w:p>
        </w:tc>
      </w:tr>
    </w:tbl>
    <w:p>
      <w:r>
        <w:t>Targets are hypotheses, not measured results. Establish a manual baseline with the pilot partner and report counts, dates, and missing data.</w:t>
      </w:r>
    </w:p>
    <w:p>
      <w:pPr>
        <w:pStyle w:val="Heading1"/>
      </w:pPr>
      <w:r>
        <w:t>7. Risks and safeguards</w:t>
      </w:r>
    </w:p>
    <w:p>
      <w:pPr>
        <w:pStyle w:val="ListBullet"/>
      </w:pPr>
      <w:r>
        <w:t>Food safety: accept only partner-approved categories and handling conditions; recipient eligibility and safe pickup are confirmed by a human.</w:t>
      </w:r>
    </w:p>
    <w:p>
      <w:pPr>
        <w:pStyle w:val="ListBullet"/>
      </w:pPr>
      <w:r>
        <w:t>Bad or sparse data: show why a recipient ranked highly, allow manual override, and fall back to coordinator selection.</w:t>
      </w:r>
    </w:p>
    <w:p>
      <w:pPr>
        <w:pStyle w:val="ListBullet"/>
      </w:pPr>
      <w:r>
        <w:t>Privacy: collect only operational data, restrict access, and set a short retention period for contact details.</w:t>
      </w:r>
    </w:p>
    <w:p>
      <w:pPr>
        <w:pStyle w:val="ListBullet"/>
      </w:pPr>
      <w:r>
        <w:t>Unequal allocation: monitor which partners receive offers; make ranking criteria visible and allow smaller partners to participate.</w:t>
      </w:r>
    </w:p>
    <w:p>
      <w:pPr>
        <w:pStyle w:val="ListBullet"/>
      </w:pPr>
      <w:r>
        <w:t>Reliability: offer SMS/phone fallback and never claim a donation is complete until both sides confirm pickup.</w:t>
      </w:r>
    </w:p>
    <w:p>
      <w:pPr>
        <w:pStyle w:val="Heading1"/>
      </w:pPr>
      <w:r>
        <w:t>8. Pilot plan and next steps</w:t>
      </w:r>
    </w:p>
    <w:p>
      <w:pPr>
        <w:pStyle w:val="ListNumber"/>
      </w:pPr>
      <w:r>
        <w:t>Week 1: profile EPA data, check sector codes, and document target/source limitations.</w:t>
      </w:r>
    </w:p>
    <w:p>
      <w:pPr>
        <w:pStyle w:val="ListNumber"/>
      </w:pPr>
      <w:r>
        <w:t>Week 2: reproduce grouped train/validation/test split, tune ridge regularization, and compare with median baseline.</w:t>
      </w:r>
    </w:p>
    <w:p>
      <w:pPr>
        <w:pStyle w:val="ListNumber"/>
      </w:pPr>
      <w:r>
        <w:t>Week 3: review model errors by sector and build the rule-based offer matching interface.</w:t>
      </w:r>
    </w:p>
    <w:p>
      <w:pPr>
        <w:pStyle w:val="ListNumber"/>
      </w:pPr>
      <w:r>
        <w:t>Week 4: interview donors/recipients; define a consented event-level data plan before any operational pilot.</w:t>
      </w:r>
    </w:p>
    <w:p>
      <w:r>
        <w:t>Decision gate: continue only if partner interviews confirm the coordination problem, a recipient can accept the proposed categories, and a safe pickup process is agreed.</w:t>
      </w:r>
    </w:p>
    <w:p>
      <w:pPr>
        <w:pStyle w:val="Heading1"/>
      </w:pPr>
      <w:r>
        <w:t>9. Lean Canvas summary</w:t>
      </w:r>
    </w:p>
    <w:p>
      <w:r>
        <w:t>Problem: edible surplus is hard to route quickly. Solution: apply eligibility rules, rank, review, and confirm. Value: clearer, faster local coordination. Customers: food donors and recipient organizations. Channels: campus kitchens, food banks, NGO networks. Product metrics: rescued quantity, acceptance, completion, and time to match. ML benchmark: grouped generalization across sector codes on EPA modeled flow data. Costs: hosting, partner coordination, safety and privacy review. Revenue hypothesis: grants or institutional sponsorship. Unfair advantage is unproven and depends on trusted local partners and reliable capacity data.</w:t>
      </w:r>
    </w:p>
    <w:p>
      <w:r>
        <w:t>Project team: ____________________     Institution / course: ____________________     Date: ____________________</w:t>
      </w:r>
    </w:p>
    <w:p>
      <w:r>
        <w:br w:type="page"/>
      </w:r>
    </w:p>
    <w:p>
      <w:pPr>
        <w:pStyle w:val="Heading1"/>
      </w:pPr>
      <w:r>
        <w:t>Prototype screenshot: create an offer</w:t>
      </w:r>
    </w:p>
    <w:p>
      <w:r>
        <w:t>Enter food, quantity, pickup window, and area. Sample records are fictional.</w:t>
      </w:r>
    </w:p>
    <w:p>
      <w:r>
        <w:drawing>
          <wp:inline xmlns:a="http://schemas.openxmlformats.org/drawingml/2006/main" xmlns:pic="http://schemas.openxmlformats.org/drawingml/2006/picture">
            <wp:extent cx="2971800" cy="6555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loop-off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555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Prototype screenshot: review matches</w:t>
      </w:r>
    </w:p>
    <w:p>
      <w:r>
        <w:t>The demo ranks eligible recipients and explains key factors. A person confirms handling and pickup.</w:t>
      </w:r>
    </w:p>
    <w:p>
      <w:r>
        <w:drawing>
          <wp:inline xmlns:a="http://schemas.openxmlformats.org/drawingml/2006/main" xmlns:pic="http://schemas.openxmlformats.org/drawingml/2006/picture">
            <wp:extent cx="2971800" cy="6701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loop-match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7011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79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8A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2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