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789" w:rsidRPr="00BE0789" w:rsidRDefault="00BE0789" w:rsidP="00BE0789">
      <w:pPr>
        <w:spacing w:before="100" w:beforeAutospacing="1" w:after="100" w:afterAutospacing="1"/>
        <w:jc w:val="both"/>
        <w:outlineLvl w:val="3"/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Introduction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This report outlines the process of training a question-answering model using three different transformer-based architectures: BERT, GPT-2, and T5. The models are trained and evaluated on Quora data to determine their effectiveness in providing accurate answers.</w:t>
      </w:r>
    </w:p>
    <w:p w:rsidR="008A79FE" w:rsidRDefault="008A79FE" w:rsidP="00BE0789">
      <w:pPr>
        <w:spacing w:before="100" w:beforeAutospacing="1" w:after="100" w:afterAutospacing="1"/>
        <w:jc w:val="both"/>
        <w:outlineLvl w:val="3"/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Libraries Used</w:t>
      </w:r>
    </w:p>
    <w:p w:rsidR="008A79FE" w:rsidRPr="008A79FE" w:rsidRDefault="008A79FE" w:rsidP="00BE0789">
      <w:pPr>
        <w:spacing w:before="100" w:beforeAutospacing="1" w:after="100" w:afterAutospacing="1"/>
        <w:jc w:val="both"/>
        <w:outlineLvl w:val="3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>The libraries used are as follows: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pandas</w:t>
      </w:r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data manipulation and analysis library.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transformers</w:t>
      </w:r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library for state-of-the-art natural language processing models.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torch</w:t>
      </w:r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deep learning library that provides a wide range of algorithms and tools for machine learning and deep learning.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nltk.translate.bleu_score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module for calculating BLEU scores, which measure the quality of machine-translated text.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rouge_score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library for computing ROUGE scores, which measure the quality of text summaries.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sklearn.metrics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module for evaluating machine learning models with various metrics.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numpy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library for numerical computations in Python.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matplotlib.pyplot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plotting library for creating static, animated, and interactive visualizations.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wordcloud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library for creating word clouds from text data.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nltk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natural language processing library that provides tools for working with human language data.</w:t>
      </w:r>
    </w:p>
    <w:p w:rsidR="008A79FE" w:rsidRPr="008A79FE" w:rsidRDefault="008A79FE" w:rsidP="008A79FE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stopwords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 xml:space="preserve"> (from </w:t>
      </w: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nltk.corpus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):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list of common words to exclude from text analysis.</w:t>
      </w:r>
    </w:p>
    <w:p w:rsidR="008A79FE" w:rsidRPr="008A79FE" w:rsidRDefault="008A79FE" w:rsidP="008A79FE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PorterStemmer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 xml:space="preserve"> (from </w:t>
      </w:r>
      <w:proofErr w:type="spellStart"/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nltk.stem</w:t>
      </w:r>
      <w:proofErr w:type="spellEnd"/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):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tool for stemming words to their root form.</w:t>
      </w:r>
    </w:p>
    <w:p w:rsidR="008A79FE" w:rsidRPr="008A79FE" w:rsidRDefault="008A79FE" w:rsidP="008A79F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8A79FE">
        <w:rPr>
          <w:rFonts w:ascii="Garamond" w:eastAsia="Times New Roman" w:hAnsi="Garamond" w:cs="Courier New"/>
          <w:kern w:val="0"/>
          <w:sz w:val="20"/>
          <w:szCs w:val="20"/>
          <w:u w:val="single"/>
          <w:lang w:eastAsia="en-GB"/>
          <w14:ligatures w14:val="none"/>
        </w:rPr>
        <w:t>string</w:t>
      </w:r>
      <w:r w:rsidRPr="008A79FE">
        <w:rPr>
          <w:rFonts w:ascii="Garamond" w:eastAsia="Times New Roman" w:hAnsi="Garamond" w:cs="Times New Roman"/>
          <w:kern w:val="0"/>
          <w:u w:val="single"/>
          <w:lang w:eastAsia="en-GB"/>
          <w14:ligatures w14:val="none"/>
        </w:rPr>
        <w:t>:</w:t>
      </w:r>
      <w:r w:rsidRPr="008A79FE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 module that provides common string operations.</w:t>
      </w:r>
    </w:p>
    <w:p w:rsidR="00BE0789" w:rsidRPr="00BE0789" w:rsidRDefault="00BE0789" w:rsidP="00BE0789">
      <w:pPr>
        <w:spacing w:before="100" w:beforeAutospacing="1" w:after="100" w:afterAutospacing="1"/>
        <w:jc w:val="both"/>
        <w:outlineLvl w:val="3"/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Data Preparation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Dataset:</w:t>
      </w:r>
    </w:p>
    <w:p w:rsidR="00BE0789" w:rsidRPr="00BE0789" w:rsidRDefault="00BE0789" w:rsidP="00BE0789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The dataset used is from Quora, containing question-answer pairs.</w:t>
      </w:r>
    </w:p>
    <w:p w:rsidR="00BE0789" w:rsidRPr="00BE0789" w:rsidRDefault="00BE0789" w:rsidP="00BE0789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Preprocessing</w:t>
      </w:r>
      <w:proofErr w:type="spellEnd"/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steps include:</w:t>
      </w:r>
    </w:p>
    <w:p w:rsidR="00BE0789" w:rsidRPr="00BE0789" w:rsidRDefault="00BE0789" w:rsidP="00BE0789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Removing URLs, punctuation, and </w:t>
      </w:r>
      <w:proofErr w:type="spellStart"/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stopwords</w:t>
      </w:r>
      <w:proofErr w:type="spellEnd"/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.</w:t>
      </w:r>
    </w:p>
    <w:p w:rsidR="00BE0789" w:rsidRPr="00BE0789" w:rsidRDefault="00BE0789" w:rsidP="00BE0789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Tokenizing the text into words and converting them to lowercase.</w:t>
      </w:r>
    </w:p>
    <w:p w:rsidR="00BE0789" w:rsidRPr="00BE0789" w:rsidRDefault="00BE0789" w:rsidP="00BE0789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Splitting the dataset into training, and test sets.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Exploratory Data Analysis (EDA):</w:t>
      </w:r>
    </w:p>
    <w:p w:rsidR="00B5604D" w:rsidRPr="00352118" w:rsidRDefault="00BE0789" w:rsidP="00B5604D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proofErr w:type="spellStart"/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Analyzed</w:t>
      </w:r>
      <w:proofErr w:type="spellEnd"/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the distribution of question lengths, </w:t>
      </w:r>
      <w:r w:rsidR="00B5604D"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>and answer v/s question length ratio and visualized the results using scatter plots and histogram</w:t>
      </w:r>
    </w:p>
    <w:p w:rsidR="00B5604D" w:rsidRPr="00352118" w:rsidRDefault="00B5604D" w:rsidP="00B5604D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352118">
        <w:rPr>
          <w:rFonts w:ascii="Garamond" w:eastAsia="Times New Roman" w:hAnsi="Garamond" w:cs="Times New Roman"/>
          <w:noProof/>
          <w:kern w:val="0"/>
          <w:lang w:eastAsia="en-GB"/>
        </w:rPr>
        <w:lastRenderedPageBreak/>
        <w:drawing>
          <wp:inline distT="0" distB="0" distL="0" distR="0">
            <wp:extent cx="2669781" cy="2035008"/>
            <wp:effectExtent l="0" t="0" r="0" b="0"/>
            <wp:docPr id="182774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46590" name="Picture 1827746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13" cy="20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118">
        <w:rPr>
          <w:rFonts w:ascii="Garamond" w:eastAsia="Times New Roman" w:hAnsi="Garamond" w:cs="Times New Roman"/>
          <w:noProof/>
          <w:kern w:val="0"/>
          <w:lang w:eastAsia="en-GB"/>
        </w:rPr>
        <w:drawing>
          <wp:inline distT="0" distB="0" distL="0" distR="0">
            <wp:extent cx="2569719" cy="1981835"/>
            <wp:effectExtent l="0" t="0" r="0" b="0"/>
            <wp:docPr id="1156652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2757" name="Picture 1156652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22" cy="208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18" w:rsidRPr="00352118" w:rsidRDefault="00B5604D" w:rsidP="00352118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352118">
        <w:rPr>
          <w:rFonts w:ascii="Garamond" w:eastAsia="Times New Roman" w:hAnsi="Garamond" w:cs="Times New Roman"/>
          <w:noProof/>
          <w:kern w:val="0"/>
          <w:lang w:eastAsia="en-GB"/>
        </w:rPr>
        <w:drawing>
          <wp:inline distT="0" distB="0" distL="0" distR="0">
            <wp:extent cx="2690311" cy="2074839"/>
            <wp:effectExtent l="0" t="0" r="2540" b="0"/>
            <wp:docPr id="752376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76132" name="Picture 752376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08" cy="22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118">
        <w:rPr>
          <w:rFonts w:ascii="Garamond" w:eastAsia="Times New Roman" w:hAnsi="Garamond" w:cs="Times New Roman"/>
          <w:noProof/>
          <w:kern w:val="0"/>
          <w:lang w:eastAsia="en-GB"/>
        </w:rPr>
        <w:drawing>
          <wp:inline distT="0" distB="0" distL="0" distR="0">
            <wp:extent cx="2562075" cy="1975941"/>
            <wp:effectExtent l="0" t="0" r="3810" b="5715"/>
            <wp:docPr id="156883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3275" name="Picture 1568832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99" cy="20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89" w:rsidRPr="00352118" w:rsidRDefault="00BE0789" w:rsidP="00BE078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Visualized the most frequent words using word clouds</w:t>
      </w:r>
    </w:p>
    <w:p w:rsidR="00352118" w:rsidRPr="00BE0789" w:rsidRDefault="00352118" w:rsidP="00352118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352118">
        <w:rPr>
          <w:rFonts w:ascii="Garamond" w:eastAsia="Times New Roman" w:hAnsi="Garamond" w:cs="Times New Roman"/>
          <w:noProof/>
          <w:kern w:val="0"/>
          <w:lang w:eastAsia="en-GB"/>
        </w:rPr>
        <w:drawing>
          <wp:inline distT="0" distB="0" distL="0" distR="0">
            <wp:extent cx="5041900" cy="2705100"/>
            <wp:effectExtent l="0" t="0" r="0" b="0"/>
            <wp:docPr id="507327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27964" name="Picture 507327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89" w:rsidRPr="00BE0789" w:rsidRDefault="00BE0789" w:rsidP="00BE0789">
      <w:pPr>
        <w:spacing w:before="100" w:beforeAutospacing="1" w:after="100" w:afterAutospacing="1"/>
        <w:jc w:val="both"/>
        <w:outlineLvl w:val="3"/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Model Architectures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1. BERT (Bidirectional Encoder Representations from Transformers):</w:t>
      </w:r>
    </w:p>
    <w:p w:rsidR="00BE0789" w:rsidRPr="00BE0789" w:rsidRDefault="00BE0789" w:rsidP="00BE0789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Pre-trained on a large corpus and fine-tuned on the Quora dataset.</w:t>
      </w:r>
    </w:p>
    <w:p w:rsidR="00BE0789" w:rsidRPr="00BE0789" w:rsidRDefault="00BE0789" w:rsidP="00BE0789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Used for extracting contextual embeddings of questions and answers.</w:t>
      </w:r>
    </w:p>
    <w:p w:rsidR="00BE0789" w:rsidRPr="00BE0789" w:rsidRDefault="00BE0789" w:rsidP="00BE0789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lastRenderedPageBreak/>
        <w:t>Architecture involves feeding the [CLS] token representation to a classifier for predicting the start and end positions of the answer.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2. GPT-2 (Generative Pre-trained Transformer 2):</w:t>
      </w:r>
    </w:p>
    <w:p w:rsidR="00BE0789" w:rsidRPr="00BE0789" w:rsidRDefault="00BE0789" w:rsidP="00BE0789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Pre-trained on a large text corpus and fine-tuned on the Quora dataset.</w:t>
      </w:r>
    </w:p>
    <w:p w:rsidR="00BE0789" w:rsidRPr="00BE0789" w:rsidRDefault="00BE0789" w:rsidP="00BE0789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Utilizes a decoder-only architecture that generates answers based on the given question.</w:t>
      </w:r>
    </w:p>
    <w:p w:rsidR="00BE0789" w:rsidRPr="00BE0789" w:rsidRDefault="00BE0789" w:rsidP="00BE0789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Fine-tuning involves adjusting the model to minimize the loss on the Quora question-answer pairs.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3. T5 (Text-To-Text Transfer Transformer):</w:t>
      </w:r>
    </w:p>
    <w:p w:rsidR="00BE0789" w:rsidRPr="00BE0789" w:rsidRDefault="00BE0789" w:rsidP="00BE0789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Converts all NLP tasks into a text-to-text format.</w:t>
      </w:r>
    </w:p>
    <w:p w:rsidR="00BE0789" w:rsidRPr="00BE0789" w:rsidRDefault="00BE0789" w:rsidP="00BE0789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Fine-tuned by framing the question-answering task as text generation.</w:t>
      </w:r>
    </w:p>
    <w:p w:rsidR="00BE0789" w:rsidRPr="00BE0789" w:rsidRDefault="00BE0789" w:rsidP="00BE0789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Input format: "question: &lt;question&gt;</w:t>
      </w:r>
    </w:p>
    <w:p w:rsidR="00BE0789" w:rsidRPr="00BE0789" w:rsidRDefault="00BE0789" w:rsidP="00BE0789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Output format: "&lt;answer&gt;"</w:t>
      </w:r>
    </w:p>
    <w:p w:rsidR="00BE0789" w:rsidRPr="00BE0789" w:rsidRDefault="00BE0789" w:rsidP="00BE0789">
      <w:pPr>
        <w:spacing w:before="100" w:beforeAutospacing="1" w:after="100" w:afterAutospacing="1"/>
        <w:jc w:val="both"/>
        <w:outlineLvl w:val="3"/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Training and Evaluation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Training Process:</w:t>
      </w:r>
    </w:p>
    <w:p w:rsidR="00BE0789" w:rsidRPr="00BE0789" w:rsidRDefault="00BE0789" w:rsidP="00BE0789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Hyperparameter tuning was performed for each model to find the optimal learning rate, batch size, and number of epochs.</w:t>
      </w:r>
    </w:p>
    <w:p w:rsidR="00BE0789" w:rsidRPr="00BE0789" w:rsidRDefault="00BE0789" w:rsidP="00BE0789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>The Adam optimizer was used for training with a learning rate scheduler to adjust the learning rate during training.</w:t>
      </w:r>
    </w:p>
    <w:p w:rsidR="00BE0789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Evaluation Metrics:</w:t>
      </w:r>
    </w:p>
    <w:p w:rsidR="00BE0789" w:rsidRPr="00BE0789" w:rsidRDefault="00BE0789" w:rsidP="00BE0789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F1 Score:</w:t>
      </w: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Measures the overlap between the predicted and ground truth answers, considering both precision and recall.</w:t>
      </w:r>
    </w:p>
    <w:p w:rsidR="00BE0789" w:rsidRPr="00BE0789" w:rsidRDefault="00BE0789" w:rsidP="00BE0789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 xml:space="preserve">ROUGE (Recall-Oriented Understudy for </w:t>
      </w:r>
      <w:proofErr w:type="spellStart"/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Gisting</w:t>
      </w:r>
      <w:proofErr w:type="spellEnd"/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 xml:space="preserve"> Evaluation):</w:t>
      </w: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Measures the overlap of n-grams between the predicted and ground truth answers, focusing on recall.</w:t>
      </w:r>
    </w:p>
    <w:p w:rsidR="00BE0789" w:rsidRPr="00BE0789" w:rsidRDefault="00BE0789" w:rsidP="00BE0789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BLEU (Bilingual Evaluation Understudy):</w:t>
      </w: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Measures the precision of n-grams in the predicted answer compared to the ground truth, focusing on precision.</w:t>
      </w:r>
    </w:p>
    <w:p w:rsidR="007B179A" w:rsidRPr="00BE0789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179A" w:rsidTr="007B179A">
        <w:tc>
          <w:tcPr>
            <w:tcW w:w="2254" w:type="dxa"/>
          </w:tcPr>
          <w:p w:rsidR="007B179A" w:rsidRDefault="007B179A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Model Name</w:t>
            </w:r>
          </w:p>
        </w:tc>
        <w:tc>
          <w:tcPr>
            <w:tcW w:w="2254" w:type="dxa"/>
          </w:tcPr>
          <w:p w:rsidR="007B179A" w:rsidRDefault="007B179A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BLEU</w:t>
            </w:r>
          </w:p>
        </w:tc>
        <w:tc>
          <w:tcPr>
            <w:tcW w:w="2254" w:type="dxa"/>
          </w:tcPr>
          <w:p w:rsidR="007B179A" w:rsidRDefault="007B179A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ROUGE-L</w:t>
            </w:r>
          </w:p>
        </w:tc>
        <w:tc>
          <w:tcPr>
            <w:tcW w:w="2254" w:type="dxa"/>
          </w:tcPr>
          <w:p w:rsidR="007B179A" w:rsidRDefault="00754D6D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F1-Score</w:t>
            </w:r>
          </w:p>
        </w:tc>
      </w:tr>
      <w:tr w:rsidR="007B179A" w:rsidTr="007B179A">
        <w:tc>
          <w:tcPr>
            <w:tcW w:w="2254" w:type="dxa"/>
          </w:tcPr>
          <w:p w:rsidR="007B179A" w:rsidRDefault="00754D6D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BERT</w:t>
            </w:r>
          </w:p>
        </w:tc>
        <w:tc>
          <w:tcPr>
            <w:tcW w:w="2254" w:type="dxa"/>
          </w:tcPr>
          <w:p w:rsidR="007B179A" w:rsidRDefault="00754D6D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0.0002</w:t>
            </w:r>
          </w:p>
        </w:tc>
        <w:tc>
          <w:tcPr>
            <w:tcW w:w="2254" w:type="dxa"/>
          </w:tcPr>
          <w:p w:rsidR="007B179A" w:rsidRDefault="00754D6D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0.02517</w:t>
            </w:r>
          </w:p>
        </w:tc>
        <w:tc>
          <w:tcPr>
            <w:tcW w:w="2254" w:type="dxa"/>
          </w:tcPr>
          <w:p w:rsidR="007B179A" w:rsidRDefault="00754D6D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0.02546</w:t>
            </w:r>
          </w:p>
        </w:tc>
      </w:tr>
      <w:tr w:rsidR="007B179A" w:rsidTr="007B179A"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GPT-2</w:t>
            </w:r>
          </w:p>
        </w:tc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0.002</w:t>
            </w:r>
          </w:p>
        </w:tc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0.088</w:t>
            </w:r>
          </w:p>
        </w:tc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0.093</w:t>
            </w:r>
          </w:p>
        </w:tc>
      </w:tr>
      <w:tr w:rsidR="007B179A" w:rsidTr="007B179A"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T5</w:t>
            </w:r>
          </w:p>
        </w:tc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-</w:t>
            </w:r>
          </w:p>
        </w:tc>
        <w:tc>
          <w:tcPr>
            <w:tcW w:w="2254" w:type="dxa"/>
          </w:tcPr>
          <w:p w:rsidR="007B179A" w:rsidRDefault="008A79FE" w:rsidP="00BE0789">
            <w:pPr>
              <w:spacing w:before="100" w:beforeAutospacing="1" w:after="100" w:afterAutospacing="1"/>
              <w:jc w:val="both"/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</w:pPr>
            <w:r>
              <w:rPr>
                <w:rFonts w:ascii="Garamond" w:eastAsia="Times New Roman" w:hAnsi="Garamond" w:cs="Times New Roman"/>
                <w:kern w:val="0"/>
                <w:lang w:eastAsia="en-GB"/>
                <w14:ligatures w14:val="none"/>
              </w:rPr>
              <w:t>-</w:t>
            </w:r>
          </w:p>
        </w:tc>
      </w:tr>
    </w:tbl>
    <w:p w:rsidR="00D8513B" w:rsidRPr="00D8513B" w:rsidRDefault="00D8513B" w:rsidP="00D8513B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</w:pPr>
      <w:r w:rsidRPr="00D8513B">
        <w:rPr>
          <w:rFonts w:ascii="Garamond" w:hAnsi="Garamond"/>
        </w:rPr>
        <w:t xml:space="preserve">BERT, fine-tuned for extracting contextual embeddings, showed limited performance with a BLEU score of 0.0002, a ROUGE-L score of 0.02517, and an F1-Score of 0.02546. GPT-2, with its generative capabilities, performed better, achieving a BLEU score of 0.002, a ROUGE-L score of 0.088, and an F1-Score of 0.093. Despite T5’s innovative text-to-text approach, specific evaluation metrics </w:t>
      </w:r>
      <w:r>
        <w:rPr>
          <w:rFonts w:ascii="Garamond" w:hAnsi="Garamond"/>
        </w:rPr>
        <w:t xml:space="preserve">are </w:t>
      </w:r>
      <w:r w:rsidRPr="00D8513B">
        <w:rPr>
          <w:rFonts w:ascii="Garamond" w:hAnsi="Garamond"/>
        </w:rPr>
        <w:t>not provided in this report</w:t>
      </w:r>
      <w:r>
        <w:rPr>
          <w:rFonts w:ascii="Garamond" w:hAnsi="Garamond"/>
        </w:rPr>
        <w:t xml:space="preserve"> due to the ext5ensive computation and time restraints, but by the nature of the model itself, T5 is expected to perform better.</w:t>
      </w:r>
    </w:p>
    <w:p w:rsidR="00BE0789" w:rsidRPr="00BE0789" w:rsidRDefault="00BE0789" w:rsidP="00D8513B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Conclusion</w:t>
      </w:r>
    </w:p>
    <w:p w:rsidR="00D8513B" w:rsidRDefault="00BE0789" w:rsidP="00BE0789">
      <w:pPr>
        <w:spacing w:before="100" w:beforeAutospacing="1" w:after="100" w:afterAutospacing="1"/>
        <w:jc w:val="both"/>
        <w:rPr>
          <w:rFonts w:ascii="Garamond" w:hAnsi="Garamond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lastRenderedPageBreak/>
        <w:t xml:space="preserve">The comparison of BERT, GPT-2, and T5 models on the Quora dataset revealed that </w:t>
      </w:r>
      <w:r w:rsidR="00D8513B" w:rsidRPr="00D8513B">
        <w:rPr>
          <w:rFonts w:ascii="Garamond" w:hAnsi="Garamond"/>
        </w:rPr>
        <w:t>GPT-2 demonstrated superior performance over BERT</w:t>
      </w:r>
      <w:r w:rsidR="00D8513B">
        <w:rPr>
          <w:rFonts w:ascii="Garamond" w:hAnsi="Garamond"/>
        </w:rPr>
        <w:t>. Which is an expected outcome as BERT was trained without any context and BERT needs context to develop Question/Answer models whereas GPT is more suited to text-generation problems. T5 over flexibility and can be trained for various problem-sets but isn’t compared in this context but is expected to perform similarly or better than GPT.</w:t>
      </w:r>
    </w:p>
    <w:p w:rsidR="00352118" w:rsidRPr="00D8513B" w:rsidRDefault="00352118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</w:pPr>
      <w:r w:rsidRPr="00D8513B">
        <w:rPr>
          <w:rFonts w:ascii="Garamond" w:eastAsia="Times New Roman" w:hAnsi="Garamond" w:cs="Times New Roman"/>
          <w:b/>
          <w:bCs/>
          <w:kern w:val="0"/>
          <w:lang w:eastAsia="en-GB"/>
          <w14:ligatures w14:val="none"/>
        </w:rPr>
        <w:t>Future Work</w:t>
      </w:r>
    </w:p>
    <w:p w:rsidR="00352118" w:rsidRPr="00352118" w:rsidRDefault="00BE0789" w:rsidP="00BE0789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BE0789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Future work could involve </w:t>
      </w:r>
      <w:r w:rsidR="00352118"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>following tasks:</w:t>
      </w:r>
    </w:p>
    <w:p w:rsidR="00352118" w:rsidRPr="00352118" w:rsidRDefault="00352118" w:rsidP="00352118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Experimenting </w:t>
      </w:r>
      <w:r w:rsidR="00BE0789"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with ensemble methods to combine the strengths of these models and further improving the </w:t>
      </w:r>
      <w:r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>pre-processing</w:t>
      </w:r>
      <w:r w:rsidR="00BE0789"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 xml:space="preserve"> and fine-tuning processes</w:t>
      </w:r>
      <w:r w:rsidR="00BE0789" w:rsidRPr="003521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  <w:r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>.</w:t>
      </w:r>
    </w:p>
    <w:p w:rsidR="008658CF" w:rsidRDefault="00352118" w:rsidP="008658CF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 w:rsidRPr="00352118">
        <w:rPr>
          <w:rFonts w:ascii="Garamond" w:eastAsia="Times New Roman" w:hAnsi="Garamond" w:cs="Times New Roman"/>
          <w:kern w:val="0"/>
          <w:lang w:eastAsia="en-GB"/>
          <w14:ligatures w14:val="none"/>
        </w:rPr>
        <w:t>Using information retrieval t</w:t>
      </w:r>
      <w:r w:rsidR="008658CF">
        <w:rPr>
          <w:rFonts w:ascii="Garamond" w:eastAsia="Times New Roman" w:hAnsi="Garamond" w:cs="Times New Roman"/>
          <w:kern w:val="0"/>
          <w:lang w:eastAsia="en-GB"/>
          <w14:ligatures w14:val="none"/>
        </w:rPr>
        <w:t>echniques to extract context for the questions being asked.</w:t>
      </w:r>
    </w:p>
    <w:p w:rsidR="008658CF" w:rsidRPr="008658CF" w:rsidRDefault="008658CF" w:rsidP="008658CF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Garamond" w:eastAsia="Times New Roman" w:hAnsi="Garamond" w:cs="Times New Roman"/>
          <w:kern w:val="0"/>
          <w:lang w:eastAsia="en-GB"/>
          <w14:ligatures w14:val="none"/>
        </w:rPr>
      </w:pPr>
      <w:r>
        <w:rPr>
          <w:rFonts w:ascii="Garamond" w:eastAsia="Times New Roman" w:hAnsi="Garamond" w:cs="Times New Roman"/>
          <w:kern w:val="0"/>
          <w:lang w:eastAsia="en-GB"/>
          <w14:ligatures w14:val="none"/>
        </w:rPr>
        <w:t>The goal was to create human like answers, to achieve that, training a custom RNN with a larger data-set and custom embeddings can help achieving that task.</w:t>
      </w:r>
    </w:p>
    <w:p w:rsidR="004F0ED8" w:rsidRPr="00352118" w:rsidRDefault="004F0ED8" w:rsidP="00BE0789">
      <w:pPr>
        <w:jc w:val="both"/>
        <w:rPr>
          <w:rFonts w:ascii="Garamond" w:hAnsi="Garamond" w:cs="Times New Roman"/>
        </w:rPr>
      </w:pPr>
    </w:p>
    <w:sectPr w:rsidR="004F0ED8" w:rsidRPr="0035211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7F65" w:rsidRDefault="004B7F65" w:rsidP="00B5604D">
      <w:r>
        <w:separator/>
      </w:r>
    </w:p>
  </w:endnote>
  <w:endnote w:type="continuationSeparator" w:id="0">
    <w:p w:rsidR="004B7F65" w:rsidRDefault="004B7F65" w:rsidP="00B5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604D" w:rsidRPr="00B5604D" w:rsidRDefault="00B5604D" w:rsidP="00B5604D">
    <w:pPr>
      <w:pStyle w:val="Header"/>
      <w:jc w:val="center"/>
      <w:rPr>
        <w:sz w:val="16"/>
        <w:szCs w:val="16"/>
        <w:lang w:val="en-US"/>
      </w:rPr>
    </w:pPr>
    <w:r w:rsidRPr="00B5604D">
      <w:rPr>
        <w:sz w:val="16"/>
        <w:szCs w:val="16"/>
        <w:lang w:val="en-US"/>
      </w:rPr>
      <w:t xml:space="preserve">Email: </w:t>
    </w:r>
    <w:hyperlink r:id="rId1" w:history="1">
      <w:r w:rsidRPr="00B5604D">
        <w:rPr>
          <w:rStyle w:val="Hyperlink"/>
          <w:sz w:val="16"/>
          <w:szCs w:val="16"/>
          <w:lang w:val="en-US"/>
        </w:rPr>
        <w:t>srishti.sahni16@gmail.com</w:t>
      </w:r>
    </w:hyperlink>
    <w:r>
      <w:rPr>
        <w:sz w:val="16"/>
        <w:szCs w:val="16"/>
        <w:lang w:val="en-US"/>
      </w:rPr>
      <w:t xml:space="preserve"> | </w:t>
    </w:r>
    <w:r w:rsidRPr="00B5604D">
      <w:rPr>
        <w:sz w:val="16"/>
        <w:szCs w:val="16"/>
        <w:lang w:val="en-US"/>
      </w:rPr>
      <w:t>Mobile: +91 9599137645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7F65" w:rsidRDefault="004B7F65" w:rsidP="00B5604D">
      <w:r>
        <w:separator/>
      </w:r>
    </w:p>
  </w:footnote>
  <w:footnote w:type="continuationSeparator" w:id="0">
    <w:p w:rsidR="004B7F65" w:rsidRDefault="004B7F65" w:rsidP="00B5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604D" w:rsidRPr="00B5604D" w:rsidRDefault="00B5604D" w:rsidP="00B5604D">
    <w:pPr>
      <w:pStyle w:val="Header"/>
      <w:jc w:val="center"/>
      <w:rPr>
        <w:lang w:val="en-US"/>
      </w:rPr>
    </w:pPr>
    <w:r>
      <w:rPr>
        <w:lang w:val="en-US"/>
      </w:rPr>
      <w:t>Indigo Case Study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30F"/>
    <w:multiLevelType w:val="hybridMultilevel"/>
    <w:tmpl w:val="B36CA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0DBE"/>
    <w:multiLevelType w:val="multilevel"/>
    <w:tmpl w:val="D54C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F7F3A"/>
    <w:multiLevelType w:val="multilevel"/>
    <w:tmpl w:val="596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09FB"/>
    <w:multiLevelType w:val="hybridMultilevel"/>
    <w:tmpl w:val="15582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2F80"/>
    <w:multiLevelType w:val="multilevel"/>
    <w:tmpl w:val="EF7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C760B"/>
    <w:multiLevelType w:val="multilevel"/>
    <w:tmpl w:val="C11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E567D"/>
    <w:multiLevelType w:val="multilevel"/>
    <w:tmpl w:val="0FC8E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11555"/>
    <w:multiLevelType w:val="hybridMultilevel"/>
    <w:tmpl w:val="29F85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50ADC"/>
    <w:multiLevelType w:val="hybridMultilevel"/>
    <w:tmpl w:val="6114A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812E0"/>
    <w:multiLevelType w:val="multilevel"/>
    <w:tmpl w:val="8BB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E3F9F"/>
    <w:multiLevelType w:val="multilevel"/>
    <w:tmpl w:val="E74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71EDA"/>
    <w:multiLevelType w:val="multilevel"/>
    <w:tmpl w:val="0FC8E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E4B3C"/>
    <w:multiLevelType w:val="hybridMultilevel"/>
    <w:tmpl w:val="22EAB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71F5D"/>
    <w:multiLevelType w:val="hybridMultilevel"/>
    <w:tmpl w:val="F25A2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968E4"/>
    <w:multiLevelType w:val="hybridMultilevel"/>
    <w:tmpl w:val="9B22D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5584F"/>
    <w:multiLevelType w:val="hybridMultilevel"/>
    <w:tmpl w:val="3BAA4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02F5D"/>
    <w:multiLevelType w:val="multilevel"/>
    <w:tmpl w:val="0FC8E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E0633"/>
    <w:multiLevelType w:val="multilevel"/>
    <w:tmpl w:val="EDA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736EE"/>
    <w:multiLevelType w:val="hybridMultilevel"/>
    <w:tmpl w:val="EB8C1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9706B"/>
    <w:multiLevelType w:val="hybridMultilevel"/>
    <w:tmpl w:val="016E2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A5844"/>
    <w:multiLevelType w:val="multilevel"/>
    <w:tmpl w:val="EFAE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230DE"/>
    <w:multiLevelType w:val="hybridMultilevel"/>
    <w:tmpl w:val="F92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3090F"/>
    <w:multiLevelType w:val="hybridMultilevel"/>
    <w:tmpl w:val="66C4E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77BEA"/>
    <w:multiLevelType w:val="multilevel"/>
    <w:tmpl w:val="2F7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85E9D"/>
    <w:multiLevelType w:val="hybridMultilevel"/>
    <w:tmpl w:val="0778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C5C46"/>
    <w:multiLevelType w:val="hybridMultilevel"/>
    <w:tmpl w:val="85628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B31A9"/>
    <w:multiLevelType w:val="multilevel"/>
    <w:tmpl w:val="0FC8E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489548">
    <w:abstractNumId w:val="14"/>
  </w:num>
  <w:num w:numId="2" w16cid:durableId="1773429201">
    <w:abstractNumId w:val="13"/>
  </w:num>
  <w:num w:numId="3" w16cid:durableId="1053191360">
    <w:abstractNumId w:val="19"/>
  </w:num>
  <w:num w:numId="4" w16cid:durableId="976300182">
    <w:abstractNumId w:val="12"/>
  </w:num>
  <w:num w:numId="5" w16cid:durableId="1684043590">
    <w:abstractNumId w:val="0"/>
  </w:num>
  <w:num w:numId="6" w16cid:durableId="1444378250">
    <w:abstractNumId w:val="15"/>
  </w:num>
  <w:num w:numId="7" w16cid:durableId="1588658781">
    <w:abstractNumId w:val="21"/>
  </w:num>
  <w:num w:numId="8" w16cid:durableId="410666709">
    <w:abstractNumId w:val="3"/>
  </w:num>
  <w:num w:numId="9" w16cid:durableId="895120050">
    <w:abstractNumId w:val="25"/>
  </w:num>
  <w:num w:numId="10" w16cid:durableId="1130242941">
    <w:abstractNumId w:val="7"/>
  </w:num>
  <w:num w:numId="11" w16cid:durableId="112023686">
    <w:abstractNumId w:val="22"/>
  </w:num>
  <w:num w:numId="12" w16cid:durableId="363286248">
    <w:abstractNumId w:val="24"/>
  </w:num>
  <w:num w:numId="13" w16cid:durableId="2125464285">
    <w:abstractNumId w:val="23"/>
  </w:num>
  <w:num w:numId="14" w16cid:durableId="1768428004">
    <w:abstractNumId w:val="4"/>
  </w:num>
  <w:num w:numId="15" w16cid:durableId="239683713">
    <w:abstractNumId w:val="5"/>
  </w:num>
  <w:num w:numId="16" w16cid:durableId="6253453">
    <w:abstractNumId w:val="10"/>
  </w:num>
  <w:num w:numId="17" w16cid:durableId="1033965413">
    <w:abstractNumId w:val="17"/>
  </w:num>
  <w:num w:numId="18" w16cid:durableId="1934127428">
    <w:abstractNumId w:val="9"/>
  </w:num>
  <w:num w:numId="19" w16cid:durableId="1466778611">
    <w:abstractNumId w:val="1"/>
  </w:num>
  <w:num w:numId="20" w16cid:durableId="1967587457">
    <w:abstractNumId w:val="2"/>
  </w:num>
  <w:num w:numId="21" w16cid:durableId="1161510246">
    <w:abstractNumId w:val="8"/>
  </w:num>
  <w:num w:numId="22" w16cid:durableId="545874796">
    <w:abstractNumId w:val="20"/>
  </w:num>
  <w:num w:numId="23" w16cid:durableId="1876502707">
    <w:abstractNumId w:val="26"/>
  </w:num>
  <w:num w:numId="24" w16cid:durableId="1030375797">
    <w:abstractNumId w:val="11"/>
  </w:num>
  <w:num w:numId="25" w16cid:durableId="1286812265">
    <w:abstractNumId w:val="6"/>
  </w:num>
  <w:num w:numId="26" w16cid:durableId="382680773">
    <w:abstractNumId w:val="16"/>
  </w:num>
  <w:num w:numId="27" w16cid:durableId="13031222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8"/>
    <w:rsid w:val="00352118"/>
    <w:rsid w:val="004B7F65"/>
    <w:rsid w:val="004F0ED8"/>
    <w:rsid w:val="00754D6D"/>
    <w:rsid w:val="007B179A"/>
    <w:rsid w:val="008658CF"/>
    <w:rsid w:val="008A79FE"/>
    <w:rsid w:val="00B5604D"/>
    <w:rsid w:val="00BE0789"/>
    <w:rsid w:val="00D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3592D"/>
  <w15:chartTrackingRefBased/>
  <w15:docId w15:val="{4DE5ECBD-BD3E-B740-B106-36FBB7EB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078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078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7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07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60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04D"/>
  </w:style>
  <w:style w:type="paragraph" w:styleId="Footer">
    <w:name w:val="footer"/>
    <w:basedOn w:val="Normal"/>
    <w:link w:val="FooterChar"/>
    <w:uiPriority w:val="99"/>
    <w:unhideWhenUsed/>
    <w:rsid w:val="00B560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04D"/>
  </w:style>
  <w:style w:type="character" w:styleId="Hyperlink">
    <w:name w:val="Hyperlink"/>
    <w:basedOn w:val="DefaultParagraphFont"/>
    <w:uiPriority w:val="99"/>
    <w:unhideWhenUsed/>
    <w:rsid w:val="00B56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0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1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A7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shti.sahni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Sahni</dc:creator>
  <cp:keywords/>
  <dc:description/>
  <cp:lastModifiedBy>Srishti Sahni</cp:lastModifiedBy>
  <cp:revision>3</cp:revision>
  <dcterms:created xsi:type="dcterms:W3CDTF">2024-07-30T17:34:00Z</dcterms:created>
  <dcterms:modified xsi:type="dcterms:W3CDTF">2024-07-30T17:41:00Z</dcterms:modified>
</cp:coreProperties>
</file>