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44A" w:rsidRDefault="00413989">
      <w:pPr>
        <w:pStyle w:val="Textbody"/>
      </w:pPr>
      <w:r>
        <w:rPr>
          <w:rStyle w:val="StrongEmphasis"/>
        </w:rPr>
        <w:t>Visual Information Fidelity (VIF)</w:t>
      </w:r>
      <w:r>
        <w:t xml:space="preserve"> score between two images: one is a </w:t>
      </w:r>
      <w:r>
        <w:rPr>
          <w:rStyle w:val="StrongEmphasis"/>
        </w:rPr>
        <w:t>reference image</w:t>
      </w:r>
      <w:r>
        <w:t xml:space="preserve"> (</w:t>
      </w:r>
      <w:r>
        <w:rPr>
          <w:rStyle w:val="SourceText"/>
        </w:rPr>
        <w:t>img_ref</w:t>
      </w:r>
      <w:r>
        <w:t xml:space="preserve">) and the other is a </w:t>
      </w:r>
      <w:r>
        <w:rPr>
          <w:rStyle w:val="StrongEmphasis"/>
        </w:rPr>
        <w:t>distorted image</w:t>
      </w:r>
      <w:r>
        <w:t xml:space="preserve"> (</w:t>
      </w:r>
      <w:r>
        <w:rPr>
          <w:rStyle w:val="SourceText"/>
        </w:rPr>
        <w:t>img_dist</w:t>
      </w:r>
      <w:r>
        <w:t>).</w:t>
      </w:r>
    </w:p>
    <w:p w:rsidR="0042144A" w:rsidRDefault="00413989">
      <w:pPr>
        <w:pStyle w:val="Heading3"/>
      </w:pPr>
      <w:r>
        <w:t>Key Functions and Steps:</w:t>
      </w:r>
    </w:p>
    <w:p w:rsidR="0042144A" w:rsidRDefault="00413989">
      <w:pPr>
        <w:pStyle w:val="Heading4"/>
      </w:pPr>
      <w:r>
        <w:t xml:space="preserve">1. </w:t>
      </w:r>
      <w:r>
        <w:rPr>
          <w:rStyle w:val="SourceText"/>
        </w:rPr>
        <w:t>integral_image(x)</w:t>
      </w:r>
      <w:r>
        <w:t>:</w:t>
      </w:r>
    </w:p>
    <w:p w:rsidR="0042144A" w:rsidRDefault="00413989">
      <w:pPr>
        <w:pStyle w:val="Textbody"/>
        <w:numPr>
          <w:ilvl w:val="0"/>
          <w:numId w:val="1"/>
        </w:numPr>
        <w:spacing w:after="0"/>
      </w:pPr>
      <w:r>
        <w:t xml:space="preserve">This function computes the </w:t>
      </w:r>
      <w:r>
        <w:rPr>
          <w:rStyle w:val="StrongEmphasis"/>
        </w:rPr>
        <w:t>integral image</w:t>
      </w:r>
      <w:r>
        <w:t xml:space="preserve"> (also known as a summed-area table) for an input image </w:t>
      </w:r>
      <w:r>
        <w:rPr>
          <w:rStyle w:val="SourceText"/>
        </w:rPr>
        <w:t>x</w:t>
      </w:r>
      <w:r>
        <w:t>.</w:t>
      </w:r>
    </w:p>
    <w:p w:rsidR="0042144A" w:rsidRDefault="00413989">
      <w:pPr>
        <w:pStyle w:val="Textbody"/>
        <w:numPr>
          <w:ilvl w:val="0"/>
          <w:numId w:val="1"/>
        </w:numPr>
        <w:spacing w:after="0"/>
      </w:pPr>
      <w:r>
        <w:t>The integral image is a useful preprocessing step for efficient image processing, as it allows for the rapid calculation of sums over rectangular regions in the image.</w:t>
      </w:r>
    </w:p>
    <w:p w:rsidR="0042144A" w:rsidRDefault="00413989">
      <w:pPr>
        <w:pStyle w:val="Textbody"/>
        <w:numPr>
          <w:ilvl w:val="0"/>
          <w:numId w:val="1"/>
        </w:numPr>
      </w:pPr>
      <w:r>
        <w:rPr>
          <w:rStyle w:val="StrongEmphasis"/>
        </w:rPr>
        <w:t>Formula</w:t>
      </w:r>
      <w:r>
        <w:t xml:space="preserve">: </w:t>
      </w:r>
      <w:r>
        <w:rPr>
          <w:rStyle w:val="SourceText"/>
        </w:rPr>
        <w:t>int_x[i, j] = sum of all pixels (0,0) to (i,j)</w:t>
      </w:r>
      <w:r>
        <w:t>.</w:t>
      </w:r>
    </w:p>
    <w:p w:rsidR="0042144A" w:rsidRDefault="00413989">
      <w:pPr>
        <w:pStyle w:val="Heading4"/>
      </w:pPr>
      <w:r>
        <w:t xml:space="preserve">2. </w:t>
      </w:r>
      <w:r>
        <w:rPr>
          <w:rStyle w:val="SourceText"/>
        </w:rPr>
        <w:t>moments(x, y, k, stride)</w:t>
      </w:r>
      <w:r>
        <w:t>:</w:t>
      </w:r>
    </w:p>
    <w:p w:rsidR="0042144A" w:rsidRDefault="00413989">
      <w:pPr>
        <w:pStyle w:val="Textbody"/>
        <w:numPr>
          <w:ilvl w:val="0"/>
          <w:numId w:val="2"/>
        </w:numPr>
        <w:spacing w:after="0"/>
      </w:pPr>
      <w:r>
        <w:t>Th</w:t>
      </w:r>
      <w:r>
        <w:t xml:space="preserve">is function computes the </w:t>
      </w:r>
      <w:r>
        <w:rPr>
          <w:rStyle w:val="StrongEmphasis"/>
        </w:rPr>
        <w:t>first-order</w:t>
      </w:r>
      <w:r>
        <w:t xml:space="preserve"> (mean), </w:t>
      </w:r>
      <w:r>
        <w:rPr>
          <w:rStyle w:val="StrongEmphasis"/>
        </w:rPr>
        <w:t>second-order</w:t>
      </w:r>
      <w:r>
        <w:t xml:space="preserve"> (variance), and </w:t>
      </w:r>
      <w:r>
        <w:rPr>
          <w:rStyle w:val="StrongEmphasis"/>
        </w:rPr>
        <w:t>covariance</w:t>
      </w:r>
      <w:r>
        <w:t xml:space="preserve"> moments between the reference image (</w:t>
      </w:r>
      <w:r>
        <w:rPr>
          <w:rStyle w:val="SourceText"/>
        </w:rPr>
        <w:t>x</w:t>
      </w:r>
      <w:r>
        <w:t>) and distorted image (</w:t>
      </w:r>
      <w:r>
        <w:rPr>
          <w:rStyle w:val="SourceText"/>
        </w:rPr>
        <w:t>y</w:t>
      </w:r>
      <w:r>
        <w:t>).</w:t>
      </w:r>
    </w:p>
    <w:p w:rsidR="0042144A" w:rsidRDefault="00413989">
      <w:pPr>
        <w:pStyle w:val="Textbody"/>
        <w:numPr>
          <w:ilvl w:val="0"/>
          <w:numId w:val="2"/>
        </w:numPr>
        <w:spacing w:after="0"/>
      </w:pPr>
      <w:r>
        <w:t>The moments are calculated using an integral image approach, which allows for the efficient calculation of</w:t>
      </w:r>
      <w:r>
        <w:t xml:space="preserve"> local statistics in a sliding window.</w:t>
      </w:r>
    </w:p>
    <w:p w:rsidR="0042144A" w:rsidRDefault="00413989">
      <w:pPr>
        <w:pStyle w:val="Textbody"/>
        <w:numPr>
          <w:ilvl w:val="0"/>
          <w:numId w:val="2"/>
        </w:numPr>
        <w:spacing w:after="0"/>
      </w:pPr>
      <w:r>
        <w:t xml:space="preserve">It also </w:t>
      </w:r>
      <w:r>
        <w:rPr>
          <w:rStyle w:val="StrongEmphasis"/>
        </w:rPr>
        <w:t>pads</w:t>
      </w:r>
      <w:r>
        <w:t xml:space="preserve"> both images to ensure that regions near the edges of the image can still be processed correctly.</w:t>
      </w:r>
    </w:p>
    <w:p w:rsidR="0042144A" w:rsidRDefault="00413989">
      <w:pPr>
        <w:pStyle w:val="Textbody"/>
        <w:numPr>
          <w:ilvl w:val="0"/>
          <w:numId w:val="2"/>
        </w:numPr>
        <w:spacing w:after="0"/>
      </w:pPr>
      <w:r>
        <w:rPr>
          <w:rStyle w:val="SourceText"/>
        </w:rPr>
        <w:t>k</w:t>
      </w:r>
      <w:r>
        <w:t>: Size of the neighborhood window.</w:t>
      </w:r>
    </w:p>
    <w:p w:rsidR="0042144A" w:rsidRDefault="00413989">
      <w:pPr>
        <w:pStyle w:val="Textbody"/>
        <w:numPr>
          <w:ilvl w:val="0"/>
          <w:numId w:val="2"/>
        </w:numPr>
        <w:spacing w:after="0"/>
      </w:pPr>
      <w:r>
        <w:rPr>
          <w:rStyle w:val="SourceText"/>
        </w:rPr>
        <w:t>stride</w:t>
      </w:r>
      <w:r>
        <w:t>: Step size for sliding the window.</w:t>
      </w:r>
    </w:p>
    <w:p w:rsidR="0042144A" w:rsidRDefault="00413989">
      <w:pPr>
        <w:pStyle w:val="Textbody"/>
        <w:numPr>
          <w:ilvl w:val="0"/>
          <w:numId w:val="2"/>
        </w:numPr>
        <w:spacing w:after="0"/>
      </w:pPr>
      <w:r>
        <w:t>It returns:</w:t>
      </w:r>
    </w:p>
    <w:p w:rsidR="0042144A" w:rsidRDefault="00413989">
      <w:pPr>
        <w:pStyle w:val="Textbody"/>
        <w:numPr>
          <w:ilvl w:val="1"/>
          <w:numId w:val="2"/>
        </w:numPr>
        <w:spacing w:after="0"/>
      </w:pPr>
      <w:r>
        <w:rPr>
          <w:rStyle w:val="SourceText"/>
        </w:rPr>
        <w:t>mu_x</w:t>
      </w:r>
      <w:r>
        <w:t xml:space="preserve">: Mean of </w:t>
      </w:r>
      <w:r>
        <w:rPr>
          <w:rStyle w:val="SourceText"/>
        </w:rPr>
        <w:t>x</w:t>
      </w:r>
      <w:r>
        <w:t xml:space="preserve"> (reference image).</w:t>
      </w:r>
    </w:p>
    <w:p w:rsidR="0042144A" w:rsidRDefault="00413989">
      <w:pPr>
        <w:pStyle w:val="Textbody"/>
        <w:numPr>
          <w:ilvl w:val="1"/>
          <w:numId w:val="2"/>
        </w:numPr>
        <w:spacing w:after="0"/>
      </w:pPr>
      <w:r>
        <w:rPr>
          <w:rStyle w:val="SourceText"/>
        </w:rPr>
        <w:t>mu_y</w:t>
      </w:r>
      <w:r>
        <w:t xml:space="preserve">: Mean of </w:t>
      </w:r>
      <w:r>
        <w:rPr>
          <w:rStyle w:val="SourceText"/>
        </w:rPr>
        <w:t>y</w:t>
      </w:r>
      <w:r>
        <w:t xml:space="preserve"> (distorted image).</w:t>
      </w:r>
    </w:p>
    <w:p w:rsidR="0042144A" w:rsidRDefault="00413989">
      <w:pPr>
        <w:pStyle w:val="Textbody"/>
        <w:numPr>
          <w:ilvl w:val="1"/>
          <w:numId w:val="2"/>
        </w:numPr>
        <w:spacing w:after="0"/>
      </w:pPr>
      <w:r>
        <w:rPr>
          <w:rStyle w:val="SourceText"/>
        </w:rPr>
        <w:t>var_x</w:t>
      </w:r>
      <w:r>
        <w:t xml:space="preserve">: Variance of </w:t>
      </w:r>
      <w:r>
        <w:rPr>
          <w:rStyle w:val="SourceText"/>
        </w:rPr>
        <w:t>x</w:t>
      </w:r>
      <w:r>
        <w:t>.</w:t>
      </w:r>
    </w:p>
    <w:p w:rsidR="0042144A" w:rsidRDefault="00413989">
      <w:pPr>
        <w:pStyle w:val="Textbody"/>
        <w:numPr>
          <w:ilvl w:val="1"/>
          <w:numId w:val="2"/>
        </w:numPr>
        <w:spacing w:after="0"/>
      </w:pPr>
      <w:r>
        <w:rPr>
          <w:rStyle w:val="SourceText"/>
        </w:rPr>
        <w:t>var_y</w:t>
      </w:r>
      <w:r>
        <w:t xml:space="preserve">: Variance of </w:t>
      </w:r>
      <w:r>
        <w:rPr>
          <w:rStyle w:val="SourceText"/>
        </w:rPr>
        <w:t>y</w:t>
      </w:r>
      <w:r>
        <w:t>.</w:t>
      </w:r>
    </w:p>
    <w:p w:rsidR="0042144A" w:rsidRDefault="00413989">
      <w:pPr>
        <w:pStyle w:val="Textbody"/>
        <w:numPr>
          <w:ilvl w:val="1"/>
          <w:numId w:val="2"/>
        </w:numPr>
      </w:pPr>
      <w:r>
        <w:rPr>
          <w:rStyle w:val="SourceText"/>
        </w:rPr>
        <w:t>cov_xy</w:t>
      </w:r>
      <w:r>
        <w:t xml:space="preserve">: Covariance between </w:t>
      </w:r>
      <w:r>
        <w:rPr>
          <w:rStyle w:val="SourceText"/>
        </w:rPr>
        <w:t>x</w:t>
      </w:r>
      <w:r>
        <w:t xml:space="preserve"> and </w:t>
      </w:r>
      <w:r>
        <w:rPr>
          <w:rStyle w:val="SourceText"/>
        </w:rPr>
        <w:t>y</w:t>
      </w:r>
      <w:r>
        <w:t>.</w:t>
      </w:r>
    </w:p>
    <w:p w:rsidR="0042144A" w:rsidRDefault="00413989">
      <w:pPr>
        <w:pStyle w:val="Heading4"/>
      </w:pPr>
      <w:r>
        <w:t xml:space="preserve">3. </w:t>
      </w:r>
      <w:r>
        <w:rPr>
          <w:rStyle w:val="SourceText"/>
        </w:rPr>
        <w:t>vif_spatial(img_ref, img_dist, k=11, sigma_nsq=0.1, stride=1, full=False)</w:t>
      </w:r>
      <w:r>
        <w:t>:</w:t>
      </w:r>
    </w:p>
    <w:p w:rsidR="0042144A" w:rsidRDefault="00413989">
      <w:pPr>
        <w:pStyle w:val="Textbody"/>
        <w:numPr>
          <w:ilvl w:val="0"/>
          <w:numId w:val="3"/>
        </w:numPr>
        <w:spacing w:after="0"/>
      </w:pPr>
      <w:r>
        <w:t xml:space="preserve">This is the main function where </w:t>
      </w:r>
      <w:r>
        <w:rPr>
          <w:rStyle w:val="StrongEmphasis"/>
        </w:rPr>
        <w:t>VIF</w:t>
      </w:r>
      <w:r>
        <w:t xml:space="preserve"> is calculated.</w:t>
      </w:r>
    </w:p>
    <w:p w:rsidR="0042144A" w:rsidRDefault="00413989">
      <w:pPr>
        <w:pStyle w:val="Textbody"/>
        <w:numPr>
          <w:ilvl w:val="0"/>
          <w:numId w:val="3"/>
        </w:numPr>
        <w:spacing w:after="0"/>
      </w:pPr>
      <w:r>
        <w:t>It takes two images, the reference image (</w:t>
      </w:r>
      <w:r>
        <w:rPr>
          <w:rStyle w:val="SourceText"/>
        </w:rPr>
        <w:t>img_ref</w:t>
      </w:r>
      <w:r>
        <w:t>) and the distorted image (</w:t>
      </w:r>
      <w:r>
        <w:rPr>
          <w:rStyle w:val="SourceText"/>
        </w:rPr>
        <w:t>img_dist</w:t>
      </w:r>
      <w:r>
        <w:t>), and calculates the Visual Information Fidelity (VIF) score between them.</w:t>
      </w:r>
    </w:p>
    <w:p w:rsidR="0042144A" w:rsidRDefault="00413989">
      <w:pPr>
        <w:pStyle w:val="Textbody"/>
        <w:numPr>
          <w:ilvl w:val="0"/>
          <w:numId w:val="3"/>
        </w:numPr>
        <w:spacing w:after="0"/>
      </w:pPr>
      <w:r>
        <w:rPr>
          <w:rStyle w:val="StrongEmphasis"/>
        </w:rPr>
        <w:t>Steps</w:t>
      </w:r>
      <w:r>
        <w:t>:</w:t>
      </w:r>
    </w:p>
    <w:p w:rsidR="0042144A" w:rsidRDefault="00413989">
      <w:pPr>
        <w:pStyle w:val="Textbody"/>
        <w:numPr>
          <w:ilvl w:val="1"/>
          <w:numId w:val="3"/>
        </w:numPr>
        <w:spacing w:after="0"/>
      </w:pPr>
      <w:r>
        <w:rPr>
          <w:rStyle w:val="StrongEmphasis"/>
        </w:rPr>
        <w:t>Convert images to float32</w:t>
      </w:r>
      <w:r>
        <w:t>: It converts both the reference and distorted i</w:t>
      </w:r>
      <w:r>
        <w:t>mages to 32-bit floating point format (</w:t>
      </w:r>
      <w:r>
        <w:rPr>
          <w:rStyle w:val="SourceText"/>
        </w:rPr>
        <w:t>float32</w:t>
      </w:r>
      <w:r>
        <w:t>) to ensure that calculations can be performed with sufficient precision.</w:t>
      </w:r>
    </w:p>
    <w:p w:rsidR="0042144A" w:rsidRDefault="00413989">
      <w:pPr>
        <w:pStyle w:val="Textbody"/>
        <w:numPr>
          <w:ilvl w:val="1"/>
          <w:numId w:val="3"/>
        </w:numPr>
        <w:spacing w:after="0"/>
      </w:pPr>
      <w:r>
        <w:rPr>
          <w:rStyle w:val="StrongEmphasis"/>
        </w:rPr>
        <w:t xml:space="preserve">Call </w:t>
      </w:r>
      <w:r>
        <w:rPr>
          <w:rStyle w:val="SourceText"/>
        </w:rPr>
        <w:t>moments()</w:t>
      </w:r>
      <w:r>
        <w:t>: It calculates the moments (</w:t>
      </w:r>
      <w:r>
        <w:rPr>
          <w:rStyle w:val="SourceText"/>
        </w:rPr>
        <w:t>mu_x</w:t>
      </w:r>
      <w:r>
        <w:t xml:space="preserve">, </w:t>
      </w:r>
      <w:r>
        <w:rPr>
          <w:rStyle w:val="SourceText"/>
        </w:rPr>
        <w:t>mu_y</w:t>
      </w:r>
      <w:r>
        <w:t xml:space="preserve">, </w:t>
      </w:r>
      <w:r>
        <w:rPr>
          <w:rStyle w:val="SourceText"/>
        </w:rPr>
        <w:t>var_x</w:t>
      </w:r>
      <w:r>
        <w:t xml:space="preserve">, </w:t>
      </w:r>
      <w:r>
        <w:rPr>
          <w:rStyle w:val="SourceText"/>
        </w:rPr>
        <w:t>var_y</w:t>
      </w:r>
      <w:r>
        <w:t xml:space="preserve">, </w:t>
      </w:r>
      <w:r>
        <w:rPr>
          <w:rStyle w:val="SourceText"/>
        </w:rPr>
        <w:t>cov_xy</w:t>
      </w:r>
      <w:r>
        <w:t xml:space="preserve">) between the reference and distorted images using a sliding </w:t>
      </w:r>
      <w:r>
        <w:t>window approach.</w:t>
      </w:r>
    </w:p>
    <w:p w:rsidR="0042144A" w:rsidRDefault="00413989">
      <w:pPr>
        <w:pStyle w:val="Textbody"/>
        <w:numPr>
          <w:ilvl w:val="1"/>
          <w:numId w:val="3"/>
        </w:numPr>
        <w:spacing w:after="0"/>
      </w:pPr>
      <w:r>
        <w:rPr>
          <w:rStyle w:val="StrongEmphasis"/>
        </w:rPr>
        <w:t xml:space="preserve">Calculate </w:t>
      </w:r>
      <w:r>
        <w:rPr>
          <w:rStyle w:val="SourceText"/>
        </w:rPr>
        <w:t>g</w:t>
      </w:r>
      <w:r>
        <w:rPr>
          <w:rStyle w:val="StrongEmphasis"/>
        </w:rPr>
        <w:t xml:space="preserve"> and </w:t>
      </w:r>
      <w:r>
        <w:rPr>
          <w:rStyle w:val="SourceText"/>
        </w:rPr>
        <w:t>sv_sq</w:t>
      </w:r>
      <w:r>
        <w:t>:</w:t>
      </w:r>
    </w:p>
    <w:p w:rsidR="0042144A" w:rsidRDefault="00413989">
      <w:pPr>
        <w:pStyle w:val="Textbody"/>
        <w:numPr>
          <w:ilvl w:val="2"/>
          <w:numId w:val="3"/>
        </w:numPr>
        <w:spacing w:after="0"/>
      </w:pPr>
      <w:r>
        <w:rPr>
          <w:rStyle w:val="SourceText"/>
        </w:rPr>
        <w:t>g</w:t>
      </w:r>
      <w:r>
        <w:t xml:space="preserve"> is the gain factor, calculated as the covariance between the two images divided by the variance of the reference image.</w:t>
      </w:r>
    </w:p>
    <w:p w:rsidR="0042144A" w:rsidRDefault="00413989">
      <w:pPr>
        <w:pStyle w:val="Textbody"/>
        <w:numPr>
          <w:ilvl w:val="2"/>
          <w:numId w:val="3"/>
        </w:numPr>
        <w:spacing w:after="0"/>
      </w:pPr>
      <w:r>
        <w:rPr>
          <w:rStyle w:val="SourceText"/>
        </w:rPr>
        <w:t>sv_sq</w:t>
      </w:r>
      <w:r>
        <w:t xml:space="preserve"> is the signal variance in the distorted image, adjusted for the gain factor </w:t>
      </w:r>
      <w:r>
        <w:rPr>
          <w:rStyle w:val="SourceText"/>
        </w:rPr>
        <w:t>g</w:t>
      </w:r>
      <w:r>
        <w:t>.</w:t>
      </w:r>
    </w:p>
    <w:p w:rsidR="0042144A" w:rsidRDefault="00413989">
      <w:pPr>
        <w:pStyle w:val="Textbody"/>
        <w:numPr>
          <w:ilvl w:val="1"/>
          <w:numId w:val="3"/>
        </w:numPr>
        <w:spacing w:after="0"/>
      </w:pPr>
      <w:r>
        <w:rPr>
          <w:rStyle w:val="StrongEmphasis"/>
        </w:rPr>
        <w:lastRenderedPageBreak/>
        <w:t xml:space="preserve">Zero out </w:t>
      </w:r>
      <w:r>
        <w:rPr>
          <w:rStyle w:val="StrongEmphasis"/>
        </w:rPr>
        <w:t>small values</w:t>
      </w:r>
      <w:r>
        <w:t>: If any variance or covariance is close to zero (or negative due to numerical precision issues), the function sets them to zero or adjusts accordingly.</w:t>
      </w:r>
    </w:p>
    <w:p w:rsidR="0042144A" w:rsidRDefault="00413989">
      <w:pPr>
        <w:pStyle w:val="Textbody"/>
        <w:numPr>
          <w:ilvl w:val="1"/>
          <w:numId w:val="3"/>
        </w:numPr>
        <w:spacing w:after="0"/>
      </w:pPr>
      <w:r>
        <w:rPr>
          <w:rStyle w:val="StrongEmphasis"/>
        </w:rPr>
        <w:t>Calculate the VIF score</w:t>
      </w:r>
      <w:r>
        <w:t>:</w:t>
      </w:r>
    </w:p>
    <w:p w:rsidR="0042144A" w:rsidRDefault="00413989">
      <w:pPr>
        <w:pStyle w:val="Textbody"/>
        <w:numPr>
          <w:ilvl w:val="2"/>
          <w:numId w:val="3"/>
        </w:numPr>
        <w:spacing w:after="0"/>
      </w:pPr>
      <w:r>
        <w:t xml:space="preserve">The VIF score is calculated by summing over the logarithms of the </w:t>
      </w:r>
      <w:r>
        <w:t>signal-to-noise ratios across all pixels. This is done for each local region of the image.</w:t>
      </w:r>
    </w:p>
    <w:p w:rsidR="0042144A" w:rsidRDefault="00413989">
      <w:pPr>
        <w:pStyle w:val="Textbody"/>
        <w:numPr>
          <w:ilvl w:val="2"/>
          <w:numId w:val="3"/>
        </w:numPr>
        <w:spacing w:after="0"/>
      </w:pPr>
      <w:r>
        <w:t>The formula used is based on a ratio of signal power to noise power (</w:t>
      </w:r>
      <w:r>
        <w:rPr>
          <w:rStyle w:val="SourceText"/>
        </w:rPr>
        <w:t>sigma_nsq</w:t>
      </w:r>
      <w:r>
        <w:t xml:space="preserve">), incorporating the moments, gain factor </w:t>
      </w:r>
      <w:r>
        <w:rPr>
          <w:rStyle w:val="SourceText"/>
        </w:rPr>
        <w:t>g</w:t>
      </w:r>
      <w:r>
        <w:t xml:space="preserve">, and signal variance </w:t>
      </w:r>
      <w:r>
        <w:rPr>
          <w:rStyle w:val="SourceText"/>
        </w:rPr>
        <w:t>sv_sq</w:t>
      </w:r>
      <w:r>
        <w:t>.</w:t>
      </w:r>
    </w:p>
    <w:p w:rsidR="0042144A" w:rsidRDefault="00413989">
      <w:pPr>
        <w:pStyle w:val="Textbody"/>
        <w:numPr>
          <w:ilvl w:val="1"/>
          <w:numId w:val="3"/>
        </w:numPr>
      </w:pPr>
      <w:r>
        <w:rPr>
          <w:rStyle w:val="StrongEmphasis"/>
        </w:rPr>
        <w:t xml:space="preserve">Return the VIF </w:t>
      </w:r>
      <w:r>
        <w:rPr>
          <w:rStyle w:val="StrongEmphasis"/>
        </w:rPr>
        <w:t>score</w:t>
      </w:r>
      <w:r>
        <w:t xml:space="preserve">: If </w:t>
      </w:r>
      <w:r>
        <w:rPr>
          <w:rStyle w:val="SourceText"/>
        </w:rPr>
        <w:t>full=False</w:t>
      </w:r>
      <w:r>
        <w:t xml:space="preserve">, only the final VIF score is returned. If </w:t>
      </w:r>
      <w:r>
        <w:rPr>
          <w:rStyle w:val="SourceText"/>
        </w:rPr>
        <w:t>full=True</w:t>
      </w:r>
      <w:r>
        <w:t>, additional details like intermediate sums are returned.</w:t>
      </w:r>
    </w:p>
    <w:p w:rsidR="0042144A" w:rsidRDefault="00413989">
      <w:pPr>
        <w:pStyle w:val="Heading3"/>
      </w:pPr>
      <w:r>
        <w:t>Formula Breakdown (VIF Calculation):</w:t>
      </w:r>
    </w:p>
    <w:p w:rsidR="0042144A" w:rsidRDefault="00413989">
      <w:pPr>
        <w:pStyle w:val="Textbody"/>
      </w:pPr>
      <w:r>
        <w:t xml:space="preserve">The VIF score formula is based on measuring the </w:t>
      </w:r>
      <w:r>
        <w:rPr>
          <w:rStyle w:val="StrongEmphasis"/>
        </w:rPr>
        <w:t>quality of the image in terms of how much</w:t>
      </w:r>
      <w:r>
        <w:rPr>
          <w:rStyle w:val="StrongEmphasis"/>
        </w:rPr>
        <w:t xml:space="preserve"> visual information</w:t>
      </w:r>
      <w:r>
        <w:t xml:space="preserve"> is preserved in the distorted image compared to the reference.</w:t>
      </w:r>
    </w:p>
    <w:p w:rsidR="0042144A" w:rsidRDefault="00413989">
      <w:pPr>
        <w:pStyle w:val="Textbody"/>
      </w:pPr>
      <w:r>
        <w:t>The formula used in the function is:</w:t>
      </w:r>
    </w:p>
    <w:p w:rsidR="0042144A" w:rsidRDefault="00413989">
      <w:pPr>
        <w:pStyle w:val="Textbody"/>
      </w:pPr>
      <w:r>
        <w:t>VIF=∑log(1+σnsq​varx​​)∑log(1+g2⋅sv_sq+σnsq​varx​​)​</w:t>
      </w:r>
    </w:p>
    <w:p w:rsidR="0042144A" w:rsidRDefault="00413989">
      <w:pPr>
        <w:pStyle w:val="Textbody"/>
      </w:pPr>
      <w:r>
        <w:t>Where:</w:t>
      </w:r>
    </w:p>
    <w:p w:rsidR="0042144A" w:rsidRDefault="00413989">
      <w:pPr>
        <w:pStyle w:val="Textbody"/>
        <w:numPr>
          <w:ilvl w:val="0"/>
          <w:numId w:val="4"/>
        </w:numPr>
        <w:spacing w:after="0"/>
      </w:pPr>
      <w:r>
        <w:t xml:space="preserve">g = Gain factor (covariance between the reference and distorted images </w:t>
      </w:r>
      <w:r>
        <w:t>divided by the variance of the reference image).</w:t>
      </w:r>
    </w:p>
    <w:p w:rsidR="0042144A" w:rsidRDefault="00413989">
      <w:pPr>
        <w:pStyle w:val="Textbody"/>
        <w:numPr>
          <w:ilvl w:val="0"/>
          <w:numId w:val="4"/>
        </w:numPr>
        <w:spacing w:after="0"/>
      </w:pPr>
      <w:r>
        <w:t>varx​ = Variance of the reference image.</w:t>
      </w:r>
    </w:p>
    <w:p w:rsidR="0042144A" w:rsidRDefault="00413989">
      <w:pPr>
        <w:pStyle w:val="Textbody"/>
        <w:numPr>
          <w:ilvl w:val="0"/>
          <w:numId w:val="4"/>
        </w:numPr>
        <w:spacing w:after="0"/>
      </w:pPr>
      <w:r>
        <w:t>sv_sq = Signal variance in the distorted image.</w:t>
      </w:r>
    </w:p>
    <w:p w:rsidR="0042144A" w:rsidRDefault="00413989">
      <w:pPr>
        <w:pStyle w:val="Textbody"/>
        <w:numPr>
          <w:ilvl w:val="0"/>
          <w:numId w:val="4"/>
        </w:numPr>
      </w:pPr>
      <w:r>
        <w:t>σnsq​ = Noise variance (a small constant to prevent division by zero).</w:t>
      </w:r>
    </w:p>
    <w:p w:rsidR="0042144A" w:rsidRDefault="00413989">
      <w:pPr>
        <w:pStyle w:val="Heading4"/>
      </w:pPr>
      <w:r>
        <w:t>Full vs. Non-Full VIF:</w:t>
      </w:r>
    </w:p>
    <w:p w:rsidR="0042144A" w:rsidRDefault="00413989">
      <w:pPr>
        <w:pStyle w:val="Textbody"/>
        <w:numPr>
          <w:ilvl w:val="0"/>
          <w:numId w:val="5"/>
        </w:numPr>
        <w:spacing w:after="0"/>
      </w:pPr>
      <w:r>
        <w:t xml:space="preserve">When </w:t>
      </w:r>
      <w:r>
        <w:rPr>
          <w:rStyle w:val="SourceText"/>
        </w:rPr>
        <w:t>full=False</w:t>
      </w:r>
      <w:r>
        <w:t>, only the final VIF score is returned. This gives a summary of how similar the distorted image is to the reference.</w:t>
      </w:r>
    </w:p>
    <w:p w:rsidR="0042144A" w:rsidRDefault="00413989">
      <w:pPr>
        <w:pStyle w:val="Textbody"/>
        <w:numPr>
          <w:ilvl w:val="0"/>
          <w:numId w:val="5"/>
        </w:numPr>
        <w:spacing w:after="0"/>
      </w:pPr>
      <w:r>
        <w:t xml:space="preserve">When </w:t>
      </w:r>
      <w:r>
        <w:rPr>
          <w:rStyle w:val="SourceText"/>
        </w:rPr>
        <w:t>full=True</w:t>
      </w:r>
      <w:r>
        <w:t>, the function also returns intermediate results:</w:t>
      </w:r>
    </w:p>
    <w:p w:rsidR="0042144A" w:rsidRDefault="00413989">
      <w:pPr>
        <w:pStyle w:val="Textbody"/>
        <w:numPr>
          <w:ilvl w:val="1"/>
          <w:numId w:val="5"/>
        </w:numPr>
        <w:spacing w:after="0"/>
      </w:pPr>
      <w:r>
        <w:t>The sum of the logarithmic terms for both the numerator and the d</w:t>
      </w:r>
      <w:r>
        <w:t>enominator.</w:t>
      </w:r>
    </w:p>
    <w:p w:rsidR="0042144A" w:rsidRDefault="00413989">
      <w:pPr>
        <w:pStyle w:val="Textbody"/>
        <w:numPr>
          <w:ilvl w:val="1"/>
          <w:numId w:val="5"/>
        </w:numPr>
      </w:pPr>
      <w:r>
        <w:t>The detailed VIF score map showing how the quality varies across the image.</w:t>
      </w:r>
    </w:p>
    <w:p w:rsidR="0042144A" w:rsidRDefault="00413989">
      <w:pPr>
        <w:pStyle w:val="Heading3"/>
      </w:pPr>
      <w:r>
        <w:t>Example Usage:</w:t>
      </w:r>
    </w:p>
    <w:p w:rsidR="0042144A" w:rsidRDefault="00413989">
      <w:pPr>
        <w:pStyle w:val="Textbody"/>
        <w:numPr>
          <w:ilvl w:val="0"/>
          <w:numId w:val="6"/>
        </w:numPr>
        <w:spacing w:after="0"/>
      </w:pPr>
      <w:r>
        <w:rPr>
          <w:rStyle w:val="StrongEmphasis"/>
        </w:rPr>
        <w:t>Read images</w:t>
      </w:r>
      <w:r>
        <w:t>:</w:t>
      </w:r>
    </w:p>
    <w:p w:rsidR="0042144A" w:rsidRDefault="00413989">
      <w:pPr>
        <w:pStyle w:val="Textbody"/>
        <w:numPr>
          <w:ilvl w:val="1"/>
          <w:numId w:val="6"/>
        </w:numPr>
        <w:spacing w:after="0"/>
      </w:pPr>
      <w:r>
        <w:t>The reference image (</w:t>
      </w:r>
      <w:r>
        <w:rPr>
          <w:rStyle w:val="SourceText"/>
        </w:rPr>
        <w:t>img_ref</w:t>
      </w:r>
      <w:r>
        <w:t>) and distorted image (</w:t>
      </w:r>
      <w:r>
        <w:rPr>
          <w:rStyle w:val="SourceText"/>
        </w:rPr>
        <w:t>img_dist</w:t>
      </w:r>
      <w:r>
        <w:t xml:space="preserve">) are loaded using OpenCV's </w:t>
      </w:r>
      <w:r>
        <w:rPr>
          <w:rStyle w:val="SourceText"/>
        </w:rPr>
        <w:t>cv2.imread()</w:t>
      </w:r>
      <w:r>
        <w:t>. These are grayscale images (i.e., singl</w:t>
      </w:r>
      <w:r>
        <w:t>e-channel images).</w:t>
      </w:r>
    </w:p>
    <w:p w:rsidR="0042144A" w:rsidRDefault="00413989">
      <w:pPr>
        <w:pStyle w:val="Textbody"/>
        <w:numPr>
          <w:ilvl w:val="0"/>
          <w:numId w:val="6"/>
        </w:numPr>
        <w:spacing w:after="0"/>
      </w:pPr>
      <w:r>
        <w:rPr>
          <w:rStyle w:val="StrongEmphasis"/>
        </w:rPr>
        <w:t>Resize images</w:t>
      </w:r>
      <w:r>
        <w:t>:</w:t>
      </w:r>
    </w:p>
    <w:p w:rsidR="0042144A" w:rsidRDefault="00413989">
      <w:pPr>
        <w:pStyle w:val="Textbody"/>
        <w:numPr>
          <w:ilvl w:val="1"/>
          <w:numId w:val="6"/>
        </w:numPr>
        <w:spacing w:after="0"/>
      </w:pPr>
      <w:r>
        <w:t>Both images are resized to ensure they are the same size. This is crucial for VIF, as it compares the pixel values of the reference and distorted images directly.</w:t>
      </w:r>
    </w:p>
    <w:p w:rsidR="0042144A" w:rsidRDefault="00413989">
      <w:pPr>
        <w:pStyle w:val="Textbody"/>
        <w:numPr>
          <w:ilvl w:val="0"/>
          <w:numId w:val="6"/>
        </w:numPr>
        <w:spacing w:after="0"/>
      </w:pPr>
      <w:r>
        <w:rPr>
          <w:rStyle w:val="StrongEmphasis"/>
        </w:rPr>
        <w:t>Run the VIF function</w:t>
      </w:r>
      <w:r>
        <w:t>:</w:t>
      </w:r>
    </w:p>
    <w:p w:rsidR="0042144A" w:rsidRDefault="00413989">
      <w:pPr>
        <w:pStyle w:val="Textbody"/>
        <w:numPr>
          <w:ilvl w:val="1"/>
          <w:numId w:val="6"/>
        </w:numPr>
        <w:spacing w:after="0"/>
      </w:pPr>
      <w:r>
        <w:rPr>
          <w:rStyle w:val="SourceText"/>
        </w:rPr>
        <w:t>vif_spatial()</w:t>
      </w:r>
      <w:r>
        <w:t xml:space="preserve"> is called to compute th</w:t>
      </w:r>
      <w:r>
        <w:t>e VIF score for the images with a neighborhood window size (</w:t>
      </w:r>
      <w:r>
        <w:rPr>
          <w:rStyle w:val="SourceText"/>
        </w:rPr>
        <w:t>k=11</w:t>
      </w:r>
      <w:r>
        <w:t>) and noise variance (</w:t>
      </w:r>
      <w:r>
        <w:rPr>
          <w:rStyle w:val="SourceText"/>
        </w:rPr>
        <w:t>sigma_nsq=0.1</w:t>
      </w:r>
      <w:r>
        <w:t>).</w:t>
      </w:r>
    </w:p>
    <w:p w:rsidR="0042144A" w:rsidRDefault="00413989">
      <w:pPr>
        <w:pStyle w:val="Textbody"/>
        <w:numPr>
          <w:ilvl w:val="0"/>
          <w:numId w:val="6"/>
        </w:numPr>
        <w:spacing w:after="0"/>
      </w:pPr>
      <w:r>
        <w:rPr>
          <w:rStyle w:val="StrongEmphasis"/>
        </w:rPr>
        <w:t>Output the result</w:t>
      </w:r>
      <w:r>
        <w:t>:</w:t>
      </w:r>
    </w:p>
    <w:p w:rsidR="0042144A" w:rsidRDefault="00413989">
      <w:pPr>
        <w:pStyle w:val="Textbody"/>
        <w:numPr>
          <w:ilvl w:val="1"/>
          <w:numId w:val="6"/>
        </w:numPr>
      </w:pPr>
      <w:r>
        <w:t>The VIF score is printed, which tells you how much visual information is preserved in the distorted image relative to the reference.</w:t>
      </w:r>
    </w:p>
    <w:p w:rsidR="0042144A" w:rsidRDefault="00413989">
      <w:pPr>
        <w:pStyle w:val="Heading3"/>
      </w:pPr>
      <w:r>
        <w:t>Ex</w:t>
      </w:r>
      <w:r>
        <w:t>pected Result:</w:t>
      </w:r>
    </w:p>
    <w:p w:rsidR="0042144A" w:rsidRDefault="00413989">
      <w:pPr>
        <w:pStyle w:val="Textbody"/>
      </w:pPr>
      <w:r>
        <w:t>The VIF score quantifies how much of the visual information in the reference image is retained in the distorted image. A higher VIF score indicates that the distorted image is visually similar to the reference, while a lower VIF score indica</w:t>
      </w:r>
      <w:r>
        <w:t>tes more distortion or degradation.</w:t>
      </w:r>
    </w:p>
    <w:p w:rsidR="0042144A" w:rsidRDefault="00413989">
      <w:pPr>
        <w:pStyle w:val="Textbody"/>
      </w:pPr>
      <w:r>
        <w:t>For example, if the images are identical, the VIF score will be close to 1. If the distorted image has significant degradation (e.g., due to compression, noise, or other artifacts), the VIF score will be closer to 0.</w:t>
      </w:r>
    </w:p>
    <w:p w:rsidR="0042144A" w:rsidRDefault="0042144A">
      <w:pPr>
        <w:pStyle w:val="Standard"/>
      </w:pPr>
    </w:p>
    <w:p w:rsidR="0042144A" w:rsidRDefault="0042144A">
      <w:pPr>
        <w:pStyle w:val="Standard"/>
      </w:pPr>
    </w:p>
    <w:p w:rsidR="0042144A" w:rsidRDefault="00413989">
      <w:pPr>
        <w:pStyle w:val="Standard"/>
      </w:pPr>
      <w:r>
        <w:t>Output:</w:t>
      </w:r>
    </w:p>
    <w:p w:rsidR="0042144A" w:rsidRDefault="0042144A">
      <w:pPr>
        <w:pStyle w:val="Standard"/>
      </w:pPr>
    </w:p>
    <w:p w:rsidR="0042144A" w:rsidRDefault="00413989">
      <w:pPr>
        <w:pStyle w:val="Standard"/>
      </w:pPr>
      <w:r>
        <w:t>(10x Colon)</w:t>
      </w:r>
    </w:p>
    <w:p w:rsidR="0042144A" w:rsidRDefault="0042144A">
      <w:pPr>
        <w:pStyle w:val="Standard"/>
      </w:pPr>
    </w:p>
    <w:tbl>
      <w:tblPr>
        <w:tblW w:w="9638" w:type="dxa"/>
        <w:tblInd w:w="-3" w:type="dxa"/>
        <w:tblLayout w:type="fixed"/>
        <w:tblCellMar>
          <w:left w:w="10" w:type="dxa"/>
          <w:right w:w="10" w:type="dxa"/>
        </w:tblCellMar>
        <w:tblLook w:val="0000" w:firstRow="0" w:lastRow="0" w:firstColumn="0" w:lastColumn="0" w:noHBand="0" w:noVBand="0"/>
      </w:tblPr>
      <w:tblGrid>
        <w:gridCol w:w="1527"/>
        <w:gridCol w:w="1591"/>
        <w:gridCol w:w="6520"/>
      </w:tblGrid>
      <w:tr w:rsidR="0042144A">
        <w:tblPrEx>
          <w:tblCellMar>
            <w:top w:w="0" w:type="dxa"/>
            <w:bottom w:w="0" w:type="dxa"/>
          </w:tblCellMar>
        </w:tblPrEx>
        <w:tc>
          <w:tcPr>
            <w:tcW w:w="1527" w:type="dxa"/>
            <w:tcBorders>
              <w:top w:val="single" w:sz="4" w:space="0" w:color="000000"/>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Input Image</w:t>
            </w:r>
          </w:p>
        </w:tc>
        <w:tc>
          <w:tcPr>
            <w:tcW w:w="1591" w:type="dxa"/>
            <w:tcBorders>
              <w:top w:val="single" w:sz="4" w:space="0" w:color="000000"/>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Output Image</w:t>
            </w:r>
          </w:p>
        </w:tc>
        <w:tc>
          <w:tcPr>
            <w:tcW w:w="652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TableContents"/>
            </w:pPr>
            <w:r>
              <w:t>VIF score</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0.012318955942089541</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0.012175518521742135</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4</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0.012318955942089541</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5</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0.01662302110051669</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6</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0.016284134867074054</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7</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8</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0.01639609932180217</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9</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10</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0.016805671935029864</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9</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11</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0.017856759503448966</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9</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12</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0.015922880619809433</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13</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14</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0.0497796749183568</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13</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15</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0.9999999998460583</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13</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16</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0.04996996481961997</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13</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17</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0.054334297278039026</w:t>
            </w:r>
          </w:p>
        </w:tc>
      </w:tr>
      <w:tr w:rsidR="0042144A">
        <w:tblPrEx>
          <w:tblCellMar>
            <w:top w:w="0" w:type="dxa"/>
            <w:bottom w:w="0" w:type="dxa"/>
          </w:tblCellMar>
        </w:tblPrEx>
        <w:tc>
          <w:tcPr>
            <w:tcW w:w="1527"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13</w:t>
            </w:r>
          </w:p>
        </w:tc>
        <w:tc>
          <w:tcPr>
            <w:tcW w:w="1591"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18</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0.054334297278039026</w:t>
            </w:r>
          </w:p>
        </w:tc>
      </w:tr>
    </w:tbl>
    <w:p w:rsidR="00000000" w:rsidRDefault="00413989">
      <w:pPr>
        <w:rPr>
          <w:vanish/>
        </w:rPr>
      </w:pPr>
    </w:p>
    <w:tbl>
      <w:tblPr>
        <w:tblW w:w="9638" w:type="dxa"/>
        <w:tblInd w:w="-3" w:type="dxa"/>
        <w:tblLayout w:type="fixed"/>
        <w:tblCellMar>
          <w:left w:w="10" w:type="dxa"/>
          <w:right w:w="10" w:type="dxa"/>
        </w:tblCellMar>
        <w:tblLook w:val="0000" w:firstRow="0" w:lastRow="0" w:firstColumn="0" w:lastColumn="0" w:noHBand="0" w:noVBand="0"/>
      </w:tblPr>
      <w:tblGrid>
        <w:gridCol w:w="1525"/>
        <w:gridCol w:w="1593"/>
        <w:gridCol w:w="6520"/>
      </w:tblGrid>
      <w:tr w:rsidR="0042144A">
        <w:tblPrEx>
          <w:tblCellMar>
            <w:top w:w="0" w:type="dxa"/>
            <w:bottom w:w="0" w:type="dxa"/>
          </w:tblCellMar>
        </w:tblPrEx>
        <w:tc>
          <w:tcPr>
            <w:tcW w:w="1525" w:type="dxa"/>
            <w:tcBorders>
              <w:top w:val="single" w:sz="4" w:space="0" w:color="000000"/>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19</w:t>
            </w:r>
          </w:p>
        </w:tc>
        <w:tc>
          <w:tcPr>
            <w:tcW w:w="1593" w:type="dxa"/>
            <w:tcBorders>
              <w:top w:val="single" w:sz="4" w:space="0" w:color="000000"/>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20</w:t>
            </w:r>
          </w:p>
        </w:tc>
        <w:tc>
          <w:tcPr>
            <w:tcW w:w="652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0.9999999998563928</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19</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21</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0.0334483851593107</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19</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22</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0.04205262287776285</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19</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23</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0.03158162661026976</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19</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24</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0.03158162661026976</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25</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26</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0.03827071943324314</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25</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27</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0.03827071943324314</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25</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28</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0.03827071943324314</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25</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29</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0.03668437327353689</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25</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30</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0.03398924799378815</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25</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31</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0.03788515725208807</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32</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33</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0.9999999998488189</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32</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34</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0.05042186927301609</w:t>
            </w:r>
          </w:p>
        </w:tc>
      </w:tr>
      <w:tr w:rsidR="0042144A">
        <w:tblPrEx>
          <w:tblCellMar>
            <w:top w:w="0" w:type="dxa"/>
            <w:bottom w:w="0" w:type="dxa"/>
          </w:tblCellMar>
        </w:tblPrEx>
        <w:tc>
          <w:tcPr>
            <w:tcW w:w="1525"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35</w:t>
            </w:r>
          </w:p>
        </w:tc>
        <w:tc>
          <w:tcPr>
            <w:tcW w:w="1593" w:type="dxa"/>
            <w:tcBorders>
              <w:left w:val="single" w:sz="4" w:space="0" w:color="000000"/>
              <w:bottom w:val="single" w:sz="4" w:space="0" w:color="000000"/>
            </w:tcBorders>
            <w:tcMar>
              <w:top w:w="55" w:type="dxa"/>
              <w:left w:w="55" w:type="dxa"/>
              <w:bottom w:w="55" w:type="dxa"/>
              <w:right w:w="55" w:type="dxa"/>
            </w:tcMar>
          </w:tcPr>
          <w:p w:rsidR="0042144A" w:rsidRDefault="00413989">
            <w:pPr>
              <w:pStyle w:val="TableContents"/>
            </w:pPr>
            <w:r>
              <w:t>36</w:t>
            </w:r>
          </w:p>
        </w:tc>
        <w:tc>
          <w:tcPr>
            <w:tcW w:w="6520" w:type="dxa"/>
            <w:tcBorders>
              <w:left w:val="single" w:sz="4" w:space="0" w:color="000000"/>
              <w:bottom w:val="single" w:sz="4" w:space="0" w:color="000000"/>
              <w:right w:val="single" w:sz="4" w:space="0" w:color="000000"/>
            </w:tcBorders>
            <w:tcMar>
              <w:top w:w="55" w:type="dxa"/>
              <w:left w:w="55" w:type="dxa"/>
              <w:bottom w:w="55" w:type="dxa"/>
              <w:right w:w="55" w:type="dxa"/>
            </w:tcMar>
          </w:tcPr>
          <w:p w:rsidR="0042144A" w:rsidRDefault="00413989">
            <w:pPr>
              <w:pStyle w:val="PreformattedText"/>
            </w:pPr>
            <w:r>
              <w:rPr>
                <w:rFonts w:ascii="var jp-code-font-family" w:hAnsi="var jp-code-font-family"/>
                <w:sz w:val="21"/>
              </w:rPr>
              <w:t>0.05726499633762726</w:t>
            </w:r>
          </w:p>
        </w:tc>
      </w:tr>
    </w:tbl>
    <w:p w:rsidR="0042144A" w:rsidRDefault="0042144A">
      <w:pPr>
        <w:pStyle w:val="Standard"/>
      </w:pPr>
    </w:p>
    <w:sectPr w:rsidR="0042144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13989">
      <w:r>
        <w:separator/>
      </w:r>
    </w:p>
  </w:endnote>
  <w:endnote w:type="continuationSeparator" w:id="0">
    <w:p w:rsidR="00000000" w:rsidRDefault="0041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var jp-code-font-family">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13989">
      <w:r>
        <w:rPr>
          <w:color w:val="000000"/>
        </w:rPr>
        <w:separator/>
      </w:r>
    </w:p>
  </w:footnote>
  <w:footnote w:type="continuationSeparator" w:id="0">
    <w:p w:rsidR="00000000" w:rsidRDefault="00413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00"/>
    <w:multiLevelType w:val="multilevel"/>
    <w:tmpl w:val="53FA34F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1E184393"/>
    <w:multiLevelType w:val="multilevel"/>
    <w:tmpl w:val="4F421E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34E60DE8"/>
    <w:multiLevelType w:val="multilevel"/>
    <w:tmpl w:val="79BE067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509C29E9"/>
    <w:multiLevelType w:val="multilevel"/>
    <w:tmpl w:val="35AA13C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61F24B88"/>
    <w:multiLevelType w:val="multilevel"/>
    <w:tmpl w:val="C936D47A"/>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7AAA217F"/>
    <w:multiLevelType w:val="multilevel"/>
    <w:tmpl w:val="94C27E9E"/>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2144A"/>
    <w:rsid w:val="00413989"/>
    <w:rsid w:val="0042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1F524-D60C-4D3E-B5EE-27BABE46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trongEmphasis">
    <w:name w:val="Strong Emphasis"/>
    <w:rPr>
      <w:b/>
      <w:bCs/>
    </w:r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cp:lastModifiedBy>
  <cp:revision>2</cp:revision>
  <dcterms:created xsi:type="dcterms:W3CDTF">2025-02-09T14:30:00Z</dcterms:created>
  <dcterms:modified xsi:type="dcterms:W3CDTF">2025-02-09T14:30:00Z</dcterms:modified>
</cp:coreProperties>
</file>