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b/>
          <w:sz w:val="36"/>
        </w:rPr>
        <w:t>A CASE-STUDY BASED REPORT</w:t>
      </w:r>
    </w:p>
    <w:p>
      <w:pPr>
        <w:spacing w:after="200"/>
        <w:jc w:val="center"/>
      </w:pPr>
      <w:r>
        <w:rPr>
          <w:rFonts w:ascii="Times New Roman" w:hAnsi="Times New Roman"/>
          <w:b/>
          <w:sz w:val="26"/>
        </w:rPr>
        <w:t>ON</w:t>
      </w:r>
    </w:p>
    <w:p>
      <w:pPr>
        <w:spacing w:after="360"/>
        <w:jc w:val="center"/>
      </w:pPr>
      <w:r>
        <w:rPr>
          <w:rFonts w:ascii="Times New Roman" w:hAnsi="Times New Roman"/>
          <w:b/>
          <w:sz w:val="34"/>
        </w:rPr>
        <w:t>A Case Study on Bankruptcy Prediction Using Decision Trees and Random Forest Models</w:t>
      </w:r>
    </w:p>
    <w:p>
      <w:pPr>
        <w:spacing w:after="120"/>
        <w:jc w:val="center"/>
      </w:pPr>
      <w:r>
        <w:rPr>
          <w:rFonts w:ascii="Times New Roman" w:hAnsi="Times New Roman"/>
          <w:b w:val="0"/>
          <w:sz w:val="24"/>
        </w:rPr>
        <w:t>submitted in partial fulfilment of the requirements for the Course</w:t>
      </w:r>
    </w:p>
    <w:p>
      <w:pPr>
        <w:spacing w:after="100"/>
        <w:jc w:val="center"/>
      </w:pPr>
      <w:r>
        <w:rPr>
          <w:rFonts w:ascii="Times New Roman" w:hAnsi="Times New Roman"/>
          <w:b/>
          <w:sz w:val="26"/>
        </w:rPr>
        <w:t>MACHINE LEARNING</w:t>
      </w:r>
    </w:p>
    <w:p>
      <w:pPr>
        <w:spacing w:after="100"/>
        <w:jc w:val="center"/>
      </w:pPr>
      <w:r>
        <w:rPr>
          <w:rFonts w:ascii="Times New Roman" w:hAnsi="Times New Roman"/>
          <w:b/>
          <w:sz w:val="26"/>
        </w:rPr>
        <w:t>BACHELOR OF TECHNOLOGY</w:t>
      </w:r>
    </w:p>
    <w:p>
      <w:pPr>
        <w:spacing w:after="100"/>
        <w:jc w:val="center"/>
      </w:pPr>
      <w:r>
        <w:rPr>
          <w:rFonts w:ascii="Times New Roman" w:hAnsi="Times New Roman"/>
          <w:b w:val="0"/>
          <w:sz w:val="24"/>
        </w:rPr>
        <w:t>in</w:t>
      </w:r>
    </w:p>
    <w:p>
      <w:pPr>
        <w:spacing w:after="360"/>
        <w:jc w:val="center"/>
      </w:pPr>
      <w:r>
        <w:rPr>
          <w:rFonts w:ascii="Times New Roman" w:hAnsi="Times New Roman"/>
          <w:b/>
          <w:sz w:val="26"/>
        </w:rPr>
        <w:t>COMPUTER SCIENCE AND ENGINEERING</w:t>
      </w:r>
    </w:p>
    <w:p>
      <w:pPr>
        <w:spacing w:after="360"/>
        <w:jc w:val="center"/>
      </w:pPr>
      <w:r>
        <w:rPr>
          <w:rFonts w:ascii="Times New Roman" w:hAnsi="Times New Roman"/>
          <w:b/>
          <w:sz w:val="24"/>
        </w:rPr>
        <w:t>A.Y.: 2026-27</w:t>
      </w:r>
    </w:p>
    <w:p>
      <w:pPr>
        <w:spacing w:after="160"/>
        <w:jc w:val="center"/>
      </w:pPr>
      <w:r>
        <w:rPr>
          <w:rFonts w:ascii="Times New Roman" w:hAnsi="Times New Roman"/>
          <w:b w:val="0"/>
          <w:sz w:val="24"/>
        </w:rPr>
        <w:t>by</w:t>
      </w:r>
    </w:p>
    <w:p>
      <w:pPr>
        <w:spacing w:after="80"/>
        <w:jc w:val="center"/>
      </w:pPr>
      <w:r>
        <w:rPr>
          <w:rFonts w:ascii="Times New Roman" w:hAnsi="Times New Roman"/>
          <w:b/>
          <w:sz w:val="24"/>
        </w:rPr>
        <w:t>J. NANDITHA (2520030013)</w:t>
      </w:r>
    </w:p>
    <w:p>
      <w:pPr>
        <w:spacing w:after="360"/>
        <w:jc w:val="center"/>
      </w:pPr>
      <w:r>
        <w:rPr>
          <w:rFonts w:ascii="Times New Roman" w:hAnsi="Times New Roman"/>
          <w:b/>
          <w:sz w:val="24"/>
        </w:rPr>
        <w:t>K. SRITHIKA (2520030361)</w:t>
      </w:r>
    </w:p>
    <w:p>
      <w:pPr>
        <w:spacing w:after="120"/>
        <w:jc w:val="center"/>
      </w:pPr>
      <w:r>
        <w:rPr>
          <w:rFonts w:ascii="Times New Roman" w:hAnsi="Times New Roman"/>
          <w:b w:val="0"/>
          <w:sz w:val="24"/>
        </w:rPr>
        <w:t>Under the Esteemed guidance of</w:t>
      </w:r>
    </w:p>
    <w:p>
      <w:pPr>
        <w:spacing w:after="80"/>
        <w:jc w:val="center"/>
      </w:pPr>
      <w:r>
        <w:rPr>
          <w:rFonts w:ascii="Times New Roman" w:hAnsi="Times New Roman"/>
          <w:b/>
          <w:sz w:val="24"/>
        </w:rPr>
        <w:t>Mr. Shaik Asif</w:t>
      </w:r>
    </w:p>
    <w:p>
      <w:pPr>
        <w:spacing w:after="200"/>
        <w:jc w:val="center"/>
      </w:pPr>
      <w:r>
        <w:rPr>
          <w:rFonts w:ascii="Times New Roman" w:hAnsi="Times New Roman"/>
          <w:b w:val="0"/>
          <w:sz w:val="24"/>
        </w:rPr>
        <w:t>Assistant Professor, Department of CSE</w:t>
      </w:r>
    </w:p>
    <w:p>
      <w:pPr>
        <w:spacing w:after="120"/>
        <w:jc w:val="center"/>
      </w:pPr>
      <w:r>
        <w:rPr>
          <w:rFonts w:ascii="Times New Roman" w:hAnsi="Times New Roman"/>
          <w:b/>
          <w:sz w:val="24"/>
        </w:rPr>
        <w:t>2026</w:t>
      </w:r>
    </w:p>
    <w:p>
      <w:r>
        <w:br w:type="page"/>
      </w:r>
    </w:p>
    <w:p>
      <w:pPr>
        <w:pStyle w:val="Heading1"/>
      </w:pPr>
      <w:r>
        <w:t>INDEX</w:t>
      </w:r>
    </w:p>
    <w:p>
      <w:pPr>
        <w:spacing w:after="60"/>
      </w:pPr>
      <w:r>
        <w:t>1. Abstract</w:t>
      </w:r>
    </w:p>
    <w:p>
      <w:pPr>
        <w:spacing w:after="60"/>
      </w:pPr>
      <w:r>
        <w:t>2. Introduction</w:t>
      </w:r>
    </w:p>
    <w:p>
      <w:pPr>
        <w:spacing w:after="60"/>
      </w:pPr>
      <w:r>
        <w:t>3. Background</w:t>
      </w:r>
    </w:p>
    <w:p>
      <w:pPr>
        <w:spacing w:after="60"/>
      </w:pPr>
      <w:r>
        <w:t>4. Motivation for the Project</w:t>
      </w:r>
    </w:p>
    <w:p>
      <w:pPr>
        <w:spacing w:after="60"/>
      </w:pPr>
      <w:r>
        <w:t>5. Overview of the Work Carried Out</w:t>
      </w:r>
    </w:p>
    <w:p>
      <w:pPr>
        <w:spacing w:after="60"/>
      </w:pPr>
      <w:r>
        <w:t>6. Scope and Responsible-Use Statement</w:t>
      </w:r>
    </w:p>
    <w:p>
      <w:pPr>
        <w:spacing w:after="60"/>
      </w:pPr>
      <w:r>
        <w:t>7. Problem Statement</w:t>
      </w:r>
    </w:p>
    <w:p>
      <w:pPr>
        <w:spacing w:after="60"/>
      </w:pPr>
      <w:r>
        <w:t>8. Case-Study Scenario</w:t>
      </w:r>
    </w:p>
    <w:p>
      <w:pPr>
        <w:spacing w:after="60"/>
      </w:pPr>
      <w:r>
        <w:t>9. Central Case-Study Question</w:t>
      </w:r>
    </w:p>
    <w:p>
      <w:pPr>
        <w:spacing w:after="60"/>
      </w:pPr>
      <w:r>
        <w:t>10. Formal Problem Definition</w:t>
      </w:r>
    </w:p>
    <w:p>
      <w:pPr>
        <w:spacing w:after="60"/>
      </w:pPr>
      <w:r>
        <w:t>11. Objectives that Guide the Study</w:t>
      </w:r>
    </w:p>
    <w:p>
      <w:pPr>
        <w:spacing w:after="60"/>
      </w:pPr>
      <w:r>
        <w:t>12. Assumptions and Limitations</w:t>
      </w:r>
    </w:p>
    <w:p>
      <w:pPr>
        <w:spacing w:after="60"/>
      </w:pPr>
      <w:r>
        <w:t>13. Dataset and Exploratory Data Analysis</w:t>
      </w:r>
    </w:p>
    <w:p>
      <w:pPr>
        <w:spacing w:after="60"/>
      </w:pPr>
      <w:r>
        <w:t>14. About the Dataset</w:t>
      </w:r>
    </w:p>
    <w:p>
      <w:pPr>
        <w:spacing w:after="60"/>
      </w:pPr>
      <w:r>
        <w:t>15. Purpose of EDA</w:t>
      </w:r>
    </w:p>
    <w:p>
      <w:pPr>
        <w:spacing w:after="60"/>
      </w:pPr>
      <w:r>
        <w:t>16. Preparation Steps Actually Performed</w:t>
      </w:r>
    </w:p>
    <w:p>
      <w:pPr>
        <w:spacing w:after="60"/>
      </w:pPr>
      <w:r>
        <w:t>17. EDA Exploration – Implementation</w:t>
      </w:r>
    </w:p>
    <w:p>
      <w:pPr>
        <w:spacing w:after="60"/>
      </w:pPr>
      <w:r>
        <w:t>18. Summary of EDA Findings</w:t>
      </w:r>
    </w:p>
    <w:p>
      <w:pPr>
        <w:spacing w:after="60"/>
      </w:pPr>
      <w:r>
        <w:t>19. Algorithm Selection and Implementation</w:t>
      </w:r>
    </w:p>
    <w:p>
      <w:pPr>
        <w:spacing w:after="60"/>
      </w:pPr>
      <w:r>
        <w:t>20. Conclusion</w:t>
      </w:r>
    </w:p>
    <w:p>
      <w:pPr>
        <w:spacing w:after="60"/>
      </w:pPr>
      <w:r>
        <w:t>21. Signature of the Team Members</w:t>
      </w:r>
    </w:p>
    <w:p>
      <w:r>
        <w:br w:type="page"/>
      </w:r>
    </w:p>
    <w:p>
      <w:pPr>
        <w:pStyle w:val="Heading1"/>
      </w:pPr>
      <w:r>
        <w:t>1. ABSTRACT</w:t>
      </w:r>
    </w:p>
    <w:p>
      <w:pPr>
        <w:jc w:val="both"/>
      </w:pPr>
      <w:r>
        <w:t>Bankruptcy prediction is an important financial-risk problem because early identification of financial distress can support timely corrective decisions by companies, banks, investors, lenders and other stakeholders. This case study develops a supervised machine-learning approach for classifying companies as bankrupt or non-bankrupt using financial indicators. The project focuses on two classification algorithms: Decision Tree and Random Forest. The Decision Tree provides an interpretable rule-based structure, while Random Forest combines multiple trees to improve generalisation and reduce overfitting.</w:t>
      </w:r>
    </w:p>
    <w:p>
      <w:pPr>
        <w:jc w:val="both"/>
      </w:pPr>
      <w:r>
        <w:t>The study uses the Taiwanese Bankruptcy Prediction dataset from the UCI Machine Learning Repository. The dataset contains 6,819 company instances and 95 financial features, with the target variable 'Bankrupt?'. The supplied EDA workflow examines data dimensions, column types, missing values, duplicate rows, descriptive statistics, class distribution, constant features, feature-target correlations, a correlation heatmap and boxplots. The actual dataset inspection performed for this report found 6,819 rows, 96 columns including the target, no missing values, no duplicate rows, and one constant feature, 'Net Income Flag'.</w:t>
      </w:r>
    </w:p>
    <w:p>
      <w:pPr>
        <w:jc w:val="both"/>
      </w:pPr>
      <w:r>
        <w:t>A major issue in the case is class imbalance: 6,599 companies are non-bankrupt and 220 are bankrupt. Therefore, accuracy alone is not sufficient. The proposed evaluation emphasises Precision, Recall, F1-score, confusion matrix, Precision-Recall curve and Average Precision. The case study does not invent final model scores because the supplied presentation explicitly states that final trained-model scores are not contained in the provided materials.</w:t>
      </w:r>
    </w:p>
    <w:p>
      <w:pPr>
        <w:pStyle w:val="Heading1"/>
      </w:pPr>
      <w:r>
        <w:t>2. INTRODUCTION</w:t>
      </w:r>
    </w:p>
    <w:p>
      <w:pPr>
        <w:jc w:val="both"/>
      </w:pPr>
      <w:r>
        <w:t>Bankruptcy represents a serious financial condition in which a company is unable to meet its financial obligations. It is generally preceded by financial distress, which may be reflected through declining profitability, weak liquidity, increasing liabilities and difficulty meeting financial commitments. Detecting these signals early can help stakeholders take corrective measures before financial problems become irreversible.</w:t>
      </w:r>
    </w:p>
    <w:p>
      <w:pPr>
        <w:jc w:val="both"/>
      </w:pPr>
      <w:r>
        <w:t>Traditional assessment relies heavily on manual examination of financial statements and financial ratios. Although expert analysis remains important, manual assessment can be time-consuming and may not capture complex relationships among a large number of financial indicators. Machine learning provides a complementary approach by learning patterns from historical observations and using those patterns to classify new observations.</w:t>
      </w:r>
    </w:p>
    <w:p>
      <w:pPr>
        <w:jc w:val="both"/>
      </w:pPr>
      <w:r>
        <w:t>This project therefore studies whether supervised classification can provide useful early-warning information for bankruptcy risk. The work compares an interpretable Decision Tree with an ensemble Random Forest and uses precision-oriented evaluation because the bankrupt class is much smaller than the non-bankrupt class.</w:t>
      </w:r>
    </w:p>
    <w:p>
      <w:pPr>
        <w:pStyle w:val="Heading1"/>
      </w:pPr>
      <w:r>
        <w:t>3. BACKGROUND</w:t>
      </w:r>
    </w:p>
    <w:p>
      <w:pPr>
        <w:jc w:val="both"/>
      </w:pPr>
      <w:r>
        <w:t>The project is based on the Taiwanese Bankruptcy Prediction dataset. The project materials identify the source as the UCI Machine Learning Repository, dataset ID 572, with data associated with the Taiwan Economic Journal for the period 1999–2009. The dataset contains 6,819 company instances and 95 financial features, plus the target column 'Bankrupt?'.</w:t>
      </w:r>
    </w:p>
    <w:p>
      <w:pPr>
        <w:jc w:val="both"/>
      </w:pPr>
      <w:r>
        <w:t>Decision Tree classification works by repeatedly splitting the feature space using threshold-based rules. This makes the model relatively easy to interpret, but an unrestricted tree may overfit. Random Forest addresses this limitation by constructing multiple decision trees using different random subsets of observations and features and combining their predictions through voting.</w:t>
      </w:r>
    </w:p>
    <w:p>
      <w:pPr>
        <w:pStyle w:val="Heading1"/>
      </w:pPr>
      <w:r>
        <w:t>4. MOTIVATION FOR THE PROJECT</w:t>
      </w:r>
    </w:p>
    <w:p>
      <w:pPr>
        <w:pStyle w:val="ListBullet"/>
      </w:pPr>
      <w:r>
        <w:t>Financial distress may develop before a company becomes formally bankrupt, creating an opportunity for earlier intervention.</w:t>
      </w:r>
    </w:p>
    <w:p>
      <w:pPr>
        <w:pStyle w:val="ListBullet"/>
      </w:pPr>
      <w:r>
        <w:t>Large numbers of financial indicators make purely manual comparison difficult and time-consuming.</w:t>
      </w:r>
    </w:p>
    <w:p>
      <w:pPr>
        <w:pStyle w:val="ListBullet"/>
      </w:pPr>
      <w:r>
        <w:t>Bankruptcy prediction is an imbalanced classification problem, so a model must be evaluated for its ability to detect the minority bankrupt class rather than relying only on overall accuracy.</w:t>
      </w:r>
    </w:p>
    <w:p>
      <w:pPr>
        <w:pStyle w:val="ListBullet"/>
      </w:pPr>
      <w:r>
        <w:t>Comparing an interpretable Decision Tree with a Random Forest provides a useful balance between transparency and stronger generalisation.</w:t>
      </w:r>
    </w:p>
    <w:p>
      <w:pPr>
        <w:pStyle w:val="ListBullet"/>
      </w:pPr>
      <w:r>
        <w:t>Feature analysis can help identify financial indicators that are most strongly associated with the target and support interpretation of the model.</w:t>
      </w:r>
    </w:p>
    <w:p>
      <w:pPr>
        <w:pStyle w:val="Heading1"/>
      </w:pPr>
      <w:r>
        <w:t>5. OVERVIEW OF THE WORK CARRIED OUT</w:t>
      </w:r>
    </w:p>
    <w:p>
      <w:pPr>
        <w:pStyle w:val="ListNumber"/>
      </w:pPr>
      <w:r>
        <w:t>Collected the Taiwanese Bankruptcy Prediction dataset supplied with the project.</w:t>
      </w:r>
    </w:p>
    <w:p>
      <w:pPr>
        <w:pStyle w:val="ListNumber"/>
      </w:pPr>
      <w:r>
        <w:t>Loaded the CSV dataset after extracting it from the ZIP file.</w:t>
      </w:r>
    </w:p>
    <w:p>
      <w:pPr>
        <w:pStyle w:val="ListNumber"/>
      </w:pPr>
      <w:r>
        <w:t>Inspected the first rows, shape, column names and data types.</w:t>
      </w:r>
    </w:p>
    <w:p>
      <w:pPr>
        <w:pStyle w:val="ListNumber"/>
      </w:pPr>
      <w:r>
        <w:t>Checked missing values and duplicate rows.</w:t>
      </w:r>
    </w:p>
    <w:p>
      <w:pPr>
        <w:pStyle w:val="ListNumber"/>
      </w:pPr>
      <w:r>
        <w:t>Calculated descriptive statistics and target-class distribution.</w:t>
      </w:r>
    </w:p>
    <w:p>
      <w:pPr>
        <w:pStyle w:val="ListNumber"/>
      </w:pPr>
      <w:r>
        <w:t>Detected constant features and prepared numerical data for correlation analysis.</w:t>
      </w:r>
    </w:p>
    <w:p>
      <w:pPr>
        <w:pStyle w:val="ListNumber"/>
      </w:pPr>
      <w:r>
        <w:t>Replaced infinite values with missing values before correlation calculations.</w:t>
      </w:r>
    </w:p>
    <w:p>
      <w:pPr>
        <w:pStyle w:val="ListNumber"/>
      </w:pPr>
      <w:r>
        <w:t>Ranked financial features by absolute correlation with the bankruptcy target.</w:t>
      </w:r>
    </w:p>
    <w:p>
      <w:pPr>
        <w:pStyle w:val="ListNumber"/>
      </w:pPr>
      <w:r>
        <w:t>Prepared a compact correlation heatmap and boxplots for the most relevant features.</w:t>
      </w:r>
    </w:p>
    <w:p>
      <w:pPr>
        <w:pStyle w:val="ListNumber"/>
      </w:pPr>
      <w:r>
        <w:t>Selected Decision Tree and Random Forest as the proposed classification models.</w:t>
      </w:r>
    </w:p>
    <w:p>
      <w:pPr>
        <w:pStyle w:val="ListNumber"/>
      </w:pPr>
      <w:r>
        <w:t>Defined Precision, Recall, F1-score, confusion matrix, Precision-Recall curve and Average Precision as the principal evaluation measures.</w:t>
      </w:r>
    </w:p>
    <w:p>
      <w:pPr>
        <w:pStyle w:val="Heading1"/>
      </w:pPr>
      <w:r>
        <w:t>6. SCOPE AND RESPONSIBLE-USE STATEMENT</w:t>
      </w:r>
    </w:p>
    <w:p>
      <w:pPr>
        <w:jc w:val="both"/>
      </w:pPr>
      <w:r>
        <w:t>The scope of this case study is academic and analytical. The model is intended as a decision-support aid for studying patterns in historical financial data; it is not presented as a substitute for professional financial, legal or regulatory judgement. A predicted class should not by itself determine lending, investment, restructuring or other high-stakes financial decisions.</w:t>
      </w:r>
    </w:p>
    <w:p>
      <w:pPr>
        <w:jc w:val="both"/>
      </w:pPr>
      <w:r>
        <w:t>The study is also limited by the historical nature of the dataset and by the fact that the supplied materials describe the proposed modelling and evaluation workflow but do not provide final trained-model scores. Any future deployment would require validation on appropriate current data, careful threshold selection, monitoring for distribution changes and domain-expert review.</w:t>
      </w:r>
    </w:p>
    <w:p>
      <w:pPr>
        <w:pStyle w:val="Heading1"/>
      </w:pPr>
      <w:r>
        <w:t>7. PROBLEM STATEMENT</w:t>
      </w:r>
    </w:p>
    <w:p>
      <w:pPr>
        <w:jc w:val="both"/>
      </w:pPr>
      <w:r>
        <w:t>Companies may experience declining profitability, reduced liquidity and increasing difficulty meeting financial obligations before bankruptcy. Traditional financial analysis requires manual examination of many financial ratios and may not fully capture nonlinear relationships among indicators. The problem is to use historical financial indicators to classify companies into bankrupt and non-bankrupt categories while paying particular attention to the severe imbalance between the two classes.</w:t>
      </w:r>
    </w:p>
    <w:p>
      <w:pPr>
        <w:pStyle w:val="Heading1"/>
      </w:pPr>
      <w:r>
        <w:t>8. CASE-STUDY SCENARIO</w:t>
      </w:r>
    </w:p>
    <w:p>
      <w:pPr>
        <w:jc w:val="both"/>
      </w:pPr>
      <w:r>
        <w:t>Consider a financial-risk assessment team that receives financial indicators for a large group of companies. The team wants an early screening mechanism that can flag companies whose financial profiles resemble historical bankrupt companies. The team has historical labelled data in which each company is marked as bankrupt or non-bankrupt. Instead of examining every ratio manually, the team proposes a supervised machine-learning system.</w:t>
      </w:r>
    </w:p>
    <w:p>
      <w:pPr>
        <w:jc w:val="both"/>
      </w:pPr>
      <w:r>
        <w:t>The system first performs exploratory analysis to understand the data and class imbalance. It then trains a Decision Tree and a Random Forest classifier. The models are evaluated on held-out data using precision-oriented metrics. The resulting analysis is intended to help the team identify which modelling approach provides a more useful balance between detecting actual bankrupt companies and limiting false bankruptcy predictions.</w:t>
      </w:r>
    </w:p>
    <w:p>
      <w:pPr>
        <w:pStyle w:val="Heading1"/>
      </w:pPr>
      <w:r>
        <w:t>9. CENTRAL CASE-STUDY QUESTION</w:t>
      </w:r>
    </w:p>
    <w:p>
      <w:pPr>
        <w:jc w:val="center"/>
      </w:pPr>
      <w:r>
        <w:rPr>
          <w:b/>
          <w:sz w:val="26"/>
        </w:rPr>
        <w:t>How can financial indicators be used with supervised machine learning to identify companies at risk of bankruptcy while maintaining a meaningful balance between detecting bankrupt companies and avoiding false bankruptcy predictions?</w:t>
      </w:r>
    </w:p>
    <w:p>
      <w:pPr>
        <w:pStyle w:val="Heading1"/>
      </w:pPr>
      <w:r>
        <w:t>10. FORMAL PROBLEM DEFINITION</w:t>
      </w:r>
    </w:p>
    <w:p>
      <w:pPr>
        <w:jc w:val="both"/>
      </w:pPr>
      <w:r>
        <w:t>Let each company be represented by a feature vector X = (x1, x2, ..., x95) containing financial indicators, and let y ∈ {0,1} represent the bankruptcy status, where 0 denotes non-bankrupt and 1 denotes bankrupt. The task is to learn a classification function f(X) → y from labelled historical observations.</w:t>
      </w:r>
    </w:p>
    <w:p>
      <w:pPr>
        <w:jc w:val="both"/>
      </w:pPr>
      <w:r>
        <w:t>The modelling problem is complicated by class imbalance. In the supplied dataset, the non-bankrupt class contains 6,599 observations while the bankrupt class contains 220 observations. Consequently, the selected evaluation criteria must measure minority-class detection quality and should not rely on accuracy alone.</w:t>
      </w:r>
    </w:p>
    <w:p>
      <w:pPr>
        <w:pStyle w:val="Heading1"/>
      </w:pPr>
      <w:r>
        <w:t>11. OBJECTIVES THAT GUIDE THE STUDY</w:t>
      </w:r>
    </w:p>
    <w:p>
      <w:pPr>
        <w:pStyle w:val="ListNumber"/>
      </w:pPr>
      <w:r>
        <w:t>Predict whether a company belongs to the bankrupt or non-bankrupt class using financial indicators.</w:t>
      </w:r>
    </w:p>
    <w:p>
      <w:pPr>
        <w:pStyle w:val="ListNumber"/>
      </w:pPr>
      <w:r>
        <w:t>Compare Decision Tree and Random Forest classifiers.</w:t>
      </w:r>
    </w:p>
    <w:p>
      <w:pPr>
        <w:pStyle w:val="ListNumber"/>
      </w:pPr>
      <w:r>
        <w:t>Investigate class imbalance and use evaluation measures that reflect minority-class performance.</w:t>
      </w:r>
    </w:p>
    <w:p>
      <w:pPr>
        <w:pStyle w:val="ListNumber"/>
      </w:pPr>
      <w:r>
        <w:t>Identify financial indicators that show stronger association with bankruptcy through EDA and feature analysis.</w:t>
      </w:r>
    </w:p>
    <w:p>
      <w:pPr>
        <w:pStyle w:val="ListNumber"/>
      </w:pPr>
      <w:r>
        <w:t>Evaluate the models using Precision, Recall, F1-score, confusion matrices, Precision-Recall curves and Average Precision.</w:t>
      </w:r>
    </w:p>
    <w:p>
      <w:pPr>
        <w:pStyle w:val="ListNumber"/>
      </w:pPr>
      <w:r>
        <w:t>Provide an academic decision-support framework for early financial-risk assessment.</w:t>
      </w:r>
    </w:p>
    <w:p>
      <w:pPr>
        <w:pStyle w:val="Heading1"/>
      </w:pPr>
      <w:r>
        <w:t>12. ASSUMPTIONS AND LIMITATIONS</w:t>
      </w:r>
    </w:p>
    <w:p>
      <w:pPr>
        <w:jc w:val="both"/>
      </w:pPr>
      <w:r>
        <w:t>Assumptions:</w:t>
      </w:r>
    </w:p>
    <w:p>
      <w:pPr>
        <w:pStyle w:val="ListBullet"/>
      </w:pPr>
      <w:r>
        <w:t>The historical target labels are treated as the reference outcome for supervised learning.</w:t>
      </w:r>
    </w:p>
    <w:p>
      <w:pPr>
        <w:pStyle w:val="ListBullet"/>
      </w:pPr>
      <w:r>
        <w:t>Financial features are assumed to be numerical or convertible to numerical form for the selected algorithms.</w:t>
      </w:r>
    </w:p>
    <w:p>
      <w:pPr>
        <w:pStyle w:val="ListBullet"/>
      </w:pPr>
      <w:r>
        <w:t>The held-out test set is assumed to represent unseen observations for evaluation.</w:t>
      </w:r>
    </w:p>
    <w:p>
      <w:pPr>
        <w:pStyle w:val="ListBullet"/>
      </w:pPr>
      <w:r>
        <w:t>Precision and recall are treated as more informative than accuracy for the imbalanced target.</w:t>
      </w:r>
    </w:p>
    <w:p>
      <w:pPr>
        <w:jc w:val="both"/>
      </w:pPr>
      <w:r>
        <w:t>Limitations:</w:t>
      </w:r>
    </w:p>
    <w:p>
      <w:pPr>
        <w:pStyle w:val="ListBullet"/>
      </w:pPr>
      <w:r>
        <w:t>The dataset represents a historical period and may not fully represent current economic conditions.</w:t>
      </w:r>
    </w:p>
    <w:p>
      <w:pPr>
        <w:pStyle w:val="ListBullet"/>
      </w:pPr>
      <w:r>
        <w:t>The bankrupt class is much smaller than the non-bankrupt class.</w:t>
      </w:r>
    </w:p>
    <w:p>
      <w:pPr>
        <w:pStyle w:val="ListBullet"/>
      </w:pPr>
      <w:r>
        <w:t>Correlation does not establish causation.</w:t>
      </w:r>
    </w:p>
    <w:p>
      <w:pPr>
        <w:pStyle w:val="ListBullet"/>
      </w:pPr>
      <w:r>
        <w:t>The supplied project materials do not contain final trained Decision Tree and Random Forest performance scores.</w:t>
      </w:r>
    </w:p>
    <w:p>
      <w:pPr>
        <w:pStyle w:val="ListBullet"/>
      </w:pPr>
      <w:r>
        <w:t>Model predictions should not be interpreted as definitive financial or legal conclusions.</w:t>
      </w:r>
    </w:p>
    <w:p>
      <w:pPr>
        <w:pStyle w:val="Heading1"/>
      </w:pPr>
      <w:r>
        <w:t>13. DATASET AND EXPLORATORY DATA ANALYSIS</w:t>
      </w:r>
    </w:p>
    <w:p>
      <w:pPr>
        <w:pStyle w:val="Heading2"/>
      </w:pPr>
      <w:r>
        <w:t>13.1 About the Dataset</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rFonts w:ascii="Times New Roman" w:hAnsi="Times New Roman"/>
                <w:b/>
                <w:sz w:val="20"/>
              </w:rPr>
              <w:t>Attribute</w:t>
            </w:r>
          </w:p>
        </w:tc>
        <w:tc>
          <w:tcPr>
            <w:tcW w:type="dxa" w:w="4824"/>
            <w:vAlign w:val="center"/>
          </w:tcPr>
          <w:p>
            <w:r>
              <w:rPr>
                <w:rFonts w:ascii="Times New Roman" w:hAnsi="Times New Roman"/>
                <w:b/>
                <w:sz w:val="20"/>
              </w:rPr>
              <w:t>Value</w:t>
            </w:r>
          </w:p>
        </w:tc>
      </w:tr>
      <w:tr>
        <w:tc>
          <w:tcPr>
            <w:tcW w:type="dxa" w:w="4824"/>
            <w:vAlign w:val="center"/>
          </w:tcPr>
          <w:p>
            <w:r>
              <w:rPr>
                <w:rFonts w:ascii="Times New Roman" w:hAnsi="Times New Roman"/>
                <w:sz w:val="20"/>
              </w:rPr>
              <w:t>Dataset</w:t>
            </w:r>
          </w:p>
        </w:tc>
        <w:tc>
          <w:tcPr>
            <w:tcW w:type="dxa" w:w="4824"/>
            <w:vAlign w:val="center"/>
          </w:tcPr>
          <w:p>
            <w:r>
              <w:rPr>
                <w:rFonts w:ascii="Times New Roman" w:hAnsi="Times New Roman"/>
                <w:sz w:val="20"/>
              </w:rPr>
              <w:t>Taiwanese Bankruptcy Prediction</w:t>
            </w:r>
          </w:p>
        </w:tc>
      </w:tr>
      <w:tr>
        <w:tc>
          <w:tcPr>
            <w:tcW w:type="dxa" w:w="4824"/>
            <w:vAlign w:val="center"/>
          </w:tcPr>
          <w:p>
            <w:r>
              <w:rPr>
                <w:rFonts w:ascii="Times New Roman" w:hAnsi="Times New Roman"/>
                <w:sz w:val="20"/>
              </w:rPr>
              <w:t>Source</w:t>
            </w:r>
          </w:p>
        </w:tc>
        <w:tc>
          <w:tcPr>
            <w:tcW w:type="dxa" w:w="4824"/>
            <w:vAlign w:val="center"/>
          </w:tcPr>
          <w:p>
            <w:r>
              <w:rPr>
                <w:rFonts w:ascii="Times New Roman" w:hAnsi="Times New Roman"/>
                <w:sz w:val="20"/>
              </w:rPr>
              <w:t>UCI Machine Learning Repository</w:t>
            </w:r>
          </w:p>
        </w:tc>
      </w:tr>
      <w:tr>
        <w:tc>
          <w:tcPr>
            <w:tcW w:type="dxa" w:w="4824"/>
            <w:vAlign w:val="center"/>
          </w:tcPr>
          <w:p>
            <w:r>
              <w:rPr>
                <w:rFonts w:ascii="Times New Roman" w:hAnsi="Times New Roman"/>
                <w:sz w:val="20"/>
              </w:rPr>
              <w:t>Dataset ID</w:t>
            </w:r>
          </w:p>
        </w:tc>
        <w:tc>
          <w:tcPr>
            <w:tcW w:type="dxa" w:w="4824"/>
            <w:vAlign w:val="center"/>
          </w:tcPr>
          <w:p>
            <w:r>
              <w:rPr>
                <w:rFonts w:ascii="Times New Roman" w:hAnsi="Times New Roman"/>
                <w:sz w:val="20"/>
              </w:rPr>
              <w:t>572</w:t>
            </w:r>
          </w:p>
        </w:tc>
      </w:tr>
      <w:tr>
        <w:tc>
          <w:tcPr>
            <w:tcW w:type="dxa" w:w="4824"/>
            <w:vAlign w:val="center"/>
          </w:tcPr>
          <w:p>
            <w:r>
              <w:rPr>
                <w:rFonts w:ascii="Times New Roman" w:hAnsi="Times New Roman"/>
                <w:sz w:val="20"/>
              </w:rPr>
              <w:t>Company instances</w:t>
            </w:r>
          </w:p>
        </w:tc>
        <w:tc>
          <w:tcPr>
            <w:tcW w:type="dxa" w:w="4824"/>
            <w:vAlign w:val="center"/>
          </w:tcPr>
          <w:p>
            <w:r>
              <w:rPr>
                <w:rFonts w:ascii="Times New Roman" w:hAnsi="Times New Roman"/>
                <w:sz w:val="20"/>
              </w:rPr>
              <w:t>6,819</w:t>
            </w:r>
          </w:p>
        </w:tc>
      </w:tr>
      <w:tr>
        <w:tc>
          <w:tcPr>
            <w:tcW w:type="dxa" w:w="4824"/>
            <w:vAlign w:val="center"/>
          </w:tcPr>
          <w:p>
            <w:r>
              <w:rPr>
                <w:rFonts w:ascii="Times New Roman" w:hAnsi="Times New Roman"/>
                <w:sz w:val="20"/>
              </w:rPr>
              <w:t>Financial features</w:t>
            </w:r>
          </w:p>
        </w:tc>
        <w:tc>
          <w:tcPr>
            <w:tcW w:type="dxa" w:w="4824"/>
            <w:vAlign w:val="center"/>
          </w:tcPr>
          <w:p>
            <w:r>
              <w:rPr>
                <w:rFonts w:ascii="Times New Roman" w:hAnsi="Times New Roman"/>
                <w:sz w:val="20"/>
              </w:rPr>
              <w:t>95</w:t>
            </w:r>
          </w:p>
        </w:tc>
      </w:tr>
      <w:tr>
        <w:tc>
          <w:tcPr>
            <w:tcW w:type="dxa" w:w="4824"/>
            <w:vAlign w:val="center"/>
          </w:tcPr>
          <w:p>
            <w:r>
              <w:rPr>
                <w:rFonts w:ascii="Times New Roman" w:hAnsi="Times New Roman"/>
                <w:sz w:val="20"/>
              </w:rPr>
              <w:t>Total columns inspected</w:t>
            </w:r>
          </w:p>
        </w:tc>
        <w:tc>
          <w:tcPr>
            <w:tcW w:type="dxa" w:w="4824"/>
            <w:vAlign w:val="center"/>
          </w:tcPr>
          <w:p>
            <w:r>
              <w:rPr>
                <w:rFonts w:ascii="Times New Roman" w:hAnsi="Times New Roman"/>
                <w:sz w:val="20"/>
              </w:rPr>
              <w:t>96 including target</w:t>
            </w:r>
          </w:p>
        </w:tc>
      </w:tr>
      <w:tr>
        <w:tc>
          <w:tcPr>
            <w:tcW w:type="dxa" w:w="4824"/>
            <w:vAlign w:val="center"/>
          </w:tcPr>
          <w:p>
            <w:r>
              <w:rPr>
                <w:rFonts w:ascii="Times New Roman" w:hAnsi="Times New Roman"/>
                <w:sz w:val="20"/>
              </w:rPr>
              <w:t>Target</w:t>
            </w:r>
          </w:p>
        </w:tc>
        <w:tc>
          <w:tcPr>
            <w:tcW w:type="dxa" w:w="4824"/>
            <w:vAlign w:val="center"/>
          </w:tcPr>
          <w:p>
            <w:r>
              <w:rPr>
                <w:rFonts w:ascii="Times New Roman" w:hAnsi="Times New Roman"/>
                <w:sz w:val="20"/>
              </w:rPr>
              <w:t>Bankrupt?</w:t>
            </w:r>
          </w:p>
        </w:tc>
      </w:tr>
      <w:tr>
        <w:tc>
          <w:tcPr>
            <w:tcW w:type="dxa" w:w="4824"/>
            <w:vAlign w:val="center"/>
          </w:tcPr>
          <w:p>
            <w:r>
              <w:rPr>
                <w:rFonts w:ascii="Times New Roman" w:hAnsi="Times New Roman"/>
                <w:sz w:val="20"/>
              </w:rPr>
              <w:t>Data period</w:t>
            </w:r>
          </w:p>
        </w:tc>
        <w:tc>
          <w:tcPr>
            <w:tcW w:type="dxa" w:w="4824"/>
            <w:vAlign w:val="center"/>
          </w:tcPr>
          <w:p>
            <w:r>
              <w:rPr>
                <w:rFonts w:ascii="Times New Roman" w:hAnsi="Times New Roman"/>
                <w:sz w:val="20"/>
              </w:rPr>
              <w:t>1999–2009</w:t>
            </w:r>
          </w:p>
        </w:tc>
      </w:tr>
      <w:tr>
        <w:tc>
          <w:tcPr>
            <w:tcW w:type="dxa" w:w="4824"/>
            <w:vAlign w:val="center"/>
          </w:tcPr>
          <w:p>
            <w:r>
              <w:rPr>
                <w:rFonts w:ascii="Times New Roman" w:hAnsi="Times New Roman"/>
                <w:sz w:val="20"/>
              </w:rPr>
              <w:t>Missing values</w:t>
            </w:r>
          </w:p>
        </w:tc>
        <w:tc>
          <w:tcPr>
            <w:tcW w:type="dxa" w:w="4824"/>
            <w:vAlign w:val="center"/>
          </w:tcPr>
          <w:p>
            <w:r>
              <w:rPr>
                <w:rFonts w:ascii="Times New Roman" w:hAnsi="Times New Roman"/>
                <w:sz w:val="20"/>
              </w:rPr>
              <w:t>0 in the supplied CSV</w:t>
            </w:r>
          </w:p>
        </w:tc>
      </w:tr>
      <w:tr>
        <w:tc>
          <w:tcPr>
            <w:tcW w:type="dxa" w:w="4824"/>
            <w:vAlign w:val="center"/>
          </w:tcPr>
          <w:p>
            <w:r>
              <w:rPr>
                <w:rFonts w:ascii="Times New Roman" w:hAnsi="Times New Roman"/>
                <w:sz w:val="20"/>
              </w:rPr>
              <w:t>Duplicate rows</w:t>
            </w:r>
          </w:p>
        </w:tc>
        <w:tc>
          <w:tcPr>
            <w:tcW w:type="dxa" w:w="4824"/>
            <w:vAlign w:val="center"/>
          </w:tcPr>
          <w:p>
            <w:r>
              <w:rPr>
                <w:rFonts w:ascii="Times New Roman" w:hAnsi="Times New Roman"/>
                <w:sz w:val="20"/>
              </w:rPr>
              <w:t>0 in the supplied CSV</w:t>
            </w:r>
          </w:p>
        </w:tc>
      </w:tr>
    </w:tbl>
    <w:p>
      <w:pPr>
        <w:pStyle w:val="Heading2"/>
      </w:pPr>
      <w:r>
        <w:t>13.2 Purpose of EDA</w:t>
      </w:r>
    </w:p>
    <w:p>
      <w:pPr>
        <w:jc w:val="both"/>
      </w:pPr>
      <w:r>
        <w:t>Exploratory Data Analysis is used to understand the structure and quality of the data before modelling. In this project, EDA checks the dimensions and data types, identifies missing and duplicate records, examines the class distribution, detects constant features, studies feature-target correlations and visually compares important financial indicators between bankrupt and non-bankrupt companies.</w:t>
      </w:r>
    </w:p>
    <w:p>
      <w:pPr>
        <w:pStyle w:val="Heading2"/>
      </w:pPr>
      <w:r>
        <w:t>13.3 Preparation Steps Actually Performed</w:t>
      </w:r>
    </w:p>
    <w:p>
      <w:pPr>
        <w:pStyle w:val="ListNumber"/>
      </w:pPr>
      <w:r>
        <w:t>The supplied ZIP archive was extracted and the CSV file data.csv was loaded.</w:t>
      </w:r>
    </w:p>
    <w:p>
      <w:pPr>
        <w:pStyle w:val="ListNumber"/>
      </w:pPr>
      <w:r>
        <w:t>The dataset was inspected using head(), shape, column names and data types.</w:t>
      </w:r>
    </w:p>
    <w:p>
      <w:pPr>
        <w:pStyle w:val="ListNumber"/>
      </w:pPr>
      <w:r>
        <w:t>Missing values were counted across all columns.</w:t>
      </w:r>
    </w:p>
    <w:p>
      <w:pPr>
        <w:pStyle w:val="ListNumber"/>
      </w:pPr>
      <w:r>
        <w:t>Duplicate rows were counted.</w:t>
      </w:r>
    </w:p>
    <w:p>
      <w:pPr>
        <w:pStyle w:val="ListNumber"/>
      </w:pPr>
      <w:r>
        <w:t>Descriptive statistics were generated.</w:t>
      </w:r>
    </w:p>
    <w:p>
      <w:pPr>
        <w:pStyle w:val="ListNumber"/>
      </w:pPr>
      <w:r>
        <w:t>The target variable 'Bankrupt?' was analysed using counts and percentages.</w:t>
      </w:r>
    </w:p>
    <w:p>
      <w:pPr>
        <w:pStyle w:val="ListNumber"/>
      </w:pPr>
      <w:r>
        <w:t>Constant features were identified.</w:t>
      </w:r>
    </w:p>
    <w:p>
      <w:pPr>
        <w:pStyle w:val="ListNumber"/>
      </w:pPr>
      <w:r>
        <w:t>Numerical columns were selected for correlation analysis.</w:t>
      </w:r>
    </w:p>
    <w:p>
      <w:pPr>
        <w:pStyle w:val="ListNumber"/>
      </w:pPr>
      <w:r>
        <w:t>Infinite values were replaced by NaN before correlation analysis.</w:t>
      </w:r>
    </w:p>
    <w:p>
      <w:pPr>
        <w:pStyle w:val="ListNumber"/>
      </w:pPr>
      <w:r>
        <w:t>Absolute feature-target correlations were ranked in descending order.</w:t>
      </w:r>
    </w:p>
    <w:p>
      <w:pPr>
        <w:pStyle w:val="Heading2"/>
      </w:pPr>
      <w:r>
        <w:t>13.4 EDA Exploration – Implementation</w:t>
      </w:r>
    </w:p>
    <w:p>
      <w:pPr>
        <w:jc w:val="both"/>
      </w:pPr>
      <w:r>
        <w:t>The supplied EDA notebook implements the exploration in a single Google Colab workflow. It imports Pandas, NumPy, Matplotlib, Seaborn, ZIP handling and operating-system utilities; accepts the project ZIP file; extracts the CSV; loads the dataset; and performs the EDA operations described above. The notebook also creates a class-distribution count plot, a correlation heatmap using the strongest features, and boxplots for the four most strongly correlated features.</w:t>
      </w:r>
    </w:p>
    <w:p>
      <w:pPr>
        <w:pStyle w:val="Heading2"/>
      </w:pPr>
      <w:r>
        <w:t>13.5 Summary of EDA Findings</w:t>
      </w:r>
    </w:p>
    <w:p>
      <w:pPr>
        <w:jc w:val="both"/>
      </w:pPr>
      <w:r>
        <w:t>The actual CSV supplied with the project contains 6,819 rows and 96 columns, comprising 95 financial features and the target variable. There are no missing values and no duplicate rows. One constant feature, 'Net Income Flag', was detected and therefore provides no variation for meaningful predictive analysis.</w:t>
      </w:r>
    </w:p>
    <w:p>
      <w:pPr>
        <w:jc w:val="both"/>
      </w:pPr>
      <w:r>
        <w:t>The target distribution is strongly imbalanced: 6,599 companies (96.77%) are non-bankrupt and 220 companies (3.23%) are bankrupt. This imbalance is the main reason the project emphasises Precision, Recall, F1-score and Precision-Recall analysis rather than accuracy alone.</w:t>
      </w:r>
    </w:p>
    <w:p>
      <w:pPr>
        <w:pStyle w:val="Heading3"/>
      </w:pPr>
      <w:r>
        <w:t>Top Financial Indicators by Absolute Correlation with Bankruptcy</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rPr>
                <w:rFonts w:ascii="Times New Roman" w:hAnsi="Times New Roman"/>
                <w:b/>
                <w:sz w:val="20"/>
              </w:rPr>
              <w:t>Rank</w:t>
            </w:r>
          </w:p>
        </w:tc>
        <w:tc>
          <w:tcPr>
            <w:tcW w:type="dxa" w:w="3216"/>
            <w:vAlign w:val="center"/>
          </w:tcPr>
          <w:p>
            <w:r>
              <w:rPr>
                <w:rFonts w:ascii="Times New Roman" w:hAnsi="Times New Roman"/>
                <w:b/>
                <w:sz w:val="20"/>
              </w:rPr>
              <w:t>Financial indicator</w:t>
            </w:r>
          </w:p>
        </w:tc>
        <w:tc>
          <w:tcPr>
            <w:tcW w:type="dxa" w:w="3216"/>
            <w:vAlign w:val="center"/>
          </w:tcPr>
          <w:p>
            <w:r>
              <w:rPr>
                <w:rFonts w:ascii="Times New Roman" w:hAnsi="Times New Roman"/>
                <w:b/>
                <w:sz w:val="20"/>
              </w:rPr>
              <w:t>Absolute correlation</w:t>
            </w:r>
          </w:p>
        </w:tc>
      </w:tr>
      <w:tr>
        <w:tc>
          <w:tcPr>
            <w:tcW w:type="dxa" w:w="3216"/>
            <w:vAlign w:val="center"/>
          </w:tcPr>
          <w:p>
            <w:r>
              <w:rPr>
                <w:rFonts w:ascii="Times New Roman" w:hAnsi="Times New Roman"/>
                <w:sz w:val="20"/>
              </w:rPr>
              <w:t>1</w:t>
            </w:r>
          </w:p>
        </w:tc>
        <w:tc>
          <w:tcPr>
            <w:tcW w:type="dxa" w:w="3216"/>
            <w:vAlign w:val="center"/>
          </w:tcPr>
          <w:p>
            <w:r>
              <w:rPr>
                <w:rFonts w:ascii="Times New Roman" w:hAnsi="Times New Roman"/>
                <w:sz w:val="20"/>
              </w:rPr>
              <w:t>Net Income to Total Assets</w:t>
            </w:r>
          </w:p>
        </w:tc>
        <w:tc>
          <w:tcPr>
            <w:tcW w:type="dxa" w:w="3216"/>
            <w:vAlign w:val="center"/>
          </w:tcPr>
          <w:p>
            <w:r>
              <w:rPr>
                <w:rFonts w:ascii="Times New Roman" w:hAnsi="Times New Roman"/>
                <w:sz w:val="20"/>
              </w:rPr>
              <w:t>0.315457</w:t>
            </w:r>
          </w:p>
        </w:tc>
      </w:tr>
      <w:tr>
        <w:tc>
          <w:tcPr>
            <w:tcW w:type="dxa" w:w="3216"/>
            <w:vAlign w:val="center"/>
          </w:tcPr>
          <w:p>
            <w:r>
              <w:rPr>
                <w:rFonts w:ascii="Times New Roman" w:hAnsi="Times New Roman"/>
                <w:sz w:val="20"/>
              </w:rPr>
              <w:t>2</w:t>
            </w:r>
          </w:p>
        </w:tc>
        <w:tc>
          <w:tcPr>
            <w:tcW w:type="dxa" w:w="3216"/>
            <w:vAlign w:val="center"/>
          </w:tcPr>
          <w:p>
            <w:r>
              <w:rPr>
                <w:rFonts w:ascii="Times New Roman" w:hAnsi="Times New Roman"/>
                <w:sz w:val="20"/>
              </w:rPr>
              <w:t>ROA(A) before interest and % after tax</w:t>
            </w:r>
          </w:p>
        </w:tc>
        <w:tc>
          <w:tcPr>
            <w:tcW w:type="dxa" w:w="3216"/>
            <w:vAlign w:val="center"/>
          </w:tcPr>
          <w:p>
            <w:r>
              <w:rPr>
                <w:rFonts w:ascii="Times New Roman" w:hAnsi="Times New Roman"/>
                <w:sz w:val="20"/>
              </w:rPr>
              <w:t>0.282941</w:t>
            </w:r>
          </w:p>
        </w:tc>
      </w:tr>
      <w:tr>
        <w:tc>
          <w:tcPr>
            <w:tcW w:type="dxa" w:w="3216"/>
            <w:vAlign w:val="center"/>
          </w:tcPr>
          <w:p>
            <w:r>
              <w:rPr>
                <w:rFonts w:ascii="Times New Roman" w:hAnsi="Times New Roman"/>
                <w:sz w:val="20"/>
              </w:rPr>
              <w:t>3</w:t>
            </w:r>
          </w:p>
        </w:tc>
        <w:tc>
          <w:tcPr>
            <w:tcW w:type="dxa" w:w="3216"/>
            <w:vAlign w:val="center"/>
          </w:tcPr>
          <w:p>
            <w:r>
              <w:rPr>
                <w:rFonts w:ascii="Times New Roman" w:hAnsi="Times New Roman"/>
                <w:sz w:val="20"/>
              </w:rPr>
              <w:t>ROA(B) before interest and depreciation after tax</w:t>
            </w:r>
          </w:p>
        </w:tc>
        <w:tc>
          <w:tcPr>
            <w:tcW w:type="dxa" w:w="3216"/>
            <w:vAlign w:val="center"/>
          </w:tcPr>
          <w:p>
            <w:r>
              <w:rPr>
                <w:rFonts w:ascii="Times New Roman" w:hAnsi="Times New Roman"/>
                <w:sz w:val="20"/>
              </w:rPr>
              <w:t>0.273051</w:t>
            </w:r>
          </w:p>
        </w:tc>
      </w:tr>
      <w:tr>
        <w:tc>
          <w:tcPr>
            <w:tcW w:type="dxa" w:w="3216"/>
            <w:vAlign w:val="center"/>
          </w:tcPr>
          <w:p>
            <w:r>
              <w:rPr>
                <w:rFonts w:ascii="Times New Roman" w:hAnsi="Times New Roman"/>
                <w:sz w:val="20"/>
              </w:rPr>
              <w:t>4</w:t>
            </w:r>
          </w:p>
        </w:tc>
        <w:tc>
          <w:tcPr>
            <w:tcW w:type="dxa" w:w="3216"/>
            <w:vAlign w:val="center"/>
          </w:tcPr>
          <w:p>
            <w:r>
              <w:rPr>
                <w:rFonts w:ascii="Times New Roman" w:hAnsi="Times New Roman"/>
                <w:sz w:val="20"/>
              </w:rPr>
              <w:t>ROA(C) before interest and depreciation before interest</w:t>
            </w:r>
          </w:p>
        </w:tc>
        <w:tc>
          <w:tcPr>
            <w:tcW w:type="dxa" w:w="3216"/>
            <w:vAlign w:val="center"/>
          </w:tcPr>
          <w:p>
            <w:r>
              <w:rPr>
                <w:rFonts w:ascii="Times New Roman" w:hAnsi="Times New Roman"/>
                <w:sz w:val="20"/>
              </w:rPr>
              <w:t>0.260807</w:t>
            </w:r>
          </w:p>
        </w:tc>
      </w:tr>
      <w:tr>
        <w:tc>
          <w:tcPr>
            <w:tcW w:type="dxa" w:w="3216"/>
            <w:vAlign w:val="center"/>
          </w:tcPr>
          <w:p>
            <w:r>
              <w:rPr>
                <w:rFonts w:ascii="Times New Roman" w:hAnsi="Times New Roman"/>
                <w:sz w:val="20"/>
              </w:rPr>
              <w:t>5</w:t>
            </w:r>
          </w:p>
        </w:tc>
        <w:tc>
          <w:tcPr>
            <w:tcW w:type="dxa" w:w="3216"/>
            <w:vAlign w:val="center"/>
          </w:tcPr>
          <w:p>
            <w:r>
              <w:rPr>
                <w:rFonts w:ascii="Times New Roman" w:hAnsi="Times New Roman"/>
                <w:sz w:val="20"/>
              </w:rPr>
              <w:t>Net worth/Assets</w:t>
            </w:r>
          </w:p>
        </w:tc>
        <w:tc>
          <w:tcPr>
            <w:tcW w:type="dxa" w:w="3216"/>
            <w:vAlign w:val="center"/>
          </w:tcPr>
          <w:p>
            <w:r>
              <w:rPr>
                <w:rFonts w:ascii="Times New Roman" w:hAnsi="Times New Roman"/>
                <w:sz w:val="20"/>
              </w:rPr>
              <w:t>0.250161</w:t>
            </w:r>
          </w:p>
        </w:tc>
      </w:tr>
      <w:tr>
        <w:tc>
          <w:tcPr>
            <w:tcW w:type="dxa" w:w="3216"/>
            <w:vAlign w:val="center"/>
          </w:tcPr>
          <w:p>
            <w:r>
              <w:rPr>
                <w:rFonts w:ascii="Times New Roman" w:hAnsi="Times New Roman"/>
                <w:sz w:val="20"/>
              </w:rPr>
              <w:t>6</w:t>
            </w:r>
          </w:p>
        </w:tc>
        <w:tc>
          <w:tcPr>
            <w:tcW w:type="dxa" w:w="3216"/>
            <w:vAlign w:val="center"/>
          </w:tcPr>
          <w:p>
            <w:r>
              <w:rPr>
                <w:rFonts w:ascii="Times New Roman" w:hAnsi="Times New Roman"/>
                <w:sz w:val="20"/>
              </w:rPr>
              <w:t>Debt ratio %</w:t>
            </w:r>
          </w:p>
        </w:tc>
        <w:tc>
          <w:tcPr>
            <w:tcW w:type="dxa" w:w="3216"/>
            <w:vAlign w:val="center"/>
          </w:tcPr>
          <w:p>
            <w:r>
              <w:rPr>
                <w:rFonts w:ascii="Times New Roman" w:hAnsi="Times New Roman"/>
                <w:sz w:val="20"/>
              </w:rPr>
              <w:t>0.250161</w:t>
            </w:r>
          </w:p>
        </w:tc>
      </w:tr>
      <w:tr>
        <w:tc>
          <w:tcPr>
            <w:tcW w:type="dxa" w:w="3216"/>
            <w:vAlign w:val="center"/>
          </w:tcPr>
          <w:p>
            <w:r>
              <w:rPr>
                <w:rFonts w:ascii="Times New Roman" w:hAnsi="Times New Roman"/>
                <w:sz w:val="20"/>
              </w:rPr>
              <w:t>7</w:t>
            </w:r>
          </w:p>
        </w:tc>
        <w:tc>
          <w:tcPr>
            <w:tcW w:type="dxa" w:w="3216"/>
            <w:vAlign w:val="center"/>
          </w:tcPr>
          <w:p>
            <w:r>
              <w:rPr>
                <w:rFonts w:ascii="Times New Roman" w:hAnsi="Times New Roman"/>
                <w:sz w:val="20"/>
              </w:rPr>
              <w:t>Persistent EPS in the Last Four Seasons</w:t>
            </w:r>
          </w:p>
        </w:tc>
        <w:tc>
          <w:tcPr>
            <w:tcW w:type="dxa" w:w="3216"/>
            <w:vAlign w:val="center"/>
          </w:tcPr>
          <w:p>
            <w:r>
              <w:rPr>
                <w:rFonts w:ascii="Times New Roman" w:hAnsi="Times New Roman"/>
                <w:sz w:val="20"/>
              </w:rPr>
              <w:t>0.219560</w:t>
            </w:r>
          </w:p>
        </w:tc>
      </w:tr>
      <w:tr>
        <w:tc>
          <w:tcPr>
            <w:tcW w:type="dxa" w:w="3216"/>
            <w:vAlign w:val="center"/>
          </w:tcPr>
          <w:p>
            <w:r>
              <w:rPr>
                <w:rFonts w:ascii="Times New Roman" w:hAnsi="Times New Roman"/>
                <w:sz w:val="20"/>
              </w:rPr>
              <w:t>8</w:t>
            </w:r>
          </w:p>
        </w:tc>
        <w:tc>
          <w:tcPr>
            <w:tcW w:type="dxa" w:w="3216"/>
            <w:vAlign w:val="center"/>
          </w:tcPr>
          <w:p>
            <w:r>
              <w:rPr>
                <w:rFonts w:ascii="Times New Roman" w:hAnsi="Times New Roman"/>
                <w:sz w:val="20"/>
              </w:rPr>
              <w:t>Retained Earnings to Total Assets</w:t>
            </w:r>
          </w:p>
        </w:tc>
        <w:tc>
          <w:tcPr>
            <w:tcW w:type="dxa" w:w="3216"/>
            <w:vAlign w:val="center"/>
          </w:tcPr>
          <w:p>
            <w:r>
              <w:rPr>
                <w:rFonts w:ascii="Times New Roman" w:hAnsi="Times New Roman"/>
                <w:sz w:val="20"/>
              </w:rPr>
              <w:t>0.217779</w:t>
            </w:r>
          </w:p>
        </w:tc>
      </w:tr>
      <w:tr>
        <w:tc>
          <w:tcPr>
            <w:tcW w:type="dxa" w:w="3216"/>
            <w:vAlign w:val="center"/>
          </w:tcPr>
          <w:p>
            <w:r>
              <w:rPr>
                <w:rFonts w:ascii="Times New Roman" w:hAnsi="Times New Roman"/>
                <w:sz w:val="20"/>
              </w:rPr>
              <w:t>9</w:t>
            </w:r>
          </w:p>
        </w:tc>
        <w:tc>
          <w:tcPr>
            <w:tcW w:type="dxa" w:w="3216"/>
            <w:vAlign w:val="center"/>
          </w:tcPr>
          <w:p>
            <w:r>
              <w:rPr>
                <w:rFonts w:ascii="Times New Roman" w:hAnsi="Times New Roman"/>
                <w:sz w:val="20"/>
              </w:rPr>
              <w:t>Net profit before tax/Paid-in capital</w:t>
            </w:r>
          </w:p>
        </w:tc>
        <w:tc>
          <w:tcPr>
            <w:tcW w:type="dxa" w:w="3216"/>
            <w:vAlign w:val="center"/>
          </w:tcPr>
          <w:p>
            <w:r>
              <w:rPr>
                <w:rFonts w:ascii="Times New Roman" w:hAnsi="Times New Roman"/>
                <w:sz w:val="20"/>
              </w:rPr>
              <w:t>0.207857</w:t>
            </w:r>
          </w:p>
        </w:tc>
      </w:tr>
      <w:tr>
        <w:tc>
          <w:tcPr>
            <w:tcW w:type="dxa" w:w="3216"/>
            <w:vAlign w:val="center"/>
          </w:tcPr>
          <w:p>
            <w:r>
              <w:rPr>
                <w:rFonts w:ascii="Times New Roman" w:hAnsi="Times New Roman"/>
                <w:sz w:val="20"/>
              </w:rPr>
              <w:t>10</w:t>
            </w:r>
          </w:p>
        </w:tc>
        <w:tc>
          <w:tcPr>
            <w:tcW w:type="dxa" w:w="3216"/>
            <w:vAlign w:val="center"/>
          </w:tcPr>
          <w:p>
            <w:r>
              <w:rPr>
                <w:rFonts w:ascii="Times New Roman" w:hAnsi="Times New Roman"/>
                <w:sz w:val="20"/>
              </w:rPr>
              <w:t>Per Share Net profit before tax (Yuan ¥)</w:t>
            </w:r>
          </w:p>
        </w:tc>
        <w:tc>
          <w:tcPr>
            <w:tcW w:type="dxa" w:w="3216"/>
            <w:vAlign w:val="center"/>
          </w:tcPr>
          <w:p>
            <w:r>
              <w:rPr>
                <w:rFonts w:ascii="Times New Roman" w:hAnsi="Times New Roman"/>
                <w:sz w:val="20"/>
              </w:rPr>
              <w:t>0.201395</w:t>
            </w:r>
          </w:p>
        </w:tc>
      </w:tr>
    </w:tbl>
    <w:p>
      <w:pPr>
        <w:jc w:val="both"/>
      </w:pPr>
      <w:r>
        <w:t>The strongest absolute association in the supplied EDA is for Net Income to Total Assets (0.315457), followed by ROA(A) before interest and % after tax (0.282941), ROA(B) before interest and depreciation after tax (0.273051), ROA(C) before interest and depreciation before interest (0.260807), and Net worth/Assets (0.250161). These values describe association with the target; they should not be interpreted as causal effects.</w:t>
      </w:r>
    </w:p>
    <w:p>
      <w:pPr>
        <w:jc w:val="both"/>
      </w:pPr>
      <w:r>
        <w:t>For the five strongest indicators, the class-wise means also show differences between the non-bankrupt and bankrupt groups. For example, the mean Net Income to Total Assets is approximately 0.8101 for non-bankrupt companies and 0.7381 for bankrupt companies in the supplied CSV. The mean Net worth/Assets is approximately 0.8893 for non-bankrupt companies and 0.8130 for bankrupt companies. These comparisons motivate further model-based analysis but do not by themselves establish a classification rule.</w:t>
      </w:r>
    </w:p>
    <w:p>
      <w:pPr>
        <w:pStyle w:val="Heading1"/>
      </w:pPr>
      <w:r>
        <w:t>14. ALGORITHM SELECTION AND IMPLEMENTATION</w:t>
      </w:r>
    </w:p>
    <w:p>
      <w:pPr>
        <w:pStyle w:val="Heading2"/>
      </w:pPr>
      <w:r>
        <w:t>14.1 Decision Tree Classifier</w:t>
      </w:r>
    </w:p>
    <w:p>
      <w:pPr>
        <w:jc w:val="both"/>
      </w:pPr>
      <w:r>
        <w:t>A Decision Tree classifier recursively partitions the feature space using threshold-based rules. It is selected because the resulting decision structure is relatively interpretable and can show how financial indicators are used to separate classes. However, an unrestricted tree may overfit, so model configuration and evaluation on unseen data are important.</w:t>
      </w:r>
    </w:p>
    <w:p>
      <w:pPr>
        <w:pStyle w:val="Heading2"/>
      </w:pPr>
      <w:r>
        <w:t>14.2 Random Forest Classifier</w:t>
      </w:r>
    </w:p>
    <w:p>
      <w:pPr>
        <w:jc w:val="both"/>
      </w:pPr>
      <w:r>
        <w:t>Random Forest is an ensemble method that combines multiple decision trees. The trees use different random subsets of observations and features, and their predictions are combined through voting. The project selects Random Forest to provide a stronger generalisation-oriented comparison with a single Decision Tree and to reduce the risk of overfitting.</w:t>
      </w:r>
    </w:p>
    <w:p>
      <w:pPr>
        <w:pStyle w:val="Heading2"/>
      </w:pPr>
      <w:r>
        <w:t>14.3 Proposed Evaluation</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rFonts w:ascii="Times New Roman" w:hAnsi="Times New Roman"/>
                <w:b/>
                <w:sz w:val="20"/>
              </w:rPr>
              <w:t>Metric</w:t>
            </w:r>
          </w:p>
        </w:tc>
        <w:tc>
          <w:tcPr>
            <w:tcW w:type="dxa" w:w="4824"/>
            <w:vAlign w:val="center"/>
          </w:tcPr>
          <w:p>
            <w:r>
              <w:rPr>
                <w:rFonts w:ascii="Times New Roman" w:hAnsi="Times New Roman"/>
                <w:b/>
                <w:sz w:val="20"/>
              </w:rPr>
              <w:t>Purpose</w:t>
            </w:r>
          </w:p>
        </w:tc>
      </w:tr>
      <w:tr>
        <w:tc>
          <w:tcPr>
            <w:tcW w:type="dxa" w:w="4824"/>
            <w:vAlign w:val="center"/>
          </w:tcPr>
          <w:p>
            <w:r>
              <w:rPr>
                <w:rFonts w:ascii="Times New Roman" w:hAnsi="Times New Roman"/>
                <w:sz w:val="20"/>
              </w:rPr>
              <w:t>Precision</w:t>
            </w:r>
          </w:p>
        </w:tc>
        <w:tc>
          <w:tcPr>
            <w:tcW w:type="dxa" w:w="4824"/>
            <w:vAlign w:val="center"/>
          </w:tcPr>
          <w:p>
            <w:r>
              <w:rPr>
                <w:rFonts w:ascii="Times New Roman" w:hAnsi="Times New Roman"/>
                <w:sz w:val="20"/>
              </w:rPr>
              <w:t>Measures how many companies predicted as bankrupt are actually bankrupt.</w:t>
            </w:r>
          </w:p>
        </w:tc>
      </w:tr>
      <w:tr>
        <w:tc>
          <w:tcPr>
            <w:tcW w:type="dxa" w:w="4824"/>
            <w:vAlign w:val="center"/>
          </w:tcPr>
          <w:p>
            <w:r>
              <w:rPr>
                <w:rFonts w:ascii="Times New Roman" w:hAnsi="Times New Roman"/>
                <w:sz w:val="20"/>
              </w:rPr>
              <w:t>Recall</w:t>
            </w:r>
          </w:p>
        </w:tc>
        <w:tc>
          <w:tcPr>
            <w:tcW w:type="dxa" w:w="4824"/>
            <w:vAlign w:val="center"/>
          </w:tcPr>
          <w:p>
            <w:r>
              <w:rPr>
                <w:rFonts w:ascii="Times New Roman" w:hAnsi="Times New Roman"/>
                <w:sz w:val="20"/>
              </w:rPr>
              <w:t>Measures how many actual bankrupt companies are correctly detected.</w:t>
            </w:r>
          </w:p>
        </w:tc>
      </w:tr>
      <w:tr>
        <w:tc>
          <w:tcPr>
            <w:tcW w:type="dxa" w:w="4824"/>
            <w:vAlign w:val="center"/>
          </w:tcPr>
          <w:p>
            <w:r>
              <w:rPr>
                <w:rFonts w:ascii="Times New Roman" w:hAnsi="Times New Roman"/>
                <w:sz w:val="20"/>
              </w:rPr>
              <w:t>F1-score</w:t>
            </w:r>
          </w:p>
        </w:tc>
        <w:tc>
          <w:tcPr>
            <w:tcW w:type="dxa" w:w="4824"/>
            <w:vAlign w:val="center"/>
          </w:tcPr>
          <w:p>
            <w:r>
              <w:rPr>
                <w:rFonts w:ascii="Times New Roman" w:hAnsi="Times New Roman"/>
                <w:sz w:val="20"/>
              </w:rPr>
              <w:t>Balances precision and recall.</w:t>
            </w:r>
          </w:p>
        </w:tc>
      </w:tr>
      <w:tr>
        <w:tc>
          <w:tcPr>
            <w:tcW w:type="dxa" w:w="4824"/>
            <w:vAlign w:val="center"/>
          </w:tcPr>
          <w:p>
            <w:r>
              <w:rPr>
                <w:rFonts w:ascii="Times New Roman" w:hAnsi="Times New Roman"/>
                <w:sz w:val="20"/>
              </w:rPr>
              <w:t>Confusion Matrix</w:t>
            </w:r>
          </w:p>
        </w:tc>
        <w:tc>
          <w:tcPr>
            <w:tcW w:type="dxa" w:w="4824"/>
            <w:vAlign w:val="center"/>
          </w:tcPr>
          <w:p>
            <w:r>
              <w:rPr>
                <w:rFonts w:ascii="Times New Roman" w:hAnsi="Times New Roman"/>
                <w:sz w:val="20"/>
              </w:rPr>
              <w:t>Shows correct and incorrect predictions for both classes.</w:t>
            </w:r>
          </w:p>
        </w:tc>
      </w:tr>
      <w:tr>
        <w:tc>
          <w:tcPr>
            <w:tcW w:type="dxa" w:w="4824"/>
            <w:vAlign w:val="center"/>
          </w:tcPr>
          <w:p>
            <w:r>
              <w:rPr>
                <w:rFonts w:ascii="Times New Roman" w:hAnsi="Times New Roman"/>
                <w:sz w:val="20"/>
              </w:rPr>
              <w:t>Precision-Recall Curve</w:t>
            </w:r>
          </w:p>
        </w:tc>
        <w:tc>
          <w:tcPr>
            <w:tcW w:type="dxa" w:w="4824"/>
            <w:vAlign w:val="center"/>
          </w:tcPr>
          <w:p>
            <w:r>
              <w:rPr>
                <w:rFonts w:ascii="Times New Roman" w:hAnsi="Times New Roman"/>
                <w:sz w:val="20"/>
              </w:rPr>
              <w:t>Shows the precision-recall trade-off across thresholds.</w:t>
            </w:r>
          </w:p>
        </w:tc>
      </w:tr>
      <w:tr>
        <w:tc>
          <w:tcPr>
            <w:tcW w:type="dxa" w:w="4824"/>
            <w:vAlign w:val="center"/>
          </w:tcPr>
          <w:p>
            <w:r>
              <w:rPr>
                <w:rFonts w:ascii="Times New Roman" w:hAnsi="Times New Roman"/>
                <w:sz w:val="20"/>
              </w:rPr>
              <w:t>Average Precision</w:t>
            </w:r>
          </w:p>
        </w:tc>
        <w:tc>
          <w:tcPr>
            <w:tcW w:type="dxa" w:w="4824"/>
            <w:vAlign w:val="center"/>
          </w:tcPr>
          <w:p>
            <w:r>
              <w:rPr>
                <w:rFonts w:ascii="Times New Roman" w:hAnsi="Times New Roman"/>
                <w:sz w:val="20"/>
              </w:rPr>
              <w:t>Summarises performance across the Precision-Recall curve.</w:t>
            </w:r>
          </w:p>
        </w:tc>
      </w:tr>
    </w:tbl>
    <w:p>
      <w:pPr>
        <w:jc w:val="both"/>
      </w:pPr>
      <w:r>
        <w:t>The project workflow calls for training both classifiers on prepared data, evaluating them on a held-out test set, comparing their precision-oriented performance and analysing feature importance. The supplied presentation explicitly notes that final trained-model scores are not included in the provided materials; therefore this report does not fabricate or infer such scores.</w:t>
      </w:r>
    </w:p>
    <w:p>
      <w:pPr>
        <w:pStyle w:val="Heading1"/>
      </w:pPr>
      <w:r>
        <w:t>15. CONCLUSION</w:t>
      </w:r>
    </w:p>
    <w:p>
      <w:pPr>
        <w:jc w:val="both"/>
      </w:pPr>
      <w:r>
        <w:t>This case study demonstrates how a real-world financial-risk problem can be formulated as an imbalanced supervised classification task. The Taiwanese Bankruptcy Prediction dataset provides 6,819 company instances with 95 financial features and a bankruptcy target. EDA identified a strong class imbalance, no missing values, no duplicate rows and one constant feature. Correlation analysis highlighted several profitability, asset and leverage-related indicators for further modelling.</w:t>
      </w:r>
    </w:p>
    <w:p>
      <w:pPr>
        <w:jc w:val="both"/>
      </w:pPr>
      <w:r>
        <w:t>Decision Tree and Random Forest were selected because they provide complementary strengths: Decision Tree offers interpretability, while Random Forest provides an ensemble approach intended to improve generalisation and reduce overfitting. Because bankruptcy is the minority class, Precision, Recall, F1-score and Precision-Recall analysis are more informative for this case than accuracy alone.</w:t>
      </w:r>
    </w:p>
    <w:p>
      <w:pPr>
        <w:jc w:val="both"/>
      </w:pPr>
      <w:r>
        <w:t>The completed case study provides the basis for the next modelling stage: train both classifiers, evaluate them on unseen data, compare their precision-oriented performance, inspect confusion matrices and Precision-Recall curves, and use feature importance to support interpretation. The model should be treated as a decision-support component rather than a standalone financial decision-maker.</w:t>
      </w:r>
    </w:p>
    <w:p>
      <w:pPr>
        <w:pStyle w:val="Heading1"/>
      </w:pPr>
      <w:r>
        <w:t>16. SIGNATURE OF THE TEAM MEMBERS</w:t>
      </w:r>
    </w:p>
    <w:tbl>
      <w:tblPr>
        <w:tblStyle w:val="TableGrid"/>
        <w:tblW w:type="auto" w:w="0"/>
        <w:jc w:val="center"/>
        <w:tblLook w:firstColumn="1" w:firstRow="1" w:lastColumn="0" w:lastRow="0" w:noHBand="0" w:noVBand="1" w:val="04A0"/>
      </w:tblPr>
      <w:tblGrid>
        <w:gridCol w:w="4824"/>
        <w:gridCol w:w="4824"/>
      </w:tblGrid>
      <w:tr>
        <w:tc>
          <w:tcPr>
            <w:tcW w:type="dxa" w:w="4824"/>
          </w:tcPr>
          <w:p>
            <w:r>
              <w:t>Name</w:t>
            </w:r>
          </w:p>
        </w:tc>
        <w:tc>
          <w:tcPr>
            <w:tcW w:type="dxa" w:w="4824"/>
          </w:tcPr>
          <w:p>
            <w:r>
              <w:t>Signature</w:t>
            </w:r>
          </w:p>
        </w:tc>
      </w:tr>
      <w:tr>
        <w:tc>
          <w:tcPr>
            <w:tcW w:type="dxa" w:w="4824"/>
          </w:tcPr>
          <w:p>
            <w:r>
              <w:t>J. Nanditha (2520030013)</w:t>
            </w:r>
          </w:p>
        </w:tc>
        <w:tc>
          <w:tcPr>
            <w:tcW w:type="dxa" w:w="4824"/>
          </w:tcPr>
          <w:p>
            <w:r>
              <w:t>________________________</w:t>
            </w:r>
          </w:p>
        </w:tc>
      </w:tr>
      <w:tr>
        <w:tc>
          <w:tcPr>
            <w:tcW w:type="dxa" w:w="4824"/>
          </w:tcPr>
          <w:p>
            <w:r>
              <w:t>K. Srithika (2520030361)</w:t>
            </w:r>
          </w:p>
        </w:tc>
        <w:tc>
          <w:tcPr>
            <w:tcW w:type="dxa" w:w="4824"/>
          </w:tcPr>
          <w:p>
            <w:r>
              <w:t>________________________</w:t>
            </w:r>
          </w:p>
        </w:tc>
      </w:tr>
    </w:tbl>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Machine Learning Case Study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