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t>TANK 1</w:t>
        <w:br/>
      </w:r>
      <w:r>
        <w:rPr>
          <w:b/>
          <w:sz w:val="40"/>
        </w:rPr>
        <w:t>Mathematical Derivation, Nonlinear Model</w:t>
        <w:br/>
        <w:t>and Verification Report</w:t>
      </w:r>
    </w:p>
    <w:p>
      <w:pPr>
        <w:jc w:val="center"/>
      </w:pPr>
      <w:r>
        <w:rPr>
          <w:i/>
        </w:rPr>
        <w:br/>
        <w:t>Miniature Textile Dyeing Process — Atmospheric Reactive-Cotton Analogue</w:t>
      </w:r>
      <w:r>
        <w:br/>
        <w:br/>
        <w:t>MATLAB / Simulink Design Basis</w:t>
        <w:br/>
      </w:r>
      <w:r>
        <w:t>Prepared as a professor-facing mathematical proof and model-verification document</w:t>
      </w:r>
    </w:p>
    <w:p>
      <w:pPr>
        <w:jc w:val="center"/>
      </w:pPr>
      <w:r>
        <w:br/>
        <w:t>Model scope: Tank 1 hydraulic subsystem</w:t>
        <w:br/>
      </w:r>
      <w:r>
        <w:t>Compatibility target: MATLAB / Simulink R2025a</w:t>
        <w:br/>
      </w:r>
      <w:r>
        <w:t>Status: Simulation assumptions; no hardware measurements yet</w:t>
      </w:r>
    </w:p>
    <w:p>
      <w:r>
        <w:br w:type="page"/>
      </w:r>
    </w:p>
    <w:p>
      <w:pPr>
        <w:pStyle w:val="Heading1"/>
      </w:pPr>
      <w:r>
        <w:t>1. Purpose and Scope</w:t>
      </w:r>
    </w:p>
    <w:p>
      <w:r>
        <w:t>The purpose of this document is to provide a formal, step-by-step mathematical foundation for Tank 1 of the miniature two-tank textile wet-processing project. The document shows how the physical assumptions lead to the governing nonlinear ordinary differential equation (ODE), how the equation is represented in MATLAB/Simulink, and how analytical checks demonstrate that the implementation obeys conservation of liquid volume.</w:t>
      </w:r>
    </w:p>
    <w:p>
      <w:r>
        <w:t>Tank 1 is treated as a feed/preparation tank in an atmospheric reactive-cotton dye-bath analogue. It is not claimed to reproduce an industrial dyeing machine dimension-for-dimension. Tank 1 currently contains only hydraulic behavior: inlet flow, liquid accumulation, gravity-driven transfer to Tank 2, and level dynamics. Dye chemistry, fabric motion, Tank 2 temperature, heater, and Tank 2 control are outside the present mathematical boundary.</w:t>
      </w:r>
    </w:p>
    <w:tbl>
      <w:tblPr>
        <w:tblW w:type="auto" w:w="0"/>
        <w:jc w:val="center"/>
        <w:tblLook w:firstColumn="1" w:firstRow="1" w:lastColumn="0" w:lastRow="0" w:noHBand="0" w:noVBand="1" w:val="04A0"/>
      </w:tblPr>
      <w:tblGrid>
        <w:gridCol w:w="9746"/>
      </w:tblGrid>
      <w:tr>
        <w:tc>
          <w:tcPr>
            <w:tcW w:type="dxa" w:w="9746"/>
          </w:tcPr>
          <w:p>
            <w:r/>
            <w:r>
              <w:rPr>
                <w:b/>
              </w:rPr>
              <w:t xml:space="preserve">Engineering note: </w:t>
            </w:r>
            <w:r>
              <w:t>The numerical results in this report are analytical/simulation results generated from the stated model assumptions. They are not experimental hardware measurements.</w:t>
            </w:r>
          </w:p>
        </w:tc>
      </w:tr>
    </w:tbl>
    <w:p>
      <w:pPr>
        <w:pStyle w:val="Heading1"/>
      </w:pPr>
      <w:r>
        <w:t>2. Process Basis and Engineering Context</w:t>
      </w:r>
    </w:p>
    <w:p>
      <w:r>
        <w:t>The project uses an atmospheric miniature process inspired by batch exhaust reactive dyeing of cotton. The current design basis adopts 60 °C as a literature-informed nominal temperature for the future heated Tank 2, with a planned 50–70 °C operating envelope and a separate assumed 75 °C heater-trip value. These temperatures are process-design assumptions for the miniature demonstrator, not universal requirements for every cotton reactive-dye recipe.</w:t>
      </w:r>
    </w:p>
    <w:p>
      <w:r>
        <w:t>The present Tank 1 model itself does not use temperature in its volume balance. Temperature is retained as a system-level requirement because Tank 1 will later feed Tank 2.</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EDEDED"/>
          </w:tcPr>
          <w:p>
            <w:r/>
            <w:r>
              <w:rPr>
                <w:b/>
              </w:rPr>
              <w:t>Process quantity</w:t>
            </w:r>
          </w:p>
        </w:tc>
        <w:tc>
          <w:tcPr>
            <w:tcW w:type="dxa" w:w="3249"/>
            <w:vAlign w:val="center"/>
            <w:shd w:fill="EDEDED"/>
          </w:tcPr>
          <w:p>
            <w:r/>
            <w:r>
              <w:rPr>
                <w:b/>
              </w:rPr>
              <w:t>Current design basis</w:t>
            </w:r>
          </w:p>
        </w:tc>
        <w:tc>
          <w:tcPr>
            <w:tcW w:type="dxa" w:w="3249"/>
            <w:vAlign w:val="center"/>
            <w:shd w:fill="EDEDED"/>
          </w:tcPr>
          <w:p>
            <w:r/>
            <w:r>
              <w:rPr>
                <w:b/>
              </w:rPr>
              <w:t>Status</w:t>
            </w:r>
          </w:p>
        </w:tc>
      </w:tr>
      <w:tr>
        <w:tc>
          <w:tcPr>
            <w:tcW w:type="dxa" w:w="3249"/>
            <w:vAlign w:val="center"/>
          </w:tcPr>
          <w:p>
            <w:r/>
            <w:r>
              <w:rPr>
                <w:b w:val="0"/>
              </w:rPr>
              <w:t>Process analogue</w:t>
            </w:r>
          </w:p>
        </w:tc>
        <w:tc>
          <w:tcPr>
            <w:tcW w:type="dxa" w:w="3249"/>
            <w:vAlign w:val="center"/>
          </w:tcPr>
          <w:p>
            <w:r/>
            <w:r>
              <w:rPr>
                <w:b w:val="0"/>
              </w:rPr>
              <w:t>Batch exhaust reactive dyeing of cotton</w:t>
            </w:r>
          </w:p>
        </w:tc>
        <w:tc>
          <w:tcPr>
            <w:tcW w:type="dxa" w:w="3249"/>
            <w:vAlign w:val="center"/>
          </w:tcPr>
          <w:p>
            <w:r/>
            <w:r>
              <w:rPr>
                <w:b w:val="0"/>
              </w:rPr>
              <w:t>Design basis</w:t>
            </w:r>
          </w:p>
        </w:tc>
      </w:tr>
      <w:tr>
        <w:tc>
          <w:tcPr>
            <w:tcW w:type="dxa" w:w="3249"/>
            <w:vAlign w:val="center"/>
          </w:tcPr>
          <w:p>
            <w:r/>
            <w:r>
              <w:rPr>
                <w:b w:val="0"/>
              </w:rPr>
              <w:t>Pressure</w:t>
            </w:r>
          </w:p>
        </w:tc>
        <w:tc>
          <w:tcPr>
            <w:tcW w:type="dxa" w:w="3249"/>
            <w:vAlign w:val="center"/>
          </w:tcPr>
          <w:p>
            <w:r/>
            <w:r>
              <w:rPr>
                <w:b w:val="0"/>
              </w:rPr>
              <w:t>≈101325 Pa (open atmosphere)</w:t>
            </w:r>
          </w:p>
        </w:tc>
        <w:tc>
          <w:tcPr>
            <w:tcW w:type="dxa" w:w="3249"/>
            <w:vAlign w:val="center"/>
          </w:tcPr>
          <w:p>
            <w:r/>
            <w:r>
              <w:rPr>
                <w:b w:val="0"/>
              </w:rPr>
              <w:t>Assumed</w:t>
            </w:r>
          </w:p>
        </w:tc>
      </w:tr>
      <w:tr>
        <w:tc>
          <w:tcPr>
            <w:tcW w:type="dxa" w:w="3249"/>
            <w:vAlign w:val="center"/>
          </w:tcPr>
          <w:p>
            <w:r/>
            <w:r>
              <w:rPr>
                <w:b w:val="0"/>
              </w:rPr>
              <w:t>Future Tank 2 nominal temperature</w:t>
            </w:r>
          </w:p>
        </w:tc>
        <w:tc>
          <w:tcPr>
            <w:tcW w:type="dxa" w:w="3249"/>
            <w:vAlign w:val="center"/>
          </w:tcPr>
          <w:p>
            <w:r/>
            <w:r>
              <w:rPr>
                <w:b w:val="0"/>
              </w:rPr>
              <w:t>60 °C</w:t>
            </w:r>
          </w:p>
        </w:tc>
        <w:tc>
          <w:tcPr>
            <w:tcW w:type="dxa" w:w="3249"/>
            <w:vAlign w:val="center"/>
          </w:tcPr>
          <w:p>
            <w:r/>
            <w:r>
              <w:rPr>
                <w:b w:val="0"/>
              </w:rPr>
              <w:t>Literature-informed design point</w:t>
            </w:r>
          </w:p>
        </w:tc>
      </w:tr>
      <w:tr>
        <w:tc>
          <w:tcPr>
            <w:tcW w:type="dxa" w:w="3249"/>
            <w:vAlign w:val="center"/>
          </w:tcPr>
          <w:p>
            <w:r/>
            <w:r>
              <w:rPr>
                <w:b w:val="0"/>
              </w:rPr>
              <w:t>Future Tank 2 operating envelope</w:t>
            </w:r>
          </w:p>
        </w:tc>
        <w:tc>
          <w:tcPr>
            <w:tcW w:type="dxa" w:w="3249"/>
            <w:vAlign w:val="center"/>
          </w:tcPr>
          <w:p>
            <w:r/>
            <w:r>
              <w:rPr>
                <w:b w:val="0"/>
              </w:rPr>
              <w:t>50–70 °C</w:t>
            </w:r>
          </w:p>
        </w:tc>
        <w:tc>
          <w:tcPr>
            <w:tcW w:type="dxa" w:w="3249"/>
            <w:vAlign w:val="center"/>
          </w:tcPr>
          <w:p>
            <w:r/>
            <w:r>
              <w:rPr>
                <w:b w:val="0"/>
              </w:rPr>
              <w:t>Design assumption</w:t>
            </w:r>
          </w:p>
        </w:tc>
      </w:tr>
      <w:tr>
        <w:tc>
          <w:tcPr>
            <w:tcW w:type="dxa" w:w="3249"/>
            <w:vAlign w:val="center"/>
          </w:tcPr>
          <w:p>
            <w:r/>
            <w:r>
              <w:rPr>
                <w:b w:val="0"/>
              </w:rPr>
              <w:t>Future independent trip</w:t>
            </w:r>
          </w:p>
        </w:tc>
        <w:tc>
          <w:tcPr>
            <w:tcW w:type="dxa" w:w="3249"/>
            <w:vAlign w:val="center"/>
          </w:tcPr>
          <w:p>
            <w:r/>
            <w:r>
              <w:rPr>
                <w:b w:val="0"/>
              </w:rPr>
              <w:t>75 °C</w:t>
            </w:r>
          </w:p>
        </w:tc>
        <w:tc>
          <w:tcPr>
            <w:tcW w:type="dxa" w:w="3249"/>
            <w:vAlign w:val="center"/>
          </w:tcPr>
          <w:p>
            <w:r/>
            <w:r>
              <w:rPr>
                <w:b w:val="0"/>
              </w:rPr>
              <w:t>Safety assumption</w:t>
            </w:r>
          </w:p>
        </w:tc>
      </w:tr>
      <w:tr>
        <w:tc>
          <w:tcPr>
            <w:tcW w:type="dxa" w:w="3249"/>
            <w:vAlign w:val="center"/>
          </w:tcPr>
          <w:p>
            <w:r/>
            <w:r>
              <w:rPr>
                <w:b w:val="0"/>
              </w:rPr>
              <w:t>Liquor ratio basis</w:t>
            </w:r>
          </w:p>
        </w:tc>
        <w:tc>
          <w:tcPr>
            <w:tcW w:type="dxa" w:w="3249"/>
            <w:vAlign w:val="center"/>
          </w:tcPr>
          <w:p>
            <w:r/>
            <w:r>
              <w:rPr>
                <w:b w:val="0"/>
              </w:rPr>
              <w:t>1 kg dry cotton : 10 L liquor</w:t>
            </w:r>
          </w:p>
        </w:tc>
        <w:tc>
          <w:tcPr>
            <w:tcW w:type="dxa" w:w="3249"/>
            <w:vAlign w:val="center"/>
          </w:tcPr>
          <w:p>
            <w:r/>
            <w:r>
              <w:rPr>
                <w:b w:val="0"/>
              </w:rPr>
              <w:t>Design basis</w:t>
            </w:r>
          </w:p>
        </w:tc>
      </w:tr>
    </w:tbl>
    <w:p>
      <w:r>
        <w:t>Literature identifiers retained from the project design note:</w:t>
      </w:r>
    </w:p>
    <w:p>
      <w:r>
        <w:t>• Reactive-dye cotton study using a 1:10 liquor ratio and 60 °C bath (Springer, DOI/article identifier 10.1007/s12221-023-00366-7).</w:t>
        <w:br/>
        <w:t>• Reactive-dye cotton study using 60 °C for 60 min at a 1:20 liquor-to-fabric ratio (DOI/article identifier 10.1007/s10570-024-05928-3).</w:t>
        <w:br/>
        <w:t>• Additional reactive-dye process references are listed in the project design note and should be cited in the final report according to the citation style required by the department.</w:t>
      </w:r>
    </w:p>
    <w:p>
      <w:pPr>
        <w:pStyle w:val="Heading1"/>
      </w:pPr>
      <w:r>
        <w:t>3. Physical Architecture of the Two-Tank System</w:t>
      </w:r>
    </w:p>
    <w:p>
      <w:r>
        <w:t>The overall future architecture is:</w:t>
      </w:r>
    </w:p>
    <w:p>
      <w:pPr>
        <w:pStyle w:val="Equation"/>
      </w:pPr>
      <w:r>
        <w:t>Water/source → Pump P1 → Tank 1 → transfer path → Tank 2 → controlled outlet/return</w:t>
      </w:r>
    </w:p>
    <w:p>
      <w:r>
        <w:t>For the present phase, only the Tank 1 subsystem is mathematically implemented. The transfer flow leaving Tank 1 is designated Q12 because it will become the inlet flow to Tank 2.</w:t>
      </w:r>
    </w:p>
    <w:p>
      <w:r>
        <w:t>Tank 1 signal flow:</w:t>
      </w:r>
    </w:p>
    <w:p>
      <w:pPr>
        <w:pStyle w:val="Equation"/>
      </w:pPr>
      <w:r>
        <w:t>Pump command uP → Qin → (Qin − Q12) → (1/A1) → dh1/dt → integration → h1</w:t>
      </w:r>
    </w:p>
    <w:p>
      <w:pPr>
        <w:pStyle w:val="Equation"/>
      </w:pPr>
      <w:r>
        <w:t>h1 → √h1 → √(2g h1) → α CdA √(2g h1) = Q12</w:t>
      </w:r>
    </w:p>
    <w:p>
      <w:r>
        <w:t>This feedback path is not a controller feedback loop. It is a physical hydraulic feedback: the liquid level determines the hydrostatic head, which determines the gravity outlet flow.</w:t>
      </w:r>
    </w:p>
    <w:p>
      <w:pPr>
        <w:pStyle w:val="Heading1"/>
      </w:pPr>
      <w:r>
        <w:t>4. System Boundary and State Variable</w:t>
      </w:r>
    </w:p>
    <w:p>
      <w:r>
        <w:t>The single dynamic state selected for Tank 1 is liquid level h1(t). Because the tank has constant cross-sectional area, liquid volume V1(t) is directly related to h1(t). Therefore, one state variable is sufficient for the current hydraulic model.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EDEDED"/>
          </w:tcPr>
          <w:p>
            <w:r/>
            <w:r>
              <w:rPr>
                <w:b/>
              </w:rPr>
              <w:t>Symbol</w:t>
            </w:r>
          </w:p>
        </w:tc>
        <w:tc>
          <w:tcPr>
            <w:tcW w:type="dxa" w:w="2436"/>
            <w:vAlign w:val="center"/>
            <w:shd w:fill="EDEDED"/>
          </w:tcPr>
          <w:p>
            <w:r/>
            <w:r>
              <w:rPr>
                <w:b/>
              </w:rPr>
              <w:t>Unit</w:t>
            </w:r>
          </w:p>
        </w:tc>
        <w:tc>
          <w:tcPr>
            <w:tcW w:type="dxa" w:w="2436"/>
            <w:vAlign w:val="center"/>
            <w:shd w:fill="EDEDED"/>
          </w:tcPr>
          <w:p>
            <w:r/>
            <w:r>
              <w:rPr>
                <w:b/>
              </w:rPr>
              <w:t>Meaning</w:t>
            </w:r>
          </w:p>
        </w:tc>
        <w:tc>
          <w:tcPr>
            <w:tcW w:type="dxa" w:w="2436"/>
            <w:vAlign w:val="center"/>
            <w:shd w:fill="EDEDED"/>
          </w:tcPr>
          <w:p>
            <w:r/>
            <w:r>
              <w:rPr>
                <w:b/>
              </w:rPr>
              <w:t>Sign convention</w:t>
            </w:r>
          </w:p>
        </w:tc>
      </w:tr>
      <w:tr>
        <w:tc>
          <w:tcPr>
            <w:tcW w:type="dxa" w:w="2436"/>
            <w:vAlign w:val="center"/>
          </w:tcPr>
          <w:p>
            <w:r/>
            <w:r>
              <w:rPr>
                <w:b w:val="0"/>
              </w:rPr>
              <w:t>t</w:t>
            </w:r>
          </w:p>
        </w:tc>
        <w:tc>
          <w:tcPr>
            <w:tcW w:type="dxa" w:w="2436"/>
            <w:vAlign w:val="center"/>
          </w:tcPr>
          <w:p>
            <w:r/>
            <w:r>
              <w:rPr>
                <w:b w:val="0"/>
              </w:rPr>
              <w:t>s</w:t>
            </w:r>
          </w:p>
        </w:tc>
        <w:tc>
          <w:tcPr>
            <w:tcW w:type="dxa" w:w="2436"/>
            <w:vAlign w:val="center"/>
          </w:tcPr>
          <w:p>
            <w:r/>
            <w:r>
              <w:rPr>
                <w:b w:val="0"/>
              </w:rPr>
              <w:t>Simulation time</w:t>
            </w:r>
          </w:p>
        </w:tc>
        <w:tc>
          <w:tcPr>
            <w:tcW w:type="dxa" w:w="2436"/>
            <w:vAlign w:val="center"/>
          </w:tcPr>
          <w:p>
            <w:r/>
            <w:r>
              <w:rPr>
                <w:b w:val="0"/>
              </w:rPr>
              <w:t>Increasing with time</w:t>
            </w:r>
          </w:p>
        </w:tc>
      </w:tr>
      <w:tr>
        <w:tc>
          <w:tcPr>
            <w:tcW w:type="dxa" w:w="2436"/>
            <w:vAlign w:val="center"/>
          </w:tcPr>
          <w:p>
            <w:r/>
            <w:r>
              <w:rPr>
                <w:b w:val="0"/>
              </w:rPr>
              <w:t>h1</w:t>
            </w:r>
          </w:p>
        </w:tc>
        <w:tc>
          <w:tcPr>
            <w:tcW w:type="dxa" w:w="2436"/>
            <w:vAlign w:val="center"/>
          </w:tcPr>
          <w:p>
            <w:r/>
            <w:r>
              <w:rPr>
                <w:b w:val="0"/>
              </w:rPr>
              <w:t>m</w:t>
            </w:r>
          </w:p>
        </w:tc>
        <w:tc>
          <w:tcPr>
            <w:tcW w:type="dxa" w:w="2436"/>
            <w:vAlign w:val="center"/>
          </w:tcPr>
          <w:p>
            <w:r/>
            <w:r>
              <w:rPr>
                <w:b w:val="0"/>
              </w:rPr>
              <w:t>Liquid level measured upward from tank bottom</w:t>
            </w:r>
          </w:p>
        </w:tc>
        <w:tc>
          <w:tcPr>
            <w:tcW w:type="dxa" w:w="2436"/>
            <w:vAlign w:val="center"/>
          </w:tcPr>
          <w:p>
            <w:r/>
            <w:r>
              <w:rPr>
                <w:b w:val="0"/>
              </w:rPr>
              <w:t>Non-negative</w:t>
            </w:r>
          </w:p>
        </w:tc>
      </w:tr>
      <w:tr>
        <w:tc>
          <w:tcPr>
            <w:tcW w:type="dxa" w:w="2436"/>
            <w:vAlign w:val="center"/>
          </w:tcPr>
          <w:p>
            <w:r/>
            <w:r>
              <w:rPr>
                <w:b w:val="0"/>
              </w:rPr>
              <w:t>V1</w:t>
            </w:r>
          </w:p>
        </w:tc>
        <w:tc>
          <w:tcPr>
            <w:tcW w:type="dxa" w:w="2436"/>
            <w:vAlign w:val="center"/>
          </w:tcPr>
          <w:p>
            <w:r/>
            <w:r>
              <w:rPr>
                <w:b w:val="0"/>
              </w:rPr>
              <w:t>m³</w:t>
            </w:r>
          </w:p>
        </w:tc>
        <w:tc>
          <w:tcPr>
            <w:tcW w:type="dxa" w:w="2436"/>
            <w:vAlign w:val="center"/>
          </w:tcPr>
          <w:p>
            <w:r/>
            <w:r>
              <w:rPr>
                <w:b w:val="0"/>
              </w:rPr>
              <w:t>Liquid volume in Tank 1</w:t>
            </w:r>
          </w:p>
        </w:tc>
        <w:tc>
          <w:tcPr>
            <w:tcW w:type="dxa" w:w="2436"/>
            <w:vAlign w:val="center"/>
          </w:tcPr>
          <w:p>
            <w:r/>
            <w:r>
              <w:rPr>
                <w:b w:val="0"/>
              </w:rPr>
              <w:t>Non-negative</w:t>
            </w:r>
          </w:p>
        </w:tc>
      </w:tr>
      <w:tr>
        <w:tc>
          <w:tcPr>
            <w:tcW w:type="dxa" w:w="2436"/>
            <w:vAlign w:val="center"/>
          </w:tcPr>
          <w:p>
            <w:r/>
            <w:r>
              <w:rPr>
                <w:b w:val="0"/>
              </w:rPr>
              <w:t>A1</w:t>
            </w:r>
          </w:p>
        </w:tc>
        <w:tc>
          <w:tcPr>
            <w:tcW w:type="dxa" w:w="2436"/>
            <w:vAlign w:val="center"/>
          </w:tcPr>
          <w:p>
            <w:r/>
            <w:r>
              <w:rPr>
                <w:b w:val="0"/>
              </w:rPr>
              <w:t>m²</w:t>
            </w:r>
          </w:p>
        </w:tc>
        <w:tc>
          <w:tcPr>
            <w:tcW w:type="dxa" w:w="2436"/>
            <w:vAlign w:val="center"/>
          </w:tcPr>
          <w:p>
            <w:r/>
            <w:r>
              <w:rPr>
                <w:b w:val="0"/>
              </w:rPr>
              <w:t>Constant horizontal cross-sectional area</w:t>
            </w:r>
          </w:p>
        </w:tc>
        <w:tc>
          <w:tcPr>
            <w:tcW w:type="dxa" w:w="2436"/>
            <w:vAlign w:val="center"/>
          </w:tcPr>
          <w:p>
            <w:r/>
            <w:r>
              <w:rPr>
                <w:b w:val="0"/>
              </w:rPr>
              <w:t>Positive</w:t>
            </w:r>
          </w:p>
        </w:tc>
      </w:tr>
      <w:tr>
        <w:tc>
          <w:tcPr>
            <w:tcW w:type="dxa" w:w="2436"/>
            <w:vAlign w:val="center"/>
          </w:tcPr>
          <w:p>
            <w:r/>
            <w:r>
              <w:rPr>
                <w:b w:val="0"/>
              </w:rPr>
              <w:t>Qin</w:t>
            </w:r>
          </w:p>
        </w:tc>
        <w:tc>
          <w:tcPr>
            <w:tcW w:type="dxa" w:w="2436"/>
            <w:vAlign w:val="center"/>
          </w:tcPr>
          <w:p>
            <w:r/>
            <w:r>
              <w:rPr>
                <w:b w:val="0"/>
              </w:rPr>
              <w:t>m³/s</w:t>
            </w:r>
          </w:p>
        </w:tc>
        <w:tc>
          <w:tcPr>
            <w:tcW w:type="dxa" w:w="2436"/>
            <w:vAlign w:val="center"/>
          </w:tcPr>
          <w:p>
            <w:r/>
            <w:r>
              <w:rPr>
                <w:b w:val="0"/>
              </w:rPr>
              <w:t>Flow entering Tank 1</w:t>
            </w:r>
          </w:p>
        </w:tc>
        <w:tc>
          <w:tcPr>
            <w:tcW w:type="dxa" w:w="2436"/>
            <w:vAlign w:val="center"/>
          </w:tcPr>
          <w:p>
            <w:r/>
            <w:r>
              <w:rPr>
                <w:b w:val="0"/>
              </w:rPr>
              <w:t>Positive into tank</w:t>
            </w:r>
          </w:p>
        </w:tc>
      </w:tr>
      <w:tr>
        <w:tc>
          <w:tcPr>
            <w:tcW w:type="dxa" w:w="2436"/>
            <w:vAlign w:val="center"/>
          </w:tcPr>
          <w:p>
            <w:r/>
            <w:r>
              <w:rPr>
                <w:b w:val="0"/>
              </w:rPr>
              <w:t>Q12</w:t>
            </w:r>
          </w:p>
        </w:tc>
        <w:tc>
          <w:tcPr>
            <w:tcW w:type="dxa" w:w="2436"/>
            <w:vAlign w:val="center"/>
          </w:tcPr>
          <w:p>
            <w:r/>
            <w:r>
              <w:rPr>
                <w:b w:val="0"/>
              </w:rPr>
              <w:t>m³/s</w:t>
            </w:r>
          </w:p>
        </w:tc>
        <w:tc>
          <w:tcPr>
            <w:tcW w:type="dxa" w:w="2436"/>
            <w:vAlign w:val="center"/>
          </w:tcPr>
          <w:p>
            <w:r/>
            <w:r>
              <w:rPr>
                <w:b w:val="0"/>
              </w:rPr>
              <w:t>Flow leaving Tank 1 toward Tank 2</w:t>
            </w:r>
          </w:p>
        </w:tc>
        <w:tc>
          <w:tcPr>
            <w:tcW w:type="dxa" w:w="2436"/>
            <w:vAlign w:val="center"/>
          </w:tcPr>
          <w:p>
            <w:r/>
            <w:r>
              <w:rPr>
                <w:b w:val="0"/>
              </w:rPr>
              <w:t>Positive out of tank</w:t>
            </w:r>
          </w:p>
        </w:tc>
      </w:tr>
      <w:tr>
        <w:tc>
          <w:tcPr>
            <w:tcW w:type="dxa" w:w="2436"/>
            <w:vAlign w:val="center"/>
          </w:tcPr>
          <w:p>
            <w:r/>
            <w:r>
              <w:rPr>
                <w:b w:val="0"/>
              </w:rPr>
              <w:t>uP</w:t>
            </w:r>
          </w:p>
        </w:tc>
        <w:tc>
          <w:tcPr>
            <w:tcW w:type="dxa" w:w="2436"/>
            <w:vAlign w:val="center"/>
          </w:tcPr>
          <w:p>
            <w:r/>
            <w:r>
              <w:rPr>
                <w:b w:val="0"/>
              </w:rPr>
              <w:t>%</w:t>
            </w:r>
          </w:p>
        </w:tc>
        <w:tc>
          <w:tcPr>
            <w:tcW w:type="dxa" w:w="2436"/>
            <w:vAlign w:val="center"/>
          </w:tcPr>
          <w:p>
            <w:r/>
            <w:r>
              <w:rPr>
                <w:b w:val="0"/>
              </w:rPr>
              <w:t>Pump command</w:t>
            </w:r>
          </w:p>
        </w:tc>
        <w:tc>
          <w:tcPr>
            <w:tcW w:type="dxa" w:w="2436"/>
            <w:vAlign w:val="center"/>
          </w:tcPr>
          <w:p>
            <w:r/>
            <w:r>
              <w:rPr>
                <w:b w:val="0"/>
              </w:rPr>
              <w:t>0–100 %</w:t>
            </w:r>
          </w:p>
        </w:tc>
      </w:tr>
      <w:tr>
        <w:tc>
          <w:tcPr>
            <w:tcW w:type="dxa" w:w="2436"/>
            <w:vAlign w:val="center"/>
          </w:tcPr>
          <w:p>
            <w:r/>
            <w:r>
              <w:rPr>
                <w:b w:val="0"/>
              </w:rPr>
              <w:t>α</w:t>
            </w:r>
          </w:p>
        </w:tc>
        <w:tc>
          <w:tcPr>
            <w:tcW w:type="dxa" w:w="2436"/>
            <w:vAlign w:val="center"/>
          </w:tcPr>
          <w:p>
            <w:r/>
            <w:r>
              <w:rPr>
                <w:b w:val="0"/>
              </w:rPr>
              <w:t>1</w:t>
            </w:r>
          </w:p>
        </w:tc>
        <w:tc>
          <w:tcPr>
            <w:tcW w:type="dxa" w:w="2436"/>
            <w:vAlign w:val="center"/>
          </w:tcPr>
          <w:p>
            <w:r/>
            <w:r>
              <w:rPr>
                <w:b w:val="0"/>
              </w:rPr>
              <w:t>Outlet opening fraction</w:t>
            </w:r>
          </w:p>
        </w:tc>
        <w:tc>
          <w:tcPr>
            <w:tcW w:type="dxa" w:w="2436"/>
            <w:vAlign w:val="center"/>
          </w:tcPr>
          <w:p>
            <w:r/>
            <w:r>
              <w:rPr>
                <w:b w:val="0"/>
              </w:rPr>
              <w:t>0 closed, 1 fully open</w:t>
            </w:r>
          </w:p>
        </w:tc>
      </w:tr>
      <w:tr>
        <w:tc>
          <w:tcPr>
            <w:tcW w:type="dxa" w:w="2436"/>
            <w:vAlign w:val="center"/>
          </w:tcPr>
          <w:p>
            <w:r/>
            <w:r>
              <w:rPr>
                <w:b w:val="0"/>
              </w:rPr>
              <w:t>CdA</w:t>
            </w:r>
          </w:p>
        </w:tc>
        <w:tc>
          <w:tcPr>
            <w:tcW w:type="dxa" w:w="2436"/>
            <w:vAlign w:val="center"/>
          </w:tcPr>
          <w:p>
            <w:r/>
            <w:r>
              <w:rPr>
                <w:b w:val="0"/>
              </w:rPr>
              <w:t>m²</w:t>
            </w:r>
          </w:p>
        </w:tc>
        <w:tc>
          <w:tcPr>
            <w:tcW w:type="dxa" w:w="2436"/>
            <w:vAlign w:val="center"/>
          </w:tcPr>
          <w:p>
            <w:r/>
            <w:r>
              <w:rPr>
                <w:b w:val="0"/>
              </w:rPr>
              <w:t>Effective discharge coefficient × opening area</w:t>
            </w:r>
          </w:p>
        </w:tc>
        <w:tc>
          <w:tcPr>
            <w:tcW w:type="dxa" w:w="2436"/>
            <w:vAlign w:val="center"/>
          </w:tcPr>
          <w:p>
            <w:r/>
            <w:r>
              <w:rPr>
                <w:b w:val="0"/>
              </w:rPr>
              <w:t>Positive</w:t>
            </w:r>
          </w:p>
        </w:tc>
      </w:tr>
      <w:tr>
        <w:tc>
          <w:tcPr>
            <w:tcW w:type="dxa" w:w="2436"/>
            <w:vAlign w:val="center"/>
          </w:tcPr>
          <w:p>
            <w:r/>
            <w:r>
              <w:rPr>
                <w:b w:val="0"/>
              </w:rPr>
              <w:t>g</w:t>
            </w:r>
          </w:p>
        </w:tc>
        <w:tc>
          <w:tcPr>
            <w:tcW w:type="dxa" w:w="2436"/>
            <w:vAlign w:val="center"/>
          </w:tcPr>
          <w:p>
            <w:r/>
            <w:r>
              <w:rPr>
                <w:b w:val="0"/>
              </w:rPr>
              <w:t>m/s²</w:t>
            </w:r>
          </w:p>
        </w:tc>
        <w:tc>
          <w:tcPr>
            <w:tcW w:type="dxa" w:w="2436"/>
            <w:vAlign w:val="center"/>
          </w:tcPr>
          <w:p>
            <w:r/>
            <w:r>
              <w:rPr>
                <w:b w:val="0"/>
              </w:rPr>
              <w:t>Gravitational acceleration</w:t>
            </w:r>
          </w:p>
        </w:tc>
        <w:tc>
          <w:tcPr>
            <w:tcW w:type="dxa" w:w="2436"/>
            <w:vAlign w:val="center"/>
          </w:tcPr>
          <w:p>
            <w:r/>
            <w:r>
              <w:rPr>
                <w:b w:val="0"/>
              </w:rPr>
              <w:t>Positive</w:t>
            </w:r>
          </w:p>
        </w:tc>
      </w:tr>
    </w:tbl>
    <w:p>
      <w:pPr>
        <w:pStyle w:val="Heading1"/>
      </w:pPr>
      <w:r>
        <w:t>5. Tank Geometry and Parameter Basis</w:t>
      </w:r>
    </w:p>
    <w:p>
      <w:r>
        <w:t>Tank 1 is represented as a vertical cylindrical vessel with constant internal diameter. This is a deliberate miniature-model simplification.</w:t>
      </w:r>
    </w:p>
    <w:p>
      <w:pPr>
        <w:pStyle w:val="Equation"/>
      </w:pPr>
      <w:r>
        <w:t>D1 = 0.200 m</w:t>
      </w:r>
    </w:p>
    <w:p>
      <w:pPr>
        <w:pStyle w:val="Equation"/>
      </w:pPr>
      <w:r>
        <w:t>H1 = 0.300 m</w:t>
      </w:r>
    </w:p>
    <w:p>
      <w:pPr>
        <w:pStyle w:val="Equation"/>
      </w:pPr>
      <w:r>
        <w:t>A1 = π D1² / 4</w:t>
      </w:r>
    </w:p>
    <w:p>
      <w:pPr>
        <w:pStyle w:val="Equation"/>
      </w:pPr>
      <w:r>
        <w:t>A1 = π(0.200)²/4 = 0.031416 m²</w:t>
      </w:r>
    </w:p>
    <w:p>
      <w:pPr>
        <w:pStyle w:val="Equation"/>
      </w:pPr>
      <w:r>
        <w:t>V1 = A1 h1</w:t>
      </w:r>
    </w:p>
    <w:p>
      <w:pPr>
        <w:pStyle w:val="Equation"/>
      </w:pPr>
      <w:r>
        <w:t>V1,sp = 0.031416 × 0.160 = 0.0050265 m³ = 5.0265 L</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EDEDED"/>
          </w:tcPr>
          <w:p>
            <w:r/>
            <w:r>
              <w:rPr>
                <w:b/>
              </w:rPr>
              <w:t>Parameter</w:t>
            </w:r>
          </w:p>
        </w:tc>
        <w:tc>
          <w:tcPr>
            <w:tcW w:type="dxa" w:w="3249"/>
            <w:vAlign w:val="center"/>
            <w:shd w:fill="EDEDED"/>
          </w:tcPr>
          <w:p>
            <w:r/>
            <w:r>
              <w:rPr>
                <w:b/>
              </w:rPr>
              <w:t>Value</w:t>
            </w:r>
          </w:p>
        </w:tc>
        <w:tc>
          <w:tcPr>
            <w:tcW w:type="dxa" w:w="3249"/>
            <w:vAlign w:val="center"/>
            <w:shd w:fill="EDEDED"/>
          </w:tcPr>
          <w:p>
            <w:r/>
            <w:r>
              <w:rPr>
                <w:b/>
              </w:rPr>
              <w:t>Status</w:t>
            </w:r>
          </w:p>
        </w:tc>
      </w:tr>
      <w:tr>
        <w:tc>
          <w:tcPr>
            <w:tcW w:type="dxa" w:w="3249"/>
            <w:vAlign w:val="center"/>
          </w:tcPr>
          <w:p>
            <w:r/>
            <w:r>
              <w:rPr>
                <w:b w:val="0"/>
              </w:rPr>
              <w:t>Internal diameter D1</w:t>
            </w:r>
          </w:p>
        </w:tc>
        <w:tc>
          <w:tcPr>
            <w:tcW w:type="dxa" w:w="3249"/>
            <w:vAlign w:val="center"/>
          </w:tcPr>
          <w:p>
            <w:r/>
            <w:r>
              <w:rPr>
                <w:b w:val="0"/>
              </w:rPr>
              <w:t>0.200 m</w:t>
            </w:r>
          </w:p>
        </w:tc>
        <w:tc>
          <w:tcPr>
            <w:tcW w:type="dxa" w:w="3249"/>
            <w:vAlign w:val="center"/>
          </w:tcPr>
          <w:p>
            <w:r/>
            <w:r>
              <w:rPr>
                <w:b w:val="0"/>
              </w:rPr>
              <w:t>Assumed geometry</w:t>
            </w:r>
          </w:p>
        </w:tc>
      </w:tr>
      <w:tr>
        <w:tc>
          <w:tcPr>
            <w:tcW w:type="dxa" w:w="3249"/>
            <w:vAlign w:val="center"/>
          </w:tcPr>
          <w:p>
            <w:r/>
            <w:r>
              <w:rPr>
                <w:b w:val="0"/>
              </w:rPr>
              <w:t>Total wall height H1</w:t>
            </w:r>
          </w:p>
        </w:tc>
        <w:tc>
          <w:tcPr>
            <w:tcW w:type="dxa" w:w="3249"/>
            <w:vAlign w:val="center"/>
          </w:tcPr>
          <w:p>
            <w:r/>
            <w:r>
              <w:rPr>
                <w:b w:val="0"/>
              </w:rPr>
              <w:t>0.300 m</w:t>
            </w:r>
          </w:p>
        </w:tc>
        <w:tc>
          <w:tcPr>
            <w:tcW w:type="dxa" w:w="3249"/>
            <w:vAlign w:val="center"/>
          </w:tcPr>
          <w:p>
            <w:r/>
            <w:r>
              <w:rPr>
                <w:b w:val="0"/>
              </w:rPr>
              <w:t>Assumed geometry</w:t>
            </w:r>
          </w:p>
        </w:tc>
      </w:tr>
      <w:tr>
        <w:tc>
          <w:tcPr>
            <w:tcW w:type="dxa" w:w="3249"/>
            <w:vAlign w:val="center"/>
          </w:tcPr>
          <w:p>
            <w:r/>
            <w:r>
              <w:rPr>
                <w:b w:val="0"/>
              </w:rPr>
              <w:t>Cross-sectional area A1</w:t>
            </w:r>
          </w:p>
        </w:tc>
        <w:tc>
          <w:tcPr>
            <w:tcW w:type="dxa" w:w="3249"/>
            <w:vAlign w:val="center"/>
          </w:tcPr>
          <w:p>
            <w:r/>
            <w:r>
              <w:rPr>
                <w:b w:val="0"/>
              </w:rPr>
              <w:t>0.031416 m²</w:t>
            </w:r>
          </w:p>
        </w:tc>
        <w:tc>
          <w:tcPr>
            <w:tcW w:type="dxa" w:w="3249"/>
            <w:vAlign w:val="center"/>
          </w:tcPr>
          <w:p>
            <w:r/>
            <w:r>
              <w:rPr>
                <w:b w:val="0"/>
              </w:rPr>
              <w:t>Derived</w:t>
            </w:r>
          </w:p>
        </w:tc>
      </w:tr>
      <w:tr>
        <w:tc>
          <w:tcPr>
            <w:tcW w:type="dxa" w:w="3249"/>
            <w:vAlign w:val="center"/>
          </w:tcPr>
          <w:p>
            <w:r/>
            <w:r>
              <w:rPr>
                <w:b w:val="0"/>
              </w:rPr>
              <w:t>Nominal level h1,sp</w:t>
            </w:r>
          </w:p>
        </w:tc>
        <w:tc>
          <w:tcPr>
            <w:tcW w:type="dxa" w:w="3249"/>
            <w:vAlign w:val="center"/>
          </w:tcPr>
          <w:p>
            <w:r/>
            <w:r>
              <w:rPr>
                <w:b w:val="0"/>
              </w:rPr>
              <w:t>0.160 m = 160 mm</w:t>
            </w:r>
          </w:p>
        </w:tc>
        <w:tc>
          <w:tcPr>
            <w:tcW w:type="dxa" w:w="3249"/>
            <w:vAlign w:val="center"/>
          </w:tcPr>
          <w:p>
            <w:r/>
            <w:r>
              <w:rPr>
                <w:b w:val="0"/>
              </w:rPr>
              <w:t>Assumed operating point</w:t>
            </w:r>
          </w:p>
        </w:tc>
      </w:tr>
      <w:tr>
        <w:tc>
          <w:tcPr>
            <w:tcW w:type="dxa" w:w="3249"/>
            <w:vAlign w:val="center"/>
          </w:tcPr>
          <w:p>
            <w:r/>
            <w:r>
              <w:rPr>
                <w:b w:val="0"/>
              </w:rPr>
              <w:t>Nominal volume V1,sp</w:t>
            </w:r>
          </w:p>
        </w:tc>
        <w:tc>
          <w:tcPr>
            <w:tcW w:type="dxa" w:w="3249"/>
            <w:vAlign w:val="center"/>
          </w:tcPr>
          <w:p>
            <w:r/>
            <w:r>
              <w:rPr>
                <w:b w:val="0"/>
              </w:rPr>
              <w:t>5.0265 L</w:t>
            </w:r>
          </w:p>
        </w:tc>
        <w:tc>
          <w:tcPr>
            <w:tcW w:type="dxa" w:w="3249"/>
            <w:vAlign w:val="center"/>
          </w:tcPr>
          <w:p>
            <w:r/>
            <w:r>
              <w:rPr>
                <w:b w:val="0"/>
              </w:rPr>
              <w:t>Derived</w:t>
            </w:r>
          </w:p>
        </w:tc>
      </w:tr>
      <w:tr>
        <w:tc>
          <w:tcPr>
            <w:tcW w:type="dxa" w:w="3249"/>
            <w:vAlign w:val="center"/>
          </w:tcPr>
          <w:p>
            <w:r/>
            <w:r>
              <w:rPr>
                <w:b w:val="0"/>
              </w:rPr>
              <w:t>Low operating level</w:t>
            </w:r>
          </w:p>
        </w:tc>
        <w:tc>
          <w:tcPr>
            <w:tcW w:type="dxa" w:w="3249"/>
            <w:vAlign w:val="center"/>
          </w:tcPr>
          <w:p>
            <w:r/>
            <w:r>
              <w:rPr>
                <w:b w:val="0"/>
              </w:rPr>
              <w:t>0.030 m</w:t>
            </w:r>
          </w:p>
        </w:tc>
        <w:tc>
          <w:tcPr>
            <w:tcW w:type="dxa" w:w="3249"/>
            <w:vAlign w:val="center"/>
          </w:tcPr>
          <w:p>
            <w:r/>
            <w:r>
              <w:rPr>
                <w:b w:val="0"/>
              </w:rPr>
              <w:t>Assumed limit</w:t>
            </w:r>
          </w:p>
        </w:tc>
      </w:tr>
      <w:tr>
        <w:tc>
          <w:tcPr>
            <w:tcW w:type="dxa" w:w="3249"/>
            <w:vAlign w:val="center"/>
          </w:tcPr>
          <w:p>
            <w:r/>
            <w:r>
              <w:rPr>
                <w:b w:val="0"/>
              </w:rPr>
              <w:t>High operating/safety level</w:t>
            </w:r>
          </w:p>
        </w:tc>
        <w:tc>
          <w:tcPr>
            <w:tcW w:type="dxa" w:w="3249"/>
            <w:vAlign w:val="center"/>
          </w:tcPr>
          <w:p>
            <w:r/>
            <w:r>
              <w:rPr>
                <w:b w:val="0"/>
              </w:rPr>
              <w:t>0.250 m</w:t>
            </w:r>
          </w:p>
        </w:tc>
        <w:tc>
          <w:tcPr>
            <w:tcW w:type="dxa" w:w="3249"/>
            <w:vAlign w:val="center"/>
          </w:tcPr>
          <w:p>
            <w:r/>
            <w:r>
              <w:rPr>
                <w:b w:val="0"/>
              </w:rPr>
              <w:t>Assumed limit</w:t>
            </w:r>
          </w:p>
        </w:tc>
      </w:tr>
      <w:tr>
        <w:tc>
          <w:tcPr>
            <w:tcW w:type="dxa" w:w="3249"/>
            <w:vAlign w:val="center"/>
          </w:tcPr>
          <w:p>
            <w:r/>
            <w:r>
              <w:rPr>
                <w:b w:val="0"/>
              </w:rPr>
              <w:t>Physical wall limit</w:t>
            </w:r>
          </w:p>
        </w:tc>
        <w:tc>
          <w:tcPr>
            <w:tcW w:type="dxa" w:w="3249"/>
            <w:vAlign w:val="center"/>
          </w:tcPr>
          <w:p>
            <w:r/>
            <w:r>
              <w:rPr>
                <w:b w:val="0"/>
              </w:rPr>
              <w:t>0.300 m</w:t>
            </w:r>
          </w:p>
        </w:tc>
        <w:tc>
          <w:tcPr>
            <w:tcW w:type="dxa" w:w="3249"/>
            <w:vAlign w:val="center"/>
          </w:tcPr>
          <w:p>
            <w:r/>
            <w:r>
              <w:rPr>
                <w:b w:val="0"/>
              </w:rPr>
              <w:t>Geometry limit</w:t>
            </w:r>
          </w:p>
        </w:tc>
      </w:tr>
    </w:tbl>
    <w:p>
      <w:pPr>
        <w:pStyle w:val="Heading1"/>
      </w:pPr>
      <w:r>
        <w:t>6. Modeling Assumptions</w:t>
      </w:r>
    </w:p>
    <w:p>
      <w:pPr>
        <w:pStyle w:val="ListBullet"/>
      </w:pPr>
      <w:r>
        <w:t>The liquid is treated as incompressible and water-like.</w:t>
      </w:r>
    </w:p>
    <w:p>
      <w:pPr>
        <w:pStyle w:val="ListBullet"/>
      </w:pPr>
      <w:r>
        <w:t>Tank 1 is cylindrical with constant cross-sectional area.</w:t>
      </w:r>
    </w:p>
    <w:p>
      <w:pPr>
        <w:pStyle w:val="ListBullet"/>
      </w:pPr>
      <w:r>
        <w:t>The liquid surface is open to atmosphere.</w:t>
      </w:r>
    </w:p>
    <w:p>
      <w:pPr>
        <w:pStyle w:val="ListBullet"/>
      </w:pPr>
      <w:r>
        <w:t>The receiving side of the transfer path is treated as atmospheric for the present gravity-outlet approximation.</w:t>
      </w:r>
    </w:p>
    <w:p>
      <w:pPr>
        <w:pStyle w:val="ListBullet"/>
      </w:pPr>
      <w:r>
        <w:t>The tank is sufficiently well mixed that a single liquid level describes the hydraulic state.</w:t>
      </w:r>
    </w:p>
    <w:p>
      <w:pPr>
        <w:pStyle w:val="ListBullet"/>
      </w:pPr>
      <w:r>
        <w:t>Inlet pump flow is initially approximated as linearly proportional to commanded PWM.</w:t>
      </w:r>
    </w:p>
    <w:p>
      <w:pPr>
        <w:pStyle w:val="ListBullet"/>
      </w:pPr>
      <w:r>
        <w:t>The gravity outlet is approximated by a Torricelli/Bernoulli-type square-root relation.</w:t>
      </w:r>
    </w:p>
    <w:p>
      <w:pPr>
        <w:pStyle w:val="ListBullet"/>
      </w:pPr>
      <w:r>
        <w:t>Valve restriction is represented by an opening fraction α multiplying an effective CdA parameter.</w:t>
      </w:r>
    </w:p>
    <w:p>
      <w:pPr>
        <w:pStyle w:val="ListBullet"/>
      </w:pPr>
      <w:r>
        <w:t>Tubing losses, pump dynamics, and detailed valve hysteresis are neglected in this first-order hydraulic model.</w:t>
      </w:r>
    </w:p>
    <w:p>
      <w:pPr>
        <w:pStyle w:val="ListBullet"/>
      </w:pPr>
      <w:r>
        <w:t>All pump and valve commands are constrained to their physical ranges.</w:t>
      </w:r>
    </w:p>
    <w:p>
      <w:pPr>
        <w:pStyle w:val="ListBullet"/>
      </w:pPr>
      <w:r>
        <w:t>The model's level limits are numerical physical constraints; software saturation is not a substitute for independent hardware safety switches.</w:t>
      </w:r>
    </w:p>
    <w:p>
      <w:pPr>
        <w:pStyle w:val="Heading1"/>
      </w:pPr>
      <w:r>
        <w:t>7. Step-by-Step Derivation of the Tank 1 Mass Balance</w:t>
      </w:r>
    </w:p>
    <w:p>
      <w:pPr>
        <w:pStyle w:val="Heading2"/>
      </w:pPr>
      <w:r>
        <w:t>7.1 Conservation law</w:t>
      </w:r>
    </w:p>
    <w:p>
      <w:r>
        <w:t>The starting point is conservation of mass. For an incompressible liquid of approximately constant density, mass conservation can be divided by density, giving conservation of liquid volume.</w:t>
      </w:r>
    </w:p>
    <w:p>
      <w:pPr>
        <w:pStyle w:val="Equation"/>
      </w:pPr>
      <w:r>
        <w:t>Accumulation = Inflow − Outflow</w:t>
      </w:r>
    </w:p>
    <w:p>
      <w:pPr>
        <w:pStyle w:val="Equation"/>
      </w:pPr>
      <w:r>
        <w:t>dV1/dt = Qin − Q12</w:t>
      </w:r>
    </w:p>
    <w:p>
      <w:r>
        <w:t>This equation is the physical law governing the tank. It says that the tank can only gain liquid if more liquid enters than leaves, and it must lose liquid if the outlet flow exceeds the inlet flow.</w:t>
      </w:r>
    </w:p>
    <w:p>
      <w:pPr>
        <w:pStyle w:val="Heading2"/>
      </w:pPr>
      <w:r>
        <w:t>7.2 Geometric relationship between volume and level</w:t>
      </w:r>
    </w:p>
    <w:p>
      <w:r>
        <w:t>For a vertical cylindrical tank with constant cross-sectional area, liquid volume is the area of the tank cross-section multiplied by liquid height.</w:t>
      </w:r>
    </w:p>
    <w:p>
      <w:pPr>
        <w:pStyle w:val="Equation"/>
      </w:pPr>
      <w:r>
        <w:t>V1 = A1 h1</w:t>
      </w:r>
    </w:p>
    <w:p>
      <w:r>
        <w:t>Since A1 is constant:</w:t>
      </w:r>
    </w:p>
    <w:p>
      <w:pPr>
        <w:pStyle w:val="Equation"/>
      </w:pPr>
      <w:r>
        <w:t>dV1/dt = A1 dh1/dt</w:t>
      </w:r>
    </w:p>
    <w:p>
      <w:r>
        <w:t>Substituting this geometric derivative into the conservation equation gives the fundamental level equation.</w:t>
      </w:r>
    </w:p>
    <w:p>
      <w:pPr>
        <w:pStyle w:val="Equation"/>
      </w:pPr>
      <w:r>
        <w:t>A1 dh1/dt = Qin − Q12</w:t>
      </w:r>
    </w:p>
    <w:p>
      <w:pPr>
        <w:pStyle w:val="Equation"/>
      </w:pPr>
      <w:r>
        <w:t>dh1/dt = (Qin − Q12)/A1</w:t>
      </w:r>
    </w:p>
    <w:p>
      <w:r>
        <w:t>This equation is already a valid dynamic model. It becomes nonlinear when the physical flow equations are substituted.</w:t>
      </w:r>
    </w:p>
    <w:p>
      <w:pPr>
        <w:pStyle w:val="Heading2"/>
      </w:pPr>
      <w:r>
        <w:t>7.3 Inlet pump relationship</w:t>
      </w:r>
    </w:p>
    <w:p>
      <w:r>
        <w:t>For the first simulation, the pump is represented by a deliberately simple normalized command-to-flow model. If 100% command produces Qin,max, then a command uP produces:</w:t>
      </w:r>
    </w:p>
    <w:p>
      <w:pPr>
        <w:pStyle w:val="Equation"/>
      </w:pPr>
      <w:r>
        <w:t>Qin = Qin,max (uP/100)</w:t>
      </w:r>
    </w:p>
    <w:p>
      <w:r>
        <w:t>The current assumed maximum inlet flow is 0.60 L/min. Converting to SI units:</w:t>
      </w:r>
    </w:p>
    <w:p>
      <w:pPr>
        <w:pStyle w:val="Equation"/>
      </w:pPr>
      <w:r>
        <w:t>Qin,max = 0.60 L/min ÷ 60000 = 1.000 × 10⁻⁵ m³/s</w:t>
      </w:r>
    </w:p>
    <w:p>
      <w:r>
        <w:t>Therefore, for example, at 60% command:</w:t>
      </w:r>
    </w:p>
    <w:p>
      <w:pPr>
        <w:pStyle w:val="Equation"/>
      </w:pPr>
      <w:r>
        <w:t>Qin = 1.000 × 10⁻⁵ × 0.60 = 6.000 × 10⁻⁶ m³/s = 0.36 L/min</w:t>
      </w:r>
    </w:p>
    <w:p>
      <w:r>
        <w:t>This linear pump map is a simulation assumption. A real diaphragm pump will have a pump curve affected by pressure head, tubing, fittings, voltage, PWM method, and operating condition. The final physical project must replace this relationship with measured calibration data.</w:t>
      </w:r>
    </w:p>
    <w:p>
      <w:pPr>
        <w:pStyle w:val="Heading2"/>
      </w:pPr>
      <w:r>
        <w:t>7.4 Gravity outlet relationship</w:t>
      </w:r>
    </w:p>
    <w:p>
      <w:r>
        <w:t>For a free-surface tank discharging through an opening to approximately atmospheric pressure, the pressure difference is represented by hydrostatic head ρgh. A Bernoulli/Torricelli approximation gives outlet velocity:</w:t>
      </w:r>
    </w:p>
    <w:p>
      <w:pPr>
        <w:pStyle w:val="Equation"/>
      </w:pPr>
      <w:r>
        <w:t>vout ≈ √(2 g h1)</w:t>
      </w:r>
    </w:p>
    <w:p>
      <w:r>
        <w:t>For an effective discharge area multiplied by a discharge coefficient, volumetric flow is proportional to velocity. The combined parameter is represented as CdA:</w:t>
      </w:r>
    </w:p>
    <w:p>
      <w:pPr>
        <w:pStyle w:val="Equation"/>
      </w:pPr>
      <w:r>
        <w:t>Q12 = α CdA √(2 g h1)</w:t>
      </w:r>
    </w:p>
    <w:p>
      <w:r>
        <w:t>Here α represents the controllable restriction opening. If α = 0 the outlet is closed; if α = 1 the selected CdA is fully available.</w:t>
      </w:r>
    </w:p>
    <w:p>
      <w:r>
        <w:t>The current assumed effective CdA is 4.23 × 10⁻⁶ m². This is selected for simulation and must later be identified experimentally from measured outlet flow at known liquid levels and valve openings.</w:t>
      </w:r>
    </w:p>
    <w:p>
      <w:pPr>
        <w:pStyle w:val="Heading2"/>
      </w:pPr>
      <w:r>
        <w:t>7.5 Final nonlinear ODE</w:t>
      </w:r>
    </w:p>
    <w:p>
      <w:r>
        <w:t>Substitute the inlet and outlet relationships into the volume balance:</w:t>
      </w:r>
    </w:p>
    <w:p>
      <w:pPr>
        <w:pStyle w:val="Equation"/>
      </w:pPr>
      <w:r>
        <w:t>A1 dh1/dt = Qin,max (uP/100) − α CdA √(2 g h1)</w:t>
      </w:r>
    </w:p>
    <w:p>
      <w:r>
        <w:t>Therefore:</w:t>
      </w:r>
    </w:p>
    <w:p>
      <w:pPr>
        <w:pStyle w:val="Equation"/>
      </w:pPr>
      <w:r>
        <w:t>┌─────────────────────────────────────────────────────────────┐</w:t>
      </w:r>
    </w:p>
    <w:p>
      <w:pPr>
        <w:pStyle w:val="Equation"/>
      </w:pPr>
      <w:r>
        <w:t>│ dh1/dt = [Qin,max(uP/100) − α CdA √(2 g h1)] / A1       │</w:t>
      </w:r>
    </w:p>
    <w:p>
      <w:pPr>
        <w:pStyle w:val="Equation"/>
      </w:pPr>
      <w:r>
        <w:t>└─────────────────────────────────────────────────────────────┘</w:t>
      </w:r>
    </w:p>
    <w:p>
      <w:r>
        <w:t>This is the governing nonlinear Tank 1 model used in the MATLAB ODE and reproduced in the Simulink block diagram.</w:t>
      </w:r>
    </w:p>
    <w:p>
      <w:pPr>
        <w:pStyle w:val="Heading1"/>
      </w:pPr>
      <w:r>
        <w:t>8. Why the Tank 1 Model Is Nonlinear</w:t>
      </w:r>
    </w:p>
    <w:p>
      <w:r>
        <w:t>The nonlinearity is introduced by the square-root term √h1 in the gravity outlet equation. The outlet flow is therefore not proportional to liquid level.</w:t>
      </w:r>
    </w:p>
    <w:p>
      <w:pPr>
        <w:pStyle w:val="Equation"/>
      </w:pPr>
      <w:r>
        <w:t>Q12 ∝ √h1</w:t>
      </w:r>
    </w:p>
    <w:p>
      <w:r>
        <w:t>At a high level, the tank has a larger hydrostatic head and therefore a larger gravity outlet flow. At a low level, the driving head becomes smaller and the outlet flow decreases.</w:t>
      </w:r>
    </w:p>
    <w:p>
      <w:r>
        <w:t>This produces the characteristic behavior:</w:t>
      </w:r>
    </w:p>
    <w:p>
      <w:pPr>
        <w:pStyle w:val="Equation"/>
      </w:pPr>
      <w:r>
        <w:t>h1 ↑ → √h1 ↑ → Q12 ↑ → (Qin − Q12) ↓</w:t>
      </w:r>
    </w:p>
    <w:p>
      <w:pPr>
        <w:pStyle w:val="Equation"/>
      </w:pPr>
      <w:r>
        <w:t>h1 ↓ → √h1 ↓ → Q12 ↓ → draining rate ↓</w:t>
      </w:r>
    </w:p>
    <w:p>
      <w:r>
        <w:t>This is why the drain test is curved rather than a straight line.</w:t>
      </w:r>
    </w:p>
    <w:p>
      <w:pPr>
        <w:pStyle w:val="Heading1"/>
      </w:pPr>
      <w:r>
        <w:t>9. Steady-State / Equilibrium Proof</w:t>
      </w:r>
    </w:p>
    <w:p>
      <w:r>
        <w:t>A steady level occurs when the level is no longer changing. Mathematically:</w:t>
      </w:r>
    </w:p>
    <w:p>
      <w:pPr>
        <w:pStyle w:val="Equation"/>
      </w:pPr>
      <w:r>
        <w:t>dh1/dt = 0</w:t>
      </w:r>
    </w:p>
    <w:p>
      <w:r>
        <w:t>From the mass balance, this requires equal inlet and outlet flows:</w:t>
      </w:r>
    </w:p>
    <w:p>
      <w:pPr>
        <w:pStyle w:val="Equation"/>
      </w:pPr>
      <w:r>
        <w:t>Qin = Q12</w:t>
      </w:r>
    </w:p>
    <w:p>
      <w:r>
        <w:t>At the nominal level h1,sp = 0.160 m and α = 0.65:</w:t>
      </w:r>
    </w:p>
    <w:p>
      <w:pPr>
        <w:pStyle w:val="Equation"/>
      </w:pPr>
      <w:r>
        <w:t>Q12,sp = 0.65 × (4.23×10⁻⁶) × √(2×9.81×0.160)</w:t>
      </w:r>
    </w:p>
    <w:p>
      <w:pPr>
        <w:pStyle w:val="Equation"/>
      </w:pPr>
      <w:r>
        <w:t>Q12,sp ≈ 4.8715×10⁻⁶ m³/s</w:t>
      </w:r>
    </w:p>
    <w:p>
      <w:pPr>
        <w:pStyle w:val="Equation"/>
      </w:pPr>
      <w:r>
        <w:t>Q12,sp ≈ 0.29229 L/min</w:t>
      </w:r>
    </w:p>
    <w:p>
      <w:r>
        <w:t>The required pump command under the assumed 0.60 L/min maximum-flow model is:</w:t>
      </w:r>
    </w:p>
    <w:p>
      <w:pPr>
        <w:pStyle w:val="Equation"/>
      </w:pPr>
      <w:r>
        <w:t>uP,eq = 100 Q12,sp / Qin,max</w:t>
      </w:r>
    </w:p>
    <w:p>
      <w:pPr>
        <w:pStyle w:val="Equation"/>
      </w:pPr>
      <w:r>
        <w:t>uP,eq = 100(0.29229)/0.60 ≈ 48.715 %</w:t>
      </w:r>
    </w:p>
    <w:p>
      <w:r>
        <w:t>Therefore, at approximately 48.7% pump command, 65% outlet opening, and 160 mm liquid level, the model predicts equal inlet and outlet flows and hence zero level-rate.</w:t>
      </w:r>
    </w:p>
    <w:p>
      <w:pPr>
        <w:pStyle w:val="Equation"/>
      </w:pPr>
      <w:r>
        <w:t>dh1/dt = (Qin − Q12)/A1 = 0</w:t>
      </w:r>
    </w:p>
    <w:tbl>
      <w:tblPr>
        <w:tblW w:type="auto" w:w="0"/>
        <w:jc w:val="center"/>
        <w:tblLook w:firstColumn="1" w:firstRow="1" w:lastColumn="0" w:lastRow="0" w:noHBand="0" w:noVBand="1" w:val="04A0"/>
      </w:tblPr>
      <w:tblGrid>
        <w:gridCol w:w="9746"/>
      </w:tblGrid>
      <w:tr>
        <w:tc>
          <w:tcPr>
            <w:tcW w:type="dxa" w:w="9746"/>
          </w:tcPr>
          <w:p>
            <w:r/>
            <w:r>
              <w:rPr>
                <w:b/>
              </w:rPr>
              <w:t xml:space="preserve">Engineering note: </w:t>
            </w:r>
            <w:r>
              <w:t>The MATLAB diagnostic produced approximately 2.70×10⁻²⁰ m/s instead of exactly zero because of floating-point arithmetic. This is numerical round-off and is physically zero for the present calculation.</w:t>
            </w:r>
          </w:p>
        </w:tc>
      </w:tr>
    </w:tbl>
    <w:p>
      <w:pPr>
        <w:pStyle w:val="Heading1"/>
      </w:pPr>
      <w:r>
        <w:t>10. Analytical Verification Tests</w:t>
      </w:r>
    </w:p>
    <w:p>
      <w:r>
        <w:t>The model is not considered verified merely because MATLAB runs. Three independent physical-direction and equation-consistency tests are used.</w:t>
      </w:r>
    </w:p>
    <w:p>
      <w:pPr>
        <w:pStyle w:val="Heading2"/>
      </w:pPr>
      <w:r>
        <w:t>10.1 Test 1 — Closed outlet, constant inlet</w:t>
      </w:r>
    </w:p>
    <w:p>
      <w:r>
        <w:t>Initial condition: h0 = 0.060 m. Pump command = 40%. Outlet opening α = 0.</w:t>
      </w:r>
    </w:p>
    <w:p>
      <w:pPr>
        <w:pStyle w:val="Equation"/>
      </w:pPr>
      <w:r>
        <w:t>Q12 = 0</w:t>
      </w:r>
    </w:p>
    <w:p>
      <w:pPr>
        <w:pStyle w:val="Equation"/>
      </w:pPr>
      <w:r>
        <w:t>dh1/dt = Qin/A1 = constant</w:t>
      </w:r>
    </w:p>
    <w:p>
      <w:pPr>
        <w:pStyle w:val="Equation"/>
      </w:pPr>
      <w:r>
        <w:t>h1(t) = h0 + (Qin/A1)t</w:t>
      </w:r>
    </w:p>
    <w:p>
      <w:r>
        <w:t>Thus the level must increase linearly. The numerical ODE solution is compared point-by-point with this analytical solution.</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EDEDED"/>
          </w:tcPr>
          <w:p>
            <w:r/>
            <w:r>
              <w:rPr>
                <w:b/>
              </w:rPr>
              <w:t>Quantity</w:t>
            </w:r>
          </w:p>
        </w:tc>
        <w:tc>
          <w:tcPr>
            <w:tcW w:type="dxa" w:w="4873"/>
            <w:vAlign w:val="center"/>
            <w:shd w:fill="EDEDED"/>
          </w:tcPr>
          <w:p>
            <w:r/>
            <w:r>
              <w:rPr>
                <w:b/>
              </w:rPr>
              <w:t>Result</w:t>
            </w:r>
          </w:p>
        </w:tc>
      </w:tr>
      <w:tr>
        <w:tc>
          <w:tcPr>
            <w:tcW w:type="dxa" w:w="4873"/>
            <w:vAlign w:val="center"/>
          </w:tcPr>
          <w:p>
            <w:r/>
            <w:r>
              <w:rPr>
                <w:b w:val="0"/>
              </w:rPr>
              <w:t>Initial level</w:t>
            </w:r>
          </w:p>
        </w:tc>
        <w:tc>
          <w:tcPr>
            <w:tcW w:type="dxa" w:w="4873"/>
            <w:vAlign w:val="center"/>
          </w:tcPr>
          <w:p>
            <w:r/>
            <w:r>
              <w:rPr>
                <w:b w:val="0"/>
              </w:rPr>
              <w:t>60 mm</w:t>
            </w:r>
          </w:p>
        </w:tc>
      </w:tr>
      <w:tr>
        <w:tc>
          <w:tcPr>
            <w:tcW w:type="dxa" w:w="4873"/>
            <w:vAlign w:val="center"/>
          </w:tcPr>
          <w:p>
            <w:r/>
            <w:r>
              <w:rPr>
                <w:b w:val="0"/>
              </w:rPr>
              <w:t>Pump command</w:t>
            </w:r>
          </w:p>
        </w:tc>
        <w:tc>
          <w:tcPr>
            <w:tcW w:type="dxa" w:w="4873"/>
            <w:vAlign w:val="center"/>
          </w:tcPr>
          <w:p>
            <w:r/>
            <w:r>
              <w:rPr>
                <w:b w:val="0"/>
              </w:rPr>
              <w:t>40 %</w:t>
            </w:r>
          </w:p>
        </w:tc>
      </w:tr>
      <w:tr>
        <w:tc>
          <w:tcPr>
            <w:tcW w:type="dxa" w:w="4873"/>
            <w:vAlign w:val="center"/>
          </w:tcPr>
          <w:p>
            <w:r/>
            <w:r>
              <w:rPr>
                <w:b w:val="0"/>
              </w:rPr>
              <w:t>Outlet opening</w:t>
            </w:r>
          </w:p>
        </w:tc>
        <w:tc>
          <w:tcPr>
            <w:tcW w:type="dxa" w:w="4873"/>
            <w:vAlign w:val="center"/>
          </w:tcPr>
          <w:p>
            <w:r/>
            <w:r>
              <w:rPr>
                <w:b w:val="0"/>
              </w:rPr>
              <w:t>0</w:t>
            </w:r>
          </w:p>
        </w:tc>
      </w:tr>
      <w:tr>
        <w:tc>
          <w:tcPr>
            <w:tcW w:type="dxa" w:w="4873"/>
            <w:vAlign w:val="center"/>
          </w:tcPr>
          <w:p>
            <w:r/>
            <w:r>
              <w:rPr>
                <w:b w:val="0"/>
              </w:rPr>
              <w:t>Simulation duration</w:t>
            </w:r>
          </w:p>
        </w:tc>
        <w:tc>
          <w:tcPr>
            <w:tcW w:type="dxa" w:w="4873"/>
            <w:vAlign w:val="center"/>
          </w:tcPr>
          <w:p>
            <w:r/>
            <w:r>
              <w:rPr>
                <w:b w:val="0"/>
              </w:rPr>
              <w:t>600 s = 10 min</w:t>
            </w:r>
          </w:p>
        </w:tc>
      </w:tr>
      <w:tr>
        <w:tc>
          <w:tcPr>
            <w:tcW w:type="dxa" w:w="4873"/>
            <w:vAlign w:val="center"/>
          </w:tcPr>
          <w:p>
            <w:r/>
            <w:r>
              <w:rPr>
                <w:b w:val="0"/>
              </w:rPr>
              <w:t>Final level</w:t>
            </w:r>
          </w:p>
        </w:tc>
        <w:tc>
          <w:tcPr>
            <w:tcW w:type="dxa" w:w="4873"/>
            <w:vAlign w:val="center"/>
          </w:tcPr>
          <w:p>
            <w:r/>
            <w:r>
              <w:rPr>
                <w:b w:val="0"/>
              </w:rPr>
              <w:t>≈136.4 mm</w:t>
            </w:r>
          </w:p>
        </w:tc>
      </w:tr>
      <w:tr>
        <w:tc>
          <w:tcPr>
            <w:tcW w:type="dxa" w:w="4873"/>
            <w:vAlign w:val="center"/>
          </w:tcPr>
          <w:p>
            <w:r/>
            <w:r>
              <w:rPr>
                <w:b w:val="0"/>
              </w:rPr>
              <w:t>Maximum ODE-vs-analytical error</w:t>
            </w:r>
          </w:p>
        </w:tc>
        <w:tc>
          <w:tcPr>
            <w:tcW w:type="dxa" w:w="4873"/>
            <w:vAlign w:val="center"/>
          </w:tcPr>
          <w:p>
            <w:r/>
            <w:r>
              <w:rPr>
                <w:b w:val="0"/>
              </w:rPr>
              <w:t>≈1.69×10⁻¹² mm</w:t>
            </w:r>
          </w:p>
        </w:tc>
      </w:tr>
    </w:tbl>
    <w:p>
      <w:pPr>
        <w:pStyle w:val="Heading2"/>
      </w:pPr>
      <w:r>
        <w:t>10.2 Test 2 — Pump off, gravity drain</w:t>
      </w:r>
    </w:p>
    <w:p>
      <w:r>
        <w:t>Initial condition: h0 = 0.160 m. Pump command = 0%. Outlet opening α = 0.65.</w:t>
      </w:r>
    </w:p>
    <w:p>
      <w:pPr>
        <w:pStyle w:val="Equation"/>
      </w:pPr>
      <w:r>
        <w:t>Qin = 0</w:t>
      </w:r>
    </w:p>
    <w:p>
      <w:pPr>
        <w:pStyle w:val="Equation"/>
      </w:pPr>
      <w:r>
        <w:t>dh1/dt = −(α CdA √(2g h1))/A1</w:t>
      </w:r>
    </w:p>
    <w:p>
      <w:r>
        <w:t>Define k = α CdA √(2g). Then:</w:t>
      </w:r>
    </w:p>
    <w:p>
      <w:pPr>
        <w:pStyle w:val="Equation"/>
      </w:pPr>
      <w:r>
        <w:t>dh1/dt = −(k/A1)√h1</w:t>
      </w:r>
    </w:p>
    <w:p>
      <w:r>
        <w:t>Separating variables:</w:t>
      </w:r>
    </w:p>
    <w:p>
      <w:pPr>
        <w:pStyle w:val="Equation"/>
      </w:pPr>
      <w:r>
        <w:t>dh1/√h1 = −(k/A1) dt</w:t>
      </w:r>
    </w:p>
    <w:p>
      <w:r>
        <w:t>Integrating:</w:t>
      </w:r>
    </w:p>
    <w:p>
      <w:pPr>
        <w:pStyle w:val="Equation"/>
      </w:pPr>
      <w:r>
        <w:t>2√h1 = −(k/A1)t + 2√h0</w:t>
      </w:r>
    </w:p>
    <w:p>
      <w:r>
        <w:t>Therefore:</w:t>
      </w:r>
    </w:p>
    <w:p>
      <w:pPr>
        <w:pStyle w:val="Equation"/>
      </w:pPr>
      <w:r>
        <w:t>h1(t) = [√h0 − kt/(2A1)]²</w:t>
      </w:r>
    </w:p>
    <w:p>
      <w:r>
        <w:t>The model therefore predicts a nonlinear drain curve. The numerical ODE solution is compared against this closed-form nonlinear solution.</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EDEDED"/>
          </w:tcPr>
          <w:p>
            <w:r/>
            <w:r>
              <w:rPr>
                <w:b/>
              </w:rPr>
              <w:t>Quantity</w:t>
            </w:r>
          </w:p>
        </w:tc>
        <w:tc>
          <w:tcPr>
            <w:tcW w:type="dxa" w:w="4873"/>
            <w:vAlign w:val="center"/>
            <w:shd w:fill="EDEDED"/>
          </w:tcPr>
          <w:p>
            <w:r/>
            <w:r>
              <w:rPr>
                <w:b/>
              </w:rPr>
              <w:t>Result</w:t>
            </w:r>
          </w:p>
        </w:tc>
      </w:tr>
      <w:tr>
        <w:tc>
          <w:tcPr>
            <w:tcW w:type="dxa" w:w="4873"/>
            <w:vAlign w:val="center"/>
          </w:tcPr>
          <w:p>
            <w:r/>
            <w:r>
              <w:rPr>
                <w:b w:val="0"/>
              </w:rPr>
              <w:t>Initial level</w:t>
            </w:r>
          </w:p>
        </w:tc>
        <w:tc>
          <w:tcPr>
            <w:tcW w:type="dxa" w:w="4873"/>
            <w:vAlign w:val="center"/>
          </w:tcPr>
          <w:p>
            <w:r/>
            <w:r>
              <w:rPr>
                <w:b w:val="0"/>
              </w:rPr>
              <w:t>160 mm</w:t>
            </w:r>
          </w:p>
        </w:tc>
      </w:tr>
      <w:tr>
        <w:tc>
          <w:tcPr>
            <w:tcW w:type="dxa" w:w="4873"/>
            <w:vAlign w:val="center"/>
          </w:tcPr>
          <w:p>
            <w:r/>
            <w:r>
              <w:rPr>
                <w:b w:val="0"/>
              </w:rPr>
              <w:t>Pump command</w:t>
            </w:r>
          </w:p>
        </w:tc>
        <w:tc>
          <w:tcPr>
            <w:tcW w:type="dxa" w:w="4873"/>
            <w:vAlign w:val="center"/>
          </w:tcPr>
          <w:p>
            <w:r/>
            <w:r>
              <w:rPr>
                <w:b w:val="0"/>
              </w:rPr>
              <w:t>0 %</w:t>
            </w:r>
          </w:p>
        </w:tc>
      </w:tr>
      <w:tr>
        <w:tc>
          <w:tcPr>
            <w:tcW w:type="dxa" w:w="4873"/>
            <w:vAlign w:val="center"/>
          </w:tcPr>
          <w:p>
            <w:r/>
            <w:r>
              <w:rPr>
                <w:b w:val="0"/>
              </w:rPr>
              <w:t>Outlet opening</w:t>
            </w:r>
          </w:p>
        </w:tc>
        <w:tc>
          <w:tcPr>
            <w:tcW w:type="dxa" w:w="4873"/>
            <w:vAlign w:val="center"/>
          </w:tcPr>
          <w:p>
            <w:r/>
            <w:r>
              <w:rPr>
                <w:b w:val="0"/>
              </w:rPr>
              <w:t>65 %</w:t>
            </w:r>
          </w:p>
        </w:tc>
      </w:tr>
      <w:tr>
        <w:tc>
          <w:tcPr>
            <w:tcW w:type="dxa" w:w="4873"/>
            <w:vAlign w:val="center"/>
          </w:tcPr>
          <w:p>
            <w:r/>
            <w:r>
              <w:rPr>
                <w:b w:val="0"/>
              </w:rPr>
              <w:t>Simulation duration</w:t>
            </w:r>
          </w:p>
        </w:tc>
        <w:tc>
          <w:tcPr>
            <w:tcW w:type="dxa" w:w="4873"/>
            <w:vAlign w:val="center"/>
          </w:tcPr>
          <w:p>
            <w:r/>
            <w:r>
              <w:rPr>
                <w:b w:val="0"/>
              </w:rPr>
              <w:t>1800 s = 30 min</w:t>
            </w:r>
          </w:p>
        </w:tc>
      </w:tr>
      <w:tr>
        <w:tc>
          <w:tcPr>
            <w:tcW w:type="dxa" w:w="4873"/>
            <w:vAlign w:val="center"/>
          </w:tcPr>
          <w:p>
            <w:r/>
            <w:r>
              <w:rPr>
                <w:b w:val="0"/>
              </w:rPr>
              <w:t>Final level</w:t>
            </w:r>
          </w:p>
        </w:tc>
        <w:tc>
          <w:tcPr>
            <w:tcW w:type="dxa" w:w="4873"/>
            <w:vAlign w:val="center"/>
          </w:tcPr>
          <w:p>
            <w:r/>
            <w:r>
              <w:rPr>
                <w:b w:val="0"/>
              </w:rPr>
              <w:t>≈2.61 mm</w:t>
            </w:r>
          </w:p>
        </w:tc>
      </w:tr>
      <w:tr>
        <w:tc>
          <w:tcPr>
            <w:tcW w:type="dxa" w:w="4873"/>
            <w:vAlign w:val="center"/>
          </w:tcPr>
          <w:p>
            <w:r/>
            <w:r>
              <w:rPr>
                <w:b w:val="0"/>
              </w:rPr>
              <w:t>Maximum ODE-vs-analytical error</w:t>
            </w:r>
          </w:p>
        </w:tc>
        <w:tc>
          <w:tcPr>
            <w:tcW w:type="dxa" w:w="4873"/>
            <w:vAlign w:val="center"/>
          </w:tcPr>
          <w:p>
            <w:r/>
            <w:r>
              <w:rPr>
                <w:b w:val="0"/>
              </w:rPr>
              <w:t>≈8.33×10⁻¹⁴ mm</w:t>
            </w:r>
          </w:p>
        </w:tc>
      </w:tr>
    </w:tbl>
    <w:p>
      <w:pPr>
        <w:pStyle w:val="Heading2"/>
      </w:pPr>
      <w:r>
        <w:t>10.3 Test 3 — Balanced flows</w:t>
      </w:r>
    </w:p>
    <w:p>
      <w:r>
        <w:t>The nominal level is 160 mm. The pump command is calculated from the gravity outlet flow so that Qin = Q12.</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EDEDED"/>
          </w:tcPr>
          <w:p>
            <w:r/>
            <w:r>
              <w:rPr>
                <w:b/>
              </w:rPr>
              <w:t>Quantity</w:t>
            </w:r>
          </w:p>
        </w:tc>
        <w:tc>
          <w:tcPr>
            <w:tcW w:type="dxa" w:w="4873"/>
            <w:vAlign w:val="center"/>
            <w:shd w:fill="EDEDED"/>
          </w:tcPr>
          <w:p>
            <w:r/>
            <w:r>
              <w:rPr>
                <w:b/>
              </w:rPr>
              <w:t>Result</w:t>
            </w:r>
          </w:p>
        </w:tc>
      </w:tr>
      <w:tr>
        <w:tc>
          <w:tcPr>
            <w:tcW w:type="dxa" w:w="4873"/>
            <w:vAlign w:val="center"/>
          </w:tcPr>
          <w:p>
            <w:r/>
            <w:r>
              <w:rPr>
                <w:b w:val="0"/>
              </w:rPr>
              <w:t>Nominal level</w:t>
            </w:r>
          </w:p>
        </w:tc>
        <w:tc>
          <w:tcPr>
            <w:tcW w:type="dxa" w:w="4873"/>
            <w:vAlign w:val="center"/>
          </w:tcPr>
          <w:p>
            <w:r/>
            <w:r>
              <w:rPr>
                <w:b w:val="0"/>
              </w:rPr>
              <w:t>160 mm</w:t>
            </w:r>
          </w:p>
        </w:tc>
      </w:tr>
      <w:tr>
        <w:tc>
          <w:tcPr>
            <w:tcW w:type="dxa" w:w="4873"/>
            <w:vAlign w:val="center"/>
          </w:tcPr>
          <w:p>
            <w:r/>
            <w:r>
              <w:rPr>
                <w:b w:val="0"/>
              </w:rPr>
              <w:t>Outlet opening</w:t>
            </w:r>
          </w:p>
        </w:tc>
        <w:tc>
          <w:tcPr>
            <w:tcW w:type="dxa" w:w="4873"/>
            <w:vAlign w:val="center"/>
          </w:tcPr>
          <w:p>
            <w:r/>
            <w:r>
              <w:rPr>
                <w:b w:val="0"/>
              </w:rPr>
              <w:t>65 %</w:t>
            </w:r>
          </w:p>
        </w:tc>
      </w:tr>
      <w:tr>
        <w:tc>
          <w:tcPr>
            <w:tcW w:type="dxa" w:w="4873"/>
            <w:vAlign w:val="center"/>
          </w:tcPr>
          <w:p>
            <w:r/>
            <w:r>
              <w:rPr>
                <w:b w:val="0"/>
              </w:rPr>
              <w:t>Equilibrium flow</w:t>
            </w:r>
          </w:p>
        </w:tc>
        <w:tc>
          <w:tcPr>
            <w:tcW w:type="dxa" w:w="4873"/>
            <w:vAlign w:val="center"/>
          </w:tcPr>
          <w:p>
            <w:r/>
            <w:r>
              <w:rPr>
                <w:b w:val="0"/>
              </w:rPr>
              <w:t>0.29229 L/min</w:t>
            </w:r>
          </w:p>
        </w:tc>
      </w:tr>
      <w:tr>
        <w:tc>
          <w:tcPr>
            <w:tcW w:type="dxa" w:w="4873"/>
            <w:vAlign w:val="center"/>
          </w:tcPr>
          <w:p>
            <w:r/>
            <w:r>
              <w:rPr>
                <w:b w:val="0"/>
              </w:rPr>
              <w:t>Required pump command</w:t>
            </w:r>
          </w:p>
        </w:tc>
        <w:tc>
          <w:tcPr>
            <w:tcW w:type="dxa" w:w="4873"/>
            <w:vAlign w:val="center"/>
          </w:tcPr>
          <w:p>
            <w:r/>
            <w:r>
              <w:rPr>
                <w:b w:val="0"/>
              </w:rPr>
              <w:t>48.715 %</w:t>
            </w:r>
          </w:p>
        </w:tc>
      </w:tr>
      <w:tr>
        <w:tc>
          <w:tcPr>
            <w:tcW w:type="dxa" w:w="4873"/>
            <w:vAlign w:val="center"/>
          </w:tcPr>
          <w:p>
            <w:r/>
            <w:r>
              <w:rPr>
                <w:b w:val="0"/>
              </w:rPr>
              <w:t>Maximum level drift</w:t>
            </w:r>
          </w:p>
        </w:tc>
        <w:tc>
          <w:tcPr>
            <w:tcW w:type="dxa" w:w="4873"/>
            <w:vAlign w:val="center"/>
          </w:tcPr>
          <w:p>
            <w:r/>
            <w:r>
              <w:rPr>
                <w:b w:val="0"/>
              </w:rPr>
              <w:t>0 mm to numerical precision</w:t>
            </w:r>
          </w:p>
        </w:tc>
      </w:tr>
    </w:tbl>
    <w:p>
      <w:r>
        <w:t>The verification script checks that the fill level is monotonic increasing, the drain level is monotonic decreasing, the analytical and numerical solutions agree to tight tolerance, and the equilibrium level remains constant.</w:t>
      </w:r>
    </w:p>
    <w:p>
      <w:pPr>
        <w:pStyle w:val="Heading1"/>
      </w:pPr>
      <w:r>
        <w:t>11. Verification Plot</w:t>
      </w:r>
    </w:p>
    <w:p>
      <w:r>
        <w:t>The following plot is the project verification figure. The blue curves are the numerical ODE model. The dashed curves are the corresponding analytical solutions or nominal equilibrium reference.</w:t>
      </w:r>
    </w:p>
    <w:p>
      <w:pPr>
        <w:jc w:val="center"/>
      </w:pPr>
      <w:r>
        <w:drawing>
          <wp:inline xmlns:a="http://schemas.openxmlformats.org/drawingml/2006/main" xmlns:pic="http://schemas.openxmlformats.org/drawingml/2006/picture">
            <wp:extent cx="5760720" cy="4169280"/>
            <wp:docPr id="1" name="Picture 1"/>
            <wp:cNvGraphicFramePr>
              <a:graphicFrameLocks noChangeAspect="1"/>
            </wp:cNvGraphicFramePr>
            <a:graphic>
              <a:graphicData uri="http://schemas.openxmlformats.org/drawingml/2006/picture">
                <pic:pic>
                  <pic:nvPicPr>
                    <pic:cNvPr id="0" name="tank1_verification_plot.png"/>
                    <pic:cNvPicPr/>
                  </pic:nvPicPr>
                  <pic:blipFill>
                    <a:blip r:embed="rId9"/>
                    <a:stretch>
                      <a:fillRect/>
                    </a:stretch>
                  </pic:blipFill>
                  <pic:spPr>
                    <a:xfrm>
                      <a:off x="0" y="0"/>
                      <a:ext cx="5760720" cy="4169280"/>
                    </a:xfrm>
                    <a:prstGeom prst="rect"/>
                  </pic:spPr>
                </pic:pic>
              </a:graphicData>
            </a:graphic>
          </wp:inline>
        </w:drawing>
      </w:r>
    </w:p>
    <w:p>
      <w:r>
        <w:t>Interpretation: Test 1 verifies linear accumulation with the outlet closed; Test 2 verifies nonlinear gravity draining; Test 3 verifies the steady-state condition Qin = Q12.</w:t>
      </w:r>
    </w:p>
    <w:p>
      <w:pPr>
        <w:pStyle w:val="Heading1"/>
      </w:pPr>
      <w:r>
        <w:t>12. MATLAB/Simulink Implementation Proof</w:t>
      </w:r>
    </w:p>
    <w:p>
      <w:r>
        <w:t>The Simulink implementation is a direct graphical realization of the derived ODE rather than a separate empirical model.</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EDEDED"/>
          </w:tcPr>
          <w:p>
            <w:r/>
            <w:r>
              <w:rPr>
                <w:b/>
              </w:rPr>
              <w:t>Simulink block</w:t>
            </w:r>
          </w:p>
        </w:tc>
        <w:tc>
          <w:tcPr>
            <w:tcW w:type="dxa" w:w="4873"/>
            <w:vAlign w:val="center"/>
            <w:shd w:fill="EDEDED"/>
          </w:tcPr>
          <w:p>
            <w:r/>
            <w:r>
              <w:rPr>
                <w:b/>
              </w:rPr>
              <w:t>Mathematical role</w:t>
            </w:r>
          </w:p>
        </w:tc>
      </w:tr>
      <w:tr>
        <w:tc>
          <w:tcPr>
            <w:tcW w:type="dxa" w:w="4873"/>
            <w:vAlign w:val="center"/>
          </w:tcPr>
          <w:p>
            <w:r/>
            <w:r>
              <w:rPr>
                <w:b w:val="0"/>
              </w:rPr>
              <w:t>Pump PWM (%)</w:t>
            </w:r>
          </w:p>
        </w:tc>
        <w:tc>
          <w:tcPr>
            <w:tcW w:type="dxa" w:w="4873"/>
            <w:vAlign w:val="center"/>
          </w:tcPr>
          <w:p>
            <w:r/>
            <w:r>
              <w:rPr>
                <w:b w:val="0"/>
              </w:rPr>
              <w:t>Input uP</w:t>
            </w:r>
          </w:p>
        </w:tc>
      </w:tr>
      <w:tr>
        <w:tc>
          <w:tcPr>
            <w:tcW w:type="dxa" w:w="4873"/>
            <w:vAlign w:val="center"/>
          </w:tcPr>
          <w:p>
            <w:r/>
            <w:r>
              <w:rPr>
                <w:b w:val="0"/>
              </w:rPr>
              <w:t>Pump flow Qin</w:t>
            </w:r>
          </w:p>
        </w:tc>
        <w:tc>
          <w:tcPr>
            <w:tcW w:type="dxa" w:w="4873"/>
            <w:vAlign w:val="center"/>
          </w:tcPr>
          <w:p>
            <w:r/>
            <w:r>
              <w:rPr>
                <w:b w:val="0"/>
              </w:rPr>
              <w:t>Qin = Qin,max(uP/100)</w:t>
            </w:r>
          </w:p>
        </w:tc>
      </w:tr>
      <w:tr>
        <w:tc>
          <w:tcPr>
            <w:tcW w:type="dxa" w:w="4873"/>
            <w:vAlign w:val="center"/>
          </w:tcPr>
          <w:p>
            <w:r/>
            <w:r>
              <w:rPr>
                <w:b w:val="0"/>
              </w:rPr>
              <w:t>Valve opening</w:t>
            </w:r>
          </w:p>
        </w:tc>
        <w:tc>
          <w:tcPr>
            <w:tcW w:type="dxa" w:w="4873"/>
            <w:vAlign w:val="center"/>
          </w:tcPr>
          <w:p>
            <w:r/>
            <w:r>
              <w:rPr>
                <w:b w:val="0"/>
              </w:rPr>
              <w:t>Input α</w:t>
            </w:r>
          </w:p>
        </w:tc>
      </w:tr>
      <w:tr>
        <w:tc>
          <w:tcPr>
            <w:tcW w:type="dxa" w:w="4873"/>
            <w:vAlign w:val="center"/>
          </w:tcPr>
          <w:p>
            <w:r/>
            <w:r>
              <w:rPr>
                <w:b w:val="0"/>
              </w:rPr>
              <w:t>CdA max</w:t>
            </w:r>
          </w:p>
        </w:tc>
        <w:tc>
          <w:tcPr>
            <w:tcW w:type="dxa" w:w="4873"/>
            <w:vAlign w:val="center"/>
          </w:tcPr>
          <w:p>
            <w:r/>
            <w:r>
              <w:rPr>
                <w:b w:val="0"/>
              </w:rPr>
              <w:t>Effective discharge parameter</w:t>
            </w:r>
          </w:p>
        </w:tc>
      </w:tr>
      <w:tr>
        <w:tc>
          <w:tcPr>
            <w:tcW w:type="dxa" w:w="4873"/>
            <w:vAlign w:val="center"/>
          </w:tcPr>
          <w:p>
            <w:r/>
            <w:r>
              <w:rPr>
                <w:b w:val="0"/>
              </w:rPr>
              <w:t>sqrt(h)</w:t>
            </w:r>
          </w:p>
        </w:tc>
        <w:tc>
          <w:tcPr>
            <w:tcW w:type="dxa" w:w="4873"/>
            <w:vAlign w:val="center"/>
          </w:tcPr>
          <w:p>
            <w:r/>
            <w:r>
              <w:rPr>
                <w:b w:val="0"/>
              </w:rPr>
              <w:t>√h1</w:t>
            </w:r>
          </w:p>
        </w:tc>
      </w:tr>
      <w:tr>
        <w:tc>
          <w:tcPr>
            <w:tcW w:type="dxa" w:w="4873"/>
            <w:vAlign w:val="center"/>
          </w:tcPr>
          <w:p>
            <w:r/>
            <w:r>
              <w:rPr>
                <w:b w:val="0"/>
              </w:rPr>
              <w:t>sqrt(2g)</w:t>
            </w:r>
          </w:p>
        </w:tc>
        <w:tc>
          <w:tcPr>
            <w:tcW w:type="dxa" w:w="4873"/>
            <w:vAlign w:val="center"/>
          </w:tcPr>
          <w:p>
            <w:r/>
            <w:r>
              <w:rPr>
                <w:b w:val="0"/>
              </w:rPr>
              <w:t>√(2g)</w:t>
            </w:r>
          </w:p>
        </w:tc>
      </w:tr>
      <w:tr>
        <w:tc>
          <w:tcPr>
            <w:tcW w:type="dxa" w:w="4873"/>
            <w:vAlign w:val="center"/>
          </w:tcPr>
          <w:p>
            <w:r/>
            <w:r>
              <w:rPr>
                <w:b w:val="0"/>
              </w:rPr>
              <w:t>Outlet Q12</w:t>
            </w:r>
          </w:p>
        </w:tc>
        <w:tc>
          <w:tcPr>
            <w:tcW w:type="dxa" w:w="4873"/>
            <w:vAlign w:val="center"/>
          </w:tcPr>
          <w:p>
            <w:r/>
            <w:r>
              <w:rPr>
                <w:b w:val="0"/>
              </w:rPr>
              <w:t>Q12 = αCdA√(2gh1)</w:t>
            </w:r>
          </w:p>
        </w:tc>
      </w:tr>
      <w:tr>
        <w:tc>
          <w:tcPr>
            <w:tcW w:type="dxa" w:w="4873"/>
            <w:vAlign w:val="center"/>
          </w:tcPr>
          <w:p>
            <w:r/>
            <w:r>
              <w:rPr>
                <w:b w:val="0"/>
              </w:rPr>
              <w:t>Qin minus Q12</w:t>
            </w:r>
          </w:p>
        </w:tc>
        <w:tc>
          <w:tcPr>
            <w:tcW w:type="dxa" w:w="4873"/>
            <w:vAlign w:val="center"/>
          </w:tcPr>
          <w:p>
            <w:r/>
            <w:r>
              <w:rPr>
                <w:b w:val="0"/>
              </w:rPr>
              <w:t>Net accumulation flow</w:t>
            </w:r>
          </w:p>
        </w:tc>
      </w:tr>
      <w:tr>
        <w:tc>
          <w:tcPr>
            <w:tcW w:type="dxa" w:w="4873"/>
            <w:vAlign w:val="center"/>
          </w:tcPr>
          <w:p>
            <w:r/>
            <w:r>
              <w:rPr>
                <w:b w:val="0"/>
              </w:rPr>
              <w:t>1 Tank area</w:t>
            </w:r>
          </w:p>
        </w:tc>
        <w:tc>
          <w:tcPr>
            <w:tcW w:type="dxa" w:w="4873"/>
            <w:vAlign w:val="center"/>
          </w:tcPr>
          <w:p>
            <w:r/>
            <w:r>
              <w:rPr>
                <w:b w:val="0"/>
              </w:rPr>
              <w:t>(Qin − Q12)/A1</w:t>
            </w:r>
          </w:p>
        </w:tc>
      </w:tr>
      <w:tr>
        <w:tc>
          <w:tcPr>
            <w:tcW w:type="dxa" w:w="4873"/>
            <w:vAlign w:val="center"/>
          </w:tcPr>
          <w:p>
            <w:r/>
            <w:r>
              <w:rPr>
                <w:b w:val="0"/>
              </w:rPr>
              <w:t>Tank level h</w:t>
            </w:r>
          </w:p>
        </w:tc>
        <w:tc>
          <w:tcPr>
            <w:tcW w:type="dxa" w:w="4873"/>
            <w:vAlign w:val="center"/>
          </w:tcPr>
          <w:p>
            <w:r/>
            <w:r>
              <w:rPr>
                <w:b w:val="0"/>
              </w:rPr>
              <w:t>Integration of dh1/dt</w:t>
            </w:r>
          </w:p>
        </w:tc>
      </w:tr>
      <w:tr>
        <w:tc>
          <w:tcPr>
            <w:tcW w:type="dxa" w:w="4873"/>
            <w:vAlign w:val="center"/>
          </w:tcPr>
          <w:p>
            <w:r/>
            <w:r>
              <w:rPr>
                <w:b w:val="0"/>
              </w:rPr>
              <w:t>Level h (mm)</w:t>
            </w:r>
          </w:p>
        </w:tc>
        <w:tc>
          <w:tcPr>
            <w:tcW w:type="dxa" w:w="4873"/>
            <w:vAlign w:val="center"/>
          </w:tcPr>
          <w:p>
            <w:r/>
            <w:r>
              <w:rPr>
                <w:b w:val="0"/>
              </w:rPr>
              <w:t>1000 h1 for readable display</w:t>
            </w:r>
          </w:p>
        </w:tc>
      </w:tr>
      <w:tr>
        <w:tc>
          <w:tcPr>
            <w:tcW w:type="dxa" w:w="4873"/>
            <w:vAlign w:val="center"/>
          </w:tcPr>
          <w:p>
            <w:r/>
            <w:r>
              <w:rPr>
                <w:b w:val="0"/>
              </w:rPr>
              <w:t>Qin/Q12 (L/min)</w:t>
            </w:r>
          </w:p>
        </w:tc>
        <w:tc>
          <w:tcPr>
            <w:tcW w:type="dxa" w:w="4873"/>
            <w:vAlign w:val="center"/>
          </w:tcPr>
          <w:p>
            <w:r/>
            <w:r>
              <w:rPr>
                <w:b w:val="0"/>
              </w:rPr>
              <w:t>60000 conversion for display</w:t>
            </w:r>
          </w:p>
        </w:tc>
      </w:tr>
    </w:tbl>
    <w:p>
      <w:r>
        <w:t>The complete signal logic is:</w:t>
      </w:r>
    </w:p>
    <w:p>
      <w:pPr>
        <w:pStyle w:val="Equation"/>
      </w:pPr>
      <w:r>
        <w:t>uP → Qin</w:t>
      </w:r>
    </w:p>
    <w:p>
      <w:pPr>
        <w:pStyle w:val="Equation"/>
      </w:pPr>
      <w:r>
        <w:t>h1 → √h1 → √(2g) → αCdA√(2gh1) = Q12</w:t>
      </w:r>
    </w:p>
    <w:p>
      <w:pPr>
        <w:pStyle w:val="Equation"/>
      </w:pPr>
      <w:r>
        <w:t>Qin − Q12 → 1/A1 → dh1/dt → ∫ → h1</w:t>
      </w:r>
    </w:p>
    <w:p>
      <w:r>
        <w:t>The Integrator is constrained numerically between 0 and the physical wall height of 0.300 m. This prevents numerical states outside the tank geometry. In a real prototype, independent float switches or equivalent safety devices are still required.</w:t>
      </w:r>
    </w:p>
    <w:p>
      <w:pPr>
        <w:pStyle w:val="Heading1"/>
      </w:pPr>
      <w:r>
        <w:t>13. Unit Consistency Check</w:t>
      </w:r>
    </w:p>
    <w:p>
      <w:r>
        <w:t>A dimensional check confirms that the ODE produces units of m/s.</w:t>
      </w:r>
    </w:p>
    <w:p>
      <w:pPr>
        <w:pStyle w:val="Equation"/>
      </w:pPr>
      <w:r>
        <w:t>[Qin] = m³/s</w:t>
      </w:r>
    </w:p>
    <w:p>
      <w:pPr>
        <w:pStyle w:val="Equation"/>
      </w:pPr>
      <w:r>
        <w:t>[CdA] = m²</w:t>
      </w:r>
    </w:p>
    <w:p>
      <w:pPr>
        <w:pStyle w:val="Equation"/>
      </w:pPr>
      <w:r>
        <w:t>[√(2gh)] = √(m²/s²) = m/s</w:t>
      </w:r>
    </w:p>
    <w:p>
      <w:pPr>
        <w:pStyle w:val="Equation"/>
      </w:pPr>
      <w:r>
        <w:t>[Q12] = m² × m/s = m³/s</w:t>
      </w:r>
    </w:p>
    <w:p>
      <w:pPr>
        <w:pStyle w:val="Equation"/>
      </w:pPr>
      <w:r>
        <w:t>[Qin − Q12] = m³/s</w:t>
      </w:r>
    </w:p>
    <w:p>
      <w:pPr>
        <w:pStyle w:val="Equation"/>
      </w:pPr>
      <w:r>
        <w:t>[A1] = m²</w:t>
      </w:r>
    </w:p>
    <w:p>
      <w:pPr>
        <w:pStyle w:val="Equation"/>
      </w:pPr>
      <w:r>
        <w:t>[(Qin − Q12)/A1] = (m³/s)/m² = m/s</w:t>
      </w:r>
    </w:p>
    <w:p>
      <w:r>
        <w:t>Therefore dh1/dt has the required unit of metres per second.</w:t>
      </w:r>
    </w:p>
    <w:p>
      <w:pPr>
        <w:pStyle w:val="Heading1"/>
      </w:pPr>
      <w:r>
        <w:t>14. Physical Sanity Checks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EDEDED"/>
          </w:tcPr>
          <w:p>
            <w:r/>
            <w:r>
              <w:rPr>
                <w:b/>
              </w:rPr>
              <w:t>Condition</w:t>
            </w:r>
          </w:p>
        </w:tc>
        <w:tc>
          <w:tcPr>
            <w:tcW w:type="dxa" w:w="3249"/>
            <w:vAlign w:val="center"/>
            <w:shd w:fill="EDEDED"/>
          </w:tcPr>
          <w:p>
            <w:r/>
            <w:r>
              <w:rPr>
                <w:b/>
              </w:rPr>
              <w:t>Mathematical consequence</w:t>
            </w:r>
          </w:p>
        </w:tc>
        <w:tc>
          <w:tcPr>
            <w:tcW w:type="dxa" w:w="3249"/>
            <w:vAlign w:val="center"/>
            <w:shd w:fill="EDEDED"/>
          </w:tcPr>
          <w:p>
            <w:r/>
            <w:r>
              <w:rPr>
                <w:b/>
              </w:rPr>
              <w:t>Physical meaning</w:t>
            </w:r>
          </w:p>
        </w:tc>
      </w:tr>
      <w:tr>
        <w:tc>
          <w:tcPr>
            <w:tcW w:type="dxa" w:w="3249"/>
            <w:vAlign w:val="center"/>
          </w:tcPr>
          <w:p>
            <w:r/>
            <w:r>
              <w:rPr>
                <w:b w:val="0"/>
              </w:rPr>
              <w:t>Qin &gt; Q12</w:t>
            </w:r>
          </w:p>
        </w:tc>
        <w:tc>
          <w:tcPr>
            <w:tcW w:type="dxa" w:w="3249"/>
            <w:vAlign w:val="center"/>
          </w:tcPr>
          <w:p>
            <w:r/>
            <w:r>
              <w:rPr>
                <w:b w:val="0"/>
              </w:rPr>
              <w:t>dh1/dt &gt; 0</w:t>
            </w:r>
          </w:p>
        </w:tc>
        <w:tc>
          <w:tcPr>
            <w:tcW w:type="dxa" w:w="3249"/>
            <w:vAlign w:val="center"/>
          </w:tcPr>
          <w:p>
            <w:r/>
            <w:r>
              <w:rPr>
                <w:b w:val="0"/>
              </w:rPr>
              <w:t>Tank level rises</w:t>
            </w:r>
          </w:p>
        </w:tc>
      </w:tr>
      <w:tr>
        <w:tc>
          <w:tcPr>
            <w:tcW w:type="dxa" w:w="3249"/>
            <w:vAlign w:val="center"/>
          </w:tcPr>
          <w:p>
            <w:r/>
            <w:r>
              <w:rPr>
                <w:b w:val="0"/>
              </w:rPr>
              <w:t>Qin &lt; Q12</w:t>
            </w:r>
          </w:p>
        </w:tc>
        <w:tc>
          <w:tcPr>
            <w:tcW w:type="dxa" w:w="3249"/>
            <w:vAlign w:val="center"/>
          </w:tcPr>
          <w:p>
            <w:r/>
            <w:r>
              <w:rPr>
                <w:b w:val="0"/>
              </w:rPr>
              <w:t>dh1/dt &lt; 0</w:t>
            </w:r>
          </w:p>
        </w:tc>
        <w:tc>
          <w:tcPr>
            <w:tcW w:type="dxa" w:w="3249"/>
            <w:vAlign w:val="center"/>
          </w:tcPr>
          <w:p>
            <w:r/>
            <w:r>
              <w:rPr>
                <w:b w:val="0"/>
              </w:rPr>
              <w:t>Tank level falls</w:t>
            </w:r>
          </w:p>
        </w:tc>
      </w:tr>
      <w:tr>
        <w:tc>
          <w:tcPr>
            <w:tcW w:type="dxa" w:w="3249"/>
            <w:vAlign w:val="center"/>
          </w:tcPr>
          <w:p>
            <w:r/>
            <w:r>
              <w:rPr>
                <w:b w:val="0"/>
              </w:rPr>
              <w:t>Qin = Q12</w:t>
            </w:r>
          </w:p>
        </w:tc>
        <w:tc>
          <w:tcPr>
            <w:tcW w:type="dxa" w:w="3249"/>
            <w:vAlign w:val="center"/>
          </w:tcPr>
          <w:p>
            <w:r/>
            <w:r>
              <w:rPr>
                <w:b w:val="0"/>
              </w:rPr>
              <w:t>dh1/dt = 0</w:t>
            </w:r>
          </w:p>
        </w:tc>
        <w:tc>
          <w:tcPr>
            <w:tcW w:type="dxa" w:w="3249"/>
            <w:vAlign w:val="center"/>
          </w:tcPr>
          <w:p>
            <w:r/>
            <w:r>
              <w:rPr>
                <w:b w:val="0"/>
              </w:rPr>
              <w:t>Tank level is steady</w:t>
            </w:r>
          </w:p>
        </w:tc>
      </w:tr>
      <w:tr>
        <w:tc>
          <w:tcPr>
            <w:tcW w:type="dxa" w:w="3249"/>
            <w:vAlign w:val="center"/>
          </w:tcPr>
          <w:p>
            <w:r/>
            <w:r>
              <w:rPr>
                <w:b w:val="0"/>
              </w:rPr>
              <w:t>h1 increases</w:t>
            </w:r>
          </w:p>
        </w:tc>
        <w:tc>
          <w:tcPr>
            <w:tcW w:type="dxa" w:w="3249"/>
            <w:vAlign w:val="center"/>
          </w:tcPr>
          <w:p>
            <w:r/>
            <w:r>
              <w:rPr>
                <w:b w:val="0"/>
              </w:rPr>
              <w:t>Q12 ∝ √h1 increases</w:t>
            </w:r>
          </w:p>
        </w:tc>
        <w:tc>
          <w:tcPr>
            <w:tcW w:type="dxa" w:w="3249"/>
            <w:vAlign w:val="center"/>
          </w:tcPr>
          <w:p>
            <w:r/>
            <w:r>
              <w:rPr>
                <w:b w:val="0"/>
              </w:rPr>
              <w:t>Gravity outlet flow increases</w:t>
            </w:r>
          </w:p>
        </w:tc>
      </w:tr>
      <w:tr>
        <w:tc>
          <w:tcPr>
            <w:tcW w:type="dxa" w:w="3249"/>
            <w:vAlign w:val="center"/>
          </w:tcPr>
          <w:p>
            <w:r/>
            <w:r>
              <w:rPr>
                <w:b w:val="0"/>
              </w:rPr>
              <w:t>h1 decreases</w:t>
            </w:r>
          </w:p>
        </w:tc>
        <w:tc>
          <w:tcPr>
            <w:tcW w:type="dxa" w:w="3249"/>
            <w:vAlign w:val="center"/>
          </w:tcPr>
          <w:p>
            <w:r/>
            <w:r>
              <w:rPr>
                <w:b w:val="0"/>
              </w:rPr>
              <w:t>Q12 ∝ √h1 decreases</w:t>
            </w:r>
          </w:p>
        </w:tc>
        <w:tc>
          <w:tcPr>
            <w:tcW w:type="dxa" w:w="3249"/>
            <w:vAlign w:val="center"/>
          </w:tcPr>
          <w:p>
            <w:r/>
            <w:r>
              <w:rPr>
                <w:b w:val="0"/>
              </w:rPr>
              <w:t>Drain rate slows</w:t>
            </w:r>
          </w:p>
        </w:tc>
      </w:tr>
      <w:tr>
        <w:tc>
          <w:tcPr>
            <w:tcW w:type="dxa" w:w="3249"/>
            <w:vAlign w:val="center"/>
          </w:tcPr>
          <w:p>
            <w:r/>
            <w:r>
              <w:rPr>
                <w:b w:val="0"/>
              </w:rPr>
              <w:t>α = 0</w:t>
            </w:r>
          </w:p>
        </w:tc>
        <w:tc>
          <w:tcPr>
            <w:tcW w:type="dxa" w:w="3249"/>
            <w:vAlign w:val="center"/>
          </w:tcPr>
          <w:p>
            <w:r/>
            <w:r>
              <w:rPr>
                <w:b w:val="0"/>
              </w:rPr>
              <w:t>Q12 = 0</w:t>
            </w:r>
          </w:p>
        </w:tc>
        <w:tc>
          <w:tcPr>
            <w:tcW w:type="dxa" w:w="3249"/>
            <w:vAlign w:val="center"/>
          </w:tcPr>
          <w:p>
            <w:r/>
            <w:r>
              <w:rPr>
                <w:b w:val="0"/>
              </w:rPr>
              <w:t>Outlet is closed</w:t>
            </w:r>
          </w:p>
        </w:tc>
      </w:tr>
      <w:tr>
        <w:tc>
          <w:tcPr>
            <w:tcW w:type="dxa" w:w="3249"/>
            <w:vAlign w:val="center"/>
          </w:tcPr>
          <w:p>
            <w:r/>
            <w:r>
              <w:rPr>
                <w:b w:val="0"/>
              </w:rPr>
              <w:t>uP = 0</w:t>
            </w:r>
          </w:p>
        </w:tc>
        <w:tc>
          <w:tcPr>
            <w:tcW w:type="dxa" w:w="3249"/>
            <w:vAlign w:val="center"/>
          </w:tcPr>
          <w:p>
            <w:r/>
            <w:r>
              <w:rPr>
                <w:b w:val="0"/>
              </w:rPr>
              <w:t>Qin = 0</w:t>
            </w:r>
          </w:p>
        </w:tc>
        <w:tc>
          <w:tcPr>
            <w:tcW w:type="dxa" w:w="3249"/>
            <w:vAlign w:val="center"/>
          </w:tcPr>
          <w:p>
            <w:r/>
            <w:r>
              <w:rPr>
                <w:b w:val="0"/>
              </w:rPr>
              <w:t>Pump contributes no inlet flow in this approximation</w:t>
            </w:r>
          </w:p>
        </w:tc>
      </w:tr>
    </w:tbl>
    <w:p>
      <w:pPr>
        <w:pStyle w:val="Heading1"/>
      </w:pPr>
      <w:r>
        <w:t>15. Parameter Classification: Assumed vs Measured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EDEDED"/>
          </w:tcPr>
          <w:p>
            <w:r/>
            <w:r>
              <w:rPr>
                <w:b/>
              </w:rPr>
              <w:t>Parameter</w:t>
            </w:r>
          </w:p>
        </w:tc>
        <w:tc>
          <w:tcPr>
            <w:tcW w:type="dxa" w:w="2436"/>
            <w:vAlign w:val="center"/>
            <w:shd w:fill="EDEDED"/>
          </w:tcPr>
          <w:p>
            <w:r/>
            <w:r>
              <w:rPr>
                <w:b/>
              </w:rPr>
              <w:t>Current value</w:t>
            </w:r>
          </w:p>
        </w:tc>
        <w:tc>
          <w:tcPr>
            <w:tcW w:type="dxa" w:w="2436"/>
            <w:vAlign w:val="center"/>
            <w:shd w:fill="EDEDED"/>
          </w:tcPr>
          <w:p>
            <w:r/>
            <w:r>
              <w:rPr>
                <w:b/>
              </w:rPr>
              <w:t>Classification</w:t>
            </w:r>
          </w:p>
        </w:tc>
        <w:tc>
          <w:tcPr>
            <w:tcW w:type="dxa" w:w="2436"/>
            <w:vAlign w:val="center"/>
            <w:shd w:fill="EDEDED"/>
          </w:tcPr>
          <w:p>
            <w:r/>
            <w:r>
              <w:rPr>
                <w:b/>
              </w:rPr>
              <w:t>Future action</w:t>
            </w:r>
          </w:p>
        </w:tc>
      </w:tr>
      <w:tr>
        <w:tc>
          <w:tcPr>
            <w:tcW w:type="dxa" w:w="2436"/>
            <w:vAlign w:val="center"/>
          </w:tcPr>
          <w:p>
            <w:r/>
            <w:r>
              <w:rPr>
                <w:b w:val="0"/>
              </w:rPr>
              <w:t>D1</w:t>
            </w:r>
          </w:p>
        </w:tc>
        <w:tc>
          <w:tcPr>
            <w:tcW w:type="dxa" w:w="2436"/>
            <w:vAlign w:val="center"/>
          </w:tcPr>
          <w:p>
            <w:r/>
            <w:r>
              <w:rPr>
                <w:b w:val="0"/>
              </w:rPr>
              <w:t>0.200 m</w:t>
            </w:r>
          </w:p>
        </w:tc>
        <w:tc>
          <w:tcPr>
            <w:tcW w:type="dxa" w:w="2436"/>
            <w:vAlign w:val="center"/>
          </w:tcPr>
          <w:p>
            <w:r/>
            <w:r>
              <w:rPr>
                <w:b w:val="0"/>
              </w:rPr>
              <w:t>Assumed</w:t>
            </w:r>
          </w:p>
        </w:tc>
        <w:tc>
          <w:tcPr>
            <w:tcW w:type="dxa" w:w="2436"/>
            <w:vAlign w:val="center"/>
          </w:tcPr>
          <w:p>
            <w:r/>
            <w:r>
              <w:rPr>
                <w:b w:val="0"/>
              </w:rPr>
              <w:t>Measure actual tank ID</w:t>
            </w:r>
          </w:p>
        </w:tc>
      </w:tr>
      <w:tr>
        <w:tc>
          <w:tcPr>
            <w:tcW w:type="dxa" w:w="2436"/>
            <w:vAlign w:val="center"/>
          </w:tcPr>
          <w:p>
            <w:r/>
            <w:r>
              <w:rPr>
                <w:b w:val="0"/>
              </w:rPr>
              <w:t>H1</w:t>
            </w:r>
          </w:p>
        </w:tc>
        <w:tc>
          <w:tcPr>
            <w:tcW w:type="dxa" w:w="2436"/>
            <w:vAlign w:val="center"/>
          </w:tcPr>
          <w:p>
            <w:r/>
            <w:r>
              <w:rPr>
                <w:b w:val="0"/>
              </w:rPr>
              <w:t>0.300 m</w:t>
            </w:r>
          </w:p>
        </w:tc>
        <w:tc>
          <w:tcPr>
            <w:tcW w:type="dxa" w:w="2436"/>
            <w:vAlign w:val="center"/>
          </w:tcPr>
          <w:p>
            <w:r/>
            <w:r>
              <w:rPr>
                <w:b w:val="0"/>
              </w:rPr>
              <w:t>Assumed</w:t>
            </w:r>
          </w:p>
        </w:tc>
        <w:tc>
          <w:tcPr>
            <w:tcW w:type="dxa" w:w="2436"/>
            <w:vAlign w:val="center"/>
          </w:tcPr>
          <w:p>
            <w:r/>
            <w:r>
              <w:rPr>
                <w:b w:val="0"/>
              </w:rPr>
              <w:t>Measure actual tank height</w:t>
            </w:r>
          </w:p>
        </w:tc>
      </w:tr>
      <w:tr>
        <w:tc>
          <w:tcPr>
            <w:tcW w:type="dxa" w:w="2436"/>
            <w:vAlign w:val="center"/>
          </w:tcPr>
          <w:p>
            <w:r/>
            <w:r>
              <w:rPr>
                <w:b w:val="0"/>
              </w:rPr>
              <w:t>A1</w:t>
            </w:r>
          </w:p>
        </w:tc>
        <w:tc>
          <w:tcPr>
            <w:tcW w:type="dxa" w:w="2436"/>
            <w:vAlign w:val="center"/>
          </w:tcPr>
          <w:p>
            <w:r/>
            <w:r>
              <w:rPr>
                <w:b w:val="0"/>
              </w:rPr>
              <w:t>0.031416 m²</w:t>
            </w:r>
          </w:p>
        </w:tc>
        <w:tc>
          <w:tcPr>
            <w:tcW w:type="dxa" w:w="2436"/>
            <w:vAlign w:val="center"/>
          </w:tcPr>
          <w:p>
            <w:r/>
            <w:r>
              <w:rPr>
                <w:b w:val="0"/>
              </w:rPr>
              <w:t>Derived from assumed D1</w:t>
            </w:r>
          </w:p>
        </w:tc>
        <w:tc>
          <w:tcPr>
            <w:tcW w:type="dxa" w:w="2436"/>
            <w:vAlign w:val="center"/>
          </w:tcPr>
          <w:p>
            <w:r/>
            <w:r>
              <w:rPr>
                <w:b w:val="0"/>
              </w:rPr>
              <w:t>Recalculate from measured geometry</w:t>
            </w:r>
          </w:p>
        </w:tc>
      </w:tr>
      <w:tr>
        <w:tc>
          <w:tcPr>
            <w:tcW w:type="dxa" w:w="2436"/>
            <w:vAlign w:val="center"/>
          </w:tcPr>
          <w:p>
            <w:r/>
            <w:r>
              <w:rPr>
                <w:b w:val="0"/>
              </w:rPr>
              <w:t>h1,sp</w:t>
            </w:r>
          </w:p>
        </w:tc>
        <w:tc>
          <w:tcPr>
            <w:tcW w:type="dxa" w:w="2436"/>
            <w:vAlign w:val="center"/>
          </w:tcPr>
          <w:p>
            <w:r/>
            <w:r>
              <w:rPr>
                <w:b w:val="0"/>
              </w:rPr>
              <w:t>0.160 m</w:t>
            </w:r>
          </w:p>
        </w:tc>
        <w:tc>
          <w:tcPr>
            <w:tcW w:type="dxa" w:w="2436"/>
            <w:vAlign w:val="center"/>
          </w:tcPr>
          <w:p>
            <w:r/>
            <w:r>
              <w:rPr>
                <w:b w:val="0"/>
              </w:rPr>
              <w:t>Assumed</w:t>
            </w:r>
          </w:p>
        </w:tc>
        <w:tc>
          <w:tcPr>
            <w:tcW w:type="dxa" w:w="2436"/>
            <w:vAlign w:val="center"/>
          </w:tcPr>
          <w:p>
            <w:r/>
            <w:r>
              <w:rPr>
                <w:b w:val="0"/>
              </w:rPr>
              <w:t>Choose from final process/batch requirement</w:t>
            </w:r>
          </w:p>
        </w:tc>
      </w:tr>
      <w:tr>
        <w:tc>
          <w:tcPr>
            <w:tcW w:type="dxa" w:w="2436"/>
            <w:vAlign w:val="center"/>
          </w:tcPr>
          <w:p>
            <w:r/>
            <w:r>
              <w:rPr>
                <w:b w:val="0"/>
              </w:rPr>
              <w:t>Qin,max</w:t>
            </w:r>
          </w:p>
        </w:tc>
        <w:tc>
          <w:tcPr>
            <w:tcW w:type="dxa" w:w="2436"/>
            <w:vAlign w:val="center"/>
          </w:tcPr>
          <w:p>
            <w:r/>
            <w:r>
              <w:rPr>
                <w:b w:val="0"/>
              </w:rPr>
              <w:t>0.60 L/min</w:t>
            </w:r>
          </w:p>
        </w:tc>
        <w:tc>
          <w:tcPr>
            <w:tcW w:type="dxa" w:w="2436"/>
            <w:vAlign w:val="center"/>
          </w:tcPr>
          <w:p>
            <w:r/>
            <w:r>
              <w:rPr>
                <w:b w:val="0"/>
              </w:rPr>
              <w:t>Assumed</w:t>
            </w:r>
          </w:p>
        </w:tc>
        <w:tc>
          <w:tcPr>
            <w:tcW w:type="dxa" w:w="2436"/>
            <w:vAlign w:val="center"/>
          </w:tcPr>
          <w:p>
            <w:r/>
            <w:r>
              <w:rPr>
                <w:b w:val="0"/>
              </w:rPr>
              <w:t>Measure pump curve in final plumbing</w:t>
            </w:r>
          </w:p>
        </w:tc>
      </w:tr>
      <w:tr>
        <w:tc>
          <w:tcPr>
            <w:tcW w:type="dxa" w:w="2436"/>
            <w:vAlign w:val="center"/>
          </w:tcPr>
          <w:p>
            <w:r/>
            <w:r>
              <w:rPr>
                <w:b w:val="0"/>
              </w:rPr>
              <w:t>Pump PWM map</w:t>
            </w:r>
          </w:p>
        </w:tc>
        <w:tc>
          <w:tcPr>
            <w:tcW w:type="dxa" w:w="2436"/>
            <w:vAlign w:val="center"/>
          </w:tcPr>
          <w:p>
            <w:r/>
            <w:r>
              <w:rPr>
                <w:b w:val="0"/>
              </w:rPr>
              <w:t>Linear</w:t>
            </w:r>
          </w:p>
        </w:tc>
        <w:tc>
          <w:tcPr>
            <w:tcW w:type="dxa" w:w="2436"/>
            <w:vAlign w:val="center"/>
          </w:tcPr>
          <w:p>
            <w:r/>
            <w:r>
              <w:rPr>
                <w:b w:val="0"/>
              </w:rPr>
              <w:t>Simplification</w:t>
            </w:r>
          </w:p>
        </w:tc>
        <w:tc>
          <w:tcPr>
            <w:tcW w:type="dxa" w:w="2436"/>
            <w:vAlign w:val="center"/>
          </w:tcPr>
          <w:p>
            <w:r/>
            <w:r>
              <w:rPr>
                <w:b w:val="0"/>
              </w:rPr>
              <w:t>Identify experimentally</w:t>
            </w:r>
          </w:p>
        </w:tc>
      </w:tr>
      <w:tr>
        <w:tc>
          <w:tcPr>
            <w:tcW w:type="dxa" w:w="2436"/>
            <w:vAlign w:val="center"/>
          </w:tcPr>
          <w:p>
            <w:r/>
            <w:r>
              <w:rPr>
                <w:b w:val="0"/>
              </w:rPr>
              <w:t>CdA</w:t>
            </w:r>
          </w:p>
        </w:tc>
        <w:tc>
          <w:tcPr>
            <w:tcW w:type="dxa" w:w="2436"/>
            <w:vAlign w:val="center"/>
          </w:tcPr>
          <w:p>
            <w:r/>
            <w:r>
              <w:rPr>
                <w:b w:val="0"/>
              </w:rPr>
              <w:t>4.23×10⁻⁶ m²</w:t>
            </w:r>
          </w:p>
        </w:tc>
        <w:tc>
          <w:tcPr>
            <w:tcW w:type="dxa" w:w="2436"/>
            <w:vAlign w:val="center"/>
          </w:tcPr>
          <w:p>
            <w:r/>
            <w:r>
              <w:rPr>
                <w:b w:val="0"/>
              </w:rPr>
              <w:t>Assumed</w:t>
            </w:r>
          </w:p>
        </w:tc>
        <w:tc>
          <w:tcPr>
            <w:tcW w:type="dxa" w:w="2436"/>
            <w:vAlign w:val="center"/>
          </w:tcPr>
          <w:p>
            <w:r/>
            <w:r>
              <w:rPr>
                <w:b w:val="0"/>
              </w:rPr>
              <w:t>Identify from outlet tests</w:t>
            </w:r>
          </w:p>
        </w:tc>
      </w:tr>
      <w:tr>
        <w:tc>
          <w:tcPr>
            <w:tcW w:type="dxa" w:w="2436"/>
            <w:vAlign w:val="center"/>
          </w:tcPr>
          <w:p>
            <w:r/>
            <w:r>
              <w:rPr>
                <w:b w:val="0"/>
              </w:rPr>
              <w:t>αnominal</w:t>
            </w:r>
          </w:p>
        </w:tc>
        <w:tc>
          <w:tcPr>
            <w:tcW w:type="dxa" w:w="2436"/>
            <w:vAlign w:val="center"/>
          </w:tcPr>
          <w:p>
            <w:r/>
            <w:r>
              <w:rPr>
                <w:b w:val="0"/>
              </w:rPr>
              <w:t>0.65</w:t>
            </w:r>
          </w:p>
        </w:tc>
        <w:tc>
          <w:tcPr>
            <w:tcW w:type="dxa" w:w="2436"/>
            <w:vAlign w:val="center"/>
          </w:tcPr>
          <w:p>
            <w:r/>
            <w:r>
              <w:rPr>
                <w:b w:val="0"/>
              </w:rPr>
              <w:t>Assumed</w:t>
            </w:r>
          </w:p>
        </w:tc>
        <w:tc>
          <w:tcPr>
            <w:tcW w:type="dxa" w:w="2436"/>
            <w:vAlign w:val="center"/>
          </w:tcPr>
          <w:p>
            <w:r/>
            <w:r>
              <w:rPr>
                <w:b w:val="0"/>
              </w:rPr>
              <w:t>Set/measure final valve position</w:t>
            </w:r>
          </w:p>
        </w:tc>
      </w:tr>
      <w:tr>
        <w:tc>
          <w:tcPr>
            <w:tcW w:type="dxa" w:w="2436"/>
            <w:vAlign w:val="center"/>
          </w:tcPr>
          <w:p>
            <w:r/>
            <w:r>
              <w:rPr>
                <w:b w:val="0"/>
              </w:rPr>
              <w:t>g</w:t>
            </w:r>
          </w:p>
        </w:tc>
        <w:tc>
          <w:tcPr>
            <w:tcW w:type="dxa" w:w="2436"/>
            <w:vAlign w:val="center"/>
          </w:tcPr>
          <w:p>
            <w:r/>
            <w:r>
              <w:rPr>
                <w:b w:val="0"/>
              </w:rPr>
              <w:t>9.81 m/s²</w:t>
            </w:r>
          </w:p>
        </w:tc>
        <w:tc>
          <w:tcPr>
            <w:tcW w:type="dxa" w:w="2436"/>
            <w:vAlign w:val="center"/>
          </w:tcPr>
          <w:p>
            <w:r/>
            <w:r>
              <w:rPr>
                <w:b w:val="0"/>
              </w:rPr>
              <w:t>Established constant</w:t>
            </w:r>
          </w:p>
        </w:tc>
        <w:tc>
          <w:tcPr>
            <w:tcW w:type="dxa" w:w="2436"/>
            <w:vAlign w:val="center"/>
          </w:tcPr>
          <w:p>
            <w:r/>
            <w:r>
              <w:rPr>
                <w:b w:val="0"/>
              </w:rPr>
              <w:t>No identification required for project scale</w:t>
            </w:r>
          </w:p>
        </w:tc>
      </w:tr>
      <w:tr>
        <w:tc>
          <w:tcPr>
            <w:tcW w:type="dxa" w:w="2436"/>
            <w:vAlign w:val="center"/>
          </w:tcPr>
          <w:p>
            <w:r/>
            <w:r>
              <w:rPr>
                <w:b w:val="0"/>
              </w:rPr>
              <w:t>ρ</w:t>
            </w:r>
          </w:p>
        </w:tc>
        <w:tc>
          <w:tcPr>
            <w:tcW w:type="dxa" w:w="2436"/>
            <w:vAlign w:val="center"/>
          </w:tcPr>
          <w:p>
            <w:r/>
            <w:r>
              <w:rPr>
                <w:b w:val="0"/>
              </w:rPr>
              <w:t>≈992 kg/m³ in current parameter file</w:t>
            </w:r>
          </w:p>
        </w:tc>
        <w:tc>
          <w:tcPr>
            <w:tcW w:type="dxa" w:w="2436"/>
            <w:vAlign w:val="center"/>
          </w:tcPr>
          <w:p>
            <w:r/>
            <w:r>
              <w:rPr>
                <w:b w:val="0"/>
              </w:rPr>
              <w:t>Assumed fluid property</w:t>
            </w:r>
          </w:p>
        </w:tc>
        <w:tc>
          <w:tcPr>
            <w:tcW w:type="dxa" w:w="2436"/>
            <w:vAlign w:val="center"/>
          </w:tcPr>
          <w:p>
            <w:r/>
            <w:r>
              <w:rPr>
                <w:b w:val="0"/>
              </w:rPr>
              <w:t>Not needed in current volume balance</w:t>
            </w:r>
          </w:p>
        </w:tc>
      </w:tr>
    </w:tbl>
    <w:tbl>
      <w:tblPr>
        <w:tblW w:type="auto" w:w="0"/>
        <w:jc w:val="center"/>
        <w:tblLook w:firstColumn="1" w:firstRow="1" w:lastColumn="0" w:lastRow="0" w:noHBand="0" w:noVBand="1" w:val="04A0"/>
      </w:tblPr>
      <w:tblGrid>
        <w:gridCol w:w="9746"/>
      </w:tblGrid>
      <w:tr>
        <w:tc>
          <w:tcPr>
            <w:tcW w:type="dxa" w:w="9746"/>
          </w:tcPr>
          <w:p>
            <w:r/>
            <w:r>
              <w:rPr>
                <w:b/>
              </w:rPr>
              <w:t xml:space="preserve">Engineering note: </w:t>
            </w:r>
            <w:r>
              <w:t>The current tank1_parameters.m file intentionally keeps measured fields empty. This is the correct approach until physical commissioning data exists.</w:t>
            </w:r>
          </w:p>
        </w:tc>
      </w:tr>
    </w:tbl>
    <w:p>
      <w:pPr>
        <w:pStyle w:val="Heading1"/>
      </w:pPr>
      <w:r>
        <w:t>16. Safety and Physical Constraints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EDEDED"/>
          </w:tcPr>
          <w:p>
            <w:r/>
            <w:r>
              <w:rPr>
                <w:b/>
              </w:rPr>
              <w:t>Constraint</w:t>
            </w:r>
          </w:p>
        </w:tc>
        <w:tc>
          <w:tcPr>
            <w:tcW w:type="dxa" w:w="3249"/>
            <w:vAlign w:val="center"/>
            <w:shd w:fill="EDEDED"/>
          </w:tcPr>
          <w:p>
            <w:r/>
            <w:r>
              <w:rPr>
                <w:b/>
              </w:rPr>
              <w:t>Current simulation value</w:t>
            </w:r>
          </w:p>
        </w:tc>
        <w:tc>
          <w:tcPr>
            <w:tcW w:type="dxa" w:w="3249"/>
            <w:vAlign w:val="center"/>
            <w:shd w:fill="EDEDED"/>
          </w:tcPr>
          <w:p>
            <w:r/>
            <w:r>
              <w:rPr>
                <w:b/>
              </w:rPr>
              <w:t>Meaning</w:t>
            </w:r>
          </w:p>
        </w:tc>
      </w:tr>
      <w:tr>
        <w:tc>
          <w:tcPr>
            <w:tcW w:type="dxa" w:w="3249"/>
            <w:vAlign w:val="center"/>
          </w:tcPr>
          <w:p>
            <w:r/>
            <w:r>
              <w:rPr>
                <w:b w:val="0"/>
              </w:rPr>
              <w:t>Pump command</w:t>
            </w:r>
          </w:p>
        </w:tc>
        <w:tc>
          <w:tcPr>
            <w:tcW w:type="dxa" w:w="3249"/>
            <w:vAlign w:val="center"/>
          </w:tcPr>
          <w:p>
            <w:r/>
            <w:r>
              <w:rPr>
                <w:b w:val="0"/>
              </w:rPr>
              <w:t>0–100 %</w:t>
            </w:r>
          </w:p>
        </w:tc>
        <w:tc>
          <w:tcPr>
            <w:tcW w:type="dxa" w:w="3249"/>
            <w:vAlign w:val="center"/>
          </w:tcPr>
          <w:p>
            <w:r/>
            <w:r>
              <w:rPr>
                <w:b w:val="0"/>
              </w:rPr>
              <w:t>Actuator command limit</w:t>
            </w:r>
          </w:p>
        </w:tc>
      </w:tr>
      <w:tr>
        <w:tc>
          <w:tcPr>
            <w:tcW w:type="dxa" w:w="3249"/>
            <w:vAlign w:val="center"/>
          </w:tcPr>
          <w:p>
            <w:r/>
            <w:r>
              <w:rPr>
                <w:b w:val="0"/>
              </w:rPr>
              <w:t>Valve opening</w:t>
            </w:r>
          </w:p>
        </w:tc>
        <w:tc>
          <w:tcPr>
            <w:tcW w:type="dxa" w:w="3249"/>
            <w:vAlign w:val="center"/>
          </w:tcPr>
          <w:p>
            <w:r/>
            <w:r>
              <w:rPr>
                <w:b w:val="0"/>
              </w:rPr>
              <w:t>0–1</w:t>
            </w:r>
          </w:p>
        </w:tc>
        <w:tc>
          <w:tcPr>
            <w:tcW w:type="dxa" w:w="3249"/>
            <w:vAlign w:val="center"/>
          </w:tcPr>
          <w:p>
            <w:r/>
            <w:r>
              <w:rPr>
                <w:b w:val="0"/>
              </w:rPr>
              <w:t>Closed to fully open</w:t>
            </w:r>
          </w:p>
        </w:tc>
      </w:tr>
      <w:tr>
        <w:tc>
          <w:tcPr>
            <w:tcW w:type="dxa" w:w="3249"/>
            <w:vAlign w:val="center"/>
          </w:tcPr>
          <w:p>
            <w:r/>
            <w:r>
              <w:rPr>
                <w:b w:val="0"/>
              </w:rPr>
              <w:t>Physical level</w:t>
            </w:r>
          </w:p>
        </w:tc>
        <w:tc>
          <w:tcPr>
            <w:tcW w:type="dxa" w:w="3249"/>
            <w:vAlign w:val="center"/>
          </w:tcPr>
          <w:p>
            <w:r/>
            <w:r>
              <w:rPr>
                <w:b w:val="0"/>
              </w:rPr>
              <w:t>0–300 mm</w:t>
            </w:r>
          </w:p>
        </w:tc>
        <w:tc>
          <w:tcPr>
            <w:tcW w:type="dxa" w:w="3249"/>
            <w:vAlign w:val="center"/>
          </w:tcPr>
          <w:p>
            <w:r/>
            <w:r>
              <w:rPr>
                <w:b w:val="0"/>
              </w:rPr>
              <w:t>Tank geometry</w:t>
            </w:r>
          </w:p>
        </w:tc>
      </w:tr>
      <w:tr>
        <w:tc>
          <w:tcPr>
            <w:tcW w:type="dxa" w:w="3249"/>
            <w:vAlign w:val="center"/>
          </w:tcPr>
          <w:p>
            <w:r/>
            <w:r>
              <w:rPr>
                <w:b w:val="0"/>
              </w:rPr>
              <w:t>Preferred operating level</w:t>
            </w:r>
          </w:p>
        </w:tc>
        <w:tc>
          <w:tcPr>
            <w:tcW w:type="dxa" w:w="3249"/>
            <w:vAlign w:val="center"/>
          </w:tcPr>
          <w:p>
            <w:r/>
            <w:r>
              <w:rPr>
                <w:b w:val="0"/>
              </w:rPr>
              <w:t>30–250 mm</w:t>
            </w:r>
          </w:p>
        </w:tc>
        <w:tc>
          <w:tcPr>
            <w:tcW w:type="dxa" w:w="3249"/>
            <w:vAlign w:val="center"/>
          </w:tcPr>
          <w:p>
            <w:r/>
            <w:r>
              <w:rPr>
                <w:b w:val="0"/>
              </w:rPr>
              <w:t>Current assumed operating window</w:t>
            </w:r>
          </w:p>
        </w:tc>
      </w:tr>
      <w:tr>
        <w:tc>
          <w:tcPr>
            <w:tcW w:type="dxa" w:w="3249"/>
            <w:vAlign w:val="center"/>
          </w:tcPr>
          <w:p>
            <w:r/>
            <w:r>
              <w:rPr>
                <w:b w:val="0"/>
              </w:rPr>
              <w:t>High-level limit</w:t>
            </w:r>
          </w:p>
        </w:tc>
        <w:tc>
          <w:tcPr>
            <w:tcW w:type="dxa" w:w="3249"/>
            <w:vAlign w:val="center"/>
          </w:tcPr>
          <w:p>
            <w:r/>
            <w:r>
              <w:rPr>
                <w:b w:val="0"/>
              </w:rPr>
              <w:t>250 mm</w:t>
            </w:r>
          </w:p>
        </w:tc>
        <w:tc>
          <w:tcPr>
            <w:tcW w:type="dxa" w:w="3249"/>
            <w:vAlign w:val="center"/>
          </w:tcPr>
          <w:p>
            <w:r/>
            <w:r>
              <w:rPr>
                <w:b w:val="0"/>
              </w:rPr>
              <w:t>Leaves 50 mm freeboard</w:t>
            </w:r>
          </w:p>
        </w:tc>
      </w:tr>
      <w:tr>
        <w:tc>
          <w:tcPr>
            <w:tcW w:type="dxa" w:w="3249"/>
            <w:vAlign w:val="center"/>
          </w:tcPr>
          <w:p>
            <w:r/>
            <w:r>
              <w:rPr>
                <w:b w:val="0"/>
              </w:rPr>
              <w:t>Atmospheric operation</w:t>
            </w:r>
          </w:p>
        </w:tc>
        <w:tc>
          <w:tcPr>
            <w:tcW w:type="dxa" w:w="3249"/>
            <w:vAlign w:val="center"/>
          </w:tcPr>
          <w:p>
            <w:r/>
            <w:r>
              <w:rPr>
                <w:b w:val="0"/>
              </w:rPr>
              <w:t>≈101325 Pa</w:t>
            </w:r>
          </w:p>
        </w:tc>
        <w:tc>
          <w:tcPr>
            <w:tcW w:type="dxa" w:w="3249"/>
            <w:vAlign w:val="center"/>
          </w:tcPr>
          <w:p>
            <w:r/>
            <w:r>
              <w:rPr>
                <w:b w:val="0"/>
              </w:rPr>
              <w:t>No pressurized vessel</w:t>
            </w:r>
          </w:p>
        </w:tc>
      </w:tr>
    </w:tbl>
    <w:p>
      <w:r>
        <w:t>Software saturation protects the numerical simulation from impossible states, but it is not an independent safety system. For the eventual hardware, level switches, electrical protection, emergency stop, and appropriate containment must be designed separately.</w:t>
      </w:r>
    </w:p>
    <w:p>
      <w:pPr>
        <w:pStyle w:val="Heading1"/>
      </w:pPr>
      <w:r>
        <w:t>17. MATLAB Implementation Mapping</w:t>
      </w:r>
    </w:p>
    <w:p>
      <w:r>
        <w:t>The central MATLAB ODE function computes the following sequence:</w:t>
      </w:r>
    </w:p>
    <w:p>
      <w:pPr>
        <w:pStyle w:val="Equation"/>
      </w:pPr>
      <w:r>
        <w:t>h_eff = constrained(h1)</w:t>
      </w:r>
    </w:p>
    <w:p>
      <w:pPr>
        <w:pStyle w:val="Equation"/>
      </w:pPr>
      <w:r>
        <w:t>uP = constrained(pump command)</w:t>
      </w:r>
    </w:p>
    <w:p>
      <w:pPr>
        <w:pStyle w:val="Equation"/>
      </w:pPr>
      <w:r>
        <w:t>α = constrained(valve opening)</w:t>
      </w:r>
    </w:p>
    <w:p>
      <w:pPr>
        <w:pStyle w:val="Equation"/>
      </w:pPr>
      <w:r>
        <w:t>Qin = Qin,max uP/100</w:t>
      </w:r>
    </w:p>
    <w:p>
      <w:pPr>
        <w:pStyle w:val="Equation"/>
      </w:pPr>
      <w:r>
        <w:t>Q12 = α CdA √(2 g h_eff)</w:t>
      </w:r>
    </w:p>
    <w:p>
      <w:pPr>
        <w:pStyle w:val="Equation"/>
      </w:pPr>
      <w:r>
        <w:t>dh1/dt = (Qin − Q12)/A1</w:t>
      </w:r>
    </w:p>
    <w:p>
      <w:r>
        <w:t>The verification runner then integrates this ODE using ode45 and compares the result against the analytical solutions for the two cases where closed-form solutions are available.</w:t>
      </w:r>
    </w:p>
    <w:p>
      <w:pPr>
        <w:pStyle w:val="Heading1"/>
      </w:pPr>
      <w:r>
        <w:t>18. Conclusions</w:t>
      </w:r>
    </w:p>
    <w:p>
      <w:r>
        <w:t>The Tank 1 mathematical model follows directly from conservation of liquid volume and the geometry of a cylindrical tank. No arbitrary dynamic equation is introduced: the state equation is obtained from the physical balance</w:t>
      </w:r>
    </w:p>
    <w:p>
      <w:pPr>
        <w:pStyle w:val="Equation"/>
      </w:pPr>
      <w:r>
        <w:t>dV1/dt = Qin − Q12</w:t>
      </w:r>
    </w:p>
    <w:p>
      <w:r>
        <w:t>combined with:</w:t>
      </w:r>
    </w:p>
    <w:p>
      <w:pPr>
        <w:pStyle w:val="Equation"/>
      </w:pPr>
      <w:r>
        <w:t>V1 = A1h1</w:t>
      </w:r>
    </w:p>
    <w:p>
      <w:r>
        <w:t>and the assumed actuator/flow relationships:</w:t>
      </w:r>
    </w:p>
    <w:p>
      <w:pPr>
        <w:pStyle w:val="Equation"/>
      </w:pPr>
      <w:r>
        <w:t>Qin = Qin,max(uP/100)</w:t>
      </w:r>
    </w:p>
    <w:p>
      <w:pPr>
        <w:pStyle w:val="Equation"/>
      </w:pPr>
      <w:r>
        <w:t>Q12 = αCdA√(2gh1)</w:t>
      </w:r>
    </w:p>
    <w:p>
      <w:r>
        <w:t>giving:</w:t>
      </w:r>
    </w:p>
    <w:p>
      <w:pPr>
        <w:pStyle w:val="Equation"/>
      </w:pPr>
      <w:r>
        <w:t>dh1/dt = [Qin,max(uP/100) − αCdA√(2gh1)]/A1</w:t>
      </w:r>
    </w:p>
    <w:p>
      <w:r>
        <w:t>The model is nonlinear because of the square-root dependence of gravity-driven outlet flow on liquid level. The numerical implementation has been checked against an exact linear filling solution, an exact nonlinear draining solution, and a calculated steady-state condition. The reported errors are effectively zero relative to the chosen numerical tolerances, demonstrating consistency between the derived equations and the MATLAB implementation.</w:t>
      </w:r>
    </w:p>
    <w:p>
      <w:r>
        <w:t>The next engineering step is not to add complexity immediately. The verified Tank 1 model should first be used as the hydraulic foundation for Tank 1 level control and, subsequently, its transfer flow should become the inlet disturbance and coupling variable for Tank 2.</w:t>
      </w:r>
    </w:p>
    <w:p>
      <w:pPr>
        <w:pStyle w:val="Heading1"/>
      </w:pPr>
      <w:r>
        <w:t>19. Limitations and Required Experimental Validation</w:t>
      </w:r>
    </w:p>
    <w:p>
      <w:pPr>
        <w:pStyle w:val="ListBullet"/>
      </w:pPr>
      <w:r>
        <w:t>The pump command-to-flow relationship is assumed linear and must be replaced by measured data.</w:t>
      </w:r>
    </w:p>
    <w:p>
      <w:pPr>
        <w:pStyle w:val="ListBullet"/>
      </w:pPr>
      <w:r>
        <w:t>The effective CdA parameter represents a simplified outlet characteristic and must be identified using the final valve and tubing.</w:t>
      </w:r>
    </w:p>
    <w:p>
      <w:pPr>
        <w:pStyle w:val="ListBullet"/>
      </w:pPr>
      <w:r>
        <w:t>Tubing pressure losses and detailed pump head-flow behavior are not yet represented.</w:t>
      </w:r>
    </w:p>
    <w:p>
      <w:pPr>
        <w:pStyle w:val="ListBullet"/>
      </w:pPr>
      <w:r>
        <w:t>The model is a hydraulic volume model; it does not yet include dye concentration, chemical kinetics, or fabric motion.</w:t>
      </w:r>
    </w:p>
    <w:p>
      <w:pPr>
        <w:pStyle w:val="ListBullet"/>
      </w:pPr>
      <w:r>
        <w:t>Tank 2 and the thermal energy balance are not part of this Tank 1 proof.</w:t>
      </w:r>
    </w:p>
    <w:p>
      <w:pPr>
        <w:pStyle w:val="ListBullet"/>
      </w:pPr>
      <w:r>
        <w:t>The assumed dimensions and operating points are miniature design choices rather than claims about industrial equipment.</w:t>
      </w:r>
    </w:p>
    <w:p>
      <w:pPr>
        <w:pStyle w:val="ListBullet"/>
      </w:pPr>
      <w:r>
        <w:t>The model should be validated against real commissioning data before simulation parameters are treated as experimentally identified.</w:t>
      </w:r>
    </w:p>
    <w:p>
      <w:pPr>
        <w:pStyle w:val="Heading1"/>
      </w:pPr>
      <w:r>
        <w:t>20. Project Files Supporting This Proof</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EDEDED"/>
          </w:tcPr>
          <w:p>
            <w:r/>
            <w:r>
              <w:rPr>
                <w:b/>
              </w:rPr>
              <w:t>File</w:t>
            </w:r>
          </w:p>
        </w:tc>
        <w:tc>
          <w:tcPr>
            <w:tcW w:type="dxa" w:w="4873"/>
            <w:vAlign w:val="center"/>
            <w:shd w:fill="EDEDED"/>
          </w:tcPr>
          <w:p>
            <w:r/>
            <w:r>
              <w:rPr>
                <w:b/>
              </w:rPr>
              <w:t>Purpose</w:t>
            </w:r>
          </w:p>
        </w:tc>
      </w:tr>
      <w:tr>
        <w:tc>
          <w:tcPr>
            <w:tcW w:type="dxa" w:w="4873"/>
            <w:vAlign w:val="center"/>
          </w:tcPr>
          <w:p>
            <w:r/>
            <w:r>
              <w:rPr>
                <w:b w:val="0"/>
              </w:rPr>
              <w:t>tank1_parameters.m</w:t>
            </w:r>
          </w:p>
        </w:tc>
        <w:tc>
          <w:tcPr>
            <w:tcW w:type="dxa" w:w="4873"/>
            <w:vAlign w:val="center"/>
          </w:tcPr>
          <w:p>
            <w:r/>
            <w:r>
              <w:rPr>
                <w:b w:val="0"/>
              </w:rPr>
              <w:t>Central parameter source; separates assumed and measured values</w:t>
            </w:r>
          </w:p>
        </w:tc>
      </w:tr>
      <w:tr>
        <w:tc>
          <w:tcPr>
            <w:tcW w:type="dxa" w:w="4873"/>
            <w:vAlign w:val="center"/>
          </w:tcPr>
          <w:p>
            <w:r/>
            <w:r>
              <w:rPr>
                <w:b w:val="0"/>
              </w:rPr>
              <w:t>tank1_ode.m</w:t>
            </w:r>
          </w:p>
        </w:tc>
        <w:tc>
          <w:tcPr>
            <w:tcW w:type="dxa" w:w="4873"/>
            <w:vAlign w:val="center"/>
          </w:tcPr>
          <w:p>
            <w:r/>
            <w:r>
              <w:rPr>
                <w:b w:val="0"/>
              </w:rPr>
              <w:t>Nonlinear Tank 1 governing ODE</w:t>
            </w:r>
          </w:p>
        </w:tc>
      </w:tr>
      <w:tr>
        <w:tc>
          <w:tcPr>
            <w:tcW w:type="dxa" w:w="4873"/>
            <w:vAlign w:val="center"/>
          </w:tcPr>
          <w:p>
            <w:r/>
            <w:r>
              <w:rPr>
                <w:b w:val="0"/>
              </w:rPr>
              <w:t>tank1_simulate_and_verify.m</w:t>
            </w:r>
          </w:p>
        </w:tc>
        <w:tc>
          <w:tcPr>
            <w:tcW w:type="dxa" w:w="4873"/>
            <w:vAlign w:val="center"/>
          </w:tcPr>
          <w:p>
            <w:r/>
            <w:r>
              <w:rPr>
                <w:b w:val="0"/>
              </w:rPr>
              <w:t>Three analytical/conservation verification tests</w:t>
            </w:r>
          </w:p>
        </w:tc>
      </w:tr>
      <w:tr>
        <w:tc>
          <w:tcPr>
            <w:tcW w:type="dxa" w:w="4873"/>
            <w:vAlign w:val="center"/>
          </w:tcPr>
          <w:p>
            <w:r/>
            <w:r>
              <w:rPr>
                <w:b w:val="0"/>
              </w:rPr>
              <w:t>build_tank1_simulink.m</w:t>
            </w:r>
          </w:p>
        </w:tc>
        <w:tc>
          <w:tcPr>
            <w:tcW w:type="dxa" w:w="4873"/>
            <w:vAlign w:val="center"/>
          </w:tcPr>
          <w:p>
            <w:r/>
            <w:r>
              <w:rPr>
                <w:b w:val="0"/>
              </w:rPr>
              <w:t>Builds the graphical Simulink realization</w:t>
            </w:r>
          </w:p>
        </w:tc>
      </w:tr>
      <w:tr>
        <w:tc>
          <w:tcPr>
            <w:tcW w:type="dxa" w:w="4873"/>
            <w:vAlign w:val="center"/>
          </w:tcPr>
          <w:p>
            <w:r/>
            <w:r>
              <w:rPr>
                <w:b w:val="0"/>
              </w:rPr>
              <w:t>tank1_hydraulic_model.slx</w:t>
            </w:r>
          </w:p>
        </w:tc>
        <w:tc>
          <w:tcPr>
            <w:tcW w:type="dxa" w:w="4873"/>
            <w:vAlign w:val="center"/>
          </w:tcPr>
          <w:p>
            <w:r/>
            <w:r>
              <w:rPr>
                <w:b w:val="0"/>
              </w:rPr>
              <w:t>Generated Simulink model, when built successfully in MATLAB</w:t>
            </w:r>
          </w:p>
        </w:tc>
      </w:tr>
      <w:tr>
        <w:tc>
          <w:tcPr>
            <w:tcW w:type="dxa" w:w="4873"/>
            <w:vAlign w:val="center"/>
          </w:tcPr>
          <w:p>
            <w:r/>
            <w:r>
              <w:rPr>
                <w:b w:val="0"/>
              </w:rPr>
              <w:t>tank1_verification_results.csv</w:t>
            </w:r>
          </w:p>
        </w:tc>
        <w:tc>
          <w:tcPr>
            <w:tcW w:type="dxa" w:w="4873"/>
            <w:vAlign w:val="center"/>
          </w:tcPr>
          <w:p>
            <w:r/>
            <w:r>
              <w:rPr>
                <w:b w:val="0"/>
              </w:rPr>
              <w:t>Numerical verification results</w:t>
            </w:r>
          </w:p>
        </w:tc>
      </w:tr>
      <w:tr>
        <w:tc>
          <w:tcPr>
            <w:tcW w:type="dxa" w:w="4873"/>
            <w:vAlign w:val="center"/>
          </w:tcPr>
          <w:p>
            <w:r/>
            <w:r>
              <w:rPr>
                <w:b w:val="0"/>
              </w:rPr>
              <w:t>tank1_verification_plot.png</w:t>
            </w:r>
          </w:p>
        </w:tc>
        <w:tc>
          <w:tcPr>
            <w:tcW w:type="dxa" w:w="4873"/>
            <w:vAlign w:val="center"/>
          </w:tcPr>
          <w:p>
            <w:r/>
            <w:r>
              <w:rPr>
                <w:b w:val="0"/>
              </w:rPr>
              <w:t>Three-test verification figure</w:t>
            </w:r>
          </w:p>
        </w:tc>
      </w:tr>
      <w:tr>
        <w:tc>
          <w:tcPr>
            <w:tcW w:type="dxa" w:w="4873"/>
            <w:vAlign w:val="center"/>
          </w:tcPr>
          <w:p>
            <w:r/>
            <w:r>
              <w:rPr>
                <w:b w:val="0"/>
              </w:rPr>
              <w:t>TANK1_MODEL_NOTE.md</w:t>
            </w:r>
          </w:p>
        </w:tc>
        <w:tc>
          <w:tcPr>
            <w:tcW w:type="dxa" w:w="4873"/>
            <w:vAlign w:val="center"/>
          </w:tcPr>
          <w:p>
            <w:r/>
            <w:r>
              <w:rPr>
                <w:b w:val="0"/>
              </w:rPr>
              <w:t>Process basis, assumptions, variables, and execution notes</w:t>
            </w:r>
          </w:p>
        </w:tc>
      </w:tr>
    </w:tbl>
    <w:p>
      <w:pPr>
        <w:pStyle w:val="Heading1"/>
      </w:pPr>
      <w:r>
        <w:t>21. Short Professor-Defense Explanation</w:t>
      </w:r>
    </w:p>
    <w:p>
      <w:r>
        <w:t>If asked to explain the proof verbally, the logic can be stated in this order:</w:t>
      </w:r>
    </w:p>
    <w:p>
      <w:r>
        <w:t>1. We selected liquid level h1 as the state variable because Tank 1 is cylindrical and its volume is directly related to level.</w:t>
      </w:r>
    </w:p>
    <w:p>
      <w:r>
        <w:t>2. We start with conservation of liquid volume: accumulation equals inlet minus outlet.</w:t>
      </w:r>
    </w:p>
    <w:p>
      <w:r>
        <w:t>3. For a cylindrical tank, V1 = A1h1, so dV1/dt = A1 dh1/dt.</w:t>
      </w:r>
    </w:p>
    <w:p>
      <w:r>
        <w:t>4. Therefore A1 dh1/dt = Qin − Q12.</w:t>
      </w:r>
    </w:p>
    <w:p>
      <w:r>
        <w:t>5. The pump provides Qin, approximated initially as proportional to PWM.</w:t>
      </w:r>
    </w:p>
    <w:p>
      <w:r>
        <w:t>6. The outlet is gravity driven, so its flow is proportional to √(2gh1), with the valve represented by α and the effective CdA.</w:t>
      </w:r>
    </w:p>
    <w:p>
      <w:r>
        <w:t>7. Substituting those flow equations produces the nonlinear Tank 1 ODE.</w:t>
      </w:r>
    </w:p>
    <w:p>
      <w:r>
        <w:t>8. The model is nonlinear because the outlet contains √h1.</w:t>
      </w:r>
    </w:p>
    <w:p>
      <w:r>
        <w:t>9. We verify the model three ways: filling with the outlet closed, draining with the pump off, and equilibrium with equal inlet and outlet flows.</w:t>
      </w:r>
    </w:p>
    <w:p>
      <w:r>
        <w:t>10. The ODE and analytical solutions overlap to numerical precision, so the implementation is consistent with the derived equations.</w:t>
      </w:r>
    </w:p>
    <w:p>
      <w:r>
        <w:t>11. The parameters are explicitly classified as assumptions until measured on the physical prototype.</w:t>
      </w:r>
    </w:p>
    <w:p>
      <w:r>
        <w:br/>
        <w:t>End of Tank 1 proof document.</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Tank 1 Mathematical Proof &amp; Verification | Miniature Textile Dyeing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jc w:val="center"/>
    </w:pPr>
    <w:rPr>
      <w:rFonts w:ascii="Cambria Math" w:hAnsi="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