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Software Architecture and Design Specification (SAD)</w:t>
      </w:r>
    </w:p>
    <w:p>
      <w:pPr>
        <w:jc w:val="center"/>
      </w:pPr>
      <w:r>
        <w:rPr>
          <w:b/>
          <w:color w:val="1F4E79"/>
          <w:sz w:val="28"/>
        </w:rPr>
        <w:t>AI-Powered Content Management System (AICMS)</w:t>
      </w:r>
    </w:p>
    <w:p>
      <w:pPr>
        <w:jc w:val="center"/>
      </w:pPr>
      <w:r>
        <w:t>Version: 1.0   |   Date: 09-10-2026   |   Status: Stage 1 – Proposed design / planning</w:t>
      </w:r>
    </w:p>
    <w:p>
      <w:pPr>
        <w:jc w:val="center"/>
      </w:pPr>
      <w:r>
        <w:t>Team / Author: Shreeverdhan M  |  SRN: PES1UG24AM265</w:t>
        <w:br/>
        <w:t xml:space="preserve">Sripada Krishna Sameer Aditya  |  SRN: PES1UG24AM285</w:t>
        <w:br/>
        <w:t xml:space="preserve">Srivamshi Chikkireddi  |  SRN: PES1UG24AM287</w:t>
        <w:br/>
        <w:t xml:space="preserve">Shamanth SK  |  SRN: PES1UG24AM258</w:t>
      </w:r>
    </w:p>
    <w:p>
      <w:pPr>
        <w:spacing w:after="160"/>
      </w:pPr>
      <w:r>
        <w:rPr>
          <w:b/>
        </w:rPr>
        <w:t xml:space="preserve">Submission boundary: </w:t>
      </w:r>
      <w:r>
        <w:t>This submission defines requirements, proposed design, and planned verification. It does not claim that a working implementation exists or that tests have been executed.</w:t>
      </w:r>
    </w:p>
    <w:p>
      <w:pPr>
        <w:pStyle w:val="Heading1"/>
      </w:pPr>
      <w:r>
        <w:t>Revision History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09-10-2026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AICMS Team (Shreeverdhan M, Sripada Krishna Sameer Aditya, Srivamshi Chikkireddi, Shamanth SK)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Initial proposed architecture and design for AICMS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Heading1"/>
      </w:pPr>
      <w:r>
        <w:t>Approvals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2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42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Signature / Date</w:t>
            </w:r>
          </w:p>
        </w:tc>
      </w:tr>
      <w:tr>
        <w:trPr>
          <w:cantSplit/>
        </w:trPr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Course Coordinator</w:t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Team Representative</w:t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proposed logical architecture and design of AICMS and maps its components and interfaces to the accompanying SRS.</w:t>
      </w:r>
    </w:p>
    <w:p>
      <w:pPr>
        <w:pStyle w:val="Heading2"/>
      </w:pPr>
      <w:r>
        <w:t>1.2 Scope</w:t>
      </w:r>
    </w:p>
    <w:p>
      <w:r>
        <w:t>The design covers document intake, text extraction/OCR, AI categorization and keyword/topic extraction, embeddings, indexing, natural-language search, metadata correction, access control, audit, and monitoring. This is a Stage 1 design; no deployed or working implementation is claimed.</w:t>
      </w:r>
    </w:p>
    <w:p>
      <w:pPr>
        <w:pStyle w:val="Heading2"/>
      </w:pPr>
      <w:r>
        <w:t>1.3 Audience</w:t>
      </w:r>
    </w:p>
    <w:p>
      <w:r>
        <w:t>Project evaluators, analysts, developers, QA engineers, security reviewers, administrators, and maintenance teams.</w:t>
      </w:r>
    </w:p>
    <w:p>
      <w:pPr>
        <w:pStyle w:val="Heading2"/>
      </w:pPr>
      <w:r>
        <w:t>1.4 Definitions</w:t>
      </w:r>
    </w:p>
    <w:p>
      <w:r>
        <w:t>AICMS – AI-Powered Content Management System; NLP – Natural Language Processing; OCR – Optical Character Recognition; RBAC – Role-Based Access Control; ADR – Architecture Decision Record; API – Application Programming Interface; embedding – vector representation of text.</w:t>
      </w:r>
    </w:p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t>Read with the SRS and Software Test Plan. Component/class diagrams define logical responsibilities and domain objects; sequence diagrams define representative interaction flows; API contracts and ADRs document proposed design choices. These artifacts describe intended behavior, not completed software.</w:t>
      </w:r>
    </w:p>
    <w:p>
      <w:pPr>
        <w:pStyle w:val="Heading2"/>
      </w:pPr>
      <w:r>
        <w:t>2.2 Related Documents</w:t>
      </w:r>
    </w:p>
    <w:p>
      <w:r>
        <w:t>AICMS Software Requirements Specification (SRS), AICMS Software Test Plan (STP), and the SRS Requirements Traceability Matrix (RTM).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and Constraints</w:t>
      </w:r>
    </w:p>
    <w:p>
      <w:pPr>
        <w:ind w:left="259" w:hanging="202"/>
      </w:pPr>
      <w:r>
        <w:t>• Provide useful natural-language retrieval while preventing unauthorized disclosure through search snippets or metadata.</w:t>
      </w:r>
    </w:p>
    <w:p>
      <w:pPr>
        <w:ind w:left="259" w:hanging="202"/>
      </w:pPr>
      <w:r>
        <w:t>• Separate parsing, AI inference, storage, indexing, and user interaction so each can be tested and changed independently.</w:t>
      </w:r>
    </w:p>
    <w:p>
      <w:pPr>
        <w:ind w:left="259" w:hanging="202"/>
      </w:pPr>
      <w:r>
        <w:t>• Keep long parsing/model jobs asynchronous and observable with clear retry/failure status.</w:t>
      </w:r>
    </w:p>
    <w:p>
      <w:pPr>
        <w:ind w:left="259" w:hanging="202"/>
      </w:pPr>
      <w:r>
        <w:t>• Support metadata correction, deterministic re-indexing, deletion propagation, and traceability.</w:t>
      </w:r>
    </w:p>
    <w:p>
      <w:pPr>
        <w:ind w:left="259" w:hanging="202"/>
      </w:pPr>
      <w:r>
        <w:t>• Constraints: model latency and cost, document format/language variability, OCR quality, privacy/data-residency policy, and index consistency.</w:t>
      </w:r>
    </w:p>
    <w:p>
      <w:pPr>
        <w:ind w:left="259" w:hanging="202"/>
      </w:pPr>
      <w:r>
        <w:t>• Availability and performance values are proposed targets requiring future measurement; they are not achieved claims.</w:t>
      </w:r>
    </w:p>
    <w:p>
      <w:pPr>
        <w:ind w:left="259" w:hanging="202"/>
      </w:pPr>
      <w:r>
        <w:t>• Proposed quality targets (see SRS section 5): search p90 ≤ 3 s; at least 80% correct categorization on the labelled test set; processing of a 10-page document within 60 s.</w:t>
      </w:r>
    </w:p>
    <w:p>
      <w:pPr>
        <w:pStyle w:val="Heading2"/>
      </w:pPr>
      <w:r>
        <w:t>3.2 Stakeholders and Concerns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302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Primary concerns</w:t>
            </w:r>
          </w:p>
        </w:tc>
        <w:tc>
          <w:tcPr>
            <w:tcW w:type="dxa" w:w="554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Architectural response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General user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Fast, relevant search; clear upload status; easy navigation.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Natural-language search API, filters, status UI, readable snippets.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Content editor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Correct AI suggestions and control over metadata.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Editable metadata with validation, permissions, and audit.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Administrator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Access control, taxonomy, operational status, re-indexing.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Admin functions, job visibility, metrics, audit trail.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Data owner / security reviewer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Confidentiality, retention, approved AI data processing.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Permission filtering, secure transport/secrets, approved model policy.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Developer / QA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Clear interfaces, testability, recoverability.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Layered modules, async jobs, APIs, requirement/test traceability.</w:t>
            </w:r>
          </w:p>
        </w:tc>
      </w:tr>
    </w:tbl>
    <w:p>
      <w:pPr>
        <w:spacing w:after="20"/>
      </w:pPr>
    </w:p>
    <w:p>
      <w:pPr>
        <w:pStyle w:val="Heading2"/>
      </w:pPr>
      <w:r>
        <w:t>3.3 UML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3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MS_Componen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3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1. Proposed logical components and major data/control paths. Cross-cutting audit and monitoring apply across components.</w:t>
      </w:r>
    </w:p>
    <w:p>
      <w:r>
        <w:br w:type="page"/>
      </w:r>
    </w:p>
    <w:p>
      <w:pPr>
        <w:pStyle w:val="Heading2"/>
      </w:pPr>
      <w:r>
        <w:t>3.3.1 UML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58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MS_UML_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5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2. Conceptual domain model; actual persistence classes and schema remain implementation decisions.</w:t>
      </w:r>
    </w:p>
    <w:p>
      <w:pPr>
        <w:pStyle w:val="Heading2"/>
      </w:pPr>
      <w:r>
        <w:t>3.4 Component Descriptions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374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Responsibilities</w:t>
            </w:r>
          </w:p>
        </w:tc>
        <w:tc>
          <w:tcPr>
            <w:tcW w:type="dxa" w:w="460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Inputs / outputs and key controls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Web UI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Upload, search, result browsing, metadata editing, and admin screens.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 actions and authorized results; accessibility and clear status/errors.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Application API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Validate request shape, authenticate identity, authorize operations, orchestrate services, rate-limit.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HTTPS API requests/responses; safe errors and correlation ID.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Intake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Check type/size/content signature, apply duplicate policy, assign document ID.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Uploaded file → stored file + processing record; untrusted content handled defensively.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Document/Object Storage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Store original files separately from structured metadata.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ID → protected file; permissions and retention policy apply.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Text Extraction / OCR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Extract text and common metadata from supported formats and optional scans.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File → text, metadata, quality flags; parser execution isolated where possible.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Async Queue / Worker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Schedule extraction, enrichment, re-index, retry, and deletion propagation.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Job IDs/statuses; bounded retries and reviewable terminal errors.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 Enrichment Pipeline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Suggest categories, extract keywords/topics, create document embeddings.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Text → versioned enrichment output and embedding; output treated as a suggestion.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Metadata Service / DB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Persist ownership, metadata, processing state, category references, and audit references.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Validated CRUD operations and data integrity constraints.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 Index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Maintain lexical/vector representations and filterable metadata.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ID, text, vector, filters → candidates and relevance scores.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 / Retrieval API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Embed query, retrieve candidates, apply authorization filters before formatting, rank results.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Natural-language query → authorized ranked results and snippets.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Audit / Observability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Capture security/admin events and aggregate latency/error/queue metrics.</w:t>
            </w:r>
          </w:p>
        </w:tc>
        <w:tc>
          <w:tcPr>
            <w:tcW w:type="dxa" w:w="46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Sanitized event and metric stream; no secrets or unnecessary raw document text.</w:t>
            </w:r>
          </w:p>
        </w:tc>
      </w:tr>
    </w:tbl>
    <w:p>
      <w:pPr>
        <w:spacing w:after="20"/>
      </w:pPr>
    </w:p>
    <w:p>
      <w:pPr>
        <w:pStyle w:val="Heading2"/>
      </w:pPr>
      <w:r>
        <w:t>3.5 Chosen Architecture Pattern and Rationale</w:t>
      </w:r>
    </w:p>
    <w:p>
      <w:r>
        <w:t>Proposed pattern: layered modular architecture with an asynchronous document-processing pipeline. The UI, API, domain functions, worker pipeline, persistence, and search index have explicit responsibilities and interfaces. This lowers coupling and makes it possible to replace a parser, model, or search engine without redesigning user workflows. A full microservices deployment is not justified at Stage 1; modules may initially run in one deployment while preserving logical boundaries.</w:t>
      </w:r>
    </w:p>
    <w:p>
      <w:pPr>
        <w:pStyle w:val="Heading2"/>
      </w:pPr>
      <w:r>
        <w:t>3.6 Technology Stack and Data Stores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367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Proposed option (recommended default)</w:t>
            </w:r>
          </w:p>
        </w:tc>
        <w:tc>
          <w:tcPr>
            <w:tcW w:type="dxa" w:w="489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Rationale / selection gate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Frontend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Responsive browser UI — recommended default: React (plain HTML/JavaScript is acceptable for a prototype).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Accessible upload/search/editor flows; final choice follows team skills.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Backend API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Python with FastAPI (recommended default); Java/Spring Boot is an alternative.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Python matches the AI/NLP libraries; confirm after a short prototype.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Metadata store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PostgreSQL (SQLite acceptable for a prototype).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Transactions and structured metadata; schema review required.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storage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Protected object or file storage.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Separate binary documents from metadata; retention/backup policies needed.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Vector search with metadata filters — e.g., PostgreSQL with pgvector, or OpenSearch/Elasticsearch with vector support; cosine similarity between query and document embeddings.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Support semantic similarity, filtering, and optional lexical (keyword) hybrid retrieval.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 / NLP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Pre-trained open-source sentence-embedding model (e.g., all-MiniLM-L6-v2); scikit-learn classifier on the embeddings; TF-IDF/key-phrase extraction and a topic model (LDA/NMF).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Evaluate quality, latency, language coverage, cost, and data-handling terms; runs without a GPU.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Async processing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Queue + worker pattern — e.g., Celery with Redis, or a simple background job runner for a prototype.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Retryable extraction/enrichment, status tracking, re-indexing.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/ operations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HTTPS/TLS, RBAC, secret store, structured logs and metrics.</w:t>
            </w:r>
          </w:p>
        </w:tc>
        <w:tc>
          <w:tcPr>
            <w:tcW w:type="dxa" w:w="48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Required for access control, diagnosis, and operational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3.7 Risks and Mitigations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type="dxa" w:w="28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Potential impact</w:t>
            </w:r>
          </w:p>
        </w:tc>
        <w:tc>
          <w:tcPr>
            <w:tcW w:type="dxa" w:w="518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Mitigation / verification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Incorrect category/topic suggestions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Poor organization and reduced trust.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Treat output as a suggestion; allow edits; evaluate against labelled samples.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Low-quality extraction / OCR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Missing content and weak search.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Flag extraction confidence/quality; test varied files; enable review/retry.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Permission leakage in search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Confidentiality breach via title/snippet/metadata.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Filter candidates by authorization before formatting; cross-role negative tests.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Model or parser service outage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Incomplete processing and queue growth.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Asynchronous jobs, bounded retry/backoff, visible failure state, operational metrics.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Stale index after edit/delete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 returns obsolete or deleted content.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Idempotent events, index version/state, reconciliation and deletion tests.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Unapproved external AI processing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Data privacy/compliance risk.</w:t>
            </w:r>
          </w:p>
        </w:tc>
        <w:tc>
          <w:tcPr>
            <w:tcW w:type="dxa" w:w="51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Data classification and provider approval gate; use approved hosting and minimize payloads.</w:t>
            </w:r>
          </w:p>
        </w:tc>
      </w:tr>
    </w:tbl>
    <w:p>
      <w:pPr>
        <w:spacing w:after="20"/>
      </w:pPr>
    </w:p>
    <w:p>
      <w:pPr>
        <w:pStyle w:val="Heading2"/>
      </w:pPr>
      <w:r>
        <w:t>3.8 Traceability to Requirements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95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SRS requirement group</w:t>
            </w:r>
          </w:p>
        </w:tc>
        <w:tc>
          <w:tcPr>
            <w:tcW w:type="dxa" w:w="302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Architecture component(s)</w:t>
            </w:r>
          </w:p>
        </w:tc>
        <w:tc>
          <w:tcPr>
            <w:tcW w:type="dxa" w:w="43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Design rationale / verification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AICMS-F-001–004 (intake/status)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Web UI, API, Document Intake, storage, job queue.</w:t>
            </w:r>
          </w:p>
        </w:tc>
        <w:tc>
          <w:tcPr>
            <w:tcW w:type="dxa" w:w="43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Validate before processing; track status and duplicate policy.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AICMS-F-005–010 (extract/enrich)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Extraction/OCR, Worker, AI Enrichment, metadata DB.</w:t>
            </w:r>
          </w:p>
        </w:tc>
        <w:tc>
          <w:tcPr>
            <w:tcW w:type="dxa" w:w="43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Keep processing asynchronous and record model/error state.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AICMS-F-011–015 (index/search)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 Index, Search API, Web UI.</w:t>
            </w:r>
          </w:p>
        </w:tc>
        <w:tc>
          <w:tcPr>
            <w:tcW w:type="dxa" w:w="43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Rank authorized candidates; test search quality, filters, snippets.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AICMS-F-016–018, 023; AICMS-SR-001, 004, 006–008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Metadata Service, RBAC, Search API, Audit.</w:t>
            </w:r>
          </w:p>
        </w:tc>
        <w:tc>
          <w:tcPr>
            <w:tcW w:type="dxa" w:w="43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Authorization before disclosure; audit changes/access.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AICMS-F-019–022, 024 (admin/re-index/delete/metrics/users)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 UI, Worker, Index, Observability.</w:t>
            </w:r>
          </w:p>
        </w:tc>
        <w:tc>
          <w:tcPr>
            <w:tcW w:type="dxa" w:w="43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Queue-controlled changes, consistency checks, metrics.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AICMS-NF-001–010; AICMS-SR-002, 003, 005</w:t>
            </w:r>
          </w:p>
        </w:tc>
        <w:tc>
          <w:tcPr>
            <w:tcW w:type="dxa" w:w="30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API, job workers, secure configuration, monitoring.</w:t>
            </w:r>
          </w:p>
        </w:tc>
        <w:tc>
          <w:tcPr>
            <w:tcW w:type="dxa" w:w="43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Performance, safe uploads, TLS, secrets/logging, failure states.</w:t>
            </w:r>
          </w:p>
        </w:tc>
      </w:tr>
    </w:tbl>
    <w:p>
      <w:pPr>
        <w:spacing w:after="20"/>
      </w:pPr>
    </w:p>
    <w:p>
      <w:pPr>
        <w:pStyle w:val="Heading2"/>
      </w:pPr>
      <w:r>
        <w:t>3.9 Security Architecture and Threat Model</w:t>
      </w:r>
    </w:p>
    <w:p>
      <w:r>
        <w:t>Threats are reviewed using the STRIDE categories. Controls below are design proposals and must be verified during implementation and security testing.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STRIDE threat</w:t>
            </w:r>
          </w:p>
        </w:tc>
        <w:tc>
          <w:tcPr>
            <w:tcW w:type="dxa" w:w="309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AICMS example</w:t>
            </w:r>
          </w:p>
        </w:tc>
        <w:tc>
          <w:tcPr>
            <w:tcW w:type="dxa" w:w="554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Proposed mitigations / verification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Spoofing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Attacker impersonates a user or administrator.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Institution-approved authentication, secure session/token handling, role checks; test unauthorized access. Salted password hashing, 30-minute session expiry and login lock-out after 5 failures (AICMS-SR-007, SR-008).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Tampering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Uploaded file, metadata, or index record is maliciously changed.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Validate inputs, controlled writes, checksums/versioned jobs, audit important changes.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Repudiation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 denies metadata deletion or role change.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Timestamped audit events with actor/action/outcome; protect audit write path and retention.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Information disclosure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Restricted file title/snippet/vector leaks from semantic results or logs.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Authorization before formatting results; TLS; least privilege; secret/raw-content log exclusion.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Denial of service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Oversized uploads, expensive queries, queue flooding.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Size limits, validation, rate limits, bounded concurrency, timeouts and queue monitoring.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Elevation of privilege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Normal editor invokes administrator or cross-document operations.</w:t>
            </w:r>
          </w:p>
        </w:tc>
        <w:tc>
          <w:tcPr>
            <w:tcW w:type="dxa" w:w="55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RBAC + document-level authorization at server-side APIs; negative tests for every protected path.</w:t>
            </w:r>
          </w:p>
        </w:tc>
      </w:tr>
    </w:tbl>
    <w:p>
      <w:pPr>
        <w:spacing w:after="20"/>
      </w:pPr>
    </w:p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Upload flow: the API authenticates and validates the request, the intake component stores the original and queues a job, and the worker extracts content, performs AI enrichment, and updates metadata/index status. Search flow: the API validates the query, retrieval creates a query vector if required, candidates are retrieved, permission checks are applied before snippets are assembled, and authorized results are ranked and returned. Failed or partial jobs remain visibly failed/retryable rather than appearing complete.</w:t>
      </w:r>
    </w:p>
    <w:p>
      <w:pPr>
        <w:pStyle w:val="Heading2"/>
      </w:pPr>
      <w:r>
        <w:t>4.2 UML Sequence Diagrams</w:t>
      </w:r>
    </w:p>
    <w:p>
      <w:pPr>
        <w:pStyle w:val="Heading3"/>
      </w:pPr>
      <w:r>
        <w:t>4.2.1 Upload, Enrichment, and Indexing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634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MS_Sequence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6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3. Solid arrows show calls; dashed arrows show responses. Processing continues asynchronously after the upload request is accepted.</w:t>
      </w:r>
    </w:p>
    <w:p>
      <w:pPr>
        <w:pStyle w:val="Heading3"/>
      </w:pPr>
      <w:r>
        <w:t>4.2.2 Natural-language Semantic Search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23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MS_Sequenc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2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4. Authorization is applied to retrieved candidates before protected metadata/snippets are returned.</w:t>
      </w:r>
    </w:p>
    <w:p>
      <w:pPr>
        <w:pStyle w:val="Heading2"/>
      </w:pPr>
      <w:r>
        <w:t>4.3 API Design</w:t>
      </w:r>
    </w:p>
    <w:p>
      <w:r>
        <w:t>The following REST-style endpoint contracts are proposed. Exact request validation, identity claims, pagination defaults, and response schemas must be confirmed before implementation.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1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Component / endpoint</w:t>
            </w:r>
          </w:p>
        </w:tc>
        <w:tc>
          <w:tcPr>
            <w:tcW w:type="dxa" w:w="69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280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Request / purpose</w:t>
            </w:r>
          </w:p>
        </w:tc>
        <w:tc>
          <w:tcPr>
            <w:tcW w:type="dxa" w:w="223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Successful response</w:t>
            </w:r>
          </w:p>
        </w:tc>
        <w:tc>
          <w:tcPr>
            <w:tcW w:type="dxa" w:w="25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Representative errors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Document Intake: /api/v1/documents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Multipart file; authenticated identity; optional metadata.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202 Accepted: document_id, status=QUEUED.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400 invalid input; 401 unauthenticated; 403 forbidden; 413 too large; 409 duplicate per policy.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Document Query: /api/v1/documents/{id}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Read one permitted document’s metadata/status.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200: document_id, status, authorized metadata.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401 unauthenticated; 403 forbidden; 404 missing/not visible.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API: /api/v1/search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JSON {query, filters, page, page_size}.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200: results[], total, query_time_ms.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400 invalid query; 401/403 unauthorized; 429 rate limit; 503 index unavailable.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Metadata Service: /api/v1/documents/{id}/metadata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Editable category/keywords/topics; editor authorization.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200 updated metadata and revision.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400 invalid fields; 403 forbidden; 404 not found; 409 revision conflict.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 /api/v1/admin/reindex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Authorized scope and model/taxonomy version.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202: job_id, status=QUEUED.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400 invalid request; 403 forbidden; 409 conflicting job.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Document deletion: /api/v1/documents/{id}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Authenticated owner/editor/admin subject to policy.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202 deletion job/status; final state removes index entries.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401 unauthenticated; 403 forbidden; 404 missing/not visible.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Authentication: /api/v1/auth/login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JSON {username, password} (or identity-provider token exchange).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200: session token with 30-minute idle expiry.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400 invalid input; 401 invalid credentials (generic message); 423 account temporarily locked; 429 rate limit.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 users: /api/v1/admin/users/{id}/role</w:t>
            </w:r>
          </w:p>
        </w:tc>
        <w:tc>
          <w:tcPr>
            <w:tcW w:type="dxa" w:w="69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PUT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JSON {role}; administrator only; also create/deactivate via /api/v1/admin/users.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200: user_id, role, revision.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400 invalid role; 403 forbidden; 404 not found; 409 revision conflict.</w:t>
            </w:r>
          </w:p>
        </w:tc>
      </w:tr>
    </w:tbl>
    <w:p>
      <w:pPr>
        <w:spacing w:after="20"/>
      </w:pPr>
    </w:p>
    <w:p>
      <w:pPr>
        <w:pStyle w:val="Heading2"/>
      </w:pPr>
      <w:r>
        <w:t>4.4 Error Handling, Logging, and Monitoring</w:t>
      </w:r>
    </w:p>
    <w:p>
      <w:pPr>
        <w:ind w:left="259" w:hanging="202"/>
      </w:pPr>
      <w:r>
        <w:t>• Use a consistent safe error body with stable error code, short message, and correlation ID; never send stack traces to users.</w:t>
      </w:r>
    </w:p>
    <w:p>
      <w:pPr>
        <w:ind w:left="259" w:hanging="202"/>
      </w:pPr>
      <w:r>
        <w:t>• Do not log passwords, tokens, raw embeddings, or unnecessary document text; use document IDs and sanitized metadata where needed.</w:t>
      </w:r>
    </w:p>
    <w:p>
      <w:pPr>
        <w:ind w:left="259" w:hanging="202"/>
      </w:pPr>
      <w:r>
        <w:t>• Track upload acceptance/failure, parser/OCR duration, AI job duration, queue depth, search p50/p90 latency, error rate, empty-result rate, and index reconciliation exceptions.</w:t>
      </w:r>
    </w:p>
    <w:p>
      <w:pPr>
        <w:ind w:left="259" w:hanging="202"/>
      </w:pPr>
      <w:r>
        <w:t>• Retry only transient failures with bounded backoff; keep terminal failures reviewable and make retries idempotent.</w:t>
      </w:r>
    </w:p>
    <w:p>
      <w:pPr>
        <w:ind w:left="259" w:hanging="202"/>
      </w:pPr>
      <w:r>
        <w:t>• Define operational alert thresholds, backup/restore, retention, and incident procedures during implementation planning.</w:t>
      </w:r>
    </w:p>
    <w:p>
      <w:pPr>
        <w:pStyle w:val="Heading2"/>
      </w:pPr>
      <w:r>
        <w:t>4.5 UX Design</w:t>
      </w:r>
    </w:p>
    <w:p>
      <w:pPr>
        <w:ind w:left="259" w:hanging="202"/>
      </w:pPr>
      <w:r>
        <w:t>• Use one prominent natural-language search input with optional, understandable filters.</w:t>
      </w:r>
    </w:p>
    <w:p>
      <w:pPr>
        <w:ind w:left="259" w:hanging="202"/>
      </w:pPr>
      <w:r>
        <w:t>• Show processing status and actionable file validation or processing messages.</w:t>
      </w:r>
    </w:p>
    <w:p>
      <w:pPr>
        <w:ind w:left="259" w:hanging="202"/>
      </w:pPr>
      <w:r>
        <w:t>• Label categories/topics as AI-generated suggestions; provide authorized editor review.</w:t>
      </w:r>
    </w:p>
    <w:p>
      <w:pPr>
        <w:ind w:left="259" w:hanging="202"/>
      </w:pPr>
      <w:r>
        <w:t>• Preserve visible keyboard focus, accessible labels, high contrast, and responsive layouts.</w:t>
      </w:r>
    </w:p>
    <w:p>
      <w:pPr>
        <w:ind w:left="259" w:hanging="202"/>
      </w:pPr>
      <w:r>
        <w:t>• Show safe empty/error states and avoid guaranteeing that semantic matches are always correct.</w:t>
      </w:r>
    </w:p>
    <w:p>
      <w:pPr>
        <w:pStyle w:val="Heading2"/>
      </w:pPr>
      <w:r>
        <w:t>4.6 Open Issues and Next Steps</w:t>
      </w:r>
    </w:p>
    <w:p>
      <w:pPr>
        <w:ind w:left="259" w:hanging="202"/>
      </w:pPr>
      <w:r>
        <w:t>• Confirm file formats, maximum file size, supported languages, OCR need, and duplicate policy.</w:t>
      </w:r>
    </w:p>
    <w:p>
      <w:pPr>
        <w:ind w:left="259" w:hanging="202"/>
      </w:pPr>
      <w:r>
        <w:t>• Validate the default embedding model and search engine on a representative labelled corpus before release (ADR-004).</w:t>
      </w:r>
    </w:p>
    <w:p>
      <w:pPr>
        <w:ind w:left="259" w:hanging="202"/>
      </w:pPr>
      <w:r>
        <w:t>• Approve deployment location and data-sharing rules for any external model service.</w:t>
      </w:r>
    </w:p>
    <w:p>
      <w:pPr>
        <w:ind w:left="259" w:hanging="202"/>
      </w:pPr>
      <w:r>
        <w:t>• Agree retention, deletion, backup/recovery, and audit-retention policy.</w:t>
      </w:r>
    </w:p>
    <w:p>
      <w:pPr>
        <w:ind w:left="259" w:hanging="202"/>
      </w:pPr>
      <w:r>
        <w:t>• If Stage 2 is approved, build a proof of concept, implement the API contracts, and execute the test plan before release.</w:t>
      </w:r>
    </w:p>
    <w:p>
      <w:r>
        <w:br w:type="page"/>
      </w: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p>
      <w:r>
        <w:t>AICMS – AI-Powered Content Management System; ADR – Architecture Decision Record; API – Application Programming Interface; embedding – vector representation of text; NLP – Natural Language Processing; OCR – Optical Character Recognition; RBAC – Role-Based Access Control; RTM – Requirements Traceability Matrix; STRIDE – Spoofing, Tampering, Repudiation, Information Disclosure, Denial of Service, Elevation of Privilege.</w:t>
      </w:r>
    </w:p>
    <w:p>
      <w:pPr>
        <w:pStyle w:val="Heading2"/>
      </w:pPr>
      <w:r>
        <w:t>5.2 References</w:t>
      </w:r>
    </w:p>
    <w:p>
      <w:pPr>
        <w:ind w:left="259" w:hanging="202"/>
      </w:pPr>
      <w:r>
        <w:t>• ISO/IEC/IEEE 42010, architecture description (reference framework).</w:t>
      </w:r>
    </w:p>
    <w:p>
      <w:pPr>
        <w:ind w:left="259" w:hanging="202"/>
      </w:pPr>
      <w:r>
        <w:t>• OWASP Application Security Verification Standard and File Upload guidance.</w:t>
      </w:r>
    </w:p>
    <w:p>
      <w:pPr>
        <w:ind w:left="259" w:hanging="202"/>
      </w:pPr>
      <w:r>
        <w:t>• NIST SP 800-160, systems security engineering (reference framework).</w:t>
      </w:r>
    </w:p>
    <w:p>
      <w:pPr>
        <w:ind w:left="259" w:hanging="202"/>
      </w:pPr>
      <w:r>
        <w:t>• WCAG 2.1 guidance for applicable accessibility requirements.</w:t>
      </w:r>
    </w:p>
    <w:p>
      <w:pPr>
        <w:pStyle w:val="Heading2"/>
      </w:pPr>
      <w:r>
        <w:t>5.3 Tools</w:t>
      </w:r>
    </w:p>
    <w:p>
      <w:r>
        <w:t>Suggested design tools: draw.io or PlantUML for editable diagram sources, a word processor for specifications, and OpenAPI/Swagger for API contract documentation after schemas are agreed.</w:t>
      </w:r>
    </w:p>
    <w:p>
      <w:pPr>
        <w:pStyle w:val="Heading2"/>
      </w:pPr>
      <w:r>
        <w:t>5.4 Architecture Decision Records (ADRs)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15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ADR</w:t>
            </w:r>
          </w:p>
        </w:tc>
        <w:tc>
          <w:tcPr>
            <w:tcW w:type="dxa" w:w="266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 / status</w:t>
            </w:r>
          </w:p>
        </w:tc>
        <w:tc>
          <w:tcPr>
            <w:tcW w:type="dxa" w:w="367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Context and rationale</w:t>
            </w:r>
          </w:p>
        </w:tc>
        <w:tc>
          <w:tcPr>
            <w:tcW w:type="dxa" w:w="28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Consequences / revisit condition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ADR-001</w:t>
            </w:r>
          </w:p>
        </w:tc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 a layered modular architecture with asynchronous processing — Proposed.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parsing and AI inference have variable duration; clear module boundaries support testing and technology replacement.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Requires job status, retries, idempotency, and monitoring. Revisit if scale/team boundaries justify deployment separation.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ADR-002</w:t>
            </w:r>
          </w:p>
        </w:tc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Enforce authorization before search results/snippets are formatted — Required design constraint.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Semantic candidate retrieval must not leak restricted titles, snippets, vectors, or metadata.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 pipeline must have identity/permission context and negative access tests. Revisit only with an equivalent provably safe design.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ADR-003</w:t>
            </w:r>
          </w:p>
        </w:tc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Treat AI-enriched metadata as editable suggestions — Proposed.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Model predictions vary by corpus, language, and model; incorrect labels should not silently become authoritative facts.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Store review/correction state and test edits/re-indexing. Revisit if validated automation and governance policy permit automatic final labels.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ADR-004</w:t>
            </w:r>
          </w:p>
        </w:tc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Adopt the default stack in section 3.6 (React, FastAPI, PostgreSQL with pgvector, Celery/Redis, all-MiniLM-L6-v2 with a scikit-learn classifier) — Accepted.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Python matches the AI/NLP libraries used for enrichment, the stack runs without a GPU, and PostgreSQL with pgvector covers vector search with metadata filters in one database.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Validate against AICMS-NF-001, NF-009 and NF-010 on the labelled corpus; if a target is missed, record the replacement as a new ADR.</w:t>
            </w:r>
          </w:p>
        </w:tc>
      </w:tr>
    </w:tbl>
    <w:p>
      <w:pPr>
        <w:spacing w:after="20"/>
      </w:pPr>
    </w:p>
    <w:sectPr w:rsidR="00840FC0">
      <w:footerReference w:type="default" r:id="rId10"/>
      <w:pgSz w:w="12240" w:h="15840"/>
      <w:pgMar w:top="893" w:right="979" w:bottom="893" w:left="9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AICMS Stage 1  |  Page </w:t>
    </w: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C0"/>
    <w:rsid w:val="002A5EDE"/>
    <w:rsid w:val="005970D9"/>
    <w:rsid w:val="00840FC0"/>
    <w:rsid w:val="009A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FA6B0"/>
  <w15:docId w15:val="{D8AFB91F-3E9D-294A-8240-58602CBE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00"/>
      <w:outlineLvl w:val="0"/>
    </w:pPr>
    <w:rPr>
      <w:rFonts w:ascii="Calibri" w:eastAsia="Calibri" w:hAnsi="Calibri" w:cs="Calibri"/>
      <w:b/>
      <w:color w:val="1F4E79"/>
      <w:sz w:val="30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60"/>
      <w:outlineLvl w:val="1"/>
    </w:pPr>
    <w:rPr>
      <w:rFonts w:ascii="Calibri" w:eastAsia="Calibri" w:hAnsi="Calibri" w:cs="Calibri"/>
      <w:b/>
      <w:color w:val="2F5597"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40"/>
      <w:outlineLvl w:val="2"/>
    </w:pPr>
    <w:rPr>
      <w:rFonts w:ascii="Calibri" w:eastAsia="Calibri" w:hAnsi="Calibri" w:cs="Calibri"/>
      <w:b/>
      <w:color w:val="365F91"/>
      <w:sz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color w:val="1F4E79"/>
      <w:sz w:val="44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2025-09-09T09:54:00Z</dcterms:created>
  <dcterms:modified xsi:type="dcterms:W3CDTF">2025-09-09T09:54:00Z</dcterms:modified>
  <dc:title>Software Architecture and Design Specification — AI-Powered Content Management System</dc:title>
  <dc:subject>Stage 1 requirements, proposed design, and planned verification</dc:subject>
  <dc:creator/>
  <cp:keywords>AICMS, requirements, architecture, semantic search, test plan</cp:keywords>
</cp:coreProperties>
</file>