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0E80" w:rsidRPr="009F6CB5" w:rsidRDefault="00340E80" w:rsidP="00340E80">
      <w:pPr>
        <w:pStyle w:val="Title"/>
        <w:jc w:val="center"/>
        <w:rPr>
          <w:rFonts w:ascii="Aptos" w:hAnsi="Aptos"/>
          <w:b/>
        </w:rPr>
      </w:pPr>
      <w:r w:rsidRPr="009F6CB5">
        <w:rPr>
          <w:rFonts w:ascii="Aptos" w:hAnsi="Aptos"/>
          <w:b/>
        </w:rPr>
        <w:t>DA-01: Enterprise BI Suite</w:t>
      </w:r>
    </w:p>
    <w:p w:rsidR="00340E80" w:rsidRPr="009F6CB5" w:rsidRDefault="00340E80" w:rsidP="009F6CB5">
      <w:pPr>
        <w:rPr>
          <w:rFonts w:ascii="Aptos" w:hAnsi="Aptos" w:cs="Times New Roman"/>
          <w:sz w:val="21"/>
          <w:szCs w:val="21"/>
        </w:rPr>
      </w:pPr>
      <w:r w:rsidRPr="009F6CB5">
        <w:rPr>
          <w:rFonts w:ascii="Aptos" w:hAnsi="Aptos" w:cs="Times New Roman"/>
          <w:b/>
          <w:sz w:val="21"/>
          <w:szCs w:val="21"/>
        </w:rPr>
        <w:t>Dashboard User Guide</w:t>
      </w:r>
    </w:p>
    <w:p w:rsidR="00340E80" w:rsidRPr="009F6CB5" w:rsidRDefault="00340E80" w:rsidP="009F6CB5">
      <w:pPr>
        <w:rPr>
          <w:rFonts w:ascii="Aptos" w:hAnsi="Aptos"/>
          <w:sz w:val="21"/>
          <w:szCs w:val="21"/>
        </w:rPr>
      </w:pPr>
      <w:r w:rsidRPr="009F6CB5">
        <w:rPr>
          <w:rFonts w:ascii="Aptos" w:hAnsi="Aptos"/>
          <w:sz w:val="21"/>
          <w:szCs w:val="21"/>
        </w:rPr>
        <w:t>Purpose: This guide explains how to navigate and interpret the single-page Power BI dashboard. The dashboard is a prototype built with the AdventureWorksDW2022 sample data.</w:t>
      </w:r>
    </w:p>
    <w:p w:rsidR="00340E80" w:rsidRPr="009F6CB5" w:rsidRDefault="00340E80" w:rsidP="009F6CB5">
      <w:pPr>
        <w:pStyle w:val="Heading1"/>
        <w:rPr>
          <w:rFonts w:ascii="Aptos" w:hAnsi="Aptos"/>
          <w:sz w:val="21"/>
          <w:szCs w:val="21"/>
        </w:rPr>
      </w:pPr>
      <w:r w:rsidRPr="009F6CB5">
        <w:rPr>
          <w:rFonts w:ascii="Aptos" w:hAnsi="Aptos"/>
          <w:sz w:val="21"/>
          <w:szCs w:val="21"/>
        </w:rPr>
        <w:t>1. Dashboard areas</w:t>
      </w:r>
    </w:p>
    <w:p w:rsidR="00340E80" w:rsidRPr="009F6CB5" w:rsidRDefault="00340E80" w:rsidP="009F6CB5">
      <w:pPr>
        <w:pStyle w:val="Heading2"/>
        <w:rPr>
          <w:rFonts w:ascii="Aptos" w:hAnsi="Aptos"/>
          <w:sz w:val="21"/>
          <w:szCs w:val="21"/>
        </w:rPr>
      </w:pPr>
      <w:r w:rsidRPr="009F6CB5">
        <w:rPr>
          <w:rFonts w:ascii="Aptos" w:hAnsi="Aptos"/>
          <w:sz w:val="21"/>
          <w:szCs w:val="21"/>
        </w:rPr>
        <w:t>Overview</w:t>
      </w:r>
    </w:p>
    <w:p w:rsidR="00340E80" w:rsidRPr="009F6CB5" w:rsidRDefault="00340E80" w:rsidP="009F6CB5">
      <w:pPr>
        <w:rPr>
          <w:rFonts w:ascii="Aptos" w:hAnsi="Aptos"/>
          <w:sz w:val="21"/>
          <w:szCs w:val="21"/>
        </w:rPr>
      </w:pPr>
      <w:r w:rsidRPr="009F6CB5">
        <w:rPr>
          <w:rFonts w:ascii="Aptos" w:hAnsi="Aptos"/>
          <w:sz w:val="21"/>
          <w:szCs w:val="21"/>
        </w:rPr>
        <w:t>Use the Overview bookmark to return to the executive summary and high-level KPI view.</w:t>
      </w:r>
    </w:p>
    <w:p w:rsidR="00340E80" w:rsidRPr="009F6CB5" w:rsidRDefault="00340E80" w:rsidP="009F6CB5">
      <w:pPr>
        <w:pStyle w:val="Heading2"/>
        <w:rPr>
          <w:rFonts w:ascii="Aptos" w:hAnsi="Aptos"/>
          <w:sz w:val="21"/>
          <w:szCs w:val="21"/>
        </w:rPr>
      </w:pPr>
      <w:r w:rsidRPr="009F6CB5">
        <w:rPr>
          <w:rFonts w:ascii="Aptos" w:hAnsi="Aptos"/>
          <w:sz w:val="21"/>
          <w:szCs w:val="21"/>
        </w:rPr>
        <w:t>Sales</w:t>
      </w:r>
    </w:p>
    <w:p w:rsidR="00340E80" w:rsidRPr="009F6CB5" w:rsidRDefault="00340E80" w:rsidP="009F6CB5">
      <w:pPr>
        <w:rPr>
          <w:rFonts w:ascii="Aptos" w:hAnsi="Aptos"/>
          <w:sz w:val="21"/>
          <w:szCs w:val="21"/>
        </w:rPr>
      </w:pPr>
      <w:r w:rsidRPr="009F6CB5">
        <w:rPr>
          <w:rFonts w:ascii="Aptos" w:hAnsi="Aptos"/>
          <w:sz w:val="21"/>
          <w:szCs w:val="21"/>
        </w:rPr>
        <w:t>Explore sales performance using the available KPI cards and charts, including sales by region, monthly sales trends, and top products.</w:t>
      </w:r>
    </w:p>
    <w:p w:rsidR="00340E80" w:rsidRPr="009F6CB5" w:rsidRDefault="00340E80" w:rsidP="009F6CB5">
      <w:pPr>
        <w:pStyle w:val="Heading2"/>
        <w:rPr>
          <w:rFonts w:ascii="Aptos" w:hAnsi="Aptos"/>
          <w:sz w:val="21"/>
          <w:szCs w:val="21"/>
        </w:rPr>
      </w:pPr>
      <w:r w:rsidRPr="009F6CB5">
        <w:rPr>
          <w:rFonts w:ascii="Aptos" w:hAnsi="Aptos"/>
          <w:sz w:val="21"/>
          <w:szCs w:val="21"/>
        </w:rPr>
        <w:t>Finance</w:t>
      </w:r>
    </w:p>
    <w:p w:rsidR="00340E80" w:rsidRPr="009F6CB5" w:rsidRDefault="00340E80" w:rsidP="009F6CB5">
      <w:pPr>
        <w:rPr>
          <w:rFonts w:ascii="Aptos" w:hAnsi="Aptos"/>
          <w:sz w:val="21"/>
          <w:szCs w:val="21"/>
        </w:rPr>
      </w:pPr>
      <w:r w:rsidRPr="009F6CB5">
        <w:rPr>
          <w:rFonts w:ascii="Aptos" w:hAnsi="Aptos"/>
          <w:sz w:val="21"/>
          <w:szCs w:val="21"/>
        </w:rPr>
        <w:t>Review the available finance measures and visuals. Finance data coverage is narrower than the full date dimension.</w:t>
      </w:r>
    </w:p>
    <w:p w:rsidR="00340E80" w:rsidRPr="009F6CB5" w:rsidRDefault="00340E80" w:rsidP="009F6CB5">
      <w:pPr>
        <w:pStyle w:val="Heading2"/>
        <w:rPr>
          <w:rFonts w:ascii="Aptos" w:hAnsi="Aptos"/>
          <w:sz w:val="21"/>
          <w:szCs w:val="21"/>
        </w:rPr>
      </w:pPr>
      <w:r w:rsidRPr="009F6CB5">
        <w:rPr>
          <w:rFonts w:ascii="Aptos" w:hAnsi="Aptos"/>
          <w:sz w:val="21"/>
          <w:szCs w:val="21"/>
        </w:rPr>
        <w:t>HR</w:t>
      </w:r>
    </w:p>
    <w:p w:rsidR="00340E80" w:rsidRPr="009F6CB5" w:rsidRDefault="00340E80" w:rsidP="009F6CB5">
      <w:pPr>
        <w:rPr>
          <w:rFonts w:ascii="Aptos" w:hAnsi="Aptos"/>
          <w:sz w:val="21"/>
          <w:szCs w:val="21"/>
        </w:rPr>
      </w:pPr>
      <w:r w:rsidRPr="009F6CB5">
        <w:rPr>
          <w:rFonts w:ascii="Aptos" w:hAnsi="Aptos"/>
          <w:sz w:val="21"/>
          <w:szCs w:val="21"/>
        </w:rPr>
        <w:t>Review the available employee-related view. Current HR interactions are limited to the fields and visuals included in the prototype.</w:t>
      </w:r>
    </w:p>
    <w:p w:rsidR="00340E80" w:rsidRPr="009F6CB5" w:rsidRDefault="00340E80" w:rsidP="009F6CB5">
      <w:pPr>
        <w:pStyle w:val="Heading2"/>
        <w:rPr>
          <w:rFonts w:ascii="Aptos" w:hAnsi="Aptos"/>
          <w:sz w:val="21"/>
          <w:szCs w:val="21"/>
        </w:rPr>
      </w:pPr>
      <w:r w:rsidRPr="009F6CB5">
        <w:rPr>
          <w:rFonts w:ascii="Aptos" w:hAnsi="Aptos"/>
          <w:sz w:val="21"/>
          <w:szCs w:val="21"/>
        </w:rPr>
        <w:t>Supply Chain</w:t>
      </w:r>
    </w:p>
    <w:p w:rsidR="00340E80" w:rsidRPr="009F6CB5" w:rsidRDefault="00340E80" w:rsidP="009F6CB5">
      <w:pPr>
        <w:rPr>
          <w:rFonts w:ascii="Aptos" w:hAnsi="Aptos"/>
          <w:sz w:val="21"/>
          <w:szCs w:val="21"/>
        </w:rPr>
      </w:pPr>
      <w:r w:rsidRPr="009F6CB5">
        <w:rPr>
          <w:rFonts w:ascii="Aptos" w:hAnsi="Aptos"/>
          <w:sz w:val="21"/>
          <w:szCs w:val="21"/>
        </w:rPr>
        <w:t>Review inventory-related measures and visuals. Inventory values depend on the inventory records available in the source data.</w:t>
      </w:r>
    </w:p>
    <w:p w:rsidR="00340E80" w:rsidRPr="009F6CB5" w:rsidRDefault="00340E80" w:rsidP="009F6CB5">
      <w:pPr>
        <w:pStyle w:val="Heading1"/>
        <w:rPr>
          <w:rFonts w:ascii="Aptos" w:hAnsi="Aptos"/>
          <w:sz w:val="21"/>
          <w:szCs w:val="21"/>
        </w:rPr>
      </w:pPr>
      <w:r w:rsidRPr="009F6CB5">
        <w:rPr>
          <w:rFonts w:ascii="Aptos" w:hAnsi="Aptos"/>
          <w:sz w:val="21"/>
          <w:szCs w:val="21"/>
        </w:rPr>
        <w:t>2. Navigation and interaction</w:t>
      </w:r>
    </w:p>
    <w:p w:rsidR="00340E80" w:rsidRPr="009F6CB5" w:rsidRDefault="00340E80" w:rsidP="009F6CB5">
      <w:pPr>
        <w:rPr>
          <w:rFonts w:ascii="Aptos" w:hAnsi="Aptos"/>
          <w:sz w:val="21"/>
          <w:szCs w:val="21"/>
        </w:rPr>
      </w:pPr>
      <w:r w:rsidRPr="009F6CB5">
        <w:rPr>
          <w:rFonts w:ascii="Aptos" w:hAnsi="Aptos"/>
          <w:sz w:val="21"/>
          <w:szCs w:val="21"/>
        </w:rPr>
        <w:t xml:space="preserve">Use the dashboard's navigation controls/bookmarks to switch the visible business-area view without leaving the main report page. If a bookmark control does not respond to a normal click in Power BI Desktop, try </w:t>
      </w:r>
      <w:proofErr w:type="spellStart"/>
      <w:r w:rsidRPr="009F6CB5">
        <w:rPr>
          <w:rFonts w:ascii="Aptos" w:hAnsi="Aptos"/>
          <w:sz w:val="21"/>
          <w:szCs w:val="21"/>
        </w:rPr>
        <w:t>Ctrl+click</w:t>
      </w:r>
      <w:proofErr w:type="spellEnd"/>
      <w:r w:rsidRPr="009F6CB5">
        <w:rPr>
          <w:rFonts w:ascii="Aptos" w:hAnsi="Aptos"/>
          <w:sz w:val="21"/>
          <w:szCs w:val="21"/>
        </w:rPr>
        <w:t xml:space="preserve"> while editing the report.</w:t>
      </w:r>
    </w:p>
    <w:p w:rsidR="00340E80" w:rsidRPr="009F6CB5" w:rsidRDefault="00340E80" w:rsidP="009F6CB5">
      <w:pPr>
        <w:rPr>
          <w:rFonts w:ascii="Aptos" w:hAnsi="Aptos"/>
          <w:sz w:val="21"/>
          <w:szCs w:val="21"/>
        </w:rPr>
      </w:pPr>
      <w:r w:rsidRPr="009F6CB5">
        <w:rPr>
          <w:rFonts w:ascii="Aptos" w:hAnsi="Aptos"/>
          <w:sz w:val="21"/>
          <w:szCs w:val="21"/>
        </w:rPr>
        <w:t>Use the Year, Region, and Currency slicers where available. Selecting a value filters visuals that are configured to interact with that slicer. Use the clear-selection icon on a slicer to remove a selection. A blank visual can mean that the selected filters have no matching source records.</w:t>
      </w:r>
    </w:p>
    <w:p w:rsidR="00340E80" w:rsidRPr="009F6CB5" w:rsidRDefault="00340E80" w:rsidP="009F6CB5">
      <w:pPr>
        <w:rPr>
          <w:rFonts w:ascii="Aptos" w:hAnsi="Aptos"/>
          <w:sz w:val="21"/>
          <w:szCs w:val="21"/>
        </w:rPr>
      </w:pPr>
      <w:r w:rsidRPr="009F6CB5">
        <w:rPr>
          <w:rFonts w:ascii="Aptos" w:hAnsi="Aptos"/>
          <w:sz w:val="21"/>
          <w:szCs w:val="21"/>
        </w:rPr>
        <w:t>To investigate a product, right-click a product data point in the Top 10 Products visual and choose the Sales Detail drill-through destination. Use the Back button on the detail page to return to the main report.</w:t>
      </w:r>
    </w:p>
    <w:p w:rsidR="00340E80" w:rsidRPr="009F6CB5" w:rsidRDefault="00340E80" w:rsidP="009F6CB5">
      <w:pPr>
        <w:pStyle w:val="Heading1"/>
        <w:rPr>
          <w:rFonts w:ascii="Aptos" w:hAnsi="Aptos"/>
          <w:sz w:val="21"/>
          <w:szCs w:val="21"/>
        </w:rPr>
      </w:pPr>
      <w:r w:rsidRPr="009F6CB5">
        <w:rPr>
          <w:rFonts w:ascii="Aptos" w:hAnsi="Aptos"/>
          <w:sz w:val="21"/>
          <w:szCs w:val="21"/>
        </w:rPr>
        <w:t>3. KPI definitions</w:t>
      </w:r>
    </w:p>
    <w:p w:rsidR="00340E80" w:rsidRPr="009F6CB5" w:rsidRDefault="00340E80" w:rsidP="009F6CB5">
      <w:pPr>
        <w:pStyle w:val="ListBullet"/>
        <w:rPr>
          <w:rFonts w:ascii="Aptos" w:hAnsi="Aptos"/>
          <w:sz w:val="21"/>
          <w:szCs w:val="21"/>
        </w:rPr>
      </w:pPr>
      <w:r w:rsidRPr="009F6CB5">
        <w:rPr>
          <w:rFonts w:ascii="Aptos" w:hAnsi="Aptos"/>
          <w:b/>
          <w:sz w:val="21"/>
          <w:szCs w:val="21"/>
        </w:rPr>
        <w:t xml:space="preserve">Total Sales: </w:t>
      </w:r>
      <w:r w:rsidRPr="009F6CB5">
        <w:rPr>
          <w:rFonts w:ascii="Aptos" w:hAnsi="Aptos"/>
          <w:sz w:val="21"/>
          <w:szCs w:val="21"/>
        </w:rPr>
        <w:t>Sum of sales amount for the records in the current filter context.</w:t>
      </w:r>
    </w:p>
    <w:p w:rsidR="00340E80" w:rsidRPr="009F6CB5" w:rsidRDefault="00340E80" w:rsidP="009F6CB5">
      <w:pPr>
        <w:pStyle w:val="ListBullet"/>
        <w:rPr>
          <w:rFonts w:ascii="Aptos" w:hAnsi="Aptos"/>
          <w:sz w:val="21"/>
          <w:szCs w:val="21"/>
        </w:rPr>
      </w:pPr>
      <w:r w:rsidRPr="009F6CB5">
        <w:rPr>
          <w:rFonts w:ascii="Aptos" w:hAnsi="Aptos"/>
          <w:b/>
          <w:sz w:val="21"/>
          <w:szCs w:val="21"/>
        </w:rPr>
        <w:t xml:space="preserve">Distinct Orders: </w:t>
      </w:r>
      <w:r w:rsidRPr="009F6CB5">
        <w:rPr>
          <w:rFonts w:ascii="Aptos" w:hAnsi="Aptos"/>
          <w:sz w:val="21"/>
          <w:szCs w:val="21"/>
        </w:rPr>
        <w:t>Count of unique sales orders in the current filter context.</w:t>
      </w:r>
    </w:p>
    <w:p w:rsidR="00340E80" w:rsidRPr="009F6CB5" w:rsidRDefault="00340E80" w:rsidP="009F6CB5">
      <w:pPr>
        <w:pStyle w:val="ListBullet"/>
        <w:rPr>
          <w:rFonts w:ascii="Aptos" w:hAnsi="Aptos"/>
          <w:sz w:val="21"/>
          <w:szCs w:val="21"/>
        </w:rPr>
      </w:pPr>
      <w:r w:rsidRPr="009F6CB5">
        <w:rPr>
          <w:rFonts w:ascii="Aptos" w:hAnsi="Aptos"/>
          <w:b/>
          <w:sz w:val="21"/>
          <w:szCs w:val="21"/>
        </w:rPr>
        <w:t xml:space="preserve">Sales YTD: </w:t>
      </w:r>
      <w:r w:rsidRPr="009F6CB5">
        <w:rPr>
          <w:rFonts w:ascii="Aptos" w:hAnsi="Aptos"/>
          <w:sz w:val="21"/>
          <w:szCs w:val="21"/>
        </w:rPr>
        <w:t>Sales accumulated from the beginning of the selected calendar year through the current date context.</w:t>
      </w:r>
    </w:p>
    <w:p w:rsidR="00340E80" w:rsidRPr="009F6CB5" w:rsidRDefault="00340E80" w:rsidP="009F6CB5">
      <w:pPr>
        <w:pStyle w:val="ListBullet"/>
        <w:rPr>
          <w:rFonts w:ascii="Aptos" w:hAnsi="Aptos"/>
          <w:sz w:val="21"/>
          <w:szCs w:val="21"/>
        </w:rPr>
      </w:pPr>
      <w:r w:rsidRPr="009F6CB5">
        <w:rPr>
          <w:rFonts w:ascii="Aptos" w:hAnsi="Aptos"/>
          <w:b/>
          <w:sz w:val="21"/>
          <w:szCs w:val="21"/>
        </w:rPr>
        <w:lastRenderedPageBreak/>
        <w:t xml:space="preserve">YoY Growth: </w:t>
      </w:r>
      <w:r w:rsidRPr="009F6CB5">
        <w:rPr>
          <w:rFonts w:ascii="Aptos" w:hAnsi="Aptos"/>
          <w:sz w:val="21"/>
          <w:szCs w:val="21"/>
        </w:rPr>
        <w:t>Percentage change in sales compared with the corresponding prior-year period, where comparison data is available.</w:t>
      </w:r>
    </w:p>
    <w:p w:rsidR="00340E80" w:rsidRPr="009F6CB5" w:rsidRDefault="00340E80" w:rsidP="009F6CB5">
      <w:pPr>
        <w:pStyle w:val="ListBullet"/>
        <w:rPr>
          <w:rFonts w:ascii="Aptos" w:hAnsi="Aptos"/>
          <w:sz w:val="21"/>
          <w:szCs w:val="21"/>
        </w:rPr>
      </w:pPr>
      <w:r w:rsidRPr="009F6CB5">
        <w:rPr>
          <w:rFonts w:ascii="Aptos" w:hAnsi="Aptos"/>
          <w:b/>
          <w:sz w:val="21"/>
          <w:szCs w:val="21"/>
        </w:rPr>
        <w:t xml:space="preserve">Average Order Value: </w:t>
      </w:r>
      <w:r w:rsidRPr="009F6CB5">
        <w:rPr>
          <w:rFonts w:ascii="Aptos" w:hAnsi="Aptos"/>
          <w:sz w:val="21"/>
          <w:szCs w:val="21"/>
        </w:rPr>
        <w:t>Sales divided by distinct orders in the current filter context.</w:t>
      </w:r>
    </w:p>
    <w:p w:rsidR="00340E80" w:rsidRPr="009F6CB5" w:rsidRDefault="00340E80" w:rsidP="009F6CB5">
      <w:pPr>
        <w:pStyle w:val="ListBullet"/>
        <w:rPr>
          <w:rFonts w:ascii="Aptos" w:hAnsi="Aptos"/>
          <w:sz w:val="21"/>
          <w:szCs w:val="21"/>
        </w:rPr>
      </w:pPr>
      <w:r w:rsidRPr="009F6CB5">
        <w:rPr>
          <w:rFonts w:ascii="Aptos" w:hAnsi="Aptos"/>
          <w:b/>
          <w:sz w:val="21"/>
          <w:szCs w:val="21"/>
        </w:rPr>
        <w:t xml:space="preserve">Profit Margin %: </w:t>
      </w:r>
      <w:r w:rsidRPr="009F6CB5">
        <w:rPr>
          <w:rFonts w:ascii="Aptos" w:hAnsi="Aptos"/>
          <w:sz w:val="21"/>
          <w:szCs w:val="21"/>
        </w:rPr>
        <w:t>Profit divided by sales, where the underlying profit measure is available.</w:t>
      </w:r>
    </w:p>
    <w:p w:rsidR="00340E80" w:rsidRPr="009F6CB5" w:rsidRDefault="00340E80" w:rsidP="009F6CB5">
      <w:pPr>
        <w:pStyle w:val="Heading1"/>
        <w:rPr>
          <w:rFonts w:ascii="Aptos" w:hAnsi="Aptos"/>
          <w:sz w:val="21"/>
          <w:szCs w:val="21"/>
        </w:rPr>
      </w:pPr>
      <w:r w:rsidRPr="009F6CB5">
        <w:rPr>
          <w:rFonts w:ascii="Aptos" w:hAnsi="Aptos"/>
          <w:sz w:val="21"/>
          <w:szCs w:val="21"/>
        </w:rPr>
        <w:t>4. Data coverage and interpretation</w:t>
      </w:r>
    </w:p>
    <w:p w:rsidR="00340E80" w:rsidRPr="009F6CB5" w:rsidRDefault="00340E80" w:rsidP="009F6CB5">
      <w:pPr>
        <w:rPr>
          <w:rFonts w:ascii="Aptos" w:hAnsi="Aptos"/>
          <w:sz w:val="21"/>
          <w:szCs w:val="21"/>
        </w:rPr>
      </w:pPr>
      <w:r w:rsidRPr="009F6CB5">
        <w:rPr>
          <w:rFonts w:ascii="Aptos" w:hAnsi="Aptos"/>
          <w:sz w:val="21"/>
          <w:szCs w:val="21"/>
        </w:rPr>
        <w:t>Data coverage: Sales and Supply Chain Inventory: 2010–2014. Finance: 2010–2013. Blank values outside these periods indicate no matching records in the current source data.</w:t>
      </w:r>
    </w:p>
    <w:p w:rsidR="00340E80" w:rsidRPr="009F6CB5" w:rsidRDefault="00340E80" w:rsidP="009F6CB5">
      <w:pPr>
        <w:rPr>
          <w:rFonts w:ascii="Aptos" w:hAnsi="Aptos"/>
          <w:sz w:val="21"/>
          <w:szCs w:val="21"/>
        </w:rPr>
      </w:pPr>
      <w:r w:rsidRPr="009F6CB5">
        <w:rPr>
          <w:rFonts w:ascii="Aptos" w:hAnsi="Aptos"/>
          <w:sz w:val="21"/>
          <w:szCs w:val="21"/>
        </w:rPr>
        <w:t>The date dimension spans 2005–2014, but not every business table contains records for every year. Do not interpret blanks outside a table's coverage period as zero activity or proof that the business had no activity.</w:t>
      </w:r>
    </w:p>
    <w:p w:rsidR="00340E80" w:rsidRPr="009F6CB5" w:rsidRDefault="00340E80" w:rsidP="009F6CB5">
      <w:pPr>
        <w:pStyle w:val="Heading1"/>
        <w:rPr>
          <w:rFonts w:ascii="Aptos" w:hAnsi="Aptos"/>
          <w:sz w:val="21"/>
          <w:szCs w:val="21"/>
        </w:rPr>
      </w:pPr>
      <w:r w:rsidRPr="009F6CB5">
        <w:rPr>
          <w:rFonts w:ascii="Aptos" w:hAnsi="Aptos"/>
          <w:sz w:val="21"/>
          <w:szCs w:val="21"/>
        </w:rPr>
        <w:t>5. Refresh and technical notes</w:t>
      </w:r>
    </w:p>
    <w:p w:rsidR="00340E80" w:rsidRPr="009F6CB5" w:rsidRDefault="00340E80" w:rsidP="009F6CB5">
      <w:pPr>
        <w:rPr>
          <w:rFonts w:ascii="Aptos" w:hAnsi="Aptos"/>
          <w:sz w:val="21"/>
          <w:szCs w:val="21"/>
        </w:rPr>
      </w:pPr>
      <w:r w:rsidRPr="009F6CB5">
        <w:rPr>
          <w:rFonts w:ascii="Aptos" w:hAnsi="Aptos"/>
          <w:sz w:val="21"/>
          <w:szCs w:val="21"/>
        </w:rPr>
        <w:t>The current workflow uses imported data in Power BI Desktop. Refresh the dataset manually in Power BI Desktop after source data changes, then save the PBIX file. The SQL Server Agent job validates selected sales data and logs its run status; it does not automatically refresh the Power BI report.</w:t>
      </w:r>
    </w:p>
    <w:p w:rsidR="00340E80" w:rsidRPr="009F6CB5" w:rsidRDefault="00340E80" w:rsidP="009F6CB5">
      <w:pPr>
        <w:rPr>
          <w:rFonts w:ascii="Aptos" w:hAnsi="Aptos"/>
          <w:sz w:val="21"/>
          <w:szCs w:val="21"/>
        </w:rPr>
      </w:pPr>
      <w:r w:rsidRPr="009F6CB5">
        <w:rPr>
          <w:rFonts w:ascii="Aptos" w:hAnsi="Aptos"/>
          <w:sz w:val="21"/>
          <w:szCs w:val="21"/>
        </w:rPr>
        <w:t>Row-level security roles (North America, Europe, and Pacific) were created and tested in Power BI Desktop. Before publishing or sharing the report, confirm role assignments and access permissions in the target Power BI environment.</w:t>
      </w:r>
    </w:p>
    <w:p w:rsidR="00340E80" w:rsidRPr="009F6CB5" w:rsidRDefault="00340E80" w:rsidP="009F6CB5">
      <w:pPr>
        <w:pStyle w:val="Heading1"/>
        <w:rPr>
          <w:rFonts w:ascii="Aptos" w:hAnsi="Aptos"/>
          <w:sz w:val="21"/>
          <w:szCs w:val="21"/>
        </w:rPr>
      </w:pPr>
      <w:r w:rsidRPr="009F6CB5">
        <w:rPr>
          <w:rFonts w:ascii="Aptos" w:hAnsi="Aptos"/>
          <w:sz w:val="21"/>
          <w:szCs w:val="21"/>
        </w:rPr>
        <w:t>6. Known limitations</w:t>
      </w:r>
    </w:p>
    <w:p w:rsidR="00340E80" w:rsidRPr="009F6CB5" w:rsidRDefault="00340E80" w:rsidP="009F6CB5">
      <w:pPr>
        <w:pStyle w:val="ListBullet"/>
        <w:rPr>
          <w:rFonts w:ascii="Aptos" w:hAnsi="Aptos"/>
          <w:sz w:val="21"/>
          <w:szCs w:val="21"/>
        </w:rPr>
      </w:pPr>
      <w:r w:rsidRPr="009F6CB5">
        <w:rPr>
          <w:rFonts w:ascii="Aptos" w:hAnsi="Aptos"/>
          <w:sz w:val="21"/>
          <w:szCs w:val="21"/>
        </w:rPr>
        <w:t>This is a prototype based on AdventureWorksDW2022 sample data, not a live production business system.</w:t>
      </w:r>
    </w:p>
    <w:p w:rsidR="00340E80" w:rsidRPr="009F6CB5" w:rsidRDefault="00340E80" w:rsidP="009F6CB5">
      <w:pPr>
        <w:pStyle w:val="ListBullet"/>
        <w:rPr>
          <w:rFonts w:ascii="Aptos" w:hAnsi="Aptos"/>
          <w:sz w:val="21"/>
          <w:szCs w:val="21"/>
        </w:rPr>
      </w:pPr>
      <w:r w:rsidRPr="009F6CB5">
        <w:rPr>
          <w:rFonts w:ascii="Aptos" w:hAnsi="Aptos"/>
          <w:sz w:val="21"/>
          <w:szCs w:val="21"/>
        </w:rPr>
        <w:t>Visuals and slicers only respond to fields/interactions configured in the report; not every filter affects every business area.</w:t>
      </w:r>
    </w:p>
    <w:p w:rsidR="00340E80" w:rsidRPr="009F6CB5" w:rsidRDefault="00340E80" w:rsidP="009F6CB5">
      <w:pPr>
        <w:pStyle w:val="ListBullet"/>
        <w:rPr>
          <w:rFonts w:ascii="Aptos" w:hAnsi="Aptos"/>
          <w:sz w:val="21"/>
          <w:szCs w:val="21"/>
        </w:rPr>
      </w:pPr>
      <w:r w:rsidRPr="009F6CB5">
        <w:rPr>
          <w:rFonts w:ascii="Aptos" w:hAnsi="Aptos"/>
          <w:sz w:val="21"/>
          <w:szCs w:val="21"/>
        </w:rPr>
        <w:t>Finance and HR analysis is limited by the fields and date coverage in the current source model.</w:t>
      </w:r>
    </w:p>
    <w:p w:rsidR="00340E80" w:rsidRPr="009F6CB5" w:rsidRDefault="00340E80" w:rsidP="009F6CB5">
      <w:pPr>
        <w:pStyle w:val="ListBullet"/>
        <w:rPr>
          <w:rFonts w:ascii="Aptos" w:hAnsi="Aptos"/>
          <w:sz w:val="21"/>
          <w:szCs w:val="21"/>
        </w:rPr>
      </w:pPr>
      <w:r w:rsidRPr="009F6CB5">
        <w:rPr>
          <w:rFonts w:ascii="Aptos" w:hAnsi="Aptos"/>
          <w:sz w:val="21"/>
          <w:szCs w:val="21"/>
        </w:rPr>
        <w:t>Observed trends can guide further investigation but do not, by themselves, establish causes or prove that a pricing, promotion, or operational change will improve results.</w:t>
      </w:r>
    </w:p>
    <w:p w:rsidR="00340E80" w:rsidRPr="009F6CB5" w:rsidRDefault="00340E80" w:rsidP="009F6CB5">
      <w:pPr>
        <w:pStyle w:val="Heading1"/>
        <w:rPr>
          <w:rFonts w:ascii="Aptos" w:hAnsi="Aptos"/>
          <w:sz w:val="21"/>
          <w:szCs w:val="21"/>
        </w:rPr>
      </w:pPr>
      <w:r w:rsidRPr="009F6CB5">
        <w:rPr>
          <w:rFonts w:ascii="Aptos" w:hAnsi="Aptos"/>
          <w:sz w:val="21"/>
          <w:szCs w:val="21"/>
        </w:rPr>
        <w:t>7. Recommended use</w:t>
      </w:r>
    </w:p>
    <w:p w:rsidR="00340E80" w:rsidRPr="009F6CB5" w:rsidRDefault="00340E80" w:rsidP="009F6CB5">
      <w:pPr>
        <w:rPr>
          <w:rFonts w:ascii="Aptos" w:hAnsi="Aptos"/>
          <w:sz w:val="21"/>
          <w:szCs w:val="21"/>
        </w:rPr>
      </w:pPr>
      <w:r w:rsidRPr="009F6CB5">
        <w:rPr>
          <w:rFonts w:ascii="Aptos" w:hAnsi="Aptos"/>
          <w:sz w:val="21"/>
          <w:szCs w:val="21"/>
        </w:rPr>
        <w:t>Start with Overview, select a relevant year or region, then move to the relevant business area to inspect the pattern. For product-level questions, use Sales Detail. Record the filter selections used when discussing a finding so another reviewer can reproduce it.</w:t>
      </w:r>
    </w:p>
    <w:p w:rsidR="00340E80" w:rsidRPr="009F6CB5" w:rsidRDefault="00340E80" w:rsidP="009F6CB5">
      <w:pPr>
        <w:rPr>
          <w:rFonts w:ascii="Aptos" w:hAnsi="Aptos"/>
          <w:sz w:val="21"/>
          <w:szCs w:val="21"/>
        </w:rPr>
      </w:pPr>
    </w:p>
    <w:p w:rsidR="009F6CB5" w:rsidRDefault="009F6CB5" w:rsidP="009F6CB5">
      <w:pPr>
        <w:rPr>
          <w:rFonts w:ascii="Aptos" w:hAnsi="Aptos"/>
          <w:sz w:val="21"/>
          <w:szCs w:val="21"/>
        </w:rPr>
      </w:pPr>
      <w:r>
        <w:rPr>
          <w:rFonts w:ascii="Aptos" w:hAnsi="Aptos"/>
          <w:sz w:val="21"/>
          <w:szCs w:val="21"/>
        </w:rPr>
        <w:t xml:space="preserve">                                                                                       </w:t>
      </w:r>
      <w:r w:rsidR="009C1F77">
        <w:rPr>
          <w:rFonts w:ascii="Aptos" w:hAnsi="Aptos"/>
          <w:sz w:val="21"/>
          <w:szCs w:val="21"/>
        </w:rPr>
        <w:t xml:space="preserve">                                    </w:t>
      </w:r>
      <w:r w:rsidR="00340E80" w:rsidRPr="009F6CB5">
        <w:rPr>
          <w:rFonts w:ascii="Aptos" w:hAnsi="Aptos"/>
          <w:sz w:val="21"/>
          <w:szCs w:val="21"/>
        </w:rPr>
        <w:t>Prepared for the DA-01 project</w:t>
      </w:r>
    </w:p>
    <w:p w:rsidR="00340E80" w:rsidRPr="009F6CB5" w:rsidRDefault="009F6CB5" w:rsidP="009F6CB5">
      <w:pPr>
        <w:rPr>
          <w:rFonts w:ascii="Aptos" w:hAnsi="Aptos"/>
          <w:sz w:val="21"/>
          <w:szCs w:val="21"/>
        </w:rPr>
      </w:pPr>
      <w:r>
        <w:rPr>
          <w:rFonts w:ascii="Aptos" w:hAnsi="Aptos"/>
          <w:sz w:val="21"/>
          <w:szCs w:val="21"/>
        </w:rPr>
        <w:t xml:space="preserve">                                                                                           </w:t>
      </w:r>
      <w:r w:rsidR="009C1F77">
        <w:rPr>
          <w:rFonts w:ascii="Aptos" w:hAnsi="Aptos"/>
          <w:sz w:val="21"/>
          <w:szCs w:val="21"/>
        </w:rPr>
        <w:t xml:space="preserve">                                   </w:t>
      </w:r>
      <w:bookmarkStart w:id="0" w:name="_GoBack"/>
      <w:bookmarkEnd w:id="0"/>
      <w:r w:rsidR="00340E80" w:rsidRPr="009F6CB5">
        <w:rPr>
          <w:rFonts w:ascii="Aptos" w:hAnsi="Aptos"/>
          <w:sz w:val="21"/>
          <w:szCs w:val="21"/>
        </w:rPr>
        <w:t xml:space="preserve"> by Sri </w:t>
      </w:r>
      <w:proofErr w:type="spellStart"/>
      <w:r w:rsidR="00340E80" w:rsidRPr="009F6CB5">
        <w:rPr>
          <w:rFonts w:ascii="Aptos" w:hAnsi="Aptos"/>
          <w:sz w:val="21"/>
          <w:szCs w:val="21"/>
        </w:rPr>
        <w:t>Vandana</w:t>
      </w:r>
      <w:proofErr w:type="spellEnd"/>
      <w:r w:rsidR="003850DC" w:rsidRPr="009F6CB5">
        <w:rPr>
          <w:rFonts w:ascii="Aptos" w:hAnsi="Aptos"/>
          <w:sz w:val="21"/>
          <w:szCs w:val="21"/>
        </w:rPr>
        <w:t xml:space="preserve"> </w:t>
      </w:r>
      <w:proofErr w:type="spellStart"/>
      <w:r w:rsidR="003850DC" w:rsidRPr="009F6CB5">
        <w:rPr>
          <w:rFonts w:ascii="Aptos" w:hAnsi="Aptos"/>
          <w:sz w:val="21"/>
          <w:szCs w:val="21"/>
        </w:rPr>
        <w:t>Dornala</w:t>
      </w:r>
      <w:proofErr w:type="spellEnd"/>
      <w:r w:rsidR="00340E80" w:rsidRPr="009F6CB5">
        <w:rPr>
          <w:rFonts w:ascii="Aptos" w:hAnsi="Aptos"/>
          <w:sz w:val="21"/>
          <w:szCs w:val="21"/>
        </w:rPr>
        <w:t>.</w:t>
      </w:r>
    </w:p>
    <w:p w:rsidR="00AD63B1" w:rsidRPr="009F6CB5" w:rsidRDefault="00AD63B1" w:rsidP="009F6CB5">
      <w:pPr>
        <w:rPr>
          <w:rFonts w:ascii="Aptos" w:hAnsi="Aptos"/>
          <w:sz w:val="21"/>
          <w:szCs w:val="21"/>
        </w:rPr>
      </w:pPr>
    </w:p>
    <w:sectPr w:rsidR="00AD63B1" w:rsidRPr="009F6C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82C8D4E8"/>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0E80"/>
    <w:rsid w:val="00340E80"/>
    <w:rsid w:val="003850DC"/>
    <w:rsid w:val="009C1F77"/>
    <w:rsid w:val="009F6CB5"/>
    <w:rsid w:val="00AD63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9EE3D"/>
  <w15:chartTrackingRefBased/>
  <w15:docId w15:val="{A82A0181-BC77-4ECC-A877-1C3643922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0E80"/>
    <w:pPr>
      <w:spacing w:after="200" w:line="276" w:lineRule="auto"/>
    </w:pPr>
    <w:rPr>
      <w:rFonts w:eastAsiaTheme="minorEastAsia"/>
    </w:rPr>
  </w:style>
  <w:style w:type="paragraph" w:styleId="Heading1">
    <w:name w:val="heading 1"/>
    <w:basedOn w:val="Normal"/>
    <w:next w:val="Normal"/>
    <w:link w:val="Heading1Char"/>
    <w:uiPriority w:val="9"/>
    <w:qFormat/>
    <w:rsid w:val="00340E80"/>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340E80"/>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E80"/>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semiHidden/>
    <w:rsid w:val="00340E80"/>
    <w:rPr>
      <w:rFonts w:asciiTheme="majorHAnsi" w:eastAsiaTheme="majorEastAsia" w:hAnsiTheme="majorHAnsi" w:cstheme="majorBidi"/>
      <w:b/>
      <w:bCs/>
      <w:color w:val="5B9BD5" w:themeColor="accent1"/>
      <w:sz w:val="26"/>
      <w:szCs w:val="26"/>
    </w:rPr>
  </w:style>
  <w:style w:type="paragraph" w:styleId="ListBullet">
    <w:name w:val="List Bullet"/>
    <w:basedOn w:val="Normal"/>
    <w:uiPriority w:val="99"/>
    <w:semiHidden/>
    <w:unhideWhenUsed/>
    <w:rsid w:val="00340E80"/>
    <w:pPr>
      <w:numPr>
        <w:numId w:val="1"/>
      </w:numPr>
      <w:contextualSpacing/>
    </w:pPr>
  </w:style>
  <w:style w:type="paragraph" w:styleId="Title">
    <w:name w:val="Title"/>
    <w:basedOn w:val="Normal"/>
    <w:next w:val="Normal"/>
    <w:link w:val="TitleChar"/>
    <w:uiPriority w:val="10"/>
    <w:qFormat/>
    <w:rsid w:val="00340E80"/>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340E80"/>
    <w:rPr>
      <w:rFonts w:asciiTheme="majorHAnsi" w:eastAsiaTheme="majorEastAsia" w:hAnsiTheme="majorHAnsi" w:cstheme="majorBidi"/>
      <w:color w:val="323E4F"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5455430">
      <w:bodyDiv w:val="1"/>
      <w:marLeft w:val="0"/>
      <w:marRight w:val="0"/>
      <w:marTop w:val="0"/>
      <w:marBottom w:val="0"/>
      <w:divBdr>
        <w:top w:val="none" w:sz="0" w:space="0" w:color="auto"/>
        <w:left w:val="none" w:sz="0" w:space="0" w:color="auto"/>
        <w:bottom w:val="none" w:sz="0" w:space="0" w:color="auto"/>
        <w:right w:val="none" w:sz="0" w:space="0" w:color="auto"/>
      </w:divBdr>
    </w:div>
    <w:div w:id="2045784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647</Words>
  <Characters>3694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2026-10-27T16:36:00Z</dcterms:created>
  <dcterms:modified xsi:type="dcterms:W3CDTF">2026-10-27T19:38:00Z</dcterms:modified>
</cp:coreProperties>
</file>