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0"/>
        <w:jc w:val="center"/>
      </w:pPr>
      <w:r>
        <w:rPr>
          <w:rFonts w:ascii="Arial" w:cs="Arial" w:eastAsia="Arial" w:hAnsi="Arial"/>
          <w:b/>
          <w:bCs/>
          <w:caps/>
          <w:sz w:val="56"/>
          <w:szCs w:val="56"/>
        </w:rPr>
        <w:t xml:space="preserve">WORKDAY SECURITY CERTIFICATION</w:t>
      </w:r>
    </w:p>
    <w:p>
      <w:pPr>
        <w:spacing w:before="80" w:after="80"/>
        <w:jc w:val="center"/>
      </w:pPr>
      <w:r>
        <w:rPr>
          <w:rFonts w:ascii="Arial" w:cs="Arial" w:eastAsia="Arial" w:hAnsi="Arial"/>
          <w:b w:val="false"/>
          <w:bCs w:val="false"/>
          <w:sz w:val="36"/>
          <w:szCs w:val="36"/>
        </w:rPr>
        <w:t xml:space="preserve">Exam Readiness Guide</w:t>
      </w:r>
    </w:p>
    <w:p>
      <w:pPr>
        <w:pBdr>
          <w:bottom w:val="single" w:color="AAAAAA" w:sz="6"/>
        </w:pBdr>
        <w:spacing w:before="160" w:after="160"/>
      </w:pPr>
    </w:p>
    <w:p>
      <w:pPr>
        <w:spacing w:before="80" w:after="40"/>
        <w:jc w:val="center"/>
      </w:pPr>
      <w:r>
        <w:rPr>
          <w:rFonts w:ascii="Arial" w:cs="Arial" w:eastAsia="Arial" w:hAnsi="Arial"/>
          <w:i/>
          <w:iCs/>
          <w:sz w:val="22"/>
          <w:szCs w:val="22"/>
        </w:rPr>
        <w:t xml:space="preserve">Prepared by: Senior Workday Security Certification Instructor</w:t>
      </w:r>
    </w:p>
    <w:p>
      <w:pPr>
        <w:spacing w:before="40" w:after="40"/>
        <w:jc w:val="center"/>
      </w:pPr>
      <w:r>
        <w:rPr>
          <w:rFonts w:ascii="Arial" w:cs="Arial" w:eastAsia="Arial" w:hAnsi="Arial"/>
          <w:i/>
          <w:iCs/>
          <w:color w:val="444444"/>
          <w:sz w:val="18"/>
          <w:szCs w:val="18"/>
        </w:rPr>
        <w:t xml:space="preserve">Format: A4 | Black-and-White Print Optimised | Confidential Exam Material</w:t>
      </w:r>
    </w:p>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8"/>
              <w:left w:val="single" w:color="000000" w:sz="8"/>
              <w:bottom w:val="single" w:color="000000" w:sz="8"/>
              <w:right w:val="single" w:color="000000" w:sz="8"/>
            </w:tcBorders>
            <w:shd w:fill="F5F5F5" w:val="clear"/>
            <w:tcMar>
              <w:top w:type="dxa" w:w="160"/>
              <w:left w:type="dxa" w:w="280"/>
              <w:bottom w:type="dxa" w:w="160"/>
              <w:right w:type="dxa" w:w="280"/>
            </w:tcMar>
          </w:tcPr>
          <w:p>
            <w:pPr>
              <w:spacing w:before="0" w:after="100"/>
            </w:pPr>
            <w:r>
              <w:rPr>
                <w:rFonts w:ascii="Arial" w:cs="Arial" w:eastAsia="Arial" w:hAnsi="Arial"/>
                <w:b/>
                <w:bCs/>
                <w:caps/>
                <w:sz w:val="22"/>
                <w:szCs w:val="22"/>
              </w:rPr>
              <w:t xml:space="preserve">GUIDE CONTENTS</w:t>
            </w:r>
          </w:p>
          <w:p>
            <w:pPr>
              <w:spacing w:before="40" w:after="40"/>
            </w:pPr>
            <w:r>
              <w:rPr>
                <w:rFonts w:ascii="Arial" w:cs="Arial" w:eastAsia="Arial" w:hAnsi="Arial"/>
                <w:sz w:val="20"/>
                <w:szCs w:val="20"/>
              </w:rPr>
              <w:t xml:space="preserve">Module 1   Core Security Architecture</w:t>
            </w:r>
          </w:p>
          <w:p>
            <w:pPr>
              <w:spacing w:before="40" w:after="40"/>
            </w:pPr>
            <w:r>
              <w:rPr>
                <w:rFonts w:ascii="Arial" w:cs="Arial" w:eastAsia="Arial" w:hAnsi="Arial"/>
                <w:sz w:val="20"/>
                <w:szCs w:val="20"/>
              </w:rPr>
              <w:t xml:space="preserve">Module 2   Security Policies (The Must-Knows)</w:t>
            </w:r>
          </w:p>
          <w:p>
            <w:pPr>
              <w:spacing w:before="40" w:after="40"/>
            </w:pPr>
            <w:r>
              <w:rPr>
                <w:rFonts w:ascii="Arial" w:cs="Arial" w:eastAsia="Arial" w:hAnsi="Arial"/>
                <w:sz w:val="20"/>
                <w:szCs w:val="20"/>
              </w:rPr>
              <w:t xml:space="preserve">Module 3   Advanced Configuration &amp; Inheritance</w:t>
            </w:r>
          </w:p>
          <w:p>
            <w:pPr>
              <w:spacing w:before="40" w:after="40"/>
            </w:pPr>
            <w:r>
              <w:rPr>
                <w:rFonts w:ascii="Arial" w:cs="Arial" w:eastAsia="Arial" w:hAnsi="Arial"/>
                <w:sz w:val="20"/>
                <w:szCs w:val="20"/>
              </w:rPr>
              <w:t xml:space="preserve">Module 4   Examiner's Corner — Scenario-Based Questions</w:t>
            </w:r>
          </w:p>
        </w:tc>
      </w:tr>
    </w:tbl>
    <w:p>
      <w:pPr>
        <w:spacing w:before="200" w:after="0"/>
      </w:pPr>
    </w:p>
    <w:p>
      <w:pPr>
        <w:jc w:val="center"/>
      </w:pPr>
      <w:r>
        <w:rPr>
          <w:rFonts w:ascii="Arial" w:cs="Arial" w:eastAsia="Arial" w:hAnsi="Arial"/>
          <w:i/>
          <w:iCs/>
          <w:color w:val="AAAAAA"/>
          <w:sz w:val="17"/>
          <w:szCs w:val="17"/>
        </w:rPr>
        <w:t xml:space="preserve">This document is optimised for single-sided A4 printing at 100% scale.</w:t>
      </w:r>
    </w:p>
    <w:p>
      <w:r>
        <w:br/>
      </w:r>
    </w:p>
    <w:p>
      <w:pPr>
        <w:pStyle w:val="Heading1"/>
      </w:pPr>
      <w:r>
        <w:rPr>
          <w:rFonts w:ascii="Arial" w:cs="Arial" w:eastAsia="Arial" w:hAnsi="Arial"/>
          <w:b/>
          <w:bCs/>
          <w:color w:val="000000"/>
          <w:sz w:val="36"/>
          <w:szCs w:val="36"/>
        </w:rPr>
        <w:t xml:space="preserve">MODULE 1: CORE SECURITY ARCHITECTURE</w:t>
      </w:r>
    </w:p>
    <w:p>
      <w:pPr>
        <w:pBdr>
          <w:bottom w:val="single" w:color="AAAAAA" w:sz="6"/>
        </w:pBdr>
        <w:spacing w:before="160" w:after="160"/>
      </w:pPr>
    </w:p>
    <w:p>
      <w:pPr>
        <w:spacing w:before="80" w:after="0"/>
      </w:pPr>
    </w:p>
    <w:p>
      <w:pPr>
        <w:pStyle w:val="Heading2"/>
      </w:pPr>
      <w:r>
        <w:rPr>
          <w:rFonts w:ascii="Arial" w:cs="Arial" w:eastAsia="Arial" w:hAnsi="Arial"/>
          <w:b/>
          <w:bCs/>
          <w:color w:val="000000"/>
          <w:sz w:val="28"/>
          <w:szCs w:val="28"/>
        </w:rPr>
        <w:t xml:space="preserve">1.1  The Workday Object Management System (OMS) and Security</w:t>
      </w:r>
    </w:p>
    <w:p>
      <w:pPr>
        <w:spacing w:before="60" w:after="0"/>
      </w:pPr>
    </w:p>
    <w:p>
      <w:pPr>
        <w:spacing w:before="80" w:after="80"/>
      </w:pPr>
      <w:r>
        <w:rPr>
          <w:rFonts w:ascii="Arial" w:cs="Arial" w:eastAsia="Arial" w:hAnsi="Arial"/>
          <w:b/>
          <w:bCs/>
          <w:sz w:val="20"/>
          <w:szCs w:val="20"/>
        </w:rPr>
        <w:t xml:space="preserve">Deep Dive:</w:t>
      </w:r>
      <w:r>
        <w:rPr>
          <w:rFonts w:ascii="Arial" w:cs="Arial" w:eastAsia="Arial" w:hAnsi="Arial"/>
          <w:sz w:val="20"/>
          <w:szCs w:val="20"/>
        </w:rPr>
        <w:t xml:space="preserve"> The Workday Object Management System (OMS) is the foundational data model underpinning all Workday operations. Every piece of data in Workday — an employee record, a pay slip, a job profile, an organisational unit — is represented as a </w:t>
      </w:r>
      <w:r>
        <w:rPr>
          <w:rFonts w:ascii="Arial" w:cs="Arial" w:eastAsia="Arial" w:hAnsi="Arial"/>
          <w:b/>
          <w:bCs/>
          <w:sz w:val="20"/>
          <w:szCs w:val="20"/>
        </w:rPr>
        <w:t xml:space="preserve">securable object</w:t>
      </w:r>
      <w:r>
        <w:rPr>
          <w:rFonts w:ascii="Arial" w:cs="Arial" w:eastAsia="Arial" w:hAnsi="Arial"/>
          <w:sz w:val="20"/>
          <w:szCs w:val="20"/>
        </w:rPr>
        <w:t xml:space="preserve">. Security in Workday is not a bolt-on layer; it is woven into the OMS fabric itself. You cannot bypass object-level security by any conventional means.</w:t>
      </w:r>
    </w:p>
    <w:p>
      <w:pPr>
        <w:spacing w:before="60" w:after="0"/>
      </w:pPr>
    </w:p>
    <w:p>
      <w:pPr>
        <w:spacing w:before="80" w:after="80"/>
      </w:pPr>
      <w:r>
        <w:rPr>
          <w:rFonts w:ascii="Arial" w:cs="Arial" w:eastAsia="Arial" w:hAnsi="Arial"/>
          <w:sz w:val="20"/>
          <w:szCs w:val="20"/>
        </w:rPr>
        <w:t xml:space="preserve">The OMS governs security through two critical constructs:</w:t>
      </w:r>
    </w:p>
    <w:p>
      <w:pPr>
        <w:spacing w:before="40" w:after="0"/>
      </w:pP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spacing w:before="80" w:after="0"/>
      </w:pPr>
    </w:p>
    <w:p>
      <w:pPr>
        <w:spacing w:before="80" w:after="80"/>
      </w:pPr>
      <w:r>
        <w:rPr>
          <w:rFonts w:ascii="Arial" w:cs="Arial" w:eastAsia="Arial" w:hAnsi="Arial"/>
          <w:sz w:val="20"/>
          <w:szCs w:val="20"/>
        </w:rPr>
      </w:r>
    </w:p>
    <w:p>
      <w:pPr>
        <w:spacing w:before="80" w:after="0"/>
      </w:pPr>
    </w:p>
    <w:p>
      <w:pPr>
        <w:spacing w:before="80" w:after="8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t xml:space="preserve">Workday resolves the user's identity to one or more Security Groups.</w:t>
      </w:r>
    </w:p>
    <w:p>
      <w:pPr>
        <w:pStyle w:val="ListParagraph"/>
        <w:numPr>
          <w:ilvl w:val="0"/>
          <w:numId w:val="3"/>
        </w:numPr>
        <w:spacing w:before="40" w:after="40"/>
      </w:pPr>
      <w:r>
        <w:rPr>
          <w:rFonts w:ascii="Arial" w:cs="Arial" w:eastAsia="Arial" w:hAnsi="Arial"/>
          <w:sz w:val="20"/>
          <w:szCs w:val="20"/>
        </w:rPr>
        <w:t xml:space="preserve">Each Security Group is evaluated against the relevant Domain Security Policy.</w:t>
      </w:r>
    </w:p>
    <w:p>
      <w:pPr>
        <w:pStyle w:val="ListParagraph"/>
        <w:numPr>
          <w:ilvl w:val="0"/>
          <w:numId w:val="3"/>
        </w:numPr>
        <w:spacing w:before="40" w:after="40"/>
      </w:pPr>
      <w:r>
        <w:rPr>
          <w:rFonts w:ascii="Arial" w:cs="Arial" w:eastAsia="Arial" w:hAnsi="Arial"/>
          <w:sz w:val="20"/>
          <w:szCs w:val="20"/>
        </w:rPr>
        <w:t xml:space="preserve">The OMS determines whether the requested action (View, Modify, etc.) is permitted.</w:t>
      </w:r>
    </w:p>
    <w:p>
      <w:pPr>
        <w:pStyle w:val="ListParagraph"/>
        <w:numPr>
          <w:ilvl w:val="0"/>
          <w:numId w:val="3"/>
        </w:numPr>
        <w:spacing w:before="40" w:after="40"/>
      </w:pPr>
      <w:r>
        <w:rPr>
          <w:rFonts w:ascii="Arial" w:cs="Arial" w:eastAsia="Arial" w:hAnsi="Arial"/>
          <w:sz w:val="20"/>
          <w:szCs w:val="20"/>
        </w:rPr>
        <w:t xml:space="preserve">Contextual constraints (such as Supervisory Organisation scope) are applied as a further filter.</w:t>
      </w:r>
    </w:p>
    <w:p>
      <w:pPr>
        <w:pStyle w:val="ListParagraph"/>
        <w:numPr>
          <w:ilvl w:val="0"/>
          <w:numId w:val="3"/>
        </w:numPr>
        <w:spacing w:before="40" w:after="40"/>
      </w:pPr>
      <w:r>
        <w:rPr>
          <w:rFonts w:ascii="Arial" w:cs="Arial" w:eastAsia="Arial" w:hAnsi="Arial"/>
          <w:sz w:val="20"/>
          <w:szCs w:val="20"/>
        </w:rPr>
        <w:t xml:space="preserve">Access is granted or denied. No access is implicit — the default is denial.</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00000" w:sz="12"/>
              <w:left w:val="thick" w:color="000000" w:sz="12"/>
              <w:bottom w:val="single" w:color="000000" w:sz="6"/>
              <w:right w:val="single" w:color="000000" w:sz="6"/>
            </w:tcBorders>
            <w:shd w:fill="F5F5F5" w:val="clear"/>
            <w:tcMar>
              <w:top w:type="dxa" w:w="100"/>
              <w:left w:type="dxa" w:w="200"/>
              <w:bottom w:type="dxa" w:w="100"/>
              <w:right w:type="dxa" w:w="200"/>
            </w:tcMar>
          </w:tcPr>
          <w:p>
            <w:r>
              <w:rPr>
                <w:rFonts w:ascii="Arial" w:cs="Arial" w:eastAsia="Arial" w:hAnsi="Arial"/>
                <w:b/>
                <w:bCs/>
                <w:caps/>
                <w:sz w:val="20"/>
                <w:szCs w:val="20"/>
              </w:rPr>
              <w:t xml:space="preserve">EXAMINER'S TRAP — Common Failure Points</w:t>
            </w:r>
          </w:p>
          <w:p>
            <w:pPr>
              <w:pStyle w:val="ListParagraph"/>
              <w:numPr>
                <w:ilvl w:val="0"/>
                <w:numId w:val="4"/>
              </w:numPr>
              <w:spacing w:before="40" w:after="40"/>
            </w:pPr>
            <w:r>
              <w:rPr>
                <w:rFonts w:ascii="Arial" w:cs="Arial" w:eastAsia="Arial" w:hAnsi="Arial"/>
                <w:sz w:val="19"/>
                <w:szCs w:val="19"/>
              </w:rPr>
              <w:t xml:space="preserve">Candidates confuse OMS with a database schema. The OMS is an </w:t>
            </w:r>
            <w:r>
              <w:rPr>
                <w:rFonts w:ascii="Arial" w:cs="Arial" w:eastAsia="Arial" w:hAnsi="Arial"/>
                <w:b/>
                <w:bCs/>
                <w:sz w:val="19"/>
                <w:szCs w:val="19"/>
              </w:rPr>
              <w:t xml:space="preserve">abstraction layer</w:t>
            </w:r>
            <w:r>
              <w:rPr>
                <w:rFonts w:ascii="Arial" w:cs="Arial" w:eastAsia="Arial" w:hAnsi="Arial"/>
                <w:sz w:val="19"/>
                <w:szCs w:val="19"/>
              </w:rPr>
              <w:t xml:space="preserve"> — the underlying database is irrelevant to security configuration.</w:t>
            </w:r>
          </w:p>
          <w:p>
            <w:pPr>
              <w:pStyle w:val="ListParagraph"/>
              <w:numPr>
                <w:ilvl w:val="0"/>
                <w:numId w:val="4"/>
              </w:numPr>
              <w:spacing w:before="40" w:after="40"/>
            </w:pPr>
            <w:r>
              <w:rPr>
                <w:rFonts w:ascii="Arial" w:cs="Arial" w:eastAsia="Arial" w:hAnsi="Arial"/>
                <w:sz w:val="19"/>
                <w:szCs w:val="19"/>
              </w:rPr>
              <w:t xml:space="preserve">Assuming that removing a user from a Security Group immediately revokes access. Removal is effective upon saving, BUT any pending/unapplied policy changes are not retroactive until activation.</w:t>
            </w:r>
          </w:p>
          <w:p>
            <w:pPr>
              <w:pStyle w:val="ListParagraph"/>
              <w:numPr>
                <w:ilvl w:val="0"/>
                <w:numId w:val="4"/>
              </w:numPr>
              <w:spacing w:before="40" w:after="40"/>
            </w:pPr>
            <w:r>
              <w:rPr>
                <w:rFonts w:ascii="Arial" w:cs="Arial" w:eastAsia="Arial" w:hAnsi="Arial"/>
                <w:sz w:val="19"/>
                <w:szCs w:val="19"/>
              </w:rPr>
              <w:t xml:space="preserve">Conflating 'Functional Area' with 'Domain'. A Functional Area is the parent grouping; a Domain is the specific securable cluster within it. Exam questions will test this distinction precisely.</w:t>
            </w:r>
          </w:p>
        </w:tc>
      </w:tr>
    </w:tbl>
    <w:p>
      <w:pPr>
        <w:spacing w:before="120" w:after="0"/>
      </w:pPr>
    </w:p>
    <w:p>
      <w:pPr>
        <w:pStyle w:val="Heading2"/>
      </w:pPr>
      <w:r>
        <w:rPr>
          <w:rFonts w:ascii="Arial" w:cs="Arial" w:eastAsia="Arial" w:hAnsi="Arial"/>
          <w:b/>
          <w:bCs/>
          <w:color w:val="000000"/>
          <w:sz w:val="28"/>
          <w:szCs w:val="28"/>
        </w:rPr>
        <w:t xml:space="preserve">1.2  Security Group Types: Comparison and Contrast</w:t>
      </w:r>
    </w:p>
    <w:p>
      <w:pPr>
        <w:spacing w:before="60" w:after="0"/>
      </w:pPr>
    </w:p>
    <w:p>
      <w:pPr>
        <w:spacing w:before="80" w:after="80"/>
      </w:pPr>
      <w:r>
        <w:rPr>
          <w:rFonts w:ascii="Arial" w:cs="Arial" w:eastAsia="Arial" w:hAnsi="Arial"/>
          <w:sz w:val="20"/>
          <w:szCs w:val="20"/>
        </w:rPr>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56"/>
        <w:gridCol w:w="1856"/>
        <w:gridCol w:w="1857"/>
        <w:gridCol w:w="1857"/>
      </w:tblGrid>
      <w:tr>
        <w:tc>
          <w:tcPr>
            <w:tcW w:type="dxa" w:w="1600"/>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Attribute / Criterion</w:t>
            </w:r>
          </w:p>
        </w:tc>
        <w:tc>
          <w:tcPr>
            <w:tcW w:type="dxa" w:w="1856"/>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User-Based Security Group</w:t>
            </w:r>
          </w:p>
        </w:tc>
        <w:tc>
          <w:tcPr>
            <w:tcW w:type="dxa" w:w="1856"/>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Role-Based Security Group</w:t>
            </w:r>
          </w:p>
        </w:tc>
        <w:tc>
          <w:tcPr>
            <w:tcW w:type="dxa" w:w="1857"/>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Job-Based Security Group</w:t>
            </w:r>
          </w:p>
        </w:tc>
        <w:tc>
          <w:tcPr>
            <w:tcW w:type="dxa" w:w="1857"/>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Intersection Security Group</w:t>
            </w:r>
          </w:p>
        </w:tc>
      </w:tr>
      <w:tr>
        <w:tc>
          <w:tcPr>
            <w:tcW w:type="dxa" w:w="1600"/>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b/>
                <w:bCs/>
                <w:sz w:val="17"/>
                <w:szCs w:val="17"/>
              </w:rPr>
              <w:t xml:space="preserve">Definition</w:t>
            </w:r>
          </w:p>
        </w:tc>
        <w:tc>
          <w:tcPr>
            <w:tcW w:type="dxa" w:w="1856"/>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Specific named users assigned directly to the group.</w:t>
            </w:r>
          </w:p>
        </w:tc>
        <w:tc>
          <w:tcPr>
            <w:tcW w:type="dxa" w:w="1856"/>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Access tied to an organisational Role (e.g., HR Partner).</w:t>
            </w:r>
          </w:p>
        </w:tc>
        <w:tc>
          <w:tcPr>
            <w:tcW w:type="dxa" w:w="1857"/>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Access granted based on a worker's Job Profile or Job Family.</w:t>
            </w:r>
          </w:p>
        </w:tc>
        <w:tc>
          <w:tcPr>
            <w:tcW w:type="dxa" w:w="1857"/>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Two groups intersected; access limited to records where BOTH conditions are met.</w:t>
            </w:r>
          </w:p>
        </w:tc>
      </w:tr>
      <w:tr>
        <w:tc>
          <w:tcPr>
            <w:tcW w:type="dxa" w:w="1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bCs/>
                <w:sz w:val="17"/>
                <w:szCs w:val="17"/>
              </w:rPr>
              <w:t xml:space="preserve">Assignment Mechanism</w:t>
            </w:r>
          </w:p>
        </w:tc>
        <w:tc>
          <w:tcPr>
            <w:tcW w:type="dxa" w:w="1856"/>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Manual, explicit user-to-group mapping.</w:t>
            </w:r>
          </w:p>
        </w:tc>
        <w:tc>
          <w:tcPr>
            <w:tcW w:type="dxa" w:w="1856"/>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Role assignment on a worker or organisation.</w:t>
            </w:r>
          </w:p>
        </w:tc>
        <w:tc>
          <w:tcPr>
            <w:tcW w:type="dxa" w:w="1857"/>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Determined by Job Profile attribute on a worker's position.</w:t>
            </w:r>
          </w:p>
        </w:tc>
        <w:tc>
          <w:tcPr>
            <w:tcW w:type="dxa" w:w="1857"/>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Defined by the logical AND of two other Security Groups.</w:t>
            </w:r>
          </w:p>
        </w:tc>
      </w:tr>
      <w:tr>
        <w:tc>
          <w:tcPr>
            <w:tcW w:type="dxa" w:w="1600"/>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b/>
                <w:bCs/>
                <w:sz w:val="17"/>
                <w:szCs w:val="17"/>
              </w:rPr>
              <w:t xml:space="preserve">Scope / Constraint</w:t>
            </w:r>
          </w:p>
        </w:tc>
        <w:tc>
          <w:tcPr>
            <w:tcW w:type="dxa" w:w="1856"/>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Unconstrained — applies globally by default.</w:t>
            </w:r>
          </w:p>
        </w:tc>
        <w:tc>
          <w:tcPr>
            <w:tcW w:type="dxa" w:w="1856"/>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Constrained to the organisation the role is assigned within.</w:t>
            </w:r>
          </w:p>
        </w:tc>
        <w:tc>
          <w:tcPr>
            <w:tcW w:type="dxa" w:w="1857"/>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Constrained to workers sharing the same Job Profile/Family.</w:t>
            </w:r>
          </w:p>
        </w:tc>
        <w:tc>
          <w:tcPr>
            <w:tcW w:type="dxa" w:w="1857"/>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Highly constrained — most restrictive scope available.</w:t>
            </w:r>
          </w:p>
        </w:tc>
      </w:tr>
      <w:tr>
        <w:tc>
          <w:tcPr>
            <w:tcW w:type="dxa" w:w="1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bCs/>
                <w:sz w:val="17"/>
                <w:szCs w:val="17"/>
              </w:rPr>
              <w:t xml:space="preserve">Typical Use Case</w:t>
            </w:r>
          </w:p>
        </w:tc>
        <w:tc>
          <w:tcPr>
            <w:tcW w:type="dxa" w:w="1856"/>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System administrators, one-off access grants, service accounts.</w:t>
            </w:r>
          </w:p>
        </w:tc>
        <w:tc>
          <w:tcPr>
            <w:tcW w:type="dxa" w:w="1856"/>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HR Partner, Payroll Administrator, Benefits Administrator.</w:t>
            </w:r>
          </w:p>
        </w:tc>
        <w:tc>
          <w:tcPr>
            <w:tcW w:type="dxa" w:w="1857"/>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Employees who can only view their own job-tier data.</w:t>
            </w:r>
          </w:p>
        </w:tc>
        <w:tc>
          <w:tcPr>
            <w:tcW w:type="dxa" w:w="1857"/>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Managers who can only approve their own team's timesheets.</w:t>
            </w:r>
          </w:p>
        </w:tc>
      </w:tr>
      <w:tr>
        <w:tc>
          <w:tcPr>
            <w:tcW w:type="dxa" w:w="1600"/>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b/>
                <w:bCs/>
                <w:sz w:val="17"/>
                <w:szCs w:val="17"/>
              </w:rPr>
              <w:t xml:space="preserve">Maintainability</w:t>
            </w:r>
          </w:p>
        </w:tc>
        <w:tc>
          <w:tcPr>
            <w:tcW w:type="dxa" w:w="1856"/>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High manual overhead. Requires explicit updates on every change.</w:t>
            </w:r>
          </w:p>
        </w:tc>
        <w:tc>
          <w:tcPr>
            <w:tcW w:type="dxa" w:w="1856"/>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Low overhead. Follows org changes automatically.</w:t>
            </w:r>
          </w:p>
        </w:tc>
        <w:tc>
          <w:tcPr>
            <w:tcW w:type="dxa" w:w="1857"/>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Very low overhead. Follows job changes automatically.</w:t>
            </w:r>
          </w:p>
        </w:tc>
        <w:tc>
          <w:tcPr>
            <w:tcW w:type="dxa" w:w="1857"/>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Medium overhead. Both constituent groups must be maintained.</w:t>
            </w:r>
          </w:p>
        </w:tc>
      </w:tr>
      <w:tr>
        <w:tc>
          <w:tcPr>
            <w:tcW w:type="dxa" w:w="1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bCs/>
                <w:sz w:val="17"/>
                <w:szCs w:val="17"/>
              </w:rPr>
              <w:t xml:space="preserve">Security Risk Profile</w:t>
            </w:r>
          </w:p>
        </w:tc>
        <w:tc>
          <w:tcPr>
            <w:tcW w:type="dxa" w:w="1856"/>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Highest risk if not audited. Stale memberships persist.</w:t>
            </w:r>
          </w:p>
        </w:tc>
        <w:tc>
          <w:tcPr>
            <w:tcW w:type="dxa" w:w="1856"/>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Moderate. Depends on role assignment integrity.</w:t>
            </w:r>
          </w:p>
        </w:tc>
        <w:tc>
          <w:tcPr>
            <w:tcW w:type="dxa" w:w="1857"/>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Low. Automatically narrows with job profile.</w:t>
            </w:r>
          </w:p>
        </w:tc>
        <w:tc>
          <w:tcPr>
            <w:tcW w:type="dxa" w:w="1857"/>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Lowest risk. Dual-condition requirement limits blast radius.</w:t>
            </w:r>
          </w:p>
        </w:tc>
      </w:tr>
      <w:tr>
        <w:tc>
          <w:tcPr>
            <w:tcW w:type="dxa" w:w="1600"/>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b/>
                <w:bCs/>
                <w:sz w:val="17"/>
                <w:szCs w:val="17"/>
              </w:rPr>
              <w:t xml:space="preserve">Constrained vs Unconstrained</w:t>
            </w:r>
          </w:p>
        </w:tc>
        <w:tc>
          <w:tcPr>
            <w:tcW w:type="dxa" w:w="1856"/>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Unconstrained by default (unless explicitly scoped).</w:t>
            </w:r>
          </w:p>
        </w:tc>
        <w:tc>
          <w:tcPr>
            <w:tcW w:type="dxa" w:w="1856"/>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Always Constrained to assigned organisation(s).</w:t>
            </w:r>
          </w:p>
        </w:tc>
        <w:tc>
          <w:tcPr>
            <w:tcW w:type="dxa" w:w="1857"/>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Constrained to Job Profile scope.</w:t>
            </w:r>
          </w:p>
        </w:tc>
        <w:tc>
          <w:tcPr>
            <w:tcW w:type="dxa" w:w="1857"/>
            <w:tcBorders>
              <w:top w:val="single" w:color="DDDDDD" w:sz="6"/>
              <w:left w:val="single" w:color="DDDDDD" w:sz="6"/>
              <w:bottom w:val="single" w:color="DDDDDD" w:sz="6"/>
              <w:right w:val="single" w:color="DDDDDD" w:sz="6"/>
            </w:tcBorders>
            <w:shd w:fill="F5F5F5" w:val="clear"/>
            <w:tcMar>
              <w:top w:type="dxa" w:w="80"/>
              <w:left w:type="dxa" w:w="120"/>
              <w:bottom w:type="dxa" w:w="80"/>
              <w:right w:type="dxa" w:w="120"/>
            </w:tcMar>
          </w:tcPr>
          <w:p>
            <w:r>
              <w:rPr>
                <w:rFonts w:ascii="Arial" w:cs="Arial" w:eastAsia="Arial" w:hAnsi="Arial"/>
                <w:sz w:val="17"/>
                <w:szCs w:val="17"/>
              </w:rPr>
              <w:t xml:space="preserve">Always Constrained. Cannot be unconstrained.</w:t>
            </w:r>
          </w:p>
        </w:tc>
      </w:tr>
      <w:tr>
        <w:tc>
          <w:tcPr>
            <w:tcW w:type="dxa" w:w="1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bCs/>
                <w:sz w:val="17"/>
                <w:szCs w:val="17"/>
              </w:rPr>
              <w:t xml:space="preserve">Exam Keyword</w:t>
            </w:r>
          </w:p>
        </w:tc>
        <w:tc>
          <w:tcPr>
            <w:tcW w:type="dxa" w:w="1856"/>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Direct, Explicit, Named, Static</w:t>
            </w:r>
          </w:p>
        </w:tc>
        <w:tc>
          <w:tcPr>
            <w:tcW w:type="dxa" w:w="1856"/>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Role, Delegated, Organisational</w:t>
            </w:r>
          </w:p>
        </w:tc>
        <w:tc>
          <w:tcPr>
            <w:tcW w:type="dxa" w:w="1857"/>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Job Profile, Family, Category</w:t>
            </w:r>
          </w:p>
        </w:tc>
        <w:tc>
          <w:tcPr>
            <w:tcW w:type="dxa" w:w="1857"/>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sz w:val="17"/>
                <w:szCs w:val="17"/>
              </w:rPr>
              <w:t xml:space="preserve">Intersection, AND Logic, Dual Condition</w:t>
            </w:r>
          </w:p>
        </w:tc>
      </w:tr>
    </w:tbl>
    <w:p>
      <w:pPr>
        <w:spacing w:before="100" w:after="0"/>
      </w:pPr>
    </w:p>
    <w:p>
      <w:pPr>
        <w:spacing w:before="80" w:after="80"/>
      </w:pPr>
      <w:r>
        <w:rPr>
          <w:rFonts w:ascii="Arial" w:cs="Arial" w:eastAsia="Arial" w:hAnsi="Arial"/>
          <w:sz w:val="20"/>
          <w:szCs w:val="20"/>
        </w:rPr>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00000" w:sz="12"/>
              <w:left w:val="thick" w:color="000000" w:sz="12"/>
              <w:bottom w:val="single" w:color="000000" w:sz="6"/>
              <w:right w:val="single" w:color="000000" w:sz="6"/>
            </w:tcBorders>
            <w:shd w:fill="F5F5F5" w:val="clear"/>
            <w:tcMar>
              <w:top w:type="dxa" w:w="100"/>
              <w:left w:type="dxa" w:w="200"/>
              <w:bottom w:type="dxa" w:w="100"/>
              <w:right w:type="dxa" w:w="200"/>
            </w:tcMar>
          </w:tcPr>
          <w:p>
            <w:r>
              <w:rPr>
                <w:rFonts w:ascii="Arial" w:cs="Arial" w:eastAsia="Arial" w:hAnsi="Arial"/>
                <w:b/>
                <w:bCs/>
                <w:caps/>
                <w:sz w:val="20"/>
                <w:szCs w:val="20"/>
              </w:rPr>
              <w:t xml:space="preserve">EXAMINER'S TRAP — Common Failure Points</w:t>
            </w:r>
          </w:p>
          <w:p>
            <w:pPr>
              <w:pStyle w:val="ListParagraph"/>
              <w:numPr>
                <w:ilvl w:val="0"/>
                <w:numId w:val="4"/>
              </w:numPr>
              <w:spacing w:before="40" w:after="40"/>
            </w:pPr>
            <w:r>
              <w:rPr>
                <w:rFonts w:ascii="Arial" w:cs="Arial" w:eastAsia="Arial" w:hAnsi="Arial"/>
                <w:b/>
                <w:bCs/>
                <w:sz w:val="19"/>
                <w:szCs w:val="19"/>
              </w:rPr>
              <w:t xml:space="preserve">Role-Based is not the same as Job-Based.</w:t>
            </w:r>
            <w:r>
              <w:rPr>
                <w:rFonts w:ascii="Arial" w:cs="Arial" w:eastAsia="Arial" w:hAnsi="Arial"/>
                <w:sz w:val="19"/>
                <w:szCs w:val="19"/>
              </w:rPr>
              <w:t xml:space="preserve"> Roles are assigned by HR/Security administrators to individuals. Job-Based groups are automatically determined by the Job Profile on a position. Confusing these in an exam scenario will always produce a wrong answer.</w:t>
            </w:r>
          </w:p>
          <w:p>
            <w:pPr>
              <w:pStyle w:val="ListParagraph"/>
              <w:numPr>
                <w:ilvl w:val="0"/>
                <w:numId w:val="4"/>
              </w:numPr>
              <w:spacing w:before="40" w:after="40"/>
            </w:pPr>
            <w:r>
              <w:rPr>
                <w:rFonts w:ascii="Arial" w:cs="Arial" w:eastAsia="Arial" w:hAnsi="Arial"/>
                <w:sz w:val="19"/>
                <w:szCs w:val="19"/>
              </w:rPr>
              <w:t xml:space="preserve">Intersection groups are a common 'distractor' answer. Candidates assume they always require exactly two User-Based groups — in fact, any combination of group types can form an intersection.</w:t>
            </w:r>
          </w:p>
          <w:p>
            <w:pPr>
              <w:pStyle w:val="ListParagraph"/>
              <w:numPr>
                <w:ilvl w:val="0"/>
                <w:numId w:val="4"/>
              </w:numPr>
              <w:spacing w:before="40" w:after="40"/>
            </w:pPr>
            <w:r>
              <w:rPr>
                <w:rFonts w:ascii="Arial" w:cs="Arial" w:eastAsia="Arial" w:hAnsi="Arial"/>
                <w:b/>
                <w:bCs/>
                <w:sz w:val="19"/>
                <w:szCs w:val="19"/>
              </w:rPr>
              <w:t xml:space="preserve">Unconstrained access is NOT the default for all group types.</w:t>
            </w:r>
            <w:r>
              <w:rPr>
                <w:rFonts w:ascii="Arial" w:cs="Arial" w:eastAsia="Arial" w:hAnsi="Arial"/>
                <w:sz w:val="19"/>
                <w:szCs w:val="19"/>
              </w:rPr>
              <w:t xml:space="preserve"> It is only the default for User-Based groups. All other types have inherent scope constraints.</w:t>
            </w:r>
          </w:p>
        </w:tc>
      </w:tr>
    </w:tbl>
    <w:p>
      <w:pPr>
        <w:spacing w:before="120" w:after="0"/>
      </w:pPr>
    </w:p>
    <w:p>
      <w:pPr>
        <w:pStyle w:val="Heading2"/>
      </w:pPr>
      <w:r>
        <w:rPr>
          <w:rFonts w:ascii="Arial" w:cs="Arial" w:eastAsia="Arial" w:hAnsi="Arial"/>
          <w:b/>
          <w:bCs/>
          <w:color w:val="000000"/>
          <w:sz w:val="28"/>
          <w:szCs w:val="28"/>
        </w:rPr>
        <w:t xml:space="preserve">1.3  Contextual Security and Supervisory Organisation Flow</w:t>
      </w:r>
    </w:p>
    <w:p>
      <w:pPr>
        <w:spacing w:before="60" w:after="0"/>
      </w:pPr>
    </w:p>
    <w:p>
      <w:pPr>
        <w:spacing w:before="80" w:after="80"/>
      </w:pPr>
      <w:r>
        <w:rPr>
          <w:rFonts w:ascii="Arial" w:cs="Arial" w:eastAsia="Arial" w:hAnsi="Arial"/>
          <w:sz w:val="20"/>
          <w:szCs w:val="20"/>
        </w:rPr>
      </w:r>
    </w:p>
    <w:p>
      <w:pPr>
        <w:spacing w:before="60" w:after="0"/>
      </w:pPr>
    </w:p>
    <w:p>
      <w:pPr>
        <w:spacing w:before="80" w:after="80"/>
      </w:pPr>
      <w:r>
        <w:rPr>
          <w:rFonts w:ascii="Arial" w:cs="Arial" w:eastAsia="Arial" w:hAnsi="Arial"/>
          <w:sz w:val="20"/>
          <w:szCs w:val="20"/>
        </w:rPr>
        <w:t xml:space="preserve">The primary contextual anchor in Workday is the </w:t>
      </w:r>
      <w:r>
        <w:rPr>
          <w:rFonts w:ascii="Arial" w:cs="Arial" w:eastAsia="Arial" w:hAnsi="Arial"/>
          <w:b/>
          <w:bCs/>
          <w:sz w:val="20"/>
          <w:szCs w:val="20"/>
        </w:rPr>
        <w:t xml:space="preserve">Supervisory Organisation</w:t>
      </w:r>
      <w:r>
        <w:rPr>
          <w:rFonts w:ascii="Arial" w:cs="Arial" w:eastAsia="Arial" w:hAnsi="Arial"/>
          <w:sz w:val="20"/>
          <w:szCs w:val="20"/>
        </w:rPr>
        <w:t xml:space="preserve">. The Supervisory Organisation is the core org unit used for staffing transactions and reporting lines. Security context flows through it as follows:</w:t>
      </w:r>
    </w:p>
    <w:p>
      <w:pPr>
        <w:spacing w:before="60" w:after="0"/>
      </w:pP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spacing w:before="80" w:after="0"/>
      </w:pPr>
    </w:p>
    <w:p>
      <w:pPr>
        <w:spacing w:before="80" w:after="80"/>
      </w:pPr>
      <w:r>
        <w:rPr>
          <w:rFonts w:ascii="Arial" w:cs="Arial" w:eastAsia="Arial" w:hAnsi="Arial"/>
          <w:sz w:val="20"/>
          <w:szCs w:val="20"/>
        </w:rPr>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00000" w:sz="12"/>
              <w:left w:val="thick" w:color="000000" w:sz="12"/>
              <w:bottom w:val="single" w:color="000000" w:sz="6"/>
              <w:right w:val="single" w:color="000000" w:sz="6"/>
            </w:tcBorders>
            <w:shd w:fill="F5F5F5" w:val="clear"/>
            <w:tcMar>
              <w:top w:type="dxa" w:w="100"/>
              <w:left w:type="dxa" w:w="200"/>
              <w:bottom w:type="dxa" w:w="100"/>
              <w:right w:type="dxa" w:w="200"/>
            </w:tcMar>
          </w:tcPr>
          <w:p>
            <w:r>
              <w:rPr>
                <w:rFonts w:ascii="Arial" w:cs="Arial" w:eastAsia="Arial" w:hAnsi="Arial"/>
                <w:b/>
                <w:bCs/>
                <w:caps/>
                <w:sz w:val="20"/>
                <w:szCs w:val="20"/>
              </w:rPr>
              <w:t xml:space="preserve">EXAMINER'S TRAP — Common Failure Points</w:t>
            </w:r>
          </w:p>
          <w:p>
            <w:pPr>
              <w:pStyle w:val="ListParagraph"/>
              <w:numPr>
                <w:ilvl w:val="0"/>
                <w:numId w:val="4"/>
              </w:numPr>
              <w:spacing w:before="40" w:after="40"/>
            </w:pPr>
            <w:r>
              <w:rPr>
                <w:rFonts w:ascii="Arial" w:cs="Arial" w:eastAsia="Arial" w:hAnsi="Arial"/>
                <w:sz w:val="19"/>
                <w:szCs w:val="19"/>
              </w:rPr>
              <w:t xml:space="preserve">Candidates frequently confuse 'Supervisory Organisation' with 'Company' or 'Cost Centre'. The supervisory org is the staffing hierarchy anchor. Cost Centre is a financial anchor. These are separate constructs for security purposes.</w:t>
            </w:r>
          </w:p>
          <w:p>
            <w:pPr>
              <w:pStyle w:val="ListParagraph"/>
              <w:numPr>
                <w:ilvl w:val="0"/>
                <w:numId w:val="4"/>
              </w:numPr>
              <w:spacing w:before="40" w:after="40"/>
            </w:pPr>
            <w:r>
              <w:rPr>
                <w:rFonts w:ascii="Arial" w:cs="Arial" w:eastAsia="Arial" w:hAnsi="Arial"/>
                <w:b/>
                <w:bCs/>
                <w:sz w:val="19"/>
                <w:szCs w:val="19"/>
              </w:rPr>
              <w:t xml:space="preserve">Context flows DOWN, never UP.</w:t>
            </w:r>
            <w:r>
              <w:rPr>
                <w:rFonts w:ascii="Arial" w:cs="Arial" w:eastAsia="Arial" w:hAnsi="Arial"/>
                <w:sz w:val="19"/>
                <w:szCs w:val="19"/>
              </w:rPr>
              <w:t xml:space="preserve"> A role at a child organisation never grants any access to parent or sibling organisations. Exam scenarios exploit this directional assumption.</w:t>
            </w:r>
          </w:p>
          <w:p>
            <w:pPr>
              <w:pStyle w:val="ListParagraph"/>
              <w:numPr>
                <w:ilvl w:val="0"/>
                <w:numId w:val="4"/>
              </w:numPr>
              <w:spacing w:before="40" w:after="40"/>
            </w:pPr>
            <w:r>
              <w:rPr>
                <w:rFonts w:ascii="Arial" w:cs="Arial" w:eastAsia="Arial" w:hAnsi="Arial"/>
                <w:sz w:val="19"/>
                <w:szCs w:val="19"/>
              </w:rPr>
              <w:t xml:space="preserve">Matrix Organisations do not inherit from Supervisory Organisations. They are parallel hierarchies. Security policies must be configured separately for each.</w:t>
            </w:r>
          </w:p>
        </w:tc>
      </w:tr>
    </w:tbl>
    <w:p>
      <w:r>
        <w:br/>
      </w:r>
    </w:p>
    <w:p>
      <w:pPr>
        <w:pStyle w:val="Heading1"/>
      </w:pPr>
      <w:r>
        <w:rPr>
          <w:rFonts w:ascii="Arial" w:cs="Arial" w:eastAsia="Arial" w:hAnsi="Arial"/>
          <w:b/>
          <w:bCs/>
          <w:color w:val="000000"/>
          <w:sz w:val="36"/>
          <w:szCs w:val="36"/>
        </w:rPr>
        <w:t xml:space="preserve">MODULE 2: SECURITY POLICIES (THE MUST-KNOWS)</w:t>
      </w:r>
    </w:p>
    <w:p>
      <w:pPr>
        <w:pBdr>
          <w:bottom w:val="single" w:color="AAAAAA" w:sz="6"/>
        </w:pBdr>
        <w:spacing w:before="160" w:after="160"/>
      </w:pPr>
    </w:p>
    <w:p>
      <w:pPr>
        <w:spacing w:before="80" w:after="0"/>
      </w:pPr>
    </w:p>
    <w:p>
      <w:pPr>
        <w:pStyle w:val="Heading2"/>
      </w:pPr>
      <w:r>
        <w:rPr>
          <w:rFonts w:ascii="Arial" w:cs="Arial" w:eastAsia="Arial" w:hAnsi="Arial"/>
          <w:b/>
          <w:bCs/>
          <w:color w:val="000000"/>
          <w:sz w:val="28"/>
          <w:szCs w:val="28"/>
        </w:rPr>
        <w:t xml:space="preserve">2.1  Domain Security Policies: View vs. Modify Permissions</w:t>
      </w:r>
    </w:p>
    <w:p>
      <w:pPr>
        <w:spacing w:before="60" w:after="0"/>
      </w:pPr>
    </w:p>
    <w:p>
      <w:pPr>
        <w:spacing w:before="80" w:after="80"/>
      </w:pPr>
      <w:r>
        <w:rPr>
          <w:rFonts w:ascii="Arial" w:cs="Arial" w:eastAsia="Arial" w:hAnsi="Arial"/>
          <w:sz w:val="20"/>
          <w:szCs w:val="20"/>
        </w:rPr>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Dimension</w:t>
            </w:r>
          </w:p>
        </w:tc>
        <w:tc>
          <w:tcPr>
            <w:tcW w:type="dxa" w:w="351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View Permission</w:t>
            </w:r>
          </w:p>
        </w:tc>
        <w:tc>
          <w:tcPr>
            <w:tcW w:type="dxa" w:w="351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Modify Permission</w:t>
            </w:r>
          </w:p>
        </w:tc>
      </w:tr>
      <w:tr>
        <w:tc>
          <w:tcPr>
            <w:tcW w:type="dxa" w:w="20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Core Function</w:t>
            </w:r>
          </w:p>
        </w:tc>
        <w:tc>
          <w:tcPr>
            <w:tcW w:type="dxa" w:w="3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Allows the user to read data fields and run reports.</w:t>
            </w:r>
          </w:p>
        </w:tc>
        <w:tc>
          <w:tcPr>
            <w:tcW w:type="dxa" w:w="3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Allows the user to change, create, rescind or delete data.</w:t>
            </w:r>
          </w:p>
        </w:tc>
      </w:tr>
      <w:tr>
        <w:tc>
          <w:tcPr>
            <w:tcW w:type="dxa" w:w="20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Report Access</w:t>
            </w:r>
          </w:p>
        </w:tc>
        <w:tc>
          <w:tcPr>
            <w:tcW w:type="dxa" w:w="3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Grants access to run standard and custom reports within the domain.</w:t>
            </w:r>
          </w:p>
        </w:tc>
        <w:tc>
          <w:tcPr>
            <w:tcW w:type="dxa" w:w="3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Modify is NOT required to run reports. View is sufficient.</w:t>
            </w:r>
          </w:p>
        </w:tc>
      </w:tr>
      <w:tr>
        <w:tc>
          <w:tcPr>
            <w:tcW w:type="dxa" w:w="20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Integration Access</w:t>
            </w:r>
          </w:p>
        </w:tc>
        <w:tc>
          <w:tcPr>
            <w:tcW w:type="dxa" w:w="3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Integrations that only read data require View on the relevant domain.</w:t>
            </w:r>
          </w:p>
        </w:tc>
        <w:tc>
          <w:tcPr>
            <w:tcW w:type="dxa" w:w="3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Integrations that write data back require both View AND Modify.</w:t>
            </w:r>
          </w:p>
        </w:tc>
      </w:tr>
      <w:tr>
        <w:tc>
          <w:tcPr>
            <w:tcW w:type="dxa" w:w="20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Additive Behaviour</w:t>
            </w:r>
          </w:p>
        </w:tc>
        <w:tc>
          <w:tcPr>
            <w:tcW w:type="dxa" w:w="3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View is NOT automatically granted when Modify is granted.</w:t>
            </w:r>
          </w:p>
        </w:tc>
        <w:tc>
          <w:tcPr>
            <w:tcW w:type="dxa" w:w="3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Granting Modify WITHOUT View creates a counterintuitive state where a user can change a field they cannot see.</w:t>
            </w:r>
          </w:p>
        </w:tc>
      </w:tr>
      <w:tr>
        <w:tc>
          <w:tcPr>
            <w:tcW w:type="dxa" w:w="20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Typical Scope</w:t>
            </w:r>
          </w:p>
        </w:tc>
        <w:tc>
          <w:tcPr>
            <w:tcW w:type="dxa" w:w="3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Employees (self-service), read-only auditors, reporting users.</w:t>
            </w:r>
          </w:p>
        </w:tc>
        <w:tc>
          <w:tcPr>
            <w:tcW w:type="dxa" w:w="3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HR Partners, Payroll Specialists, Benefits Administrators.</w:t>
            </w:r>
          </w:p>
        </w:tc>
      </w:tr>
      <w:tr>
        <w:tc>
          <w:tcPr>
            <w:tcW w:type="dxa" w:w="20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Sub-Domain Specificity</w:t>
            </w:r>
          </w:p>
        </w:tc>
        <w:tc>
          <w:tcPr>
            <w:tcW w:type="dxa" w:w="3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Policies can be View-enabled at a granular sub-domain level (e.g., only Personal Data).</w:t>
            </w:r>
          </w:p>
        </w:tc>
        <w:tc>
          <w:tcPr>
            <w:tcW w:type="dxa" w:w="3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Modify can be scoped to specific actions within a domain without enabling full Modify access.</w:t>
            </w:r>
          </w:p>
        </w:tc>
      </w:tr>
    </w:tbl>
    <w:p>
      <w:pPr>
        <w:spacing w:before="80" w:after="0"/>
      </w:pPr>
    </w:p>
    <w:p>
      <w:pPr>
        <w:spacing w:before="80" w:after="80"/>
      </w:pPr>
      <w:r>
        <w:rPr>
          <w:rFonts w:ascii="Arial" w:cs="Arial" w:eastAsia="Arial" w:hAnsi="Arial"/>
          <w:sz w:val="20"/>
          <w:szCs w:val="20"/>
        </w:rPr>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00000" w:sz="12"/>
              <w:left w:val="thick" w:color="000000" w:sz="12"/>
              <w:bottom w:val="single" w:color="000000" w:sz="6"/>
              <w:right w:val="single" w:color="000000" w:sz="6"/>
            </w:tcBorders>
            <w:shd w:fill="F5F5F5" w:val="clear"/>
            <w:tcMar>
              <w:top w:type="dxa" w:w="100"/>
              <w:left w:type="dxa" w:w="200"/>
              <w:bottom w:type="dxa" w:w="100"/>
              <w:right w:type="dxa" w:w="200"/>
            </w:tcMar>
          </w:tcPr>
          <w:p>
            <w:r>
              <w:rPr>
                <w:rFonts w:ascii="Arial" w:cs="Arial" w:eastAsia="Arial" w:hAnsi="Arial"/>
                <w:b/>
                <w:bCs/>
                <w:caps/>
                <w:sz w:val="20"/>
                <w:szCs w:val="20"/>
              </w:rPr>
              <w:t xml:space="preserve">EXAMINER'S TRAP — Common Failure Points</w:t>
            </w:r>
          </w:p>
          <w:p>
            <w:pPr>
              <w:pStyle w:val="ListParagraph"/>
              <w:numPr>
                <w:ilvl w:val="0"/>
                <w:numId w:val="4"/>
              </w:numPr>
              <w:spacing w:before="40" w:after="40"/>
            </w:pPr>
            <w:r>
              <w:rPr>
                <w:rFonts w:ascii="Arial" w:cs="Arial" w:eastAsia="Arial" w:hAnsi="Arial"/>
                <w:b/>
                <w:bCs/>
                <w:sz w:val="19"/>
                <w:szCs w:val="19"/>
              </w:rPr>
              <w:t xml:space="preserve">Modify does NOT imply View.</w:t>
            </w:r>
            <w:r>
              <w:rPr>
                <w:rFonts w:ascii="Arial" w:cs="Arial" w:eastAsia="Arial" w:hAnsi="Arial"/>
                <w:sz w:val="19"/>
                <w:szCs w:val="19"/>
              </w:rPr>
              <w:t xml:space="preserve"> They are independently toggled. Granting only Modify is a legitimate (though unusual) configuration and is explicitly tested.</w:t>
            </w:r>
          </w:p>
          <w:p>
            <w:pPr>
              <w:pStyle w:val="ListParagraph"/>
              <w:numPr>
                <w:ilvl w:val="0"/>
                <w:numId w:val="4"/>
              </w:numPr>
              <w:spacing w:before="40" w:after="40"/>
            </w:pPr>
            <w:r>
              <w:rPr>
                <w:rFonts w:ascii="Arial" w:cs="Arial" w:eastAsia="Arial" w:hAnsi="Arial"/>
                <w:sz w:val="19"/>
                <w:szCs w:val="19"/>
              </w:rPr>
              <w:t xml:space="preserve">Candidates misread 'Get and Put integrations require Modify'. Only integrations that write data back to Workday require Modify. Read-only integrations (GET) require View only.</w:t>
            </w:r>
          </w:p>
          <w:p>
            <w:pPr>
              <w:pStyle w:val="ListParagraph"/>
              <w:numPr>
                <w:ilvl w:val="0"/>
                <w:numId w:val="4"/>
              </w:numPr>
              <w:spacing w:before="40" w:after="40"/>
            </w:pPr>
            <w:r>
              <w:rPr>
                <w:rFonts w:ascii="Arial" w:cs="Arial" w:eastAsia="Arial" w:hAnsi="Arial"/>
                <w:b/>
                <w:bCs/>
                <w:sz w:val="19"/>
                <w:szCs w:val="19"/>
              </w:rPr>
              <w:t xml:space="preserve">Custom Reports inherit domain security.</w:t>
            </w:r>
            <w:r>
              <w:rPr>
                <w:rFonts w:ascii="Arial" w:cs="Arial" w:eastAsia="Arial" w:hAnsi="Arial"/>
                <w:sz w:val="19"/>
                <w:szCs w:val="19"/>
              </w:rPr>
              <w:t xml:space="preserve"> A Custom Report built on a domain requires the running user to have View access to that domain. If a user cannot see source data, they cannot run the report — even if they are listed as the report owner.</w:t>
            </w:r>
          </w:p>
        </w:tc>
      </w:tr>
    </w:tbl>
    <w:p>
      <w:pPr>
        <w:spacing w:before="120" w:after="0"/>
      </w:pPr>
    </w:p>
    <w:p>
      <w:pPr>
        <w:pStyle w:val="Heading2"/>
      </w:pPr>
      <w:r>
        <w:rPr>
          <w:rFonts w:ascii="Arial" w:cs="Arial" w:eastAsia="Arial" w:hAnsi="Arial"/>
          <w:b/>
          <w:bCs/>
          <w:color w:val="000000"/>
          <w:sz w:val="28"/>
          <w:szCs w:val="28"/>
        </w:rPr>
        <w:t xml:space="preserve">2.2  Business Process Security Policies: Actions and Distinctions</w:t>
      </w:r>
    </w:p>
    <w:p>
      <w:pPr>
        <w:spacing w:before="60" w:after="0"/>
      </w:pPr>
    </w:p>
    <w:p>
      <w:pPr>
        <w:spacing w:before="80" w:after="80"/>
      </w:pPr>
      <w:r>
        <w:rPr>
          <w:rFonts w:ascii="Arial" w:cs="Arial" w:eastAsia="Arial" w:hAnsi="Arial"/>
          <w:sz w:val="20"/>
          <w:szCs w:val="20"/>
        </w:rPr>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13"/>
        <w:gridCol w:w="2513"/>
      </w:tblGrid>
      <w:tr>
        <w:tc>
          <w:tcPr>
            <w:tcW w:type="dxa" w:w="1800"/>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BP Action Type</w:t>
            </w:r>
          </w:p>
        </w:tc>
        <w:tc>
          <w:tcPr>
            <w:tcW w:type="dxa" w:w="2200"/>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Definition</w:t>
            </w:r>
          </w:p>
        </w:tc>
        <w:tc>
          <w:tcPr>
            <w:tcW w:type="dxa" w:w="251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Who Typically Holds This?</w:t>
            </w:r>
          </w:p>
        </w:tc>
        <w:tc>
          <w:tcPr>
            <w:tcW w:type="dxa" w:w="251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Key Behaviour / Exam Point</w:t>
            </w:r>
          </w:p>
        </w:tc>
      </w:tr>
      <w:tr>
        <w:tc>
          <w:tcPr>
            <w:tcW w:type="dxa" w:w="18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Initiate</w:t>
            </w:r>
          </w:p>
        </w:tc>
        <w:tc>
          <w:tcPr>
            <w:tcW w:type="dxa" w:w="22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Permission to start or submit a business process transaction.</w:t>
            </w:r>
          </w:p>
        </w:tc>
        <w:tc>
          <w:tcPr>
            <w:tcW w:type="dxa" w:w="2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Self-service employees (for personal changes), HR Partners, Managers.</w:t>
            </w:r>
          </w:p>
        </w:tc>
        <w:tc>
          <w:tcPr>
            <w:tcW w:type="dxa" w:w="2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 user can initiate a BP without being able to approve it. Initiate and Approve are always separate.</w:t>
            </w:r>
          </w:p>
        </w:tc>
      </w:tr>
      <w:tr>
        <w:tc>
          <w:tcPr>
            <w:tcW w:type="dxa" w:w="18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Review (To-Do)</w:t>
            </w:r>
          </w:p>
        </w:tc>
        <w:tc>
          <w:tcPr>
            <w:tcW w:type="dxa" w:w="22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Permission to view and acknowledge a step — no approval decision is made.</w:t>
            </w:r>
          </w:p>
        </w:tc>
        <w:tc>
          <w:tcPr>
            <w:tcW w:type="dxa" w:w="2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Legal, Compliance, Finance stakeholders who need visibility but not decision rights.</w:t>
            </w:r>
          </w:p>
        </w:tc>
        <w:tc>
          <w:tcPr>
            <w:tcW w:type="dxa" w:w="2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 Review step does NOT block the process if skipped by the reviewer. It is informational.</w:t>
            </w:r>
          </w:p>
        </w:tc>
      </w:tr>
      <w:tr>
        <w:tc>
          <w:tcPr>
            <w:tcW w:type="dxa" w:w="18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Approve</w:t>
            </w:r>
          </w:p>
        </w:tc>
        <w:tc>
          <w:tcPr>
            <w:tcW w:type="dxa" w:w="22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Permission to approve or deny a BP transaction, advancing or stopping the workflow.</w:t>
            </w:r>
          </w:p>
        </w:tc>
        <w:tc>
          <w:tcPr>
            <w:tcW w:type="dxa" w:w="2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Managers, HR Business Partners, Senior Leadership.</w:t>
            </w:r>
          </w:p>
        </w:tc>
        <w:tc>
          <w:tcPr>
            <w:tcW w:type="dxa" w:w="2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Denial sends the process back or cancels it entirely. Only one approver per step is typically required unless configured otherwise.</w:t>
            </w:r>
          </w:p>
        </w:tc>
      </w:tr>
      <w:tr>
        <w:tc>
          <w:tcPr>
            <w:tcW w:type="dxa" w:w="18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Rescind</w:t>
            </w:r>
          </w:p>
        </w:tc>
        <w:tc>
          <w:tcPr>
            <w:tcW w:type="dxa" w:w="22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Permission to undo a completed business process that has already been approved.</w:t>
            </w:r>
          </w:p>
        </w:tc>
        <w:tc>
          <w:tcPr>
            <w:tcW w:type="dxa" w:w="2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HR Administrators, System Administrators.</w:t>
            </w:r>
          </w:p>
        </w:tc>
        <w:tc>
          <w:tcPr>
            <w:tcW w:type="dxa" w:w="25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Rescind is a Domain-level permission (not a BP step). Candidates often place it in the wrong policy type.</w:t>
            </w:r>
          </w:p>
        </w:tc>
      </w:tr>
      <w:tr>
        <w:tc>
          <w:tcPr>
            <w:tcW w:type="dxa" w:w="18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Cancel</w:t>
            </w:r>
          </w:p>
        </w:tc>
        <w:tc>
          <w:tcPr>
            <w:tcW w:type="dxa" w:w="22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Permission to cancel an in-flight (not yet completed) business process.</w:t>
            </w:r>
          </w:p>
        </w:tc>
        <w:tc>
          <w:tcPr>
            <w:tcW w:type="dxa" w:w="2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Initiators, HR Partners (often).</w:t>
            </w:r>
          </w:p>
        </w:tc>
        <w:tc>
          <w:tcPr>
            <w:tcW w:type="dxa" w:w="25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Cancel is configured at the BP level. A user can cancel only while the process is in an active, incomplete state.</w:t>
            </w:r>
          </w:p>
        </w:tc>
      </w:tr>
    </w:tbl>
    <w:p>
      <w:pPr>
        <w:spacing w:before="80" w:after="0"/>
      </w:pPr>
    </w:p>
    <w:p>
      <w:pPr>
        <w:spacing w:before="80" w:after="80"/>
      </w:pPr>
      <w:r>
        <w:rPr>
          <w:rFonts w:ascii="Arial" w:cs="Arial" w:eastAsia="Arial" w:hAnsi="Arial"/>
          <w:sz w:val="20"/>
          <w:szCs w:val="20"/>
        </w:rPr>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00000" w:sz="12"/>
              <w:left w:val="thick" w:color="000000" w:sz="12"/>
              <w:bottom w:val="single" w:color="000000" w:sz="6"/>
              <w:right w:val="single" w:color="000000" w:sz="6"/>
            </w:tcBorders>
            <w:shd w:fill="F5F5F5" w:val="clear"/>
            <w:tcMar>
              <w:top w:type="dxa" w:w="100"/>
              <w:left w:type="dxa" w:w="200"/>
              <w:bottom w:type="dxa" w:w="100"/>
              <w:right w:type="dxa" w:w="200"/>
            </w:tcMar>
          </w:tcPr>
          <w:p>
            <w:r>
              <w:rPr>
                <w:rFonts w:ascii="Arial" w:cs="Arial" w:eastAsia="Arial" w:hAnsi="Arial"/>
                <w:b/>
                <w:bCs/>
                <w:caps/>
                <w:sz w:val="20"/>
                <w:szCs w:val="20"/>
              </w:rPr>
              <w:t xml:space="preserve">EXAMINER'S TRAP — Common Failure Points</w:t>
            </w:r>
          </w:p>
          <w:p>
            <w:pPr>
              <w:pStyle w:val="ListParagraph"/>
              <w:numPr>
                <w:ilvl w:val="0"/>
                <w:numId w:val="4"/>
              </w:numPr>
              <w:spacing w:before="40" w:after="40"/>
            </w:pPr>
            <w:r>
              <w:rPr>
                <w:rFonts w:ascii="Arial" w:cs="Arial" w:eastAsia="Arial" w:hAnsi="Arial"/>
                <w:b/>
                <w:bCs/>
                <w:sz w:val="19"/>
                <w:szCs w:val="19"/>
              </w:rPr>
              <w:t xml:space="preserve">Rescind is a Domain permission, NOT a BP step.</w:t>
            </w:r>
            <w:r>
              <w:rPr>
                <w:rFonts w:ascii="Arial" w:cs="Arial" w:eastAsia="Arial" w:hAnsi="Arial"/>
                <w:sz w:val="19"/>
                <w:szCs w:val="19"/>
              </w:rPr>
              <w:t xml:space="preserve"> This is the most commonly misplaced permission on the exam. Do not configure Rescind in a BP Security Policy.</w:t>
            </w:r>
          </w:p>
          <w:p>
            <w:pPr>
              <w:pStyle w:val="ListParagraph"/>
              <w:numPr>
                <w:ilvl w:val="0"/>
                <w:numId w:val="4"/>
              </w:numPr>
              <w:spacing w:before="40" w:after="40"/>
            </w:pPr>
            <w:r>
              <w:rPr>
                <w:rFonts w:ascii="Arial" w:cs="Arial" w:eastAsia="Arial" w:hAnsi="Arial"/>
                <w:sz w:val="19"/>
                <w:szCs w:val="19"/>
              </w:rPr>
              <w:t xml:space="preserve">A user with only BP Initiate permission can start a workflow but cannot approve it — even their own submission. Approval requires a separate, distinct permission grant.</w:t>
            </w:r>
          </w:p>
          <w:p>
            <w:pPr>
              <w:pStyle w:val="ListParagraph"/>
              <w:numPr>
                <w:ilvl w:val="0"/>
                <w:numId w:val="4"/>
              </w:numPr>
              <w:spacing w:before="40" w:after="40"/>
            </w:pPr>
            <w:r>
              <w:rPr>
                <w:rFonts w:ascii="Arial" w:cs="Arial" w:eastAsia="Arial" w:hAnsi="Arial"/>
                <w:sz w:val="19"/>
                <w:szCs w:val="19"/>
              </w:rPr>
              <w:t xml:space="preserve">Review (To-Do) steps are non-blocking. A process will continue past a Review step even if the reviewer takes no action, once any configured deadline passes.</w:t>
            </w:r>
          </w:p>
          <w:p>
            <w:pPr>
              <w:pStyle w:val="ListParagraph"/>
              <w:numPr>
                <w:ilvl w:val="0"/>
                <w:numId w:val="4"/>
              </w:numPr>
              <w:spacing w:before="40" w:after="40"/>
            </w:pPr>
            <w:r>
              <w:rPr>
                <w:rFonts w:ascii="Arial" w:cs="Arial" w:eastAsia="Arial" w:hAnsi="Arial"/>
                <w:b/>
                <w:bCs/>
                <w:sz w:val="19"/>
                <w:szCs w:val="19"/>
              </w:rPr>
              <w:t xml:space="preserve">BP Security Policies must be independently activated.</w:t>
            </w:r>
            <w:r>
              <w:rPr>
                <w:rFonts w:ascii="Arial" w:cs="Arial" w:eastAsia="Arial" w:hAnsi="Arial"/>
                <w:sz w:val="19"/>
                <w:szCs w:val="19"/>
              </w:rPr>
              <w:t xml:space="preserve"> Changing a BP policy and activating domain policies does not activate the BP change. Each policy type has its own activation lifecycle.</w:t>
            </w:r>
          </w:p>
        </w:tc>
      </w:tr>
    </w:tbl>
    <w:p>
      <w:pPr>
        <w:spacing w:before="120" w:after="0"/>
      </w:pPr>
    </w:p>
    <w:p>
      <w:pPr>
        <w:pStyle w:val="Heading2"/>
      </w:pPr>
      <w:r>
        <w:rPr>
          <w:rFonts w:ascii="Arial" w:cs="Arial" w:eastAsia="Arial" w:hAnsi="Arial"/>
          <w:b/>
          <w:bCs/>
          <w:color w:val="000000"/>
          <w:sz w:val="28"/>
          <w:szCs w:val="28"/>
        </w:rPr>
        <w:t xml:space="preserve">2.3  Policy Activation: The Critical Path</w:t>
      </w:r>
    </w:p>
    <w:p>
      <w:pPr>
        <w:spacing w:before="60" w:after="0"/>
      </w:pPr>
    </w:p>
    <w:p>
      <w:pPr>
        <w:spacing w:before="80" w:after="80"/>
      </w:pPr>
      <w:r>
        <w:rPr>
          <w:rFonts w:ascii="Arial" w:cs="Arial" w:eastAsia="Arial" w:hAnsi="Arial"/>
          <w:sz w:val="20"/>
          <w:szCs w:val="20"/>
        </w:rPr>
      </w:r>
    </w:p>
    <w:p>
      <w:pPr>
        <w:spacing w:before="80" w:after="0"/>
      </w:pPr>
    </w:p>
    <w:p>
      <w:pPr>
        <w:pStyle w:val="Heading3"/>
      </w:pPr>
      <w:r>
        <w:rPr>
          <w:rFonts w:ascii="Arial" w:cs="Arial" w:eastAsia="Arial" w:hAnsi="Arial"/>
          <w:b/>
          <w:bCs/>
          <w:color w:val="000000"/>
          <w:sz w:val="22"/>
          <w:szCs w:val="22"/>
        </w:rPr>
        <w:t xml:space="preserve">Step-by-Step Activation Critical Path</w:t>
      </w:r>
    </w:p>
    <w:p>
      <w:pPr>
        <w:spacing w:before="40" w:after="0"/>
      </w:pPr>
    </w:p>
    <w:p>
      <w:pPr>
        <w:pStyle w:val="ListParagraph"/>
        <w:numPr>
          <w:ilvl w:val="0"/>
          <w:numId w:val="3"/>
        </w:numPr>
        <w:spacing w:before="40" w:after="4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r>
    </w:p>
    <w:p>
      <w:pPr>
        <w:spacing w:before="100" w:after="0"/>
      </w:pPr>
    </w:p>
    <w:p>
      <w:pPr>
        <w:pStyle w:val="Heading3"/>
      </w:pPr>
      <w:r>
        <w:rPr>
          <w:rFonts w:ascii="Arial" w:cs="Arial" w:eastAsia="Arial" w:hAnsi="Arial"/>
          <w:b/>
          <w:bCs/>
          <w:color w:val="000000"/>
          <w:sz w:val="22"/>
          <w:szCs w:val="22"/>
        </w:rPr>
        <w:t xml:space="preserve">What Happens If You Forget to Activate?</w:t>
      </w:r>
    </w:p>
    <w:p>
      <w:pPr>
        <w:spacing w:before="60" w:after="0"/>
      </w:pPr>
    </w:p>
    <w:p>
      <w:pPr>
        <w:spacing w:before="80" w:after="80"/>
      </w:pPr>
      <w:r>
        <w:rPr>
          <w:rFonts w:ascii="Arial" w:cs="Arial" w:eastAsia="Arial" w:hAnsi="Arial"/>
          <w:sz w:val="20"/>
          <w:szCs w:val="20"/>
        </w:rPr>
        <w:t xml:space="preserve">This is the single most important question in this module. If changes are saved but NOT activated:</w:t>
      </w:r>
    </w:p>
    <w:p>
      <w:pPr>
        <w:spacing w:before="40" w:after="0"/>
      </w:pP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t xml:space="preserve">The system enters a split-state: the edited policy shows pending changes, but the live policy is the pre-edit version.</w:t>
      </w:r>
    </w:p>
    <w:p>
      <w:pPr>
        <w:pStyle w:val="ListParagraph"/>
        <w:numPr>
          <w:ilvl w:val="0"/>
          <w:numId w:val="2"/>
        </w:numPr>
        <w:spacing w:before="40" w:after="40"/>
      </w:pPr>
      <w:r>
        <w:rPr>
          <w:rFonts w:ascii="Arial" w:cs="Arial" w:eastAsia="Arial" w:hAnsi="Arial"/>
          <w:sz w:val="20"/>
          <w:szCs w:val="20"/>
        </w:rPr>
        <w:t xml:space="preserve">Any users expecting new access (e.g., a new HR Partner waiting for their role to be configured) will experience a denial.</w:t>
      </w:r>
    </w:p>
    <w:p>
      <w:pPr>
        <w:pStyle w:val="ListParagraph"/>
        <w:numPr>
          <w:ilvl w:val="0"/>
          <w:numId w:val="2"/>
        </w:numPr>
        <w:spacing w:before="40" w:after="40"/>
      </w:pPr>
      <w:r>
        <w:rPr>
          <w:rFonts w:ascii="Arial" w:cs="Arial" w:eastAsia="Arial" w:hAnsi="Arial"/>
          <w:sz w:val="20"/>
          <w:szCs w:val="20"/>
        </w:rPr>
        <w:t xml:space="preserve">Pending changes persist indefinitely — they do not auto-activate after a timeout. A system administrator must explicitly activate them.</w:t>
      </w:r>
    </w:p>
    <w:p>
      <w:pPr>
        <w:pStyle w:val="ListParagraph"/>
        <w:numPr>
          <w:ilvl w:val="0"/>
          <w:numId w:val="2"/>
        </w:numPr>
        <w:spacing w:before="40" w:after="40"/>
      </w:pPr>
      <w:r>
        <w:rPr>
          <w:rFonts w:ascii="Arial" w:cs="Arial" w:eastAsia="Arial" w:hAnsi="Arial"/>
          <w:sz w:val="20"/>
          <w:szCs w:val="20"/>
        </w:rPr>
        <w:t xml:space="preserve">Multiple rounds of edits can stack in the pending state, all activating simultaneously when the administrator finally runs the activation task.</w:t>
      </w:r>
    </w:p>
    <w:p>
      <w:pPr>
        <w:spacing w:before="80" w:after="0"/>
      </w:pPr>
    </w:p>
    <w:p>
      <w:pPr>
        <w:spacing w:before="80" w:after="80"/>
      </w:pPr>
      <w:r>
        <w:rPr>
          <w:rFonts w:ascii="Arial" w:cs="Arial" w:eastAsia="Arial" w:hAnsi="Arial"/>
          <w:sz w:val="20"/>
          <w:szCs w:val="20"/>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2300"/>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Timestamp Field</w:t>
            </w:r>
          </w:p>
        </w:tc>
        <w:tc>
          <w:tcPr>
            <w:tcW w:type="dxa" w:w="336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Populated When?</w:t>
            </w:r>
          </w:p>
        </w:tc>
        <w:tc>
          <w:tcPr>
            <w:tcW w:type="dxa" w:w="336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Significance</w:t>
            </w:r>
          </w:p>
        </w:tc>
      </w:tr>
      <w:tr>
        <w:tc>
          <w:tcPr>
            <w:tcW w:type="dxa" w:w="23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Last Modified Date</w:t>
            </w:r>
          </w:p>
        </w:tc>
        <w:tc>
          <w:tcPr>
            <w:tcW w:type="dxa" w:w="336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Any edit is saved to the policy.</w:t>
            </w:r>
          </w:p>
        </w:tc>
        <w:tc>
          <w:tcPr>
            <w:tcW w:type="dxa" w:w="336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Tracks audit history of edits. Not the activation date.</w:t>
            </w:r>
          </w:p>
        </w:tc>
      </w:tr>
      <w:tr>
        <w:tc>
          <w:tcPr>
            <w:tcW w:type="dxa" w:w="23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Pending Since</w:t>
            </w:r>
          </w:p>
        </w:tc>
        <w:tc>
          <w:tcPr>
            <w:tcW w:type="dxa" w:w="336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First edit saved after the last activation.</w:t>
            </w:r>
          </w:p>
        </w:tc>
        <w:tc>
          <w:tcPr>
            <w:tcW w:type="dxa" w:w="336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Indicates unactivated changes are waiting. If this field is populated, activation has NOT occurred.</w:t>
            </w:r>
          </w:p>
        </w:tc>
      </w:tr>
      <w:tr>
        <w:tc>
          <w:tcPr>
            <w:tcW w:type="dxa" w:w="23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Active Since</w:t>
            </w:r>
          </w:p>
        </w:tc>
        <w:tc>
          <w:tcPr>
            <w:tcW w:type="dxa" w:w="336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Activation task is successfully run.</w:t>
            </w:r>
          </w:p>
        </w:tc>
        <w:tc>
          <w:tcPr>
            <w:tcW w:type="dxa" w:w="336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The authoritative date/time that live access changed. This is the date that matters for audit purposes.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00000" w:sz="12"/>
              <w:left w:val="thick" w:color="000000" w:sz="12"/>
              <w:bottom w:val="single" w:color="000000" w:sz="6"/>
              <w:right w:val="single" w:color="000000" w:sz="6"/>
            </w:tcBorders>
            <w:shd w:fill="F5F5F5" w:val="clear"/>
            <w:tcMar>
              <w:top w:type="dxa" w:w="100"/>
              <w:left w:type="dxa" w:w="200"/>
              <w:bottom w:type="dxa" w:w="100"/>
              <w:right w:type="dxa" w:w="200"/>
            </w:tcMar>
          </w:tcPr>
          <w:p>
            <w:r>
              <w:rPr>
                <w:rFonts w:ascii="Arial" w:cs="Arial" w:eastAsia="Arial" w:hAnsi="Arial"/>
                <w:b/>
                <w:bCs/>
                <w:caps/>
                <w:sz w:val="20"/>
                <w:szCs w:val="20"/>
              </w:rPr>
              <w:t xml:space="preserve">EXAMINER'S TRAP — Common Failure Points</w:t>
            </w:r>
          </w:p>
          <w:p>
            <w:pPr>
              <w:pStyle w:val="ListParagraph"/>
              <w:numPr>
                <w:ilvl w:val="0"/>
                <w:numId w:val="4"/>
              </w:numPr>
              <w:spacing w:before="40" w:after="40"/>
            </w:pPr>
            <w:r>
              <w:rPr>
                <w:rFonts w:ascii="Arial" w:cs="Arial" w:eastAsia="Arial" w:hAnsi="Arial"/>
                <w:b/>
                <w:bCs/>
                <w:sz w:val="19"/>
                <w:szCs w:val="19"/>
              </w:rPr>
              <w:t xml:space="preserve">Editing and saving a policy does NOT activate it.</w:t>
            </w:r>
            <w:r>
              <w:rPr>
                <w:rFonts w:ascii="Arial" w:cs="Arial" w:eastAsia="Arial" w:hAnsi="Arial"/>
                <w:sz w:val="19"/>
                <w:szCs w:val="19"/>
              </w:rPr>
              <w:t xml:space="preserve"> The system provides no automatic warning that pending changes exist. Administrators must proactively check the pending changes report.</w:t>
            </w:r>
          </w:p>
          <w:p>
            <w:pPr>
              <w:pStyle w:val="ListParagraph"/>
              <w:numPr>
                <w:ilvl w:val="0"/>
                <w:numId w:val="4"/>
              </w:numPr>
              <w:spacing w:before="40" w:after="40"/>
            </w:pPr>
            <w:r>
              <w:rPr>
                <w:rFonts w:ascii="Arial" w:cs="Arial" w:eastAsia="Arial" w:hAnsi="Arial"/>
                <w:sz w:val="19"/>
                <w:szCs w:val="19"/>
              </w:rPr>
              <w:t xml:space="preserve">The activation task is global — it activates ALL pending changes, not just the policy you are working on. This can inadvertently activate other pending changes made by colleagues.</w:t>
            </w:r>
          </w:p>
          <w:p>
            <w:pPr>
              <w:pStyle w:val="ListParagraph"/>
              <w:numPr>
                <w:ilvl w:val="0"/>
                <w:numId w:val="4"/>
              </w:numPr>
              <w:spacing w:before="40" w:after="40"/>
            </w:pPr>
            <w:r>
              <w:rPr>
                <w:rFonts w:ascii="Arial" w:cs="Arial" w:eastAsia="Arial" w:hAnsi="Arial"/>
                <w:b/>
                <w:bCs/>
                <w:sz w:val="19"/>
                <w:szCs w:val="19"/>
              </w:rPr>
              <w:t xml:space="preserve">The 'Active Since' timestamp is the legally significant date.</w:t>
            </w:r>
            <w:r>
              <w:rPr>
                <w:rFonts w:ascii="Arial" w:cs="Arial" w:eastAsia="Arial" w:hAnsi="Arial"/>
                <w:sz w:val="19"/>
                <w:szCs w:val="19"/>
              </w:rPr>
              <w:t xml:space="preserve"> For audit and compliance purposes, access was not granted until this timestamp. The 'Last Modified' date is irrelevant for access control.</w:t>
            </w:r>
          </w:p>
          <w:p>
            <w:pPr>
              <w:pStyle w:val="ListParagraph"/>
              <w:numPr>
                <w:ilvl w:val="0"/>
                <w:numId w:val="4"/>
              </w:numPr>
              <w:spacing w:before="40" w:after="40"/>
            </w:pPr>
            <w:r>
              <w:rPr>
                <w:rFonts w:ascii="Arial" w:cs="Arial" w:eastAsia="Arial" w:hAnsi="Arial"/>
                <w:sz w:val="19"/>
                <w:szCs w:val="19"/>
              </w:rPr>
              <w:t xml:space="preserve">In a sandbox environment, activation is often skipped during testing. Candidates who have only used sandboxes may not have developed the muscle memory to activate. The exam tests this explicitly.</w:t>
            </w:r>
          </w:p>
        </w:tc>
      </w:tr>
    </w:tbl>
    <w:p>
      <w:r>
        <w:br/>
      </w:r>
    </w:p>
    <w:p>
      <w:pPr>
        <w:pStyle w:val="Heading1"/>
      </w:pPr>
      <w:r>
        <w:rPr>
          <w:rFonts w:ascii="Arial" w:cs="Arial" w:eastAsia="Arial" w:hAnsi="Arial"/>
          <w:b/>
          <w:bCs/>
          <w:color w:val="000000"/>
          <w:sz w:val="36"/>
          <w:szCs w:val="36"/>
        </w:rPr>
        <w:t xml:space="preserve">MODULE 3: ADVANCED CONFIGURATION &amp; INHERITANCE</w:t>
      </w:r>
    </w:p>
    <w:p>
      <w:pPr>
        <w:pBdr>
          <w:bottom w:val="single" w:color="AAAAAA" w:sz="6"/>
        </w:pBdr>
        <w:spacing w:before="160" w:after="160"/>
      </w:pPr>
    </w:p>
    <w:p>
      <w:pPr>
        <w:spacing w:before="80" w:after="0"/>
      </w:pPr>
    </w:p>
    <w:p>
      <w:pPr>
        <w:pStyle w:val="Heading2"/>
      </w:pPr>
      <w:r>
        <w:rPr>
          <w:rFonts w:ascii="Arial" w:cs="Arial" w:eastAsia="Arial" w:hAnsi="Arial"/>
          <w:b/>
          <w:bCs/>
          <w:color w:val="000000"/>
          <w:sz w:val="28"/>
          <w:szCs w:val="28"/>
        </w:rPr>
        <w:t xml:space="preserve">3.1  Child Organisation Inheritance from Parent Organisations</w:t>
      </w:r>
    </w:p>
    <w:p>
      <w:pPr>
        <w:spacing w:before="60" w:after="0"/>
      </w:pPr>
    </w:p>
    <w:p>
      <w:pPr>
        <w:spacing w:before="80" w:after="80"/>
      </w:pPr>
      <w:r>
        <w:rPr>
          <w:rFonts w:ascii="Arial" w:cs="Arial" w:eastAsia="Arial" w:hAnsi="Arial"/>
          <w:sz w:val="20"/>
          <w:szCs w:val="20"/>
        </w:rPr>
      </w:r>
    </w:p>
    <w:p>
      <w:pPr>
        <w:spacing w:before="80" w:after="0"/>
      </w:pPr>
    </w:p>
    <w:p>
      <w:pPr>
        <w:spacing w:before="80" w:after="8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spacing w:before="100" w:after="0"/>
      </w:pPr>
    </w:p>
    <w:p>
      <w:pPr>
        <w:pStyle w:val="Heading2"/>
      </w:pPr>
      <w:r>
        <w:rPr>
          <w:rFonts w:ascii="Arial" w:cs="Arial" w:eastAsia="Arial" w:hAnsi="Arial"/>
          <w:b/>
          <w:bCs/>
          <w:color w:val="000000"/>
          <w:sz w:val="28"/>
          <w:szCs w:val="28"/>
        </w:rPr>
        <w:t xml:space="preserve">3.2  Blocking Inheritance: Breaking the Chain</w:t>
      </w:r>
    </w:p>
    <w:p>
      <w:pPr>
        <w:spacing w:before="60" w:after="0"/>
      </w:pPr>
    </w:p>
    <w:p>
      <w:pPr>
        <w:spacing w:before="80" w:after="80"/>
      </w:pPr>
      <w:r>
        <w:rPr>
          <w:rFonts w:ascii="Arial" w:cs="Arial" w:eastAsia="Arial" w:hAnsi="Arial"/>
          <w:sz w:val="20"/>
          <w:szCs w:val="20"/>
        </w:rPr>
      </w:r>
    </w:p>
    <w:p>
      <w:pPr>
        <w:spacing w:before="80" w:after="0"/>
      </w:pPr>
    </w:p>
    <w:p>
      <w:pPr>
        <w:pStyle w:val="Heading3"/>
      </w:pPr>
      <w:r>
        <w:rPr>
          <w:rFonts w:ascii="Arial" w:cs="Arial" w:eastAsia="Arial" w:hAnsi="Arial"/>
          <w:b/>
          <w:bCs/>
          <w:color w:val="000000"/>
          <w:sz w:val="22"/>
          <w:szCs w:val="22"/>
        </w:rPr>
        <w:t xml:space="preserve">Mechanisms to Block Inheritance</w:t>
      </w:r>
    </w:p>
    <w:p>
      <w:pPr>
        <w:spacing w:before="40" w:after="0"/>
      </w:pP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pStyle w:val="ListParagraph"/>
        <w:numPr>
          <w:ilvl w:val="0"/>
          <w:numId w:val="2"/>
        </w:numPr>
        <w:spacing w:before="40" w:after="40"/>
      </w:pPr>
      <w:r>
        <w:rPr>
          <w:rFonts w:ascii="Arial" w:cs="Arial" w:eastAsia="Arial" w:hAnsi="Arial"/>
          <w:sz w:val="20"/>
          <w:szCs w:val="20"/>
        </w:rPr>
      </w:r>
    </w:p>
    <w:p>
      <w:pPr>
        <w:spacing w:before="80" w:after="0"/>
      </w:pPr>
    </w:p>
    <w:p>
      <w:pPr>
        <w:pStyle w:val="Heading3"/>
      </w:pPr>
      <w:r>
        <w:rPr>
          <w:rFonts w:ascii="Arial" w:cs="Arial" w:eastAsia="Arial" w:hAnsi="Arial"/>
          <w:b/>
          <w:bCs/>
          <w:color w:val="000000"/>
          <w:sz w:val="22"/>
          <w:szCs w:val="22"/>
        </w:rPr>
        <w:t xml:space="preserve">Common Inheritance Block Scenarios</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Scenario</w:t>
            </w:r>
          </w:p>
        </w:tc>
        <w:tc>
          <w:tcPr>
            <w:tcW w:type="dxa" w:w="301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Without Inheritance Block</w:t>
            </w:r>
          </w:p>
        </w:tc>
        <w:tc>
          <w:tcPr>
            <w:tcW w:type="dxa" w:w="301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With Inheritance Block</w:t>
            </w:r>
          </w:p>
        </w:tc>
      </w:tr>
      <w:tr>
        <w:tc>
          <w:tcPr>
            <w:tcW w:type="dxa" w:w="30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Executive Compensation Unit under Global HR</w:t>
            </w:r>
          </w:p>
        </w:tc>
        <w:tc>
          <w:tcPr>
            <w:tcW w:type="dxa" w:w="30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All HR Partners with Global HR scope can see exec compensation.</w:t>
            </w:r>
          </w:p>
        </w:tc>
        <w:tc>
          <w:tcPr>
            <w:tcW w:type="dxa" w:w="30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Only explicitly assigned HR roles can access exec compensation data.</w:t>
            </w:r>
          </w:p>
        </w:tc>
      </w:tr>
      <w:tr>
        <w:tc>
          <w:tcPr>
            <w:tcW w:type="dxa" w:w="30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M&amp;A Target under Corporate Development</w:t>
            </w:r>
          </w:p>
        </w:tc>
        <w:tc>
          <w:tcPr>
            <w:tcW w:type="dxa" w:w="30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Corporate HR Partners see the acquisition target's workers.</w:t>
            </w:r>
          </w:p>
        </w:tc>
        <w:tc>
          <w:tcPr>
            <w:tcW w:type="dxa" w:w="30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Only deal-team members with direct assignment can see the target's data.</w:t>
            </w:r>
          </w:p>
        </w:tc>
      </w:tr>
      <w:tr>
        <w:tc>
          <w:tcPr>
            <w:tcW w:type="dxa" w:w="30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Legal Hold sub-org under Legal Department</w:t>
            </w:r>
          </w:p>
        </w:tc>
        <w:tc>
          <w:tcPr>
            <w:tcW w:type="dxa" w:w="30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All Legal Department HR Partners see legal hold employees.</w:t>
            </w:r>
          </w:p>
        </w:tc>
        <w:tc>
          <w:tcPr>
            <w:tcW w:type="dxa" w:w="30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Only General Counsel's office (directly assigned) has access.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00000" w:sz="12"/>
              <w:left w:val="thick" w:color="000000" w:sz="12"/>
              <w:bottom w:val="single" w:color="000000" w:sz="6"/>
              <w:right w:val="single" w:color="000000" w:sz="6"/>
            </w:tcBorders>
            <w:shd w:fill="F5F5F5" w:val="clear"/>
            <w:tcMar>
              <w:top w:type="dxa" w:w="100"/>
              <w:left w:type="dxa" w:w="200"/>
              <w:bottom w:type="dxa" w:w="100"/>
              <w:right w:type="dxa" w:w="200"/>
            </w:tcMar>
          </w:tcPr>
          <w:p>
            <w:r>
              <w:rPr>
                <w:rFonts w:ascii="Arial" w:cs="Arial" w:eastAsia="Arial" w:hAnsi="Arial"/>
                <w:b/>
                <w:bCs/>
                <w:caps/>
                <w:sz w:val="20"/>
                <w:szCs w:val="20"/>
              </w:rPr>
              <w:t xml:space="preserve">EXAMINER'S TRAP — Common Failure Points</w:t>
            </w:r>
          </w:p>
          <w:p>
            <w:pPr>
              <w:pStyle w:val="ListParagraph"/>
              <w:numPr>
                <w:ilvl w:val="0"/>
                <w:numId w:val="4"/>
              </w:numPr>
              <w:spacing w:before="40" w:after="40"/>
            </w:pPr>
            <w:r>
              <w:rPr>
                <w:rFonts w:ascii="Arial" w:cs="Arial" w:eastAsia="Arial" w:hAnsi="Arial"/>
                <w:b/>
                <w:bCs/>
                <w:sz w:val="19"/>
                <w:szCs w:val="19"/>
              </w:rPr>
              <w:t xml:space="preserve">Blocking inheritance at Organisation X also blocks X's descendants.</w:t>
            </w:r>
            <w:r>
              <w:rPr>
                <w:rFonts w:ascii="Arial" w:cs="Arial" w:eastAsia="Arial" w:hAnsi="Arial"/>
                <w:sz w:val="19"/>
                <w:szCs w:val="19"/>
              </w:rPr>
              <w:t xml:space="preserve"> The block is not limited to the single organisation — the entire sub-tree below the block is isolated.</w:t>
            </w:r>
          </w:p>
          <w:p>
            <w:pPr>
              <w:pStyle w:val="ListParagraph"/>
              <w:numPr>
                <w:ilvl w:val="0"/>
                <w:numId w:val="4"/>
              </w:numPr>
              <w:spacing w:before="40" w:after="40"/>
            </w:pPr>
            <w:r>
              <w:rPr>
                <w:rFonts w:ascii="Arial" w:cs="Arial" w:eastAsia="Arial" w:hAnsi="Arial"/>
                <w:sz w:val="19"/>
                <w:szCs w:val="19"/>
              </w:rPr>
              <w:t xml:space="preserve">Blocking inheritance does NOT remove workers from the HR Partner's search results in all contexts. Global search and certain unconstrained domain accesses may still surface worker names. The inheritance block narrows BP and role-based access, not unconstrained domain access.</w:t>
            </w:r>
          </w:p>
          <w:p>
            <w:pPr>
              <w:pStyle w:val="ListParagraph"/>
              <w:numPr>
                <w:ilvl w:val="0"/>
                <w:numId w:val="4"/>
              </w:numPr>
              <w:spacing w:before="40" w:after="40"/>
            </w:pPr>
            <w:r>
              <w:rPr>
                <w:rFonts w:ascii="Arial" w:cs="Arial" w:eastAsia="Arial" w:hAnsi="Arial"/>
                <w:b/>
                <w:bCs/>
                <w:sz w:val="19"/>
                <w:szCs w:val="19"/>
              </w:rPr>
              <w:t xml:space="preserve">An inheritance block creates a 'coverage gap'.</w:t>
            </w:r>
            <w:r>
              <w:rPr>
                <w:rFonts w:ascii="Arial" w:cs="Arial" w:eastAsia="Arial" w:hAnsi="Arial"/>
                <w:sz w:val="19"/>
                <w:szCs w:val="19"/>
              </w:rPr>
              <w:t xml:space="preserve"> If no roles are locally assigned after blocking, workers in the blocked organisation will be unable to initiate role-dependent workflows (e.g., they cannot submit an expense report requiring manager approval if no manager context exists).</w:t>
            </w:r>
          </w:p>
        </w:tc>
      </w:tr>
    </w:tbl>
    <w:p>
      <w:pPr>
        <w:spacing w:before="120" w:after="0"/>
      </w:pPr>
    </w:p>
    <w:p>
      <w:pPr>
        <w:pStyle w:val="Heading2"/>
      </w:pPr>
      <w:r>
        <w:rPr>
          <w:rFonts w:ascii="Arial" w:cs="Arial" w:eastAsia="Arial" w:hAnsi="Arial"/>
          <w:b/>
          <w:bCs/>
          <w:color w:val="000000"/>
          <w:sz w:val="28"/>
          <w:szCs w:val="28"/>
        </w:rPr>
        <w:t xml:space="preserve">3.3  Troubleshooting: Why a User Has Access They Should Not</w:t>
      </w:r>
    </w:p>
    <w:p>
      <w:pPr>
        <w:spacing w:before="60" w:after="0"/>
      </w:pPr>
    </w:p>
    <w:p>
      <w:pPr>
        <w:spacing w:before="80" w:after="80"/>
      </w:pPr>
      <w:r>
        <w:rPr>
          <w:rFonts w:ascii="Arial" w:cs="Arial" w:eastAsia="Arial" w:hAnsi="Arial"/>
          <w:sz w:val="20"/>
          <w:szCs w:val="20"/>
        </w:rPr>
      </w:r>
    </w:p>
    <w:p>
      <w:pPr>
        <w:spacing w:before="80" w:after="0"/>
      </w:pPr>
    </w:p>
    <w:p>
      <w:pPr>
        <w:pStyle w:val="Heading3"/>
      </w:pPr>
      <w:r>
        <w:rPr>
          <w:rFonts w:ascii="Arial" w:cs="Arial" w:eastAsia="Arial" w:hAnsi="Arial"/>
          <w:b/>
          <w:bCs/>
          <w:color w:val="000000"/>
          <w:sz w:val="22"/>
          <w:szCs w:val="22"/>
        </w:rPr>
        <w:t xml:space="preserve">The Aggregation Rule — Critical Formula</w:t>
      </w:r>
    </w:p>
    <w:p>
      <w:pPr>
        <w:spacing w:before="40" w:after="0"/>
      </w:pPr>
    </w:p>
    <w:p>
      <w:pPr>
        <w:spacing w:before="80" w:after="80"/>
      </w:pPr>
      <w:r>
        <w:rPr>
          <w:rFonts w:ascii="Arial" w:cs="Arial" w:eastAsia="Arial" w:hAnsi="Arial"/>
          <w:sz w:val="20"/>
          <w:szCs w:val="20"/>
        </w:rPr>
      </w:r>
    </w:p>
    <w:p>
      <w:pPr>
        <w:spacing w:before="80" w:after="0"/>
      </w:pPr>
    </w:p>
    <w:p>
      <w:pPr>
        <w:spacing w:before="80" w:after="80"/>
      </w:pPr>
      <w:r>
        <w:rPr>
          <w:rFonts w:ascii="Arial" w:cs="Arial" w:eastAsia="Arial" w:hAnsi="Arial"/>
          <w:sz w:val="20"/>
          <w:szCs w:val="20"/>
        </w:rPr>
        <w:t xml:space="preserve">This means that if a user belongs to even one group that grants Modify access to a domain, they have Modify access — regardless of any other group membership. There is no 'deny' group type that can subtract access.</w:t>
      </w:r>
    </w:p>
    <w:p>
      <w:pPr>
        <w:spacing w:before="80" w:after="0"/>
      </w:pPr>
    </w:p>
    <w:p>
      <w:pPr>
        <w:pStyle w:val="Heading3"/>
      </w:pPr>
      <w:r>
        <w:rPr>
          <w:rFonts w:ascii="Arial" w:cs="Arial" w:eastAsia="Arial" w:hAnsi="Arial"/>
          <w:b/>
          <w:bCs/>
          <w:color w:val="000000"/>
          <w:sz w:val="22"/>
          <w:szCs w:val="22"/>
        </w:rPr>
        <w:t xml:space="preserve">Diagnostic Troubleshooting Path</w:t>
      </w:r>
    </w:p>
    <w:p>
      <w:pPr>
        <w:spacing w:before="40" w:after="0"/>
      </w:pPr>
    </w:p>
    <w:p>
      <w:pPr>
        <w:pStyle w:val="ListParagraph"/>
        <w:numPr>
          <w:ilvl w:val="0"/>
          <w:numId w:val="3"/>
        </w:numPr>
        <w:spacing w:before="40" w:after="4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r>
    </w:p>
    <w:p>
      <w:pPr>
        <w:pStyle w:val="ListParagraph"/>
        <w:numPr>
          <w:ilvl w:val="0"/>
          <w:numId w:val="3"/>
        </w:numPr>
        <w:spacing w:before="40" w:after="40"/>
      </w:pPr>
      <w:r>
        <w:rPr>
          <w:rFonts w:ascii="Arial" w:cs="Arial" w:eastAsia="Arial" w:hAnsi="Arial"/>
          <w:sz w:val="20"/>
          <w:szCs w:val="20"/>
        </w:rPr>
      </w:r>
    </w:p>
    <w:p>
      <w:pPr>
        <w:spacing w:before="80" w:after="0"/>
      </w:pPr>
    </w:p>
    <w:p>
      <w:pPr>
        <w:pStyle w:val="Heading3"/>
      </w:pPr>
      <w:r>
        <w:rPr>
          <w:rFonts w:ascii="Arial" w:cs="Arial" w:eastAsia="Arial" w:hAnsi="Arial"/>
          <w:b/>
          <w:bCs/>
          <w:color w:val="000000"/>
          <w:sz w:val="22"/>
          <w:szCs w:val="22"/>
        </w:rPr>
        <w:t xml:space="preserve">Common Root Causes of Unintended Access</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Root Cause</w:t>
            </w:r>
          </w:p>
        </w:tc>
        <w:tc>
          <w:tcPr>
            <w:tcW w:type="dxa" w:w="311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Why It Happens</w:t>
            </w:r>
          </w:p>
        </w:tc>
        <w:tc>
          <w:tcPr>
            <w:tcW w:type="dxa" w:w="3113"/>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Remediation</w:t>
            </w:r>
          </w:p>
        </w:tc>
      </w:tr>
      <w:tr>
        <w:tc>
          <w:tcPr>
            <w:tcW w:type="dxa" w:w="28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Stale User-Based Membership</w:t>
            </w:r>
          </w:p>
        </w:tc>
        <w:tc>
          <w:tcPr>
            <w:tcW w:type="dxa" w:w="31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User promoted or transferred but never removed from original User-Based security group.</w:t>
            </w:r>
          </w:p>
        </w:tc>
        <w:tc>
          <w:tcPr>
            <w:tcW w:type="dxa" w:w="31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Remove user from the stale group. Implement a joiner-mover-leaver review cycle.</w:t>
            </w:r>
          </w:p>
        </w:tc>
      </w:tr>
      <w:tr>
        <w:tc>
          <w:tcPr>
            <w:tcW w:type="dxa" w:w="28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Duplicate Role Assignment</w:t>
            </w:r>
          </w:p>
        </w:tc>
        <w:tc>
          <w:tcPr>
            <w:tcW w:type="dxa" w:w="31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User was assigned a role at both parent and child org — double grant of contextual access.</w:t>
            </w:r>
          </w:p>
        </w:tc>
        <w:tc>
          <w:tcPr>
            <w:tcW w:type="dxa" w:w="31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Remove the redundant lower-level role assignment. Parent scope is sufficient.</w:t>
            </w:r>
          </w:p>
        </w:tc>
      </w:tr>
      <w:tr>
        <w:tc>
          <w:tcPr>
            <w:tcW w:type="dxa" w:w="28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Job Profile Change</w:t>
            </w:r>
          </w:p>
        </w:tc>
        <w:tc>
          <w:tcPr>
            <w:tcW w:type="dxa" w:w="31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User promoted to a Job Profile that is a member of a broader Job-Based security group.</w:t>
            </w:r>
          </w:p>
        </w:tc>
        <w:tc>
          <w:tcPr>
            <w:tcW w:type="dxa" w:w="31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Review Job-Based group membership criteria. Adjust Job Profile if the role change was inadvertent.</w:t>
            </w:r>
          </w:p>
        </w:tc>
      </w:tr>
      <w:tr>
        <w:tc>
          <w:tcPr>
            <w:tcW w:type="dxa" w:w="2800"/>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Unconstrained Group Overlap</w:t>
            </w:r>
          </w:p>
        </w:tc>
        <w:tc>
          <w:tcPr>
            <w:tcW w:type="dxa" w:w="31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User belongs to an unconstrained User-Based group with overly broad domain permissions.</w:t>
            </w:r>
          </w:p>
        </w:tc>
        <w:tc>
          <w:tcPr>
            <w:tcW w:type="dxa" w:w="3113"/>
            <w:gridSpan w:val="1"/>
            <w:tcBorders>
              <w:top w:val="single" w:color="DDDDDD" w:sz="6"/>
              <w:left w:val="single" w:color="DDDDDD" w:sz="6"/>
              <w:bottom w:val="single" w:color="DDDDDD" w:sz="6"/>
              <w:right w:val="single" w:color="DDDDDD" w:sz="6"/>
            </w:tcBorders>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Audit the User-Based group. Constrain or split it. Implement least-privilege principle.</w:t>
            </w:r>
          </w:p>
        </w:tc>
      </w:tr>
      <w:tr>
        <w:tc>
          <w:tcPr>
            <w:tcW w:type="dxa" w:w="28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Intersection Group Side Effect</w:t>
            </w:r>
          </w:p>
        </w:tc>
        <w:tc>
          <w:tcPr>
            <w:tcW w:type="dxa" w:w="31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One of the constituent groups of an intersection was broadened, widening the intersection's effective scope.</w:t>
            </w:r>
          </w:p>
        </w:tc>
        <w:tc>
          <w:tcPr>
            <w:tcW w:type="dxa" w:w="3113"/>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Review both constituent groups of the intersection for recent membership or policy changes.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00000" w:sz="12"/>
              <w:left w:val="thick" w:color="000000" w:sz="12"/>
              <w:bottom w:val="single" w:color="000000" w:sz="6"/>
              <w:right w:val="single" w:color="000000" w:sz="6"/>
            </w:tcBorders>
            <w:shd w:fill="F5F5F5" w:val="clear"/>
            <w:tcMar>
              <w:top w:type="dxa" w:w="100"/>
              <w:left w:type="dxa" w:w="200"/>
              <w:bottom w:type="dxa" w:w="100"/>
              <w:right w:type="dxa" w:w="200"/>
            </w:tcMar>
          </w:tcPr>
          <w:p>
            <w:r>
              <w:rPr>
                <w:rFonts w:ascii="Arial" w:cs="Arial" w:eastAsia="Arial" w:hAnsi="Arial"/>
                <w:b/>
                <w:bCs/>
                <w:caps/>
                <w:sz w:val="20"/>
                <w:szCs w:val="20"/>
              </w:rPr>
              <w:t xml:space="preserve">EXAMINER'S TRAP — Common Failure Points</w:t>
            </w:r>
          </w:p>
          <w:p>
            <w:pPr>
              <w:pStyle w:val="ListParagraph"/>
              <w:numPr>
                <w:ilvl w:val="0"/>
                <w:numId w:val="4"/>
              </w:numPr>
              <w:spacing w:before="40" w:after="40"/>
            </w:pPr>
            <w:r>
              <w:rPr>
                <w:rFonts w:ascii="Arial" w:cs="Arial" w:eastAsia="Arial" w:hAnsi="Arial"/>
                <w:b/>
                <w:bCs/>
                <w:sz w:val="19"/>
                <w:szCs w:val="19"/>
              </w:rPr>
              <w:t xml:space="preserve">There is no DENY permission in Workday native security.</w:t>
            </w:r>
            <w:r>
              <w:rPr>
                <w:rFonts w:ascii="Arial" w:cs="Arial" w:eastAsia="Arial" w:hAnsi="Arial"/>
                <w:sz w:val="19"/>
                <w:szCs w:val="19"/>
              </w:rPr>
              <w:t xml:space="preserve"> Once any group grants access, it cannot be revoked by membership in a 'deny' group. The only remediation is removing the user from the granting group or removing the permission from the granting policy.</w:t>
            </w:r>
          </w:p>
          <w:p>
            <w:pPr>
              <w:pStyle w:val="ListParagraph"/>
              <w:numPr>
                <w:ilvl w:val="0"/>
                <w:numId w:val="4"/>
              </w:numPr>
              <w:spacing w:before="40" w:after="40"/>
            </w:pPr>
            <w:r>
              <w:rPr>
                <w:rFonts w:ascii="Arial" w:cs="Arial" w:eastAsia="Arial" w:hAnsi="Arial"/>
                <w:sz w:val="19"/>
                <w:szCs w:val="19"/>
              </w:rPr>
              <w:t xml:space="preserve">Do not remove permissions from a shared security group to fix one user's access. This affects ALL members of the group. Remove the individual user from the group instead.</w:t>
            </w:r>
          </w:p>
          <w:p>
            <w:pPr>
              <w:pStyle w:val="ListParagraph"/>
              <w:numPr>
                <w:ilvl w:val="0"/>
                <w:numId w:val="4"/>
              </w:numPr>
              <w:spacing w:before="40" w:after="40"/>
            </w:pPr>
            <w:r>
              <w:rPr>
                <w:rFonts w:ascii="Arial" w:cs="Arial" w:eastAsia="Arial" w:hAnsi="Arial"/>
                <w:b/>
                <w:bCs/>
                <w:sz w:val="19"/>
                <w:szCs w:val="19"/>
              </w:rPr>
              <w:t xml:space="preserve">The 'effective permissions' view shows the union of all grants.</w:t>
            </w:r>
            <w:r>
              <w:rPr>
                <w:rFonts w:ascii="Arial" w:cs="Arial" w:eastAsia="Arial" w:hAnsi="Arial"/>
                <w:sz w:val="19"/>
                <w:szCs w:val="19"/>
              </w:rPr>
              <w:t xml:space="preserve"> If a user appears to have access that no single group should provide, look for multiple groups each providing partial access that together create the unexpected combination.</w:t>
            </w:r>
          </w:p>
        </w:tc>
      </w:tr>
    </w:tbl>
    <w:p>
      <w:r>
        <w:br/>
      </w:r>
    </w:p>
    <w:p>
      <w:pPr>
        <w:pStyle w:val="Heading1"/>
      </w:pPr>
      <w:r>
        <w:rPr>
          <w:rFonts w:ascii="Arial" w:cs="Arial" w:eastAsia="Arial" w:hAnsi="Arial"/>
          <w:b/>
          <w:bCs/>
          <w:color w:val="000000"/>
          <w:sz w:val="36"/>
          <w:szCs w:val="36"/>
        </w:rPr>
        <w:t xml:space="preserve">MODULE 4: EXAMINER'S CORNER — SCENARIO-BASED QUESTIONS</w:t>
      </w:r>
    </w:p>
    <w:p>
      <w:pPr>
        <w:pBdr>
          <w:bottom w:val="single" w:color="AAAAAA" w:sz="6"/>
        </w:pBdr>
        <w:spacing w:before="160" w:after="160"/>
      </w:pPr>
    </w:p>
    <w:p>
      <w:pPr>
        <w:spacing w:before="60" w:after="0"/>
      </w:pPr>
    </w:p>
    <w:p>
      <w:pPr>
        <w:spacing w:before="80" w:after="80"/>
      </w:pPr>
      <w:r>
        <w:rPr>
          <w:rFonts w:ascii="Arial" w:cs="Arial" w:eastAsia="Arial" w:hAnsi="Arial"/>
          <w:sz w:val="20"/>
          <w:szCs w:val="20"/>
        </w:rPr>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8"/>
              <w:left w:val="single" w:color="000000" w:sz="8"/>
              <w:bottom w:val="single" w:color="000000" w:sz="8"/>
              <w:right w:val="single" w:color="000000" w:sz="8"/>
            </w:tcBorders>
            <w:shd w:fill="F5F5F5" w:val="clear"/>
            <w:tcMar>
              <w:top w:type="dxa" w:w="120"/>
              <w:left w:type="dxa" w:w="200"/>
              <w:bottom w:type="dxa" w:w="120"/>
              <w:right w:type="dxa" w:w="200"/>
            </w:tcMar>
          </w:tcPr>
          <w:p>
            <w:r>
              <w:rPr>
                <w:rFonts w:ascii="Arial" w:cs="Arial" w:eastAsia="Arial" w:hAnsi="Arial"/>
                <w:b/>
                <w:bCs/>
                <w:caps/>
                <w:sz w:val="19"/>
                <w:szCs w:val="19"/>
              </w:rPr>
              <w:t xml:space="preserve">SCENARIO 1</w:t>
            </w:r>
          </w:p>
          <w:p>
            <w:pPr>
              <w:spacing w:before="80" w:after="60"/>
            </w:pPr>
            <w:r>
              <w:rPr>
                <w:rFonts w:ascii="Arial" w:cs="Arial" w:eastAsia="Arial" w:hAnsi="Arial"/>
                <w:b/>
                <w:bCs/>
                <w:i/>
                <w:iCs/>
                <w:sz w:val="20"/>
                <w:szCs w:val="20"/>
              </w:rPr>
              <w:t xml:space="preserve">An employee transfers from the European Operations Supervisory Organisation to the North America Operations Supervisory Organisation. Two weeks after the transfer, an HR Partner assigned only to the European Operations org reports they can still see this worker's current employment details and run reports on them. What is the most likely technical cause, and what corrective action should be taken?</w:t>
            </w:r>
          </w:p>
          <w:p>
            <w:r>
              <w:rPr>
                <w:rFonts w:ascii="Arial" w:cs="Arial" w:eastAsia="Arial" w:hAnsi="Arial"/>
                <w:b/>
                <w:bCs/>
                <w:caps/>
                <w:sz w:val="18"/>
                <w:szCs w:val="18"/>
              </w:rPr>
              <w:t xml:space="preserve">CORRECT ANSWER &amp; GRADING RATIONALE</w:t>
            </w:r>
          </w:p>
          <w:p>
            <w:pPr>
              <w:spacing w:before="40" w:after="40"/>
            </w:pPr>
            <w:r>
              <w:rPr>
                <w:rFonts w:ascii="Arial" w:cs="Arial" w:eastAsia="Arial" w:hAnsi="Arial"/>
                <w:sz w:val="19"/>
                <w:szCs w:val="19"/>
              </w:rPr>
              <w:t xml:space="preserve">The most likely cause is that the employee is a member of an unconstrained User-Based Security Group that the European HR Partner's reporting permissions also grant access to, OR the HR Partner has an unconstrained Domain-level View permission that is not scoped to their Role's supervisory organisation context. Alternatively, the worker may have a dual record or a secondary assignment still anchored within the European Operations scope.</w:t>
            </w:r>
          </w:p>
          <w:p>
            <w:pPr>
              <w:spacing w:before="60" w:after="40"/>
            </w:pPr>
            <w:r>
              <w:rPr>
                <w:rFonts w:ascii="Arial" w:cs="Arial" w:eastAsia="Arial" w:hAnsi="Arial"/>
                <w:b/>
                <w:bCs/>
                <w:sz w:val="19"/>
                <w:szCs w:val="19"/>
              </w:rPr>
              <w:t xml:space="preserve">Technical Reasoning: </w:t>
            </w:r>
            <w:r>
              <w:rPr>
                <w:rFonts w:ascii="Arial" w:cs="Arial" w:eastAsia="Arial" w:hAnsi="Arial"/>
                <w:sz w:val="19"/>
                <w:szCs w:val="19"/>
              </w:rPr>
              <w:t xml:space="preserve">Contextual security via Role-Based groups restricts access to workers WITHIN a supervisory organisation's hierarchy. However, Domain Security Policies with unconstrained View access bypass this contextual filter. The examiner awards marks for identifying: (a) the distinction between role-based contextual access and unconstrained domain access; (b) the aggregation model (the HR Partner likely has multiple group memberships, one of which is unconstrained); and (c) the correct diagnostic path using 'View Security for Securable Item' on the worker record. Answers that only cite 'caching' or 'replication delay' receive no marks — Workday security is transaction-consistent, not eventually consistent.</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8"/>
              <w:left w:val="single" w:color="000000" w:sz="8"/>
              <w:bottom w:val="single" w:color="000000" w:sz="8"/>
              <w:right w:val="single" w:color="000000" w:sz="8"/>
            </w:tcBorders>
            <w:shd w:fill="F5F5F5" w:val="clear"/>
            <w:tcMar>
              <w:top w:type="dxa" w:w="120"/>
              <w:left w:type="dxa" w:w="200"/>
              <w:bottom w:type="dxa" w:w="120"/>
              <w:right w:type="dxa" w:w="200"/>
            </w:tcMar>
          </w:tcPr>
          <w:p>
            <w:r>
              <w:rPr>
                <w:rFonts w:ascii="Arial" w:cs="Arial" w:eastAsia="Arial" w:hAnsi="Arial"/>
                <w:b/>
                <w:bCs/>
                <w:caps/>
                <w:sz w:val="19"/>
                <w:szCs w:val="19"/>
              </w:rPr>
              <w:t xml:space="preserve">SCENARIO 2</w:t>
            </w:r>
          </w:p>
          <w:p>
            <w:pPr>
              <w:spacing w:before="80" w:after="60"/>
            </w:pPr>
            <w:r>
              <w:rPr>
                <w:rFonts w:ascii="Arial" w:cs="Arial" w:eastAsia="Arial" w:hAnsi="Arial"/>
                <w:b/>
                <w:bCs/>
                <w:i/>
                <w:iCs/>
                <w:sz w:val="20"/>
                <w:szCs w:val="20"/>
              </w:rPr>
              <w:t xml:space="preserve">A Workday administrator adds a new Security Group to a Domain Security Policy, granting it Modify access to the Compensation domain. She saves the change and informs the payroll team they now have access. The payroll team reports they still cannot edit compensation records. The administrator checks the security policy and can see her changes listed. What has she failed to do, and what is the exact technical term for the current state of the policy?</w:t>
            </w:r>
          </w:p>
          <w:p>
            <w:r>
              <w:rPr>
                <w:rFonts w:ascii="Arial" w:cs="Arial" w:eastAsia="Arial" w:hAnsi="Arial"/>
                <w:b/>
                <w:bCs/>
                <w:caps/>
                <w:sz w:val="18"/>
                <w:szCs w:val="18"/>
              </w:rPr>
              <w:t xml:space="preserve">CORRECT ANSWER &amp; GRADING RATIONALE</w:t>
            </w:r>
          </w:p>
          <w:p>
            <w:pPr>
              <w:spacing w:before="40" w:after="40"/>
            </w:pPr>
            <w:r>
              <w:rPr>
                <w:rFonts w:ascii="Arial" w:cs="Arial" w:eastAsia="Arial" w:hAnsi="Arial"/>
                <w:sz w:val="19"/>
                <w:szCs w:val="19"/>
              </w:rPr>
              <w:t xml:space="preserve">The administrator has failed to run the 'Activate Pending Security Policy Changes' task. The policy is currently in a 'Pending Changes' state. The Pending Since timestamp has been populated, but the Active Since timestamp has not been updated. The live policy still reflects the pre-edit configuration.</w:t>
            </w:r>
          </w:p>
          <w:p>
            <w:pPr>
              <w:spacing w:before="60" w:after="40"/>
            </w:pPr>
            <w:r>
              <w:rPr>
                <w:rFonts w:ascii="Arial" w:cs="Arial" w:eastAsia="Arial" w:hAnsi="Arial"/>
                <w:b/>
                <w:bCs/>
                <w:sz w:val="19"/>
                <w:szCs w:val="19"/>
              </w:rPr>
              <w:t xml:space="preserve">Technical Reasoning: </w:t>
            </w:r>
            <w:r>
              <w:rPr>
                <w:rFonts w:ascii="Arial" w:cs="Arial" w:eastAsia="Arial" w:hAnsi="Arial"/>
                <w:sz w:val="19"/>
                <w:szCs w:val="19"/>
              </w:rPr>
              <w:t xml:space="preserve">This scenario directly tests the two-phase commit model of Workday security. The examiner is looking for three specific answers: (1) the missing action — running the Activate Pending Security Policy Changes task; (2) the correct term for the policy state — 'Pending Changes' (not 'Draft', 'Saved', or 'Staged'); and (3) awareness that the edit and the activation are completely independent operations. Partial credit is awarded for identifying the activation requirement. Full marks require also identifying that ALL pending changes across ALL policies activate simultaneously, which is a risk to note before activating.</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8"/>
              <w:left w:val="single" w:color="000000" w:sz="8"/>
              <w:bottom w:val="single" w:color="000000" w:sz="8"/>
              <w:right w:val="single" w:color="000000" w:sz="8"/>
            </w:tcBorders>
            <w:shd w:fill="F5F5F5" w:val="clear"/>
            <w:tcMar>
              <w:top w:type="dxa" w:w="120"/>
              <w:left w:type="dxa" w:w="200"/>
              <w:bottom w:type="dxa" w:w="120"/>
              <w:right w:type="dxa" w:w="200"/>
            </w:tcMar>
          </w:tcPr>
          <w:p>
            <w:r>
              <w:rPr>
                <w:rFonts w:ascii="Arial" w:cs="Arial" w:eastAsia="Arial" w:hAnsi="Arial"/>
                <w:b/>
                <w:bCs/>
                <w:caps/>
                <w:sz w:val="19"/>
                <w:szCs w:val="19"/>
              </w:rPr>
              <w:t xml:space="preserve">SCENARIO 3</w:t>
            </w:r>
          </w:p>
          <w:p>
            <w:pPr>
              <w:spacing w:before="80" w:after="60"/>
            </w:pPr>
            <w:r>
              <w:rPr>
                <w:rFonts w:ascii="Arial" w:cs="Arial" w:eastAsia="Arial" w:hAnsi="Arial"/>
                <w:b/>
                <w:bCs/>
                <w:i/>
                <w:iCs/>
                <w:sz w:val="20"/>
                <w:szCs w:val="20"/>
              </w:rPr>
              <w:t xml:space="preserve">Your organisation needs to configure a security model where a Manager can only approve Time Off requests for workers who directly report to them. They should not be able to approve time off for workers in other departments, and they should not be able to initiate Time Off requests on behalf of workers at all. Which security group type and which Business Process permission(s) are required? What would happen if you incorrectly used a User-Based group for this configuration?</w:t>
            </w:r>
          </w:p>
          <w:p>
            <w:r>
              <w:rPr>
                <w:rFonts w:ascii="Arial" w:cs="Arial" w:eastAsia="Arial" w:hAnsi="Arial"/>
                <w:b/>
                <w:bCs/>
                <w:caps/>
                <w:sz w:val="18"/>
                <w:szCs w:val="18"/>
              </w:rPr>
              <w:t xml:space="preserve">CORRECT ANSWER &amp; GRADING RATIONALE</w:t>
            </w:r>
          </w:p>
          <w:p>
            <w:pPr>
              <w:spacing w:before="40" w:after="40"/>
            </w:pPr>
            <w:r>
              <w:rPr>
                <w:rFonts w:ascii="Arial" w:cs="Arial" w:eastAsia="Arial" w:hAnsi="Arial"/>
                <w:sz w:val="19"/>
                <w:szCs w:val="19"/>
              </w:rPr>
              <w:t xml:space="preserve">A Role-Based Security Group with the Manager role, constrained to the worker's direct Supervisory Organisation, is required. The BP Security Policy for the Time Off business process should grant this group the 'Approve' action permission only — NOT the 'Initiate' permission. Using a User-Based group would remove the organisational constraint, potentially allowing the manager to approve time off for any worker in the tenant (unconstrained access). The 'Initiate on behalf of' functionality is governed by a separate Initiate permission and should be explicitly excluded.</w:t>
            </w:r>
          </w:p>
          <w:p>
            <w:pPr>
              <w:spacing w:before="60" w:after="40"/>
            </w:pPr>
            <w:r>
              <w:rPr>
                <w:rFonts w:ascii="Arial" w:cs="Arial" w:eastAsia="Arial" w:hAnsi="Arial"/>
                <w:b/>
                <w:bCs/>
                <w:sz w:val="19"/>
                <w:szCs w:val="19"/>
              </w:rPr>
              <w:t xml:space="preserve">Technical Reasoning: </w:t>
            </w:r>
            <w:r>
              <w:rPr>
                <w:rFonts w:ascii="Arial" w:cs="Arial" w:eastAsia="Arial" w:hAnsi="Arial"/>
                <w:sz w:val="19"/>
                <w:szCs w:val="19"/>
              </w:rPr>
              <w:t xml:space="preserve">The examiner awards marks in three areas: (1) correct identification of Role-Based Security Group as the appropriate type due to its inherent organisational constraint; (2) correct identification of 'Approve' (not 'Initiate') as the required BP permission; and (3) articulation of the risk of User-Based groups — specifically that they are unconstrained by default, meaning a User-Based grant of Approve on the Time Off BP would allow the individual to approve ANY worker's time off across the entire tenant. Candidates who suggest Intersection Groups receive partial credit only if they correctly define both constituent groups.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8"/>
              <w:left w:val="single" w:color="000000" w:sz="8"/>
              <w:bottom w:val="single" w:color="000000" w:sz="8"/>
              <w:right w:val="single" w:color="000000" w:sz="8"/>
            </w:tcBorders>
            <w:shd w:fill="F5F5F5" w:val="clear"/>
            <w:tcMar>
              <w:top w:type="dxa" w:w="120"/>
              <w:left w:type="dxa" w:w="200"/>
              <w:bottom w:type="dxa" w:w="120"/>
              <w:right w:type="dxa" w:w="200"/>
            </w:tcMar>
          </w:tcPr>
          <w:p>
            <w:r>
              <w:rPr>
                <w:rFonts w:ascii="Arial" w:cs="Arial" w:eastAsia="Arial" w:hAnsi="Arial"/>
                <w:b/>
                <w:bCs/>
                <w:caps/>
                <w:sz w:val="19"/>
                <w:szCs w:val="19"/>
              </w:rPr>
              <w:t xml:space="preserve">SCENARIO 4</w:t>
            </w:r>
          </w:p>
          <w:p>
            <w:pPr>
              <w:spacing w:before="80" w:after="60"/>
            </w:pPr>
            <w:r>
              <w:rPr>
                <w:rFonts w:ascii="Arial" w:cs="Arial" w:eastAsia="Arial" w:hAnsi="Arial"/>
                <w:b/>
                <w:bCs/>
                <w:i/>
                <w:iCs/>
                <w:sz w:val="20"/>
                <w:szCs w:val="20"/>
              </w:rPr>
              <w:t xml:space="preserve">A newly created child Supervisory Organisation called 'Project Phoenix' has been created under the 'Technology Division' parent organisation. The CISO requires that no existing role-holders in Technology Division can see Project Phoenix workers, and that only three named individuals should have any HR access. What is the precise sequence of configuration steps to achieve this securely?</w:t>
            </w:r>
          </w:p>
          <w:p>
            <w:r>
              <w:rPr>
                <w:rFonts w:ascii="Arial" w:cs="Arial" w:eastAsia="Arial" w:hAnsi="Arial"/>
                <w:b/>
                <w:bCs/>
                <w:caps/>
                <w:sz w:val="18"/>
                <w:szCs w:val="18"/>
              </w:rPr>
              <w:t xml:space="preserve">CORRECT ANSWER &amp; GRADING RATIONALE</w:t>
            </w:r>
          </w:p>
          <w:p>
            <w:pPr>
              <w:spacing w:before="40" w:after="40"/>
            </w:pPr>
            <w:r>
              <w:rPr>
                <w:rFonts w:ascii="Arial" w:cs="Arial" w:eastAsia="Arial" w:hAnsi="Arial"/>
                <w:sz w:val="19"/>
                <w:szCs w:val="19"/>
              </w:rPr>
              <w:t xml:space="preserve">Step 1: Enable the 'Restrict Role Inheritance' flag on the Project Phoenix Supervisory Organisation immediately upon or before creation, before any workers are assigned. Step 2: Create or identify a User-Based Security Group containing only the three named individuals. Step 3: Assign the required roles (e.g., HR Partner) for this User-Based group explicitly and directly to Project Phoenix — not to Technology Division. Step 4: Confirm that the Domain and BP Security Policy permissions are appropriately scoped. Step 5: Activate all pending security policy changes. Step 6: Validate using 'View Security Groups for User' for a sample Technology Division HR Partner to confirm they cannot see Project Phoenix workers.</w:t>
            </w:r>
          </w:p>
          <w:p>
            <w:pPr>
              <w:spacing w:before="60" w:after="40"/>
            </w:pPr>
            <w:r>
              <w:rPr>
                <w:rFonts w:ascii="Arial" w:cs="Arial" w:eastAsia="Arial" w:hAnsi="Arial"/>
                <w:b/>
                <w:bCs/>
                <w:sz w:val="19"/>
                <w:szCs w:val="19"/>
              </w:rPr>
              <w:t xml:space="preserve">Technical Reasoning: </w:t>
            </w:r>
            <w:r>
              <w:rPr>
                <w:rFonts w:ascii="Arial" w:cs="Arial" w:eastAsia="Arial" w:hAnsi="Arial"/>
                <w:sz w:val="19"/>
                <w:szCs w:val="19"/>
              </w:rPr>
              <w:t xml:space="preserve">The examiner tests sequential reasoning and the inheritance block mechanism. Key marks are awarded for: (1) blocking inheritance BEFORE assigning workers (if workers are assigned before the block is enabled, a window of exposure exists); (2) using User-Based rather than Role-Based for the three individuals (a Role-Based group with inheritance blocked would still require a role assignment — User-Based is more direct for named individuals); (3) the activation step — candidates who omit activation lose significant marks; and (4) the validation step, which demonstrates operational completeness. Answers that describe blocking inheritance only at the Technology Division level receive no marks — the block must be applied at Project Phoenix.</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8"/>
              <w:left w:val="single" w:color="000000" w:sz="8"/>
              <w:bottom w:val="single" w:color="000000" w:sz="8"/>
              <w:right w:val="single" w:color="000000" w:sz="8"/>
            </w:tcBorders>
            <w:shd w:fill="F5F5F5" w:val="clear"/>
            <w:tcMar>
              <w:top w:type="dxa" w:w="120"/>
              <w:left w:type="dxa" w:w="200"/>
              <w:bottom w:type="dxa" w:w="120"/>
              <w:right w:type="dxa" w:w="200"/>
            </w:tcMar>
          </w:tcPr>
          <w:p>
            <w:r>
              <w:rPr>
                <w:rFonts w:ascii="Arial" w:cs="Arial" w:eastAsia="Arial" w:hAnsi="Arial"/>
                <w:b/>
                <w:bCs/>
                <w:caps/>
                <w:sz w:val="19"/>
                <w:szCs w:val="19"/>
              </w:rPr>
              <w:t xml:space="preserve">SCENARIO 5</w:t>
            </w:r>
          </w:p>
          <w:p>
            <w:pPr>
              <w:spacing w:before="80" w:after="60"/>
            </w:pPr>
            <w:r>
              <w:rPr>
                <w:rFonts w:ascii="Arial" w:cs="Arial" w:eastAsia="Arial" w:hAnsi="Arial"/>
                <w:b/>
                <w:bCs/>
                <w:i/>
                <w:iCs/>
                <w:sz w:val="20"/>
                <w:szCs w:val="20"/>
              </w:rPr>
              <w:t xml:space="preserve">An auditor discovers that a Benefits Administrator has Modify access to the 'Personal Information' domain, which they should not have. The Benefits Administrator is a member of three security groups: (A) a Job-Based group tied to 'Benefits Administrator' job profile, (B) a User-Based group called 'Benefits Team - General', and (C) an Intersection group combining 'Benefits Managers' and 'All Employees'. Modify on Personal Information is not listed in the Job-Based group's policy. Where should you look next, and how do you definitively identify the granting source without trial-and-error removal?</w:t>
            </w:r>
          </w:p>
          <w:p>
            <w:r>
              <w:rPr>
                <w:rFonts w:ascii="Arial" w:cs="Arial" w:eastAsia="Arial" w:hAnsi="Arial"/>
                <w:b/>
                <w:bCs/>
                <w:caps/>
                <w:sz w:val="18"/>
                <w:szCs w:val="18"/>
              </w:rPr>
              <w:t xml:space="preserve">CORRECT ANSWER &amp; GRADING RATIONALE</w:t>
            </w:r>
          </w:p>
          <w:p>
            <w:pPr>
              <w:spacing w:before="40" w:after="40"/>
            </w:pPr>
            <w:r>
              <w:rPr>
                <w:rFonts w:ascii="Arial" w:cs="Arial" w:eastAsia="Arial" w:hAnsi="Arial"/>
                <w:sz w:val="19"/>
                <w:szCs w:val="19"/>
              </w:rPr>
              <w:t xml:space="preserve">Use the 'View Security for Securable Item' report, filtered to the 'Personal Information' domain and the Modify permission. This report lists every Security Group and Policy that grants Modify access. Cross-reference the output against the user's group memberships (from 'View Security Groups for User'). The granting source will be either the 'Benefits Team - General' User-Based group's policy, or one or both of the constituent groups of the Intersection group. The Intersection group should be examined by decomposing it into its two constituent groups and checking each independently.</w:t>
            </w:r>
          </w:p>
          <w:p>
            <w:pPr>
              <w:spacing w:before="60" w:after="40"/>
            </w:pPr>
            <w:r>
              <w:rPr>
                <w:rFonts w:ascii="Arial" w:cs="Arial" w:eastAsia="Arial" w:hAnsi="Arial"/>
                <w:b/>
                <w:bCs/>
                <w:sz w:val="19"/>
                <w:szCs w:val="19"/>
              </w:rPr>
              <w:t xml:space="preserve">Technical Reasoning: </w:t>
            </w:r>
            <w:r>
              <w:rPr>
                <w:rFonts w:ascii="Arial" w:cs="Arial" w:eastAsia="Arial" w:hAnsi="Arial"/>
                <w:sz w:val="19"/>
                <w:szCs w:val="19"/>
              </w:rPr>
              <w:t xml:space="preserve">The examiner is testing diagnostic methodology. Full marks require: (1) using the correct diagnostic report ('View Security for Securable Item') rather than trial-and-error group removal; (2) understanding that the Intersection Group itself is not a granting mechanism — the grant flows from its constituent groups, which must be checked independently; (3) recognising that the aggregation model means you need to find the specific granting policy, not just the granting group; and (4) noting that the correct remediation is to remove the Modify permission from the granting group's policy (or remove the user from the granting group if the Modify is needed by other members) — NOT to add a 'deny' policy, which does not exist in Workday.</w:t>
            </w:r>
          </w:p>
        </w:tc>
      </w:tr>
    </w:tbl>
    <w:p>
      <w:pPr>
        <w:spacing w:before="80" w:after="0"/>
      </w:pPr>
    </w:p>
    <w:p>
      <w:r>
        <w:br/>
      </w:r>
    </w:p>
    <w:p>
      <w:pPr>
        <w:pStyle w:val="Heading1"/>
      </w:pPr>
      <w:r>
        <w:rPr>
          <w:rFonts w:ascii="Arial" w:cs="Arial" w:eastAsia="Arial" w:hAnsi="Arial"/>
          <w:b/>
          <w:bCs/>
          <w:color w:val="000000"/>
          <w:sz w:val="36"/>
          <w:szCs w:val="36"/>
        </w:rPr>
        <w:t xml:space="preserve">APPENDIX: QUICK REFERENCE TERMINOLOGY</w:t>
      </w:r>
    </w:p>
    <w:p>
      <w:pPr>
        <w:pBdr>
          <w:bottom w:val="single" w:color="AAAAAA" w:sz="6"/>
        </w:pBdr>
        <w:spacing w:before="160" w:after="160"/>
      </w:pP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Term</w:t>
            </w:r>
          </w:p>
        </w:tc>
        <w:tc>
          <w:tcPr>
            <w:tcW w:type="dxa" w:w="6626"/>
            <w:tcBorders>
              <w:top w:val="single" w:color="000000" w:sz="8"/>
              <w:left w:val="single" w:color="000000" w:sz="8"/>
              <w:bottom w:val="single" w:color="000000" w:sz="8"/>
              <w:right w:val="single" w:color="000000" w:sz="8"/>
            </w:tcBorders>
            <w:shd w:fill="444444" w:val="clear"/>
            <w:tcMar>
              <w:top w:type="dxa" w:w="80"/>
              <w:left w:type="dxa" w:w="130"/>
              <w:bottom w:type="dxa" w:w="80"/>
              <w:right w:type="dxa" w:w="130"/>
            </w:tcMar>
          </w:tcPr>
          <w:p>
            <w:pPr>
              <w:jc w:val="left"/>
            </w:pPr>
            <w:r>
              <w:rPr>
                <w:rFonts w:ascii="Arial" w:cs="Arial" w:eastAsia="Arial" w:hAnsi="Arial"/>
                <w:b/>
                <w:bCs/>
                <w:color w:val="FFFFFF"/>
                <w:sz w:val="18"/>
                <w:szCs w:val="18"/>
              </w:rPr>
              <w:t xml:space="preserve">Definition</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Active Since</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The timestamp when a security policy change went live. The authoritative date for access control audit purposes.</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Aggregation Model</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Workday's OR-logic permission model: effective access is the union of all group memberships.</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Business Process Security Policy</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Governs access to specific BP workflow actions (Initiate, Review, Approve, Cancel).</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Constrained Security Group</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 group whose scope is limited to a defined population (e.g., a supervisory organisation).</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Domain</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 securable cluster of related data items or actions within a Functional Area.</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Domain Security Policy</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Governs View and Modify access to data items, reports, and integration endpoints.</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Functional Area</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The top-level grouping of related business domains (e.g., Payroll, Benefits, Staffing).</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Inheritance (Downward)</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Role-Based context flowing from parent to child Supervisory Organisations.</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Intersection Security Group</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 group defined by the AND of two constituent groups; most restrictive type.</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Job-Based Security Group</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Membership determined by a worker's Job Profile attribute. Self-maintaining.</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OMS</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Object Management System. The data model layer through which all security access is evaluated.</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Pending Changes</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State of a security policy after editing but BEFORE activation. No live access change occurs.</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Rescind</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Permission to undo a completed BP. Configured at Domain level, NOT in BP Security Policy.</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Restrict Role Inheritance</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Flag applied to an org to block parent role assignments from cascading in.</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Role-Based Security Group</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Membership tied to an organisational role assignment. Constrained by org scope.</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Securable Item</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Any data element or action that can be protected by a security policy.</w:t>
            </w:r>
          </w:p>
        </w:tc>
      </w:tr>
      <w:tr>
        <w:tc>
          <w:tcPr>
            <w:tcW w:type="dxa" w:w="2400"/>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Unconstrained</w:t>
            </w:r>
          </w:p>
        </w:tc>
        <w:tc>
          <w:tcPr>
            <w:tcW w:type="dxa" w:w="6626"/>
            <w:gridSpan w:val="1"/>
            <w:tcBorders>
              <w:top w:val="single" w:color="DDDDDD" w:sz="6"/>
              <w:left w:val="single" w:color="DDDDDD" w:sz="6"/>
              <w:bottom w:val="single" w:color="DDDDDD" w:sz="6"/>
              <w:right w:val="single" w:color="DDDDDD" w:sz="6"/>
            </w:tcBorders>
            <w:shd w:fill="F5F5F5"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Access that applies globally across all instances of a securable item, with no scope limit.</w:t>
            </w:r>
          </w:p>
        </w:tc>
      </w:tr>
      <w:tr>
        <w:tc>
          <w:tcPr>
            <w:tcW w:type="dxa" w:w="2400"/>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bCs/>
                <w:i w:val="false"/>
                <w:iCs w:val="false"/>
                <w:sz w:val="18"/>
                <w:szCs w:val="18"/>
              </w:rPr>
              <w:t xml:space="preserve">User-Based Security Group</w:t>
            </w:r>
          </w:p>
        </w:tc>
        <w:tc>
          <w:tcPr>
            <w:tcW w:type="dxa" w:w="6626"/>
            <w:gridSpan w:val="1"/>
            <w:tcBorders>
              <w:top w:val="single" w:color="DDDDDD" w:sz="6"/>
              <w:left w:val="single" w:color="DDDDDD" w:sz="6"/>
              <w:bottom w:val="single" w:color="DDDDDD" w:sz="6"/>
              <w:right w:val="single" w:color="DDDDDD" w:sz="6"/>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sz w:val="18"/>
                <w:szCs w:val="18"/>
              </w:rPr>
              <w:t xml:space="preserve">Named users assigned directly. Unconstrained by default. Highest maintenance overhead.</w:t>
            </w:r>
          </w:p>
        </w:tc>
      </w:tr>
    </w:tbl>
    <w:p>
      <w:pPr>
        <w:spacing w:before="120" w:after="0"/>
      </w:pPr>
    </w:p>
    <w:p>
      <w:pPr>
        <w:pBdr>
          <w:bottom w:val="single" w:color="AAAAAA" w:sz="6"/>
        </w:pBdr>
        <w:spacing w:before="160" w:after="160"/>
      </w:pPr>
    </w:p>
    <w:p>
      <w:pPr>
        <w:spacing w:before="80" w:after="0"/>
        <w:jc w:val="center"/>
      </w:pPr>
      <w:r>
        <w:rPr>
          <w:rFonts w:ascii="Arial" w:cs="Arial" w:eastAsia="Arial" w:hAnsi="Arial"/>
          <w:b/>
          <w:bCs/>
          <w:caps/>
          <w:sz w:val="20"/>
          <w:szCs w:val="20"/>
        </w:rPr>
        <w:t xml:space="preserve">END OF EXAM READINESS GUIDE</w:t>
      </w:r>
    </w:p>
    <w:p>
      <w:pPr>
        <w:spacing w:before="40" w:after="0"/>
        <w:jc w:val="center"/>
      </w:pPr>
      <w:r>
        <w:rPr>
          <w:rFonts w:ascii="Arial" w:cs="Arial" w:eastAsia="Arial" w:hAnsi="Arial"/>
          <w:i/>
          <w:iCs/>
          <w:color w:val="444444"/>
          <w:sz w:val="18"/>
          <w:szCs w:val="18"/>
        </w:rPr>
        <w:t xml:space="preserve">Review all four modules before sitting the examination. Good luck.</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pBdr>
      <w:spacing w:before="80" w:after="0"/>
      <w:jc w:val="center"/>
    </w:pPr>
    <w:r>
      <w:rPr>
        <w:rFonts w:ascii="Arial" w:cs="Arial" w:eastAsia="Arial" w:hAnsi="Arial"/>
        <w:color w:val="AAAAAA"/>
        <w:sz w:val="14"/>
        <w:szCs w:val="14"/>
      </w:rPr>
      <w:t xml:space="preserve">For examination preparation only. Not for distribution. All Workday feature descriptions are based on general platform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pBdr>
      <w:spacing w:before="0" w:after="120"/>
    </w:pPr>
    <w:r>
      <w:rPr>
        <w:rFonts w:ascii="Arial" w:cs="Arial" w:eastAsia="Arial" w:hAnsi="Arial"/>
        <w:color w:val="444444"/>
        <w:sz w:val="16"/>
        <w:szCs w:val="16"/>
      </w:rPr>
      <w:t xml:space="preserve">WORKDAY SECURITY CERTIFICATION — EXAM READINESS GUIDE</w:t>
    </w:r>
    <w:r>
      <w:rPr>
        <w:rFonts w:ascii="Arial" w:cs="Arial" w:eastAsia="Arial" w:hAnsi="Arial"/>
        <w:color w:val="444444"/>
        <w:sz w:val="16"/>
        <w:szCs w:val="16"/>
      </w:rPr>
      <w:t xml:space="preserve">     |     CONFIDENTIAL     |     Page </w:t>
    </w:r>
    <w:r>
      <w:rPr>
        <w:rFonts w:ascii="Arial" w:cs="Arial" w:eastAsia="Arial" w:hAnsi="Arial"/>
        <w:color w:val="444444"/>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22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2026-02-10T06:17:28.761Z</dcterms:created>
  <dcterms:modified xsi:type="dcterms:W3CDTF">2026-02-10T06:17:28.762Z</dcterms:modified>
</cp:coreProperties>
</file>

<file path=docProps/custom.xml><?xml version="1.0" encoding="utf-8"?>
<Properties xmlns="http://schemas.openxmlformats.org/officeDocument/2006/custom-properties" xmlns:vt="http://schemas.openxmlformats.org/officeDocument/2006/docPropsVTypes"/>
</file>