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ParseAnything Document Report</w:t>
      </w:r>
    </w:p>
    <w:p>
      <w:r>
        <w:t>Universal Document Ingestion System</w:t>
      </w:r>
    </w:p>
    <w:p>
      <w:pPr>
        <w:pStyle w:val="Heading1"/>
      </w:pPr>
      <w:r>
        <w:t>Sales Summary</w:t>
      </w:r>
    </w:p>
    <w:p>
      <w:r>
        <w:t>North America: 142.50</w:t>
      </w:r>
    </w:p>
    <w:p>
      <w:r>
        <w:t>Western Europe: 98.15</w:t>
      </w:r>
    </w:p>
    <w:p>
      <w:r>
        <w:t>Asia Pacific: 215.80</w:t>
      </w:r>
    </w:p>
    <w:p>
      <w:r>
        <w:t>Latin America: 64.20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Region</w:t>
            </w:r>
          </w:p>
        </w:tc>
        <w:tc>
          <w:tcPr>
            <w:tcW w:type="dxa" w:w="2880"/>
          </w:tcPr>
          <w:p>
            <w:r>
              <w:t>Sales</w:t>
            </w:r>
          </w:p>
        </w:tc>
        <w:tc>
          <w:tcPr>
            <w:tcW w:type="dxa" w:w="2880"/>
          </w:tcPr>
          <w:p>
            <w:r>
              <w:t>Net Margin</w:t>
            </w:r>
          </w:p>
        </w:tc>
      </w:tr>
      <w:tr>
        <w:tc>
          <w:tcPr>
            <w:tcW w:type="dxa" w:w="2880"/>
          </w:tcPr>
          <w:p>
            <w:r>
              <w:t>North America</w:t>
            </w:r>
          </w:p>
        </w:tc>
        <w:tc>
          <w:tcPr>
            <w:tcW w:type="dxa" w:w="2880"/>
          </w:tcPr>
          <w:p>
            <w:r>
              <w:t>142.50</w:t>
            </w:r>
          </w:p>
        </w:tc>
        <w:tc>
          <w:tcPr>
            <w:tcW w:type="dxa" w:w="2880"/>
          </w:tcPr>
          <w:p>
            <w:r>
              <w:t>38.1%</w:t>
            </w:r>
          </w:p>
        </w:tc>
      </w:tr>
      <w:tr>
        <w:tc>
          <w:tcPr>
            <w:tcW w:type="dxa" w:w="2880"/>
          </w:tcPr>
          <w:p>
            <w:r>
              <w:t>Western Europe</w:t>
            </w:r>
          </w:p>
        </w:tc>
        <w:tc>
          <w:tcPr>
            <w:tcW w:type="dxa" w:w="2880"/>
          </w:tcPr>
          <w:p>
            <w:r>
              <w:t>98.15</w:t>
            </w:r>
          </w:p>
        </w:tc>
        <w:tc>
          <w:tcPr>
            <w:tcW w:type="dxa" w:w="2880"/>
          </w:tcPr>
          <w:p>
            <w:r>
              <w:t>37.4%</w:t>
            </w:r>
          </w:p>
        </w:tc>
      </w:tr>
      <w:tr>
        <w:tc>
          <w:tcPr>
            <w:tcW w:type="dxa" w:w="2880"/>
          </w:tcPr>
          <w:p>
            <w:r>
              <w:t>Asia Pacific</w:t>
            </w:r>
          </w:p>
        </w:tc>
        <w:tc>
          <w:tcPr>
            <w:tcW w:type="dxa" w:w="2880"/>
          </w:tcPr>
          <w:p>
            <w:r>
              <w:t>215.80</w:t>
            </w:r>
          </w:p>
        </w:tc>
        <w:tc>
          <w:tcPr>
            <w:tcW w:type="dxa" w:w="2880"/>
          </w:tcPr>
          <w:p>
            <w:r>
              <w:t>47.7%</w:t>
            </w:r>
          </w:p>
        </w:tc>
      </w:tr>
      <w:tr>
        <w:tc>
          <w:tcPr>
            <w:tcW w:type="dxa" w:w="2880"/>
          </w:tcPr>
          <w:p>
            <w:r>
              <w:t>Latin America</w:t>
            </w:r>
          </w:p>
        </w:tc>
        <w:tc>
          <w:tcPr>
            <w:tcW w:type="dxa" w:w="2880"/>
          </w:tcPr>
          <w:p>
            <w:r>
              <w:t>64.20</w:t>
            </w:r>
          </w:p>
        </w:tc>
        <w:tc>
          <w:tcPr>
            <w:tcW w:type="dxa" w:w="2880"/>
          </w:tcPr>
          <w:p>
            <w:r>
              <w:t>23.5%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