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60"/>
      </w:pPr>
      <w:r>
        <w:rPr>
          <w:rFonts w:ascii="Aptos" w:hAnsi="Aptos"/>
          <w:sz w:val="40"/>
          <w:b/>
          <w:color w:val="1F6F5B"/>
        </w:rPr>
        <w:t xml:space="preserve">Digital Maturity Model (DMM)</w:t>
      </w:r>
    </w:p>
    <w:p>
      <w:pPr>
        <w:jc w:val="center"/>
        <w:spacing w:after="180"/>
      </w:pPr>
      <w:r>
        <w:rPr>
          <w:rFonts w:ascii="Aptos" w:hAnsi="Aptos"/>
          <w:sz w:val="30"/>
          <w:b/>
        </w:rPr>
        <w:t xml:space="preserve">Development Document</w:t>
      </w:r>
    </w:p>
    <w:p>
      <w:pPr>
        <w:jc w:val="center"/>
        <w:spacing w:after="260"/>
      </w:pPr>
      <w:r>
        <w:rPr>
          <w:rFonts w:ascii="Aptos" w:hAnsi="Aptos"/>
          <w:sz w:val="22"/>
          <w:color w:val="52645C"/>
        </w:rPr>
        <w:t xml:space="preserve">Jal Jeevan Mission · Product, technical design and requirements baseline</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700" w:type="dxa"/>
          </w:tcPr>
          <w:p>
            <w:pPr>
              <w:spacing w:after="0"/>
            </w:pPr>
            <w:r>
              <w:rPr>
                <w:rFonts w:ascii="Aptos" w:hAnsi="Aptos"/>
                <w:sz w:val="19"/>
                <w:b/>
                <w:color w:val="FFFFFF"/>
              </w:rPr>
              <w:t xml:space="preserve">Document item</w:t>
            </w:r>
          </w:p>
        </w:tc>
        <w:tc>
          <w:tcPr>
            <w:shd w:fill="1F6F5B"/>
            <w:tcW w:w="6300" w:type="dxa"/>
          </w:tcPr>
          <w:p>
            <w:pPr>
              <w:spacing w:after="0"/>
            </w:pPr>
            <w:r>
              <w:rPr>
                <w:rFonts w:ascii="Aptos" w:hAnsi="Aptos"/>
                <w:sz w:val="19"/>
                <w:b/>
                <w:color w:val="FFFFFF"/>
              </w:rPr>
              <w:t xml:space="preserve">Value</w:t>
            </w:r>
          </w:p>
        </w:tc>
      </w:tr>
      <w:tr>
        <w:tc>
          <w:tcPr>
            <w:shd w:fill="F3F6F5"/>
            <w:tcW w:w="2700" w:type="dxa"/>
          </w:tcPr>
          <w:p>
            <w:pPr>
              <w:spacing w:after="0"/>
            </w:pPr>
            <w:r>
              <w:rPr>
                <w:rFonts w:ascii="Aptos" w:hAnsi="Aptos"/>
                <w:sz w:val="19"/>
                <w:color w:val="17211D"/>
              </w:rPr>
              <w:t xml:space="preserve">Document status</w:t>
            </w:r>
          </w:p>
        </w:tc>
        <w:tc>
          <w:tcPr>
            <w:shd w:fill="F3F6F5"/>
            <w:tcW w:w="6300" w:type="dxa"/>
          </w:tcPr>
          <w:p>
            <w:pPr>
              <w:spacing w:after="0"/>
            </w:pPr>
            <w:r>
              <w:rPr>
                <w:rFonts w:ascii="Aptos" w:hAnsi="Aptos"/>
                <w:sz w:val="19"/>
                <w:color w:val="17211D"/>
              </w:rPr>
              <w:t xml:space="preserve">Development baseline / implementation handoff</w:t>
            </w:r>
          </w:p>
        </w:tc>
      </w:tr>
      <w:tr>
        <w:tc>
          <w:tcPr>
            <w:shd w:fill="F3F6F5"/>
            <w:tcW w:w="2700" w:type="dxa"/>
          </w:tcPr>
          <w:p>
            <w:pPr>
              <w:spacing w:after="0"/>
            </w:pPr>
            <w:r>
              <w:rPr>
                <w:rFonts w:ascii="Aptos" w:hAnsi="Aptos"/>
                <w:sz w:val="19"/>
                <w:color w:val="17211D"/>
              </w:rPr>
              <w:t xml:space="preserve">Prepared</w:t>
            </w:r>
          </w:p>
        </w:tc>
        <w:tc>
          <w:tcPr>
            <w:shd w:fill="F3F6F5"/>
            <w:tcW w:w="6300" w:type="dxa"/>
          </w:tcPr>
          <w:p>
            <w:pPr>
              <w:spacing w:after="0"/>
            </w:pPr>
            <w:r>
              <w:rPr>
                <w:rFonts w:ascii="Aptos" w:hAnsi="Aptos"/>
                <w:sz w:val="19"/>
                <w:color w:val="17211D"/>
              </w:rPr>
              <w:t xml:space="preserve">11 September 2026</w:t>
            </w:r>
          </w:p>
        </w:tc>
      </w:tr>
      <w:tr>
        <w:tc>
          <w:tcPr>
            <w:shd w:fill="F3F6F5"/>
            <w:tcW w:w="2700" w:type="dxa"/>
          </w:tcPr>
          <w:p>
            <w:pPr>
              <w:spacing w:after="0"/>
            </w:pPr>
            <w:r>
              <w:rPr>
                <w:rFonts w:ascii="Aptos" w:hAnsi="Aptos"/>
                <w:sz w:val="19"/>
                <w:color w:val="17211D"/>
              </w:rPr>
              <w:t xml:space="preserve">System</w:t>
            </w:r>
          </w:p>
        </w:tc>
        <w:tc>
          <w:tcPr>
            <w:shd w:fill="F3F6F5"/>
            <w:tcW w:w="6300" w:type="dxa"/>
          </w:tcPr>
          <w:p>
            <w:pPr>
              <w:spacing w:after="0"/>
            </w:pPr>
            <w:r>
              <w:rPr>
                <w:rFonts w:ascii="Aptos" w:hAnsi="Aptos"/>
                <w:sz w:val="19"/>
                <w:color w:val="17211D"/>
              </w:rPr>
              <w:t xml:space="preserve">Digital Maturity Model — unified web application</w:t>
            </w:r>
          </w:p>
        </w:tc>
      </w:tr>
      <w:tr>
        <w:tc>
          <w:tcPr>
            <w:shd w:fill="F3F6F5"/>
            <w:tcW w:w="2700" w:type="dxa"/>
          </w:tcPr>
          <w:p>
            <w:pPr>
              <w:spacing w:after="0"/>
            </w:pPr>
            <w:r>
              <w:rPr>
                <w:rFonts w:ascii="Aptos" w:hAnsi="Aptos"/>
                <w:sz w:val="19"/>
                <w:color w:val="17211D"/>
              </w:rPr>
              <w:t xml:space="preserve">Primary users</w:t>
            </w:r>
          </w:p>
        </w:tc>
        <w:tc>
          <w:tcPr>
            <w:shd w:fill="F3F6F5"/>
            <w:tcW w:w="6300" w:type="dxa"/>
          </w:tcPr>
          <w:p>
            <w:pPr>
              <w:spacing w:after="0"/>
            </w:pPr>
            <w:r>
              <w:rPr>
                <w:rFonts w:ascii="Aptos" w:hAnsi="Aptos"/>
                <w:sz w:val="19"/>
                <w:color w:val="17211D"/>
              </w:rPr>
              <w:t xml:space="preserve">State/UT assessors and National Jal Jeevan Mission Centre reviewers</w:t>
            </w:r>
          </w:p>
        </w:tc>
      </w:tr>
      <w:tr>
        <w:tc>
          <w:tcPr>
            <w:shd w:fill="F3F6F5"/>
            <w:tcW w:w="2700" w:type="dxa"/>
          </w:tcPr>
          <w:p>
            <w:pPr>
              <w:spacing w:after="0"/>
            </w:pPr>
            <w:r>
              <w:rPr>
                <w:rFonts w:ascii="Aptos" w:hAnsi="Aptos"/>
                <w:sz w:val="19"/>
                <w:color w:val="17211D"/>
              </w:rPr>
              <w:t xml:space="preserve">Current model</w:t>
            </w:r>
          </w:p>
        </w:tc>
        <w:tc>
          <w:tcPr>
            <w:shd w:fill="F3F6F5"/>
            <w:tcW w:w="6300" w:type="dxa"/>
          </w:tcPr>
          <w:p>
            <w:pPr>
              <w:spacing w:after="0"/>
            </w:pPr>
            <w:r>
              <w:rPr>
                <w:rFonts w:ascii="Aptos" w:hAnsi="Aptos"/>
                <w:sz w:val="19"/>
                <w:color w:val="17211D"/>
              </w:rPr>
              <w:t xml:space="preserve">Version v2.1 · 48 capabilities · 8 layers · score scale 0–4</w:t>
            </w:r>
          </w:p>
        </w:tc>
      </w:tr>
    </w:tbl>
    <w:p>
      <w:pPr>
        <w:spacing w:after="70"/>
      </w:pPr>
      <w:r>
        <w:rPr>
          <w:rFonts w:ascii="Aptos" w:hAnsi="Aptos"/>
          <w:sz w:val="22"/>
        </w:rPr>
        <w:t xml:space="preserve"/>
      </w:r>
    </w:p>
    <w:p>
      <w:pPr>
        <w:spacing w:after="140"/>
      </w:pPr>
      <w:r>
        <w:rPr>
          <w:rFonts w:ascii="Aptos" w:hAnsi="Aptos"/>
          <w:sz w:val="22"/>
          <w:b/>
        </w:rPr>
        <w:t xml:space="preserve">Purpose. </w:t>
      </w:r>
      <w:r>
        <w:rPr>
          <w:rFonts w:ascii="Aptos" w:hAnsi="Aptos"/>
          <w:sz w:val="22"/>
        </w:rPr>
        <w:t xml:space="preserve">This document defines what the DMM tool is intended to achieve, how the current implementation is structured, the requirements it must satisfy, and the controls needed to operate it safely. It is written for product owners, programme stakeholders, developers, testers, deployers and future maintainers.</w:t>
      </w:r>
    </w:p>
    <w:p>
      <w:pPr>
        <w:pStyle w:val="Heading1"/>
        <w:spacing w:after="100"/>
        <w:keepNext/>
      </w:pPr>
      <w:r>
        <w:rPr>
          <w:rFonts w:ascii="Aptos" w:hAnsi="Aptos"/>
          <w:sz w:val="22"/>
        </w:rPr>
        <w:t xml:space="preserve">1. Executive summary</w:t>
      </w:r>
    </w:p>
    <w:p>
      <w:pPr>
        <w:spacing w:after="100"/>
      </w:pPr>
      <w:r>
        <w:rPr>
          <w:rFonts w:ascii="Aptos" w:hAnsi="Aptos"/>
          <w:sz w:val="22"/>
        </w:rPr>
        <w:t xml:space="preserve">DMM is a role-based web application for measuring the digital maturity of State and Union Territory Jal Jeevan Mission systems. A state assessor records a dated assessment against a versioned model. The National Jal Jeevan Mission Centre sees the consolidated picture from submitted assessments, manages assessor access, reviews system evidence, and exports submitted data.</w:t>
      </w:r>
    </w:p>
    <w:p>
      <w:pPr>
        <w:spacing w:after="100"/>
      </w:pPr>
      <w:r>
        <w:rPr>
          <w:rFonts w:ascii="Aptos" w:hAnsi="Aptos"/>
          <w:sz w:val="22"/>
        </w:rPr>
        <w:t xml:space="preserve">The application is intentionally one product and one codebase. Role-based routing and database row-level security provide the separation between state-scoped assessor work and Centre-wide review. The browser never connects directly to PostgreSQL.</w:t>
      </w:r>
    </w:p>
    <w:p>
      <w:pPr>
        <w:pStyle w:val="Heading1"/>
        <w:spacing w:after="100"/>
        <w:keepNext/>
      </w:pPr>
      <w:r>
        <w:rPr>
          <w:rFonts w:ascii="Aptos" w:hAnsi="Aptos"/>
          <w:sz w:val="22"/>
        </w:rPr>
        <w:t xml:space="preserve">2. Objectives</w:t>
      </w:r>
    </w:p>
    <w:p>
      <w:pPr>
        <w:spacing w:after="40"/>
      </w:pPr>
      <w:r>
        <w:rPr>
          <w:rFonts w:ascii="Aptos" w:hAnsi="Aptos"/>
          <w:sz w:val="22"/>
        </w:rPr>
        <w:t xml:space="preserve">• Create a consistent, evidence-aware way for every State/UT to assess the maturity of its Jal Jeevan Mission digital capabilities.</w:t>
      </w:r>
    </w:p>
    <w:p>
      <w:pPr>
        <w:spacing w:after="40"/>
      </w:pPr>
      <w:r>
        <w:rPr>
          <w:rFonts w:ascii="Aptos" w:hAnsi="Aptos"/>
          <w:sz w:val="22"/>
        </w:rPr>
        <w:t xml:space="preserve">• Preserve historical assessments as dated, immutable model-versioned snapshots rather than overwriting one mutable scorecard.</w:t>
      </w:r>
    </w:p>
    <w:p>
      <w:pPr>
        <w:spacing w:after="40"/>
      </w:pPr>
      <w:r>
        <w:rPr>
          <w:rFonts w:ascii="Aptos" w:hAnsi="Aptos"/>
          <w:sz w:val="22"/>
        </w:rPr>
        <w:t xml:space="preserve">• Give the Centre a trustworthy national view based only on submitted assessments and transparent denominator rules.</w:t>
      </w:r>
    </w:p>
    <w:p>
      <w:pPr>
        <w:spacing w:after="40"/>
      </w:pPr>
      <w:r>
        <w:rPr>
          <w:rFonts w:ascii="Aptos" w:hAnsi="Aptos"/>
          <w:sz w:val="22"/>
        </w:rPr>
        <w:t xml:space="preserve">• Make evidence actionable by maintaining a state-owned catalogue of systems, their operational status, districts live and go-live date.</w:t>
      </w:r>
    </w:p>
    <w:p>
      <w:pPr>
        <w:spacing w:after="40"/>
      </w:pPr>
      <w:r>
        <w:rPr>
          <w:rFonts w:ascii="Aptos" w:hAnsi="Aptos"/>
          <w:sz w:val="22"/>
        </w:rPr>
        <w:t xml:space="preserve">• Protect state data through server-side authorization, PostgreSQL row-level security, least-privileged database access and secure sessions.</w:t>
      </w:r>
    </w:p>
    <w:p>
      <w:pPr>
        <w:spacing w:after="40"/>
      </w:pPr>
      <w:r>
        <w:rPr>
          <w:rFonts w:ascii="Aptos" w:hAnsi="Aptos"/>
          <w:sz w:val="22"/>
        </w:rPr>
        <w:t xml:space="preserve">• Provide reviewable exports and browser-print PDF outputs without introducing a separate document-generation service.</w:t>
      </w:r>
    </w:p>
    <w:p>
      <w:pPr>
        <w:spacing w:after="40"/>
      </w:pPr>
      <w:r>
        <w:rPr>
          <w:rFonts w:ascii="Aptos" w:hAnsi="Aptos"/>
          <w:sz w:val="22"/>
        </w:rPr>
        <w:t xml:space="preserve">• Keep model changes auditable and comparable: a model version changes when the meaning of a score changes, and past assessments remain tied to their original wording.</w:t>
      </w:r>
    </w:p>
    <w:p>
      <w:pPr>
        <w:pStyle w:val="Heading1"/>
        <w:spacing w:after="100"/>
        <w:keepNext/>
      </w:pPr>
      <w:r>
        <w:rPr>
          <w:rFonts w:ascii="Aptos" w:hAnsi="Aptos"/>
          <w:sz w:val="22"/>
        </w:rPr>
        <w:t xml:space="preserve">3. Scope and users</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1800" w:type="dxa"/>
          </w:tcPr>
          <w:p>
            <w:pPr>
              <w:spacing w:after="0"/>
            </w:pPr>
            <w:r>
              <w:rPr>
                <w:rFonts w:ascii="Aptos" w:hAnsi="Aptos"/>
                <w:sz w:val="19"/>
                <w:b/>
                <w:color w:val="FFFFFF"/>
              </w:rPr>
              <w:t xml:space="preserve">User / role</w:t>
            </w:r>
          </w:p>
        </w:tc>
        <w:tc>
          <w:tcPr>
            <w:shd w:fill="1F6F5B"/>
            <w:tcW w:w="4050" w:type="dxa"/>
          </w:tcPr>
          <w:p>
            <w:pPr>
              <w:spacing w:after="0"/>
            </w:pPr>
            <w:r>
              <w:rPr>
                <w:rFonts w:ascii="Aptos" w:hAnsi="Aptos"/>
                <w:sz w:val="19"/>
                <w:b/>
                <w:color w:val="FFFFFF"/>
              </w:rPr>
              <w:t xml:space="preserve">Primary responsibilities</w:t>
            </w:r>
          </w:p>
        </w:tc>
        <w:tc>
          <w:tcPr>
            <w:shd w:fill="1F6F5B"/>
            <w:tcW w:w="3150" w:type="dxa"/>
          </w:tcPr>
          <w:p>
            <w:pPr>
              <w:spacing w:after="0"/>
            </w:pPr>
            <w:r>
              <w:rPr>
                <w:rFonts w:ascii="Aptos" w:hAnsi="Aptos"/>
                <w:sz w:val="19"/>
                <w:b/>
                <w:color w:val="FFFFFF"/>
              </w:rPr>
              <w:t xml:space="preserve">Data scope</w:t>
            </w:r>
          </w:p>
        </w:tc>
      </w:tr>
      <w:tr>
        <w:tc>
          <w:tcPr>
            <w:shd w:fill="F3F6F5"/>
            <w:tcW w:w="1800" w:type="dxa"/>
          </w:tcPr>
          <w:p>
            <w:pPr>
              <w:spacing w:after="0"/>
            </w:pPr>
            <w:r>
              <w:rPr>
                <w:rFonts w:ascii="Aptos" w:hAnsi="Aptos"/>
                <w:sz w:val="19"/>
                <w:color w:val="17211D"/>
              </w:rPr>
              <w:t xml:space="preserve">State assessor</w:t>
            </w:r>
          </w:p>
        </w:tc>
        <w:tc>
          <w:tcPr>
            <w:shd w:fill="F3F6F5"/>
            <w:tcW w:w="4050" w:type="dxa"/>
          </w:tcPr>
          <w:p>
            <w:pPr>
              <w:spacing w:after="0"/>
            </w:pPr>
            <w:r>
              <w:rPr>
                <w:rFonts w:ascii="Aptos" w:hAnsi="Aptos"/>
                <w:sz w:val="19"/>
                <w:color w:val="17211D"/>
              </w:rPr>
              <w:t xml:space="preserve">Sign in, maintain systems, score capabilities, attach evidence, review and submit assessments, view results and compare rounds.</w:t>
            </w:r>
          </w:p>
        </w:tc>
        <w:tc>
          <w:tcPr>
            <w:shd w:fill="F3F6F5"/>
            <w:tcW w:w="3150" w:type="dxa"/>
          </w:tcPr>
          <w:p>
            <w:pPr>
              <w:spacing w:after="0"/>
            </w:pPr>
            <w:r>
              <w:rPr>
                <w:rFonts w:ascii="Aptos" w:hAnsi="Aptos"/>
                <w:sz w:val="19"/>
                <w:color w:val="17211D"/>
              </w:rPr>
              <w:t xml:space="preserve">Only their assigned State/UT and its assessments/systems.</w:t>
            </w:r>
          </w:p>
        </w:tc>
      </w:tr>
      <w:tr>
        <w:tc>
          <w:tcPr>
            <w:shd w:fill="F3F6F5"/>
            <w:tcW w:w="1800" w:type="dxa"/>
          </w:tcPr>
          <w:p>
            <w:pPr>
              <w:spacing w:after="0"/>
            </w:pPr>
            <w:r>
              <w:rPr>
                <w:rFonts w:ascii="Aptos" w:hAnsi="Aptos"/>
                <w:sz w:val="19"/>
                <w:color w:val="17211D"/>
              </w:rPr>
              <w:t xml:space="preserve">Centre reviewer</w:t>
            </w:r>
          </w:p>
        </w:tc>
        <w:tc>
          <w:tcPr>
            <w:shd w:fill="F3F6F5"/>
            <w:tcW w:w="4050" w:type="dxa"/>
          </w:tcPr>
          <w:p>
            <w:pPr>
              <w:spacing w:after="0"/>
            </w:pPr>
            <w:r>
              <w:rPr>
                <w:rFonts w:ascii="Aptos" w:hAnsi="Aptos"/>
                <w:sz w:val="19"/>
                <w:color w:val="17211D"/>
              </w:rPr>
              <w:t xml:space="preserve">View national dashboard, manage state assessor accounts, review Solutions Catalogue evidence, inspect state details, export submitted data.</w:t>
            </w:r>
          </w:p>
        </w:tc>
        <w:tc>
          <w:tcPr>
            <w:shd w:fill="F3F6F5"/>
            <w:tcW w:w="3150" w:type="dxa"/>
          </w:tcPr>
          <w:p>
            <w:pPr>
              <w:spacing w:after="0"/>
            </w:pPr>
            <w:r>
              <w:rPr>
                <w:rFonts w:ascii="Aptos" w:hAnsi="Aptos"/>
                <w:sz w:val="19"/>
                <w:color w:val="17211D"/>
              </w:rPr>
              <w:t xml:space="preserve">All states, but only submitted assessments for national reporting.</w:t>
            </w:r>
          </w:p>
        </w:tc>
      </w:tr>
      <w:tr>
        <w:tc>
          <w:tcPr>
            <w:shd w:fill="F3F6F5"/>
            <w:tcW w:w="1800" w:type="dxa"/>
          </w:tcPr>
          <w:p>
            <w:pPr>
              <w:spacing w:after="0"/>
            </w:pPr>
            <w:r>
              <w:rPr>
                <w:rFonts w:ascii="Aptos" w:hAnsi="Aptos"/>
                <w:sz w:val="19"/>
                <w:color w:val="17211D"/>
              </w:rPr>
              <w:t xml:space="preserve">Public visitor</w:t>
            </w:r>
          </w:p>
        </w:tc>
        <w:tc>
          <w:tcPr>
            <w:shd w:fill="F3F6F5"/>
            <w:tcW w:w="4050" w:type="dxa"/>
          </w:tcPr>
          <w:p>
            <w:pPr>
              <w:spacing w:after="0"/>
            </w:pPr>
            <w:r>
              <w:rPr>
                <w:rFonts w:ascii="Aptos" w:hAnsi="Aptos"/>
                <w:sz w:val="19"/>
                <w:color w:val="17211D"/>
              </w:rPr>
              <w:t xml:space="preserve">Read the current public model description and version history; download the public survey form.</w:t>
            </w:r>
          </w:p>
        </w:tc>
        <w:tc>
          <w:tcPr>
            <w:shd w:fill="F3F6F5"/>
            <w:tcW w:w="3150" w:type="dxa"/>
          </w:tcPr>
          <w:p>
            <w:pPr>
              <w:spacing w:after="0"/>
            </w:pPr>
            <w:r>
              <w:rPr>
                <w:rFonts w:ascii="Aptos" w:hAnsi="Aptos"/>
                <w:sz w:val="19"/>
                <w:color w:val="17211D"/>
              </w:rPr>
              <w:t xml:space="preserve">Public model content only; no assessment data.</w:t>
            </w:r>
          </w:p>
        </w:tc>
      </w:tr>
      <w:tr>
        <w:tc>
          <w:tcPr>
            <w:shd w:fill="F3F6F5"/>
            <w:tcW w:w="1800" w:type="dxa"/>
          </w:tcPr>
          <w:p>
            <w:pPr>
              <w:spacing w:after="0"/>
            </w:pPr>
            <w:r>
              <w:rPr>
                <w:rFonts w:ascii="Aptos" w:hAnsi="Aptos"/>
                <w:sz w:val="19"/>
                <w:color w:val="17211D"/>
              </w:rPr>
              <w:t xml:space="preserve">System operator</w:t>
            </w:r>
          </w:p>
        </w:tc>
        <w:tc>
          <w:tcPr>
            <w:shd w:fill="F3F6F5"/>
            <w:tcW w:w="4050" w:type="dxa"/>
          </w:tcPr>
          <w:p>
            <w:pPr>
              <w:spacing w:after="0"/>
            </w:pPr>
            <w:r>
              <w:rPr>
                <w:rFonts w:ascii="Aptos" w:hAnsi="Aptos"/>
                <w:sz w:val="19"/>
                <w:color w:val="17211D"/>
              </w:rPr>
              <w:t xml:space="preserve">Run migrations/seeds, configure environment, monitor health, back up PostgreSQL and publish releases.</w:t>
            </w:r>
          </w:p>
        </w:tc>
        <w:tc>
          <w:tcPr>
            <w:shd w:fill="F3F6F5"/>
            <w:tcW w:w="3150" w:type="dxa"/>
          </w:tcPr>
          <w:p>
            <w:pPr>
              <w:spacing w:after="0"/>
            </w:pPr>
            <w:r>
              <w:rPr>
                <w:rFonts w:ascii="Aptos" w:hAnsi="Aptos"/>
                <w:sz w:val="19"/>
                <w:color w:val="17211D"/>
              </w:rPr>
              <w:t xml:space="preserve">Infrastructure and operational controls, not routine assessment data entry.</w:t>
            </w:r>
          </w:p>
        </w:tc>
      </w:tr>
    </w:tbl>
    <w:p>
      <w:pPr>
        <w:pStyle w:val="Heading1"/>
        <w:spacing w:after="100"/>
        <w:keepNext/>
      </w:pPr>
      <w:r>
        <w:rPr>
          <w:rFonts w:ascii="Aptos" w:hAnsi="Aptos"/>
          <w:sz w:val="22"/>
        </w:rPr>
        <w:t xml:space="preserve">4. Product requirements</w:t>
      </w:r>
    </w:p>
    <w:p>
      <w:pPr>
        <w:spacing w:after="120"/>
      </w:pPr>
      <w:r>
        <w:rPr>
          <w:rFonts w:ascii="Aptos" w:hAnsi="Aptos"/>
          <w:sz w:val="19"/>
          <w:i/>
          <w:color w:val="52645C"/>
        </w:rPr>
        <w:t xml:space="preserve">The requirements below describe the current product contract. IDs are stable references for implementation reviews and acceptance testing.</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850" w:type="dxa"/>
          </w:tcPr>
          <w:p>
            <w:pPr>
              <w:spacing w:after="0"/>
            </w:pPr>
            <w:r>
              <w:rPr>
                <w:rFonts w:ascii="Aptos" w:hAnsi="Aptos"/>
                <w:sz w:val="19"/>
                <w:b/>
                <w:color w:val="FFFFFF"/>
              </w:rPr>
              <w:t xml:space="preserve">ID</w:t>
            </w:r>
          </w:p>
        </w:tc>
        <w:tc>
          <w:tcPr>
            <w:shd w:fill="1F6F5B"/>
            <w:tcW w:w="2050" w:type="dxa"/>
          </w:tcPr>
          <w:p>
            <w:pPr>
              <w:spacing w:after="0"/>
            </w:pPr>
            <w:r>
              <w:rPr>
                <w:rFonts w:ascii="Aptos" w:hAnsi="Aptos"/>
                <w:sz w:val="19"/>
                <w:b/>
                <w:color w:val="FFFFFF"/>
              </w:rPr>
              <w:t xml:space="preserve">Requirement</w:t>
            </w:r>
          </w:p>
        </w:tc>
        <w:tc>
          <w:tcPr>
            <w:shd w:fill="1F6F5B"/>
            <w:tcW w:w="6100" w:type="dxa"/>
          </w:tcPr>
          <w:p>
            <w:pPr>
              <w:spacing w:after="0"/>
            </w:pPr>
            <w:r>
              <w:rPr>
                <w:rFonts w:ascii="Aptos" w:hAnsi="Aptos"/>
                <w:sz w:val="19"/>
                <w:b/>
                <w:color w:val="FFFFFF"/>
              </w:rPr>
              <w:t xml:space="preserve">Acceptance statement</w:t>
            </w:r>
          </w:p>
        </w:tc>
      </w:tr>
      <w:tr>
        <w:tc>
          <w:tcPr>
            <w:shd w:fill="F3F6F5"/>
            <w:tcW w:w="850" w:type="dxa"/>
          </w:tcPr>
          <w:p>
            <w:pPr>
              <w:spacing w:after="0"/>
            </w:pPr>
            <w:r>
              <w:rPr>
                <w:rFonts w:ascii="Aptos" w:hAnsi="Aptos"/>
                <w:sz w:val="19"/>
                <w:color w:val="17211D"/>
              </w:rPr>
              <w:t xml:space="preserve">FR-01</w:t>
            </w:r>
          </w:p>
        </w:tc>
        <w:tc>
          <w:tcPr>
            <w:shd w:fill="F3F6F5"/>
            <w:tcW w:w="2050" w:type="dxa"/>
          </w:tcPr>
          <w:p>
            <w:pPr>
              <w:spacing w:after="0"/>
            </w:pPr>
            <w:r>
              <w:rPr>
                <w:rFonts w:ascii="Aptos" w:hAnsi="Aptos"/>
                <w:sz w:val="19"/>
                <w:color w:val="17211D"/>
              </w:rPr>
              <w:t xml:space="preserve">Authentication and role routing</w:t>
            </w:r>
          </w:p>
        </w:tc>
        <w:tc>
          <w:tcPr>
            <w:shd w:fill="F3F6F5"/>
            <w:tcW w:w="6100" w:type="dxa"/>
          </w:tcPr>
          <w:p>
            <w:pPr>
              <w:spacing w:after="0"/>
            </w:pPr>
            <w:r>
              <w:rPr>
                <w:rFonts w:ascii="Aptos" w:hAnsi="Aptos"/>
                <w:sz w:val="19"/>
                <w:color w:val="17211D"/>
              </w:rPr>
              <w:t xml:space="preserve">The app shall authenticate users with a server-side session, httpOnly cookie and password verification, then route state assessors to the assessment surface and Centre users to the national dashboard.</w:t>
            </w:r>
          </w:p>
        </w:tc>
      </w:tr>
      <w:tr>
        <w:tc>
          <w:tcPr>
            <w:shd w:fill="F3F6F5"/>
            <w:tcW w:w="850" w:type="dxa"/>
          </w:tcPr>
          <w:p>
            <w:pPr>
              <w:spacing w:after="0"/>
            </w:pPr>
            <w:r>
              <w:rPr>
                <w:rFonts w:ascii="Aptos" w:hAnsi="Aptos"/>
                <w:sz w:val="19"/>
                <w:color w:val="17211D"/>
              </w:rPr>
              <w:t xml:space="preserve">FR-02</w:t>
            </w:r>
          </w:p>
        </w:tc>
        <w:tc>
          <w:tcPr>
            <w:shd w:fill="F3F6F5"/>
            <w:tcW w:w="2050" w:type="dxa"/>
          </w:tcPr>
          <w:p>
            <w:pPr>
              <w:spacing w:after="0"/>
            </w:pPr>
            <w:r>
              <w:rPr>
                <w:rFonts w:ascii="Aptos" w:hAnsi="Aptos"/>
                <w:sz w:val="19"/>
                <w:color w:val="17211D"/>
              </w:rPr>
              <w:t xml:space="preserve">State isolation</w:t>
            </w:r>
          </w:p>
        </w:tc>
        <w:tc>
          <w:tcPr>
            <w:shd w:fill="F3F6F5"/>
            <w:tcW w:w="6100" w:type="dxa"/>
          </w:tcPr>
          <w:p>
            <w:pPr>
              <w:spacing w:after="0"/>
            </w:pPr>
            <w:r>
              <w:rPr>
                <w:rFonts w:ascii="Aptos" w:hAnsi="Aptos"/>
                <w:sz w:val="19"/>
                <w:color w:val="17211D"/>
              </w:rPr>
              <w:t xml:space="preserve">A state assessor shall read and write only records belonging to their assigned state. Cross-state access shall fail even if a route identifier is guessed.</w:t>
            </w:r>
          </w:p>
        </w:tc>
      </w:tr>
      <w:tr>
        <w:tc>
          <w:tcPr>
            <w:shd w:fill="F3F6F5"/>
            <w:tcW w:w="850" w:type="dxa"/>
          </w:tcPr>
          <w:p>
            <w:pPr>
              <w:spacing w:after="0"/>
            </w:pPr>
            <w:r>
              <w:rPr>
                <w:rFonts w:ascii="Aptos" w:hAnsi="Aptos"/>
                <w:sz w:val="19"/>
                <w:color w:val="17211D"/>
              </w:rPr>
              <w:t xml:space="preserve">FR-03</w:t>
            </w:r>
          </w:p>
        </w:tc>
        <w:tc>
          <w:tcPr>
            <w:shd w:fill="F3F6F5"/>
            <w:tcW w:w="2050" w:type="dxa"/>
          </w:tcPr>
          <w:p>
            <w:pPr>
              <w:spacing w:after="0"/>
            </w:pPr>
            <w:r>
              <w:rPr>
                <w:rFonts w:ascii="Aptos" w:hAnsi="Aptos"/>
                <w:sz w:val="19"/>
                <w:color w:val="17211D"/>
              </w:rPr>
              <w:t xml:space="preserve">Versioned model</w:t>
            </w:r>
          </w:p>
        </w:tc>
        <w:tc>
          <w:tcPr>
            <w:shd w:fill="F3F6F5"/>
            <w:tcW w:w="6100" w:type="dxa"/>
          </w:tcPr>
          <w:p>
            <w:pPr>
              <w:spacing w:after="0"/>
            </w:pPr>
            <w:r>
              <w:rPr>
                <w:rFonts w:ascii="Aptos" w:hAnsi="Aptos"/>
                <w:sz w:val="19"/>
                <w:color w:val="17211D"/>
              </w:rPr>
              <w:t xml:space="preserve">Capabilities, layer membership, wording and ordering shall be stored in database model-version rows; an assessment shall retain the model version used at creation.</w:t>
            </w:r>
          </w:p>
        </w:tc>
      </w:tr>
      <w:tr>
        <w:tc>
          <w:tcPr>
            <w:shd w:fill="F3F6F5"/>
            <w:tcW w:w="850" w:type="dxa"/>
          </w:tcPr>
          <w:p>
            <w:pPr>
              <w:spacing w:after="0"/>
            </w:pPr>
            <w:r>
              <w:rPr>
                <w:rFonts w:ascii="Aptos" w:hAnsi="Aptos"/>
                <w:sz w:val="19"/>
                <w:color w:val="17211D"/>
              </w:rPr>
              <w:t xml:space="preserve">FR-04</w:t>
            </w:r>
          </w:p>
        </w:tc>
        <w:tc>
          <w:tcPr>
            <w:shd w:fill="F3F6F5"/>
            <w:tcW w:w="2050" w:type="dxa"/>
          </w:tcPr>
          <w:p>
            <w:pPr>
              <w:spacing w:after="0"/>
            </w:pPr>
            <w:r>
              <w:rPr>
                <w:rFonts w:ascii="Aptos" w:hAnsi="Aptos"/>
                <w:sz w:val="19"/>
                <w:color w:val="17211D"/>
              </w:rPr>
              <w:t xml:space="preserve">Assessment lifecycle</w:t>
            </w:r>
          </w:p>
        </w:tc>
        <w:tc>
          <w:tcPr>
            <w:shd w:fill="F3F6F5"/>
            <w:tcW w:w="6100" w:type="dxa"/>
          </w:tcPr>
          <w:p>
            <w:pPr>
              <w:spacing w:after="0"/>
            </w:pPr>
            <w:r>
              <w:rPr>
                <w:rFonts w:ascii="Aptos" w:hAnsi="Aptos"/>
                <w:sz w:val="19"/>
                <w:color w:val="17211D"/>
              </w:rPr>
              <w:t xml:space="preserve">The app shall support blank and pre-filled assessment starts, autosaved draft scores, review, submission, read-only results and deletion of eligible drafts/history according to the current rules.</w:t>
            </w:r>
          </w:p>
        </w:tc>
      </w:tr>
      <w:tr>
        <w:tc>
          <w:tcPr>
            <w:shd w:fill="F3F6F5"/>
            <w:tcW w:w="850" w:type="dxa"/>
          </w:tcPr>
          <w:p>
            <w:pPr>
              <w:spacing w:after="0"/>
            </w:pPr>
            <w:r>
              <w:rPr>
                <w:rFonts w:ascii="Aptos" w:hAnsi="Aptos"/>
                <w:sz w:val="19"/>
                <w:color w:val="17211D"/>
              </w:rPr>
              <w:t xml:space="preserve">FR-05</w:t>
            </w:r>
          </w:p>
        </w:tc>
        <w:tc>
          <w:tcPr>
            <w:shd w:fill="F3F6F5"/>
            <w:tcW w:w="2050" w:type="dxa"/>
          </w:tcPr>
          <w:p>
            <w:pPr>
              <w:spacing w:after="0"/>
            </w:pPr>
            <w:r>
              <w:rPr>
                <w:rFonts w:ascii="Aptos" w:hAnsi="Aptos"/>
                <w:sz w:val="19"/>
                <w:color w:val="17211D"/>
              </w:rPr>
              <w:t xml:space="preserve">Scoring</w:t>
            </w:r>
          </w:p>
        </w:tc>
        <w:tc>
          <w:tcPr>
            <w:shd w:fill="F3F6F5"/>
            <w:tcW w:w="6100" w:type="dxa"/>
          </w:tcPr>
          <w:p>
            <w:pPr>
              <w:spacing w:after="0"/>
            </w:pPr>
            <w:r>
              <w:rPr>
                <w:rFonts w:ascii="Aptos" w:hAnsi="Aptos"/>
                <w:sz w:val="19"/>
                <w:color w:val="17211D"/>
              </w:rPr>
              <w:t xml:space="preserve">Each capability shall accept one value from 0 through 4, where 0 is a real answer. Scores, percentages, maturity bands, layer indices and national averages shall be derived consistently.</w:t>
            </w:r>
          </w:p>
        </w:tc>
      </w:tr>
      <w:tr>
        <w:tc>
          <w:tcPr>
            <w:shd w:fill="F3F6F5"/>
            <w:tcW w:w="850" w:type="dxa"/>
          </w:tcPr>
          <w:p>
            <w:pPr>
              <w:spacing w:after="0"/>
            </w:pPr>
            <w:r>
              <w:rPr>
                <w:rFonts w:ascii="Aptos" w:hAnsi="Aptos"/>
                <w:sz w:val="19"/>
                <w:color w:val="17211D"/>
              </w:rPr>
              <w:t xml:space="preserve">FR-06</w:t>
            </w:r>
          </w:p>
        </w:tc>
        <w:tc>
          <w:tcPr>
            <w:shd w:fill="F3F6F5"/>
            <w:tcW w:w="2050" w:type="dxa"/>
          </w:tcPr>
          <w:p>
            <w:pPr>
              <w:spacing w:after="0"/>
            </w:pPr>
            <w:r>
              <w:rPr>
                <w:rFonts w:ascii="Aptos" w:hAnsi="Aptos"/>
                <w:sz w:val="19"/>
                <w:color w:val="17211D"/>
              </w:rPr>
              <w:t xml:space="preserve">Submission integrity</w:t>
            </w:r>
          </w:p>
        </w:tc>
        <w:tc>
          <w:tcPr>
            <w:shd w:fill="F3F6F5"/>
            <w:tcW w:w="6100" w:type="dxa"/>
          </w:tcPr>
          <w:p>
            <w:pPr>
              <w:spacing w:after="0"/>
            </w:pPr>
            <w:r>
              <w:rPr>
                <w:rFonts w:ascii="Aptos" w:hAnsi="Aptos"/>
                <w:sz w:val="19"/>
                <w:color w:val="17211D"/>
              </w:rPr>
              <w:t xml:space="preserve">Submission shall require every capability to be answered. The server shall set submitted time and a seven-day lock, and shall reject score/evidence writes after the lock.</w:t>
            </w:r>
          </w:p>
        </w:tc>
      </w:tr>
      <w:tr>
        <w:tc>
          <w:tcPr>
            <w:shd w:fill="F3F6F5"/>
            <w:tcW w:w="850" w:type="dxa"/>
          </w:tcPr>
          <w:p>
            <w:pPr>
              <w:spacing w:after="0"/>
            </w:pPr>
            <w:r>
              <w:rPr>
                <w:rFonts w:ascii="Aptos" w:hAnsi="Aptos"/>
                <w:sz w:val="19"/>
                <w:color w:val="17211D"/>
              </w:rPr>
              <w:t xml:space="preserve">FR-07</w:t>
            </w:r>
          </w:p>
        </w:tc>
        <w:tc>
          <w:tcPr>
            <w:shd w:fill="F3F6F5"/>
            <w:tcW w:w="2050" w:type="dxa"/>
          </w:tcPr>
          <w:p>
            <w:pPr>
              <w:spacing w:after="0"/>
            </w:pPr>
            <w:r>
              <w:rPr>
                <w:rFonts w:ascii="Aptos" w:hAnsi="Aptos"/>
                <w:sz w:val="19"/>
                <w:color w:val="17211D"/>
              </w:rPr>
              <w:t xml:space="preserve">Evidence and systems</w:t>
            </w:r>
          </w:p>
        </w:tc>
        <w:tc>
          <w:tcPr>
            <w:shd w:fill="F3F6F5"/>
            <w:tcW w:w="6100" w:type="dxa"/>
          </w:tcPr>
          <w:p>
            <w:pPr>
              <w:spacing w:after="0"/>
            </w:pPr>
            <w:r>
              <w:rPr>
                <w:rFonts w:ascii="Aptos" w:hAnsi="Aptos"/>
                <w:sz w:val="19"/>
                <w:color w:val="17211D"/>
              </w:rPr>
              <w:t xml:space="preserve">Scores of 3 or 4 may cite a system owned by the assessor’s state. A cited system shall retain historical references and cannot be deleted; edits shall be audited.</w:t>
            </w:r>
          </w:p>
        </w:tc>
      </w:tr>
      <w:tr>
        <w:tc>
          <w:tcPr>
            <w:shd w:fill="F3F6F5"/>
            <w:tcW w:w="850" w:type="dxa"/>
          </w:tcPr>
          <w:p>
            <w:pPr>
              <w:spacing w:after="0"/>
            </w:pPr>
            <w:r>
              <w:rPr>
                <w:rFonts w:ascii="Aptos" w:hAnsi="Aptos"/>
                <w:sz w:val="19"/>
                <w:color w:val="17211D"/>
              </w:rPr>
              <w:t xml:space="preserve">FR-08</w:t>
            </w:r>
          </w:p>
        </w:tc>
        <w:tc>
          <w:tcPr>
            <w:shd w:fill="F3F6F5"/>
            <w:tcW w:w="2050" w:type="dxa"/>
          </w:tcPr>
          <w:p>
            <w:pPr>
              <w:spacing w:after="0"/>
            </w:pPr>
            <w:r>
              <w:rPr>
                <w:rFonts w:ascii="Aptos" w:hAnsi="Aptos"/>
                <w:sz w:val="19"/>
                <w:color w:val="17211D"/>
              </w:rPr>
              <w:t xml:space="preserve">System operations metadata</w:t>
            </w:r>
          </w:p>
        </w:tc>
        <w:tc>
          <w:tcPr>
            <w:shd w:fill="F3F6F5"/>
            <w:tcW w:w="6100" w:type="dxa"/>
          </w:tcPr>
          <w:p>
            <w:pPr>
              <w:spacing w:after="0"/>
            </w:pPr>
            <w:r>
              <w:rPr>
                <w:rFonts w:ascii="Aptos" w:hAnsi="Aptos"/>
                <w:sz w:val="19"/>
                <w:color w:val="17211D"/>
              </w:rPr>
              <w:t xml:space="preserve">Each system shall expose explicit In Use / Not In Use status, a separate Cited as evidence indicator, districts live, and a full go-live date including year.</w:t>
            </w:r>
          </w:p>
        </w:tc>
      </w:tr>
      <w:tr>
        <w:tc>
          <w:tcPr>
            <w:shd w:fill="F3F6F5"/>
            <w:tcW w:w="850" w:type="dxa"/>
          </w:tcPr>
          <w:p>
            <w:pPr>
              <w:spacing w:after="0"/>
            </w:pPr>
            <w:r>
              <w:rPr>
                <w:rFonts w:ascii="Aptos" w:hAnsi="Aptos"/>
                <w:sz w:val="19"/>
                <w:color w:val="17211D"/>
              </w:rPr>
              <w:t xml:space="preserve">FR-09</w:t>
            </w:r>
          </w:p>
        </w:tc>
        <w:tc>
          <w:tcPr>
            <w:shd w:fill="F3F6F5"/>
            <w:tcW w:w="2050" w:type="dxa"/>
          </w:tcPr>
          <w:p>
            <w:pPr>
              <w:spacing w:after="0"/>
            </w:pPr>
            <w:r>
              <w:rPr>
                <w:rFonts w:ascii="Aptos" w:hAnsi="Aptos"/>
                <w:sz w:val="19"/>
                <w:color w:val="17211D"/>
              </w:rPr>
              <w:t xml:space="preserve">Results and comparison</w:t>
            </w:r>
          </w:p>
        </w:tc>
        <w:tc>
          <w:tcPr>
            <w:shd w:fill="F3F6F5"/>
            <w:tcW w:w="6100" w:type="dxa"/>
          </w:tcPr>
          <w:p>
            <w:pPr>
              <w:spacing w:after="0"/>
            </w:pPr>
            <w:r>
              <w:rPr>
                <w:rFonts w:ascii="Aptos" w:hAnsi="Aptos"/>
                <w:sz w:val="19"/>
                <w:color w:val="17211D"/>
              </w:rPr>
              <w:t xml:space="preserve">The assessor shall see an executive Results view, full capability/layer dashboard, and cross-round comparison. Different model versions shall exclude added/retired capabilities from movement counts.</w:t>
            </w:r>
          </w:p>
        </w:tc>
      </w:tr>
      <w:tr>
        <w:tc>
          <w:tcPr>
            <w:shd w:fill="F3F6F5"/>
            <w:tcW w:w="850" w:type="dxa"/>
          </w:tcPr>
          <w:p>
            <w:pPr>
              <w:spacing w:after="0"/>
            </w:pPr>
            <w:r>
              <w:rPr>
                <w:rFonts w:ascii="Aptos" w:hAnsi="Aptos"/>
                <w:sz w:val="19"/>
                <w:color w:val="17211D"/>
              </w:rPr>
              <w:t xml:space="preserve">FR-10</w:t>
            </w:r>
          </w:p>
        </w:tc>
        <w:tc>
          <w:tcPr>
            <w:shd w:fill="F3F6F5"/>
            <w:tcW w:w="2050" w:type="dxa"/>
          </w:tcPr>
          <w:p>
            <w:pPr>
              <w:spacing w:after="0"/>
            </w:pPr>
            <w:r>
              <w:rPr>
                <w:rFonts w:ascii="Aptos" w:hAnsi="Aptos"/>
                <w:sz w:val="19"/>
                <w:color w:val="17211D"/>
              </w:rPr>
              <w:t xml:space="preserve">National dashboard</w:t>
            </w:r>
          </w:p>
        </w:tc>
        <w:tc>
          <w:tcPr>
            <w:shd w:fill="F3F6F5"/>
            <w:tcW w:w="6100" w:type="dxa"/>
          </w:tcPr>
          <w:p>
            <w:pPr>
              <w:spacing w:after="0"/>
            </w:pPr>
            <w:r>
              <w:rPr>
                <w:rFonts w:ascii="Aptos" w:hAnsi="Aptos"/>
                <w:sz w:val="19"/>
                <w:color w:val="17211D"/>
              </w:rPr>
              <w:t xml:space="preserve">The Centre shall see national KPIs, capability means, layer summaries, state distributions/detail and latest-submission aggregation without drafts or non-submitters entering the denominator.</w:t>
            </w:r>
          </w:p>
        </w:tc>
      </w:tr>
      <w:tr>
        <w:tc>
          <w:tcPr>
            <w:shd w:fill="F3F6F5"/>
            <w:tcW w:w="850" w:type="dxa"/>
          </w:tcPr>
          <w:p>
            <w:pPr>
              <w:spacing w:after="0"/>
            </w:pPr>
            <w:r>
              <w:rPr>
                <w:rFonts w:ascii="Aptos" w:hAnsi="Aptos"/>
                <w:sz w:val="19"/>
                <w:color w:val="17211D"/>
              </w:rPr>
              <w:t xml:space="preserve">FR-11</w:t>
            </w:r>
          </w:p>
        </w:tc>
        <w:tc>
          <w:tcPr>
            <w:shd w:fill="F3F6F5"/>
            <w:tcW w:w="2050" w:type="dxa"/>
          </w:tcPr>
          <w:p>
            <w:pPr>
              <w:spacing w:after="0"/>
            </w:pPr>
            <w:r>
              <w:rPr>
                <w:rFonts w:ascii="Aptos" w:hAnsi="Aptos"/>
                <w:sz w:val="19"/>
                <w:color w:val="17211D"/>
              </w:rPr>
              <w:t xml:space="preserve">Solutions Catalogue</w:t>
            </w:r>
          </w:p>
        </w:tc>
        <w:tc>
          <w:tcPr>
            <w:shd w:fill="F3F6F5"/>
            <w:tcW w:w="6100" w:type="dxa"/>
          </w:tcPr>
          <w:p>
            <w:pPr>
              <w:spacing w:after="0"/>
            </w:pPr>
            <w:r>
              <w:rPr>
                <w:rFonts w:ascii="Aptos" w:hAnsi="Aptos"/>
                <w:sz w:val="19"/>
                <w:color w:val="17211D"/>
              </w:rPr>
              <w:t xml:space="preserve">The Centre shall have a Solutions Catalogue tab listing evidence attached to qualifying scores, with State/UT and Layer filters and clear empty/loading states.</w:t>
            </w:r>
          </w:p>
        </w:tc>
      </w:tr>
      <w:tr>
        <w:tc>
          <w:tcPr>
            <w:shd w:fill="F3F6F5"/>
            <w:tcW w:w="850" w:type="dxa"/>
          </w:tcPr>
          <w:p>
            <w:pPr>
              <w:spacing w:after="0"/>
            </w:pPr>
            <w:r>
              <w:rPr>
                <w:rFonts w:ascii="Aptos" w:hAnsi="Aptos"/>
                <w:sz w:val="19"/>
                <w:color w:val="17211D"/>
              </w:rPr>
              <w:t xml:space="preserve">FR-12</w:t>
            </w:r>
          </w:p>
        </w:tc>
        <w:tc>
          <w:tcPr>
            <w:shd w:fill="F3F6F5"/>
            <w:tcW w:w="2050" w:type="dxa"/>
          </w:tcPr>
          <w:p>
            <w:pPr>
              <w:spacing w:after="0"/>
            </w:pPr>
            <w:r>
              <w:rPr>
                <w:rFonts w:ascii="Aptos" w:hAnsi="Aptos"/>
                <w:sz w:val="19"/>
                <w:color w:val="17211D"/>
              </w:rPr>
              <w:t xml:space="preserve">Assessor administration</w:t>
            </w:r>
          </w:p>
        </w:tc>
        <w:tc>
          <w:tcPr>
            <w:shd w:fill="F3F6F5"/>
            <w:tcW w:w="6100" w:type="dxa"/>
          </w:tcPr>
          <w:p>
            <w:pPr>
              <w:spacing w:after="0"/>
            </w:pPr>
            <w:r>
              <w:rPr>
                <w:rFonts w:ascii="Aptos" w:hAnsi="Aptos"/>
                <w:sz w:val="19"/>
                <w:color w:val="17211D"/>
              </w:rPr>
              <w:t xml:space="preserve">The Centre shall add, reassign, enable/disable and delete assessor accounts subject to historical-assessment safeguards; administrative actions shall be recorded in audit_log.</w:t>
            </w:r>
          </w:p>
        </w:tc>
      </w:tr>
      <w:tr>
        <w:tc>
          <w:tcPr>
            <w:shd w:fill="F3F6F5"/>
            <w:tcW w:w="850" w:type="dxa"/>
          </w:tcPr>
          <w:p>
            <w:pPr>
              <w:spacing w:after="0"/>
            </w:pPr>
            <w:r>
              <w:rPr>
                <w:rFonts w:ascii="Aptos" w:hAnsi="Aptos"/>
                <w:sz w:val="19"/>
                <w:color w:val="17211D"/>
              </w:rPr>
              <w:t xml:space="preserve">FR-13</w:t>
            </w:r>
          </w:p>
        </w:tc>
        <w:tc>
          <w:tcPr>
            <w:shd w:fill="F3F6F5"/>
            <w:tcW w:w="2050" w:type="dxa"/>
          </w:tcPr>
          <w:p>
            <w:pPr>
              <w:spacing w:after="0"/>
            </w:pPr>
            <w:r>
              <w:rPr>
                <w:rFonts w:ascii="Aptos" w:hAnsi="Aptos"/>
                <w:sz w:val="19"/>
                <w:color w:val="17211D"/>
              </w:rPr>
              <w:t xml:space="preserve">Exports</w:t>
            </w:r>
          </w:p>
        </w:tc>
        <w:tc>
          <w:tcPr>
            <w:shd w:fill="F3F6F5"/>
            <w:tcW w:w="6100" w:type="dxa"/>
          </w:tcPr>
          <w:p>
            <w:pPr>
              <w:spacing w:after="0"/>
            </w:pPr>
            <w:r>
              <w:rPr>
                <w:rFonts w:ascii="Aptos" w:hAnsi="Aptos"/>
                <w:sz w:val="19"/>
                <w:color w:val="17211D"/>
              </w:rPr>
              <w:t xml:space="preserve">The Centre shall export submitted assessment rows as CSV. Assessor Results and the full dashboard shall support browser-print PDF output; the state flow shall expose the printable survey form.</w:t>
            </w:r>
          </w:p>
        </w:tc>
      </w:tr>
      <w:tr>
        <w:tc>
          <w:tcPr>
            <w:shd w:fill="F3F6F5"/>
            <w:tcW w:w="850" w:type="dxa"/>
          </w:tcPr>
          <w:p>
            <w:pPr>
              <w:spacing w:after="0"/>
            </w:pPr>
            <w:r>
              <w:rPr>
                <w:rFonts w:ascii="Aptos" w:hAnsi="Aptos"/>
                <w:sz w:val="19"/>
                <w:color w:val="17211D"/>
              </w:rPr>
              <w:t xml:space="preserve">FR-14</w:t>
            </w:r>
          </w:p>
        </w:tc>
        <w:tc>
          <w:tcPr>
            <w:shd w:fill="F3F6F5"/>
            <w:tcW w:w="2050" w:type="dxa"/>
          </w:tcPr>
          <w:p>
            <w:pPr>
              <w:spacing w:after="0"/>
            </w:pPr>
            <w:r>
              <w:rPr>
                <w:rFonts w:ascii="Aptos" w:hAnsi="Aptos"/>
                <w:sz w:val="19"/>
                <w:color w:val="17211D"/>
              </w:rPr>
              <w:t xml:space="preserve">Accessibility and responsive use</w:t>
            </w:r>
          </w:p>
        </w:tc>
        <w:tc>
          <w:tcPr>
            <w:shd w:fill="F3F6F5"/>
            <w:tcW w:w="6100" w:type="dxa"/>
          </w:tcPr>
          <w:p>
            <w:pPr>
              <w:spacing w:after="0"/>
            </w:pPr>
            <w:r>
              <w:rPr>
                <w:rFonts w:ascii="Aptos" w:hAnsi="Aptos"/>
                <w:sz w:val="19"/>
                <w:color w:val="17211D"/>
              </w:rPr>
              <w:t xml:space="preserve">The UI shall provide visible focus states, usable keyboard interaction, readable score-button hover states, responsive layouts and print styles suitable for A4 output.</w:t>
            </w:r>
          </w:p>
        </w:tc>
      </w:tr>
      <w:tr>
        <w:tc>
          <w:tcPr>
            <w:shd w:fill="F3F6F5"/>
            <w:tcW w:w="850" w:type="dxa"/>
          </w:tcPr>
          <w:p>
            <w:pPr>
              <w:spacing w:after="0"/>
            </w:pPr>
            <w:r>
              <w:rPr>
                <w:rFonts w:ascii="Aptos" w:hAnsi="Aptos"/>
                <w:sz w:val="19"/>
                <w:color w:val="17211D"/>
              </w:rPr>
              <w:t xml:space="preserve">FR-15</w:t>
            </w:r>
          </w:p>
        </w:tc>
        <w:tc>
          <w:tcPr>
            <w:shd w:fill="F3F6F5"/>
            <w:tcW w:w="2050" w:type="dxa"/>
          </w:tcPr>
          <w:p>
            <w:pPr>
              <w:spacing w:after="0"/>
            </w:pPr>
            <w:r>
              <w:rPr>
                <w:rFonts w:ascii="Aptos" w:hAnsi="Aptos"/>
                <w:sz w:val="19"/>
                <w:color w:val="17211D"/>
              </w:rPr>
              <w:t xml:space="preserve">Operational health</w:t>
            </w:r>
          </w:p>
        </w:tc>
        <w:tc>
          <w:tcPr>
            <w:shd w:fill="F3F6F5"/>
            <w:tcW w:w="6100" w:type="dxa"/>
          </w:tcPr>
          <w:p>
            <w:pPr>
              <w:spacing w:after="0"/>
            </w:pPr>
            <w:r>
              <w:rPr>
                <w:rFonts w:ascii="Aptos" w:hAnsi="Aptos"/>
                <w:sz w:val="19"/>
                <w:color w:val="17211D"/>
              </w:rPr>
              <w:t xml:space="preserve">The service shall expose a database-backed health endpoint, structured minimal request logs, deterministic migrations and a repeatable build/start workflow.</w:t>
            </w:r>
          </w:p>
        </w:tc>
      </w:tr>
    </w:tbl>
    <w:p>
      <w:pPr>
        <w:pStyle w:val="Heading1"/>
        <w:spacing w:after="100"/>
        <w:keepNext/>
      </w:pPr>
      <w:r>
        <w:rPr>
          <w:rFonts w:ascii="Aptos" w:hAnsi="Aptos"/>
          <w:sz w:val="22"/>
        </w:rPr>
        <w:t xml:space="preserve">5. Scoring and business rules</w:t>
      </w:r>
    </w:p>
    <w:p>
      <w:pPr>
        <w:spacing w:after="100"/>
      </w:pPr>
      <w:r>
        <w:rPr>
          <w:rFonts w:ascii="Aptos" w:hAnsi="Aptos"/>
          <w:sz w:val="22"/>
        </w:rPr>
        <w:t xml:space="preserve">The model contains 48 capabilities across eight layers. Each capability is scored from 0 to 4. A layer contains six capabilities in the current v2.1 model, so its maximum is 24; the overall maximum is 192. The implementation derives maxima from the model rows and the 0–4 ceiling rather than relying on hardcoded totals.</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600" w:type="dxa"/>
          </w:tcPr>
          <w:p>
            <w:pPr>
              <w:spacing w:after="0"/>
            </w:pPr>
            <w:r>
              <w:rPr>
                <w:rFonts w:ascii="Aptos" w:hAnsi="Aptos"/>
                <w:sz w:val="19"/>
                <w:b/>
                <w:color w:val="FFFFFF"/>
              </w:rPr>
              <w:t xml:space="preserve">Score</w:t>
            </w:r>
          </w:p>
        </w:tc>
        <w:tc>
          <w:tcPr>
            <w:shd w:fill="1F6F5B"/>
            <w:tcW w:w="6400" w:type="dxa"/>
          </w:tcPr>
          <w:p>
            <w:pPr>
              <w:spacing w:after="0"/>
            </w:pPr>
            <w:r>
              <w:rPr>
                <w:rFonts w:ascii="Aptos" w:hAnsi="Aptos"/>
                <w:sz w:val="19"/>
                <w:b/>
                <w:color w:val="FFFFFF"/>
              </w:rPr>
              <w:t xml:space="preserve">Meaning</w:t>
            </w:r>
          </w:p>
        </w:tc>
      </w:tr>
      <w:tr>
        <w:tc>
          <w:tcPr>
            <w:shd w:fill="F3F6F5"/>
            <w:tcW w:w="2600" w:type="dxa"/>
          </w:tcPr>
          <w:p>
            <w:pPr>
              <w:spacing w:after="0"/>
            </w:pPr>
            <w:r>
              <w:rPr>
                <w:rFonts w:ascii="Aptos" w:hAnsi="Aptos"/>
                <w:sz w:val="19"/>
                <w:color w:val="17211D"/>
              </w:rPr>
              <w:t xml:space="preserve">0 — Does not exist</w:t>
            </w:r>
          </w:p>
        </w:tc>
        <w:tc>
          <w:tcPr>
            <w:shd w:fill="F3F6F5"/>
            <w:tcW w:w="6400" w:type="dxa"/>
          </w:tcPr>
          <w:p>
            <w:pPr>
              <w:spacing w:after="0"/>
            </w:pPr>
            <w:r>
              <w:rPr>
                <w:rFonts w:ascii="Aptos" w:hAnsi="Aptos"/>
                <w:sz w:val="19"/>
                <w:color w:val="17211D"/>
              </w:rPr>
              <w:t xml:space="preserve">No digital system for the capability; handled on paper, in spreadsheets, or not at all.</w:t>
            </w:r>
          </w:p>
        </w:tc>
      </w:tr>
      <w:tr>
        <w:tc>
          <w:tcPr>
            <w:shd w:fill="F3F6F5"/>
            <w:tcW w:w="2600" w:type="dxa"/>
          </w:tcPr>
          <w:p>
            <w:pPr>
              <w:spacing w:after="0"/>
            </w:pPr>
            <w:r>
              <w:rPr>
                <w:rFonts w:ascii="Aptos" w:hAnsi="Aptos"/>
                <w:sz w:val="19"/>
                <w:color w:val="17211D"/>
              </w:rPr>
              <w:t xml:space="preserve">1 — Under development</w:t>
            </w:r>
          </w:p>
        </w:tc>
        <w:tc>
          <w:tcPr>
            <w:shd w:fill="F3F6F5"/>
            <w:tcW w:w="6400" w:type="dxa"/>
          </w:tcPr>
          <w:p>
            <w:pPr>
              <w:spacing w:after="0"/>
            </w:pPr>
            <w:r>
              <w:rPr>
                <w:rFonts w:ascii="Aptos" w:hAnsi="Aptos"/>
                <w:sz w:val="19"/>
                <w:color w:val="17211D"/>
              </w:rPr>
              <w:t xml:space="preserve">Sanctioned, procured or in development; nothing is in productive use.</w:t>
            </w:r>
          </w:p>
        </w:tc>
      </w:tr>
      <w:tr>
        <w:tc>
          <w:tcPr>
            <w:shd w:fill="F3F6F5"/>
            <w:tcW w:w="2600" w:type="dxa"/>
          </w:tcPr>
          <w:p>
            <w:pPr>
              <w:spacing w:after="0"/>
            </w:pPr>
            <w:r>
              <w:rPr>
                <w:rFonts w:ascii="Aptos" w:hAnsi="Aptos"/>
                <w:sz w:val="19"/>
                <w:color w:val="17211D"/>
              </w:rPr>
              <w:t xml:space="preserve">2 — Pilot complete</w:t>
            </w:r>
          </w:p>
        </w:tc>
        <w:tc>
          <w:tcPr>
            <w:shd w:fill="F3F6F5"/>
            <w:tcW w:w="6400" w:type="dxa"/>
          </w:tcPr>
          <w:p>
            <w:pPr>
              <w:spacing w:after="0"/>
            </w:pPr>
            <w:r>
              <w:rPr>
                <w:rFonts w:ascii="Aptos" w:hAnsi="Aptos"/>
                <w:sz w:val="19"/>
                <w:color w:val="17211D"/>
              </w:rPr>
              <w:t xml:space="preserve">Live with real data in a limited setting for at least one full reporting cycle; not rolled out further.</w:t>
            </w:r>
          </w:p>
        </w:tc>
      </w:tr>
      <w:tr>
        <w:tc>
          <w:tcPr>
            <w:shd w:fill="F3F6F5"/>
            <w:tcW w:w="2600" w:type="dxa"/>
          </w:tcPr>
          <w:p>
            <w:pPr>
              <w:spacing w:after="0"/>
            </w:pPr>
            <w:r>
              <w:rPr>
                <w:rFonts w:ascii="Aptos" w:hAnsi="Aptos"/>
                <w:sz w:val="19"/>
                <w:color w:val="17211D"/>
              </w:rPr>
              <w:t xml:space="preserve">3 — Functional at limited scale</w:t>
            </w:r>
          </w:p>
        </w:tc>
        <w:tc>
          <w:tcPr>
            <w:shd w:fill="F3F6F5"/>
            <w:tcW w:w="6400" w:type="dxa"/>
          </w:tcPr>
          <w:p>
            <w:pPr>
              <w:spacing w:after="0"/>
            </w:pPr>
            <w:r>
              <w:rPr>
                <w:rFonts w:ascii="Aptos" w:hAnsi="Aptos"/>
                <w:sz w:val="19"/>
                <w:color w:val="17211D"/>
              </w:rPr>
              <w:t xml:space="preserve">Routine production use across part of the state; gaps remain in coverage or workflow.</w:t>
            </w:r>
          </w:p>
        </w:tc>
      </w:tr>
      <w:tr>
        <w:tc>
          <w:tcPr>
            <w:shd w:fill="F3F6F5"/>
            <w:tcW w:w="2600" w:type="dxa"/>
          </w:tcPr>
          <w:p>
            <w:pPr>
              <w:spacing w:after="0"/>
            </w:pPr>
            <w:r>
              <w:rPr>
                <w:rFonts w:ascii="Aptos" w:hAnsi="Aptos"/>
                <w:sz w:val="19"/>
                <w:color w:val="17211D"/>
              </w:rPr>
              <w:t xml:space="preserve">4 — Fully functional at state scale</w:t>
            </w:r>
          </w:p>
        </w:tc>
        <w:tc>
          <w:tcPr>
            <w:shd w:fill="F3F6F5"/>
            <w:tcW w:w="6400" w:type="dxa"/>
          </w:tcPr>
          <w:p>
            <w:pPr>
              <w:spacing w:after="0"/>
            </w:pPr>
            <w:r>
              <w:rPr>
                <w:rFonts w:ascii="Aptos" w:hAnsi="Aptos"/>
                <w:sz w:val="19"/>
                <w:color w:val="17211D"/>
              </w:rPr>
              <w:t xml:space="preserve">Routine use across effectively all districts and intended users; authoritative, owned and monitored.</w:t>
            </w:r>
          </w:p>
        </w:tc>
      </w:tr>
    </w:tbl>
    <w:p>
      <w:pPr>
        <w:spacing w:after="100"/>
      </w:pPr>
      <w:r>
        <w:rPr>
          <w:rFonts w:ascii="Aptos" w:hAnsi="Aptos"/>
          <w:sz w:val="22"/>
        </w:rPr>
        <w:t xml:space="preserve">Maturity bands use the rounded percentage: 0–20% Nascent, 21–40% Emerging, 41–60% Developing, 61–80% Mature, and 81–100% Leading. Current UI band colours are fixed to the product palette: #DE9D9B, #ECB576, #FBE6A2, #DCE9D5 and #58A65C respectively.</w:t>
      </w:r>
    </w:p>
    <w:p>
      <w:pPr>
        <w:spacing w:after="40"/>
      </w:pPr>
      <w:r>
        <w:rPr>
          <w:rFonts w:ascii="Aptos" w:hAnsi="Aptos"/>
          <w:sz w:val="22"/>
        </w:rPr>
        <w:t xml:space="preserve">• The Centre never sees a draft. Every Centre aggregation filters to status = submitted.</w:t>
      </w:r>
    </w:p>
    <w:p>
      <w:pPr>
        <w:spacing w:after="40"/>
      </w:pPr>
      <w:r>
        <w:rPr>
          <w:rFonts w:ascii="Aptos" w:hAnsi="Aptos"/>
          <w:sz w:val="22"/>
        </w:rPr>
        <w:t xml:space="preserve">• A state that has not submitted is absent from national averages, not counted as zero.</w:t>
      </w:r>
    </w:p>
    <w:p>
      <w:pPr>
        <w:spacing w:after="40"/>
      </w:pPr>
      <w:r>
        <w:rPr>
          <w:rFonts w:ascii="Aptos" w:hAnsi="Aptos"/>
          <w:sz w:val="22"/>
        </w:rPr>
        <w:t xml:space="preserve">• Submitted assessments lock at submitted_at + 7 days; the API and RLS independently reject later score/evidence writes.</w:t>
      </w:r>
    </w:p>
    <w:p>
      <w:pPr>
        <w:spacing w:after="40"/>
      </w:pPr>
      <w:r>
        <w:rPr>
          <w:rFonts w:ascii="Aptos" w:hAnsi="Aptos"/>
          <w:sz w:val="22"/>
        </w:rPr>
        <w:t xml:space="preserve">• Evidence is available only for scores 3 and 4. Dropping a score below 3 clears its system link.</w:t>
      </w:r>
    </w:p>
    <w:p>
      <w:pPr>
        <w:spacing w:after="40"/>
      </w:pPr>
      <w:r>
        <w:rPr>
          <w:rFonts w:ascii="Aptos" w:hAnsi="Aptos"/>
          <w:sz w:val="22"/>
        </w:rPr>
        <w:t xml:space="preserve">• A submitted assessment stores the submitting assessor’s name and designation so reassignment does not rewrite history.</w:t>
      </w:r>
    </w:p>
    <w:p>
      <w:pPr>
        <w:spacing w:after="40"/>
      </w:pPr>
      <w:r>
        <w:rPr>
          <w:rFonts w:ascii="Aptos" w:hAnsi="Aptos"/>
          <w:sz w:val="22"/>
        </w:rPr>
        <w:t xml:space="preserve">• Cross-version comparison matches capabilities by name and marks added/retired capabilities as not comparable.</w:t>
      </w:r>
    </w:p>
    <w:p>
      <w:pPr>
        <w:pStyle w:val="Heading1"/>
        <w:spacing w:after="100"/>
        <w:keepNext/>
      </w:pPr>
      <w:r>
        <w:rPr>
          <w:rFonts w:ascii="Aptos" w:hAnsi="Aptos"/>
          <w:sz w:val="22"/>
        </w:rPr>
        <w:t xml:space="preserve">6. Technical design</w:t>
      </w:r>
    </w:p>
    <w:p>
      <w:pPr>
        <w:pStyle w:val="Heading2"/>
        <w:spacing w:after="100"/>
        <w:keepNext/>
      </w:pPr>
      <w:r>
        <w:rPr>
          <w:rFonts w:ascii="Aptos" w:hAnsi="Aptos"/>
          <w:sz w:val="22"/>
        </w:rPr>
        <w:t xml:space="preserve">6.1 Architecture</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1800" w:type="dxa"/>
          </w:tcPr>
          <w:p>
            <w:pPr>
              <w:spacing w:after="0"/>
            </w:pPr>
            <w:r>
              <w:rPr>
                <w:rFonts w:ascii="Aptos" w:hAnsi="Aptos"/>
                <w:sz w:val="19"/>
                <w:b/>
                <w:color w:val="FFFFFF"/>
              </w:rPr>
              <w:t xml:space="preserve">Layer</w:t>
            </w:r>
          </w:p>
        </w:tc>
        <w:tc>
          <w:tcPr>
            <w:shd w:fill="1F6F5B"/>
            <w:tcW w:w="7200" w:type="dxa"/>
          </w:tcPr>
          <w:p>
            <w:pPr>
              <w:spacing w:after="0"/>
            </w:pPr>
            <w:r>
              <w:rPr>
                <w:rFonts w:ascii="Aptos" w:hAnsi="Aptos"/>
                <w:sz w:val="19"/>
                <w:b/>
                <w:color w:val="FFFFFF"/>
              </w:rPr>
              <w:t xml:space="preserve">Current design</w:t>
            </w:r>
          </w:p>
        </w:tc>
      </w:tr>
      <w:tr>
        <w:tc>
          <w:tcPr>
            <w:shd w:fill="F3F6F5"/>
            <w:tcW w:w="1800" w:type="dxa"/>
          </w:tcPr>
          <w:p>
            <w:pPr>
              <w:spacing w:after="0"/>
            </w:pPr>
            <w:r>
              <w:rPr>
                <w:rFonts w:ascii="Aptos" w:hAnsi="Aptos"/>
                <w:sz w:val="19"/>
                <w:color w:val="17211D"/>
              </w:rPr>
              <w:t xml:space="preserve">Frontend</w:t>
            </w:r>
          </w:p>
        </w:tc>
        <w:tc>
          <w:tcPr>
            <w:shd w:fill="F3F6F5"/>
            <w:tcW w:w="7200" w:type="dxa"/>
          </w:tcPr>
          <w:p>
            <w:pPr>
              <w:spacing w:after="0"/>
            </w:pPr>
            <w:r>
              <w:rPr>
                <w:rFonts w:ascii="Aptos" w:hAnsi="Aptos"/>
                <w:sz w:val="19"/>
                <w:color w:val="17211D"/>
              </w:rPr>
              <w:t xml:space="preserve">React + TypeScript + Vite single-page application in client/. React Router provides role-guarded routes and deep links.</w:t>
            </w:r>
          </w:p>
        </w:tc>
      </w:tr>
      <w:tr>
        <w:tc>
          <w:tcPr>
            <w:shd w:fill="F3F6F5"/>
            <w:tcW w:w="1800" w:type="dxa"/>
          </w:tcPr>
          <w:p>
            <w:pPr>
              <w:spacing w:after="0"/>
            </w:pPr>
            <w:r>
              <w:rPr>
                <w:rFonts w:ascii="Aptos" w:hAnsi="Aptos"/>
                <w:sz w:val="19"/>
                <w:color w:val="17211D"/>
              </w:rPr>
              <w:t xml:space="preserve">Backend</w:t>
            </w:r>
          </w:p>
        </w:tc>
        <w:tc>
          <w:tcPr>
            <w:shd w:fill="F3F6F5"/>
            <w:tcW w:w="7200" w:type="dxa"/>
          </w:tcPr>
          <w:p>
            <w:pPr>
              <w:spacing w:after="0"/>
            </w:pPr>
            <w:r>
              <w:rPr>
                <w:rFonts w:ascii="Aptos" w:hAnsi="Aptos"/>
                <w:sz w:val="19"/>
                <w:color w:val="17211D"/>
              </w:rPr>
              <w:t xml:space="preserve">Node.js 20+ + Express + TypeScript in server/. JSON API, session attachment middleware, role/feature gates and static client serving in production.</w:t>
            </w:r>
          </w:p>
        </w:tc>
      </w:tr>
      <w:tr>
        <w:tc>
          <w:tcPr>
            <w:shd w:fill="F3F6F5"/>
            <w:tcW w:w="1800" w:type="dxa"/>
          </w:tcPr>
          <w:p>
            <w:pPr>
              <w:spacing w:after="0"/>
            </w:pPr>
            <w:r>
              <w:rPr>
                <w:rFonts w:ascii="Aptos" w:hAnsi="Aptos"/>
                <w:sz w:val="19"/>
                <w:color w:val="17211D"/>
              </w:rPr>
              <w:t xml:space="preserve">Database</w:t>
            </w:r>
          </w:p>
        </w:tc>
        <w:tc>
          <w:tcPr>
            <w:shd w:fill="F3F6F5"/>
            <w:tcW w:w="7200" w:type="dxa"/>
          </w:tcPr>
          <w:p>
            <w:pPr>
              <w:spacing w:after="0"/>
            </w:pPr>
            <w:r>
              <w:rPr>
                <w:rFonts w:ascii="Aptos" w:hAnsi="Aptos"/>
                <w:sz w:val="19"/>
                <w:color w:val="17211D"/>
              </w:rPr>
              <w:t xml:space="preserve">PostgreSQL with plain numbered SQL migrations. The request path uses the non-owner dmm_app role so RLS is enforced.</w:t>
            </w:r>
          </w:p>
        </w:tc>
      </w:tr>
      <w:tr>
        <w:tc>
          <w:tcPr>
            <w:shd w:fill="F3F6F5"/>
            <w:tcW w:w="1800" w:type="dxa"/>
          </w:tcPr>
          <w:p>
            <w:pPr>
              <w:spacing w:after="0"/>
            </w:pPr>
            <w:r>
              <w:rPr>
                <w:rFonts w:ascii="Aptos" w:hAnsi="Aptos"/>
                <w:sz w:val="19"/>
                <w:color w:val="17211D"/>
              </w:rPr>
              <w:t xml:space="preserve">Auth</w:t>
            </w:r>
          </w:p>
        </w:tc>
        <w:tc>
          <w:tcPr>
            <w:shd w:fill="F3F6F5"/>
            <w:tcW w:w="7200" w:type="dxa"/>
          </w:tcPr>
          <w:p>
            <w:pPr>
              <w:spacing w:after="0"/>
            </w:pPr>
            <w:r>
              <w:rPr>
                <w:rFonts w:ascii="Aptos" w:hAnsi="Aptos"/>
                <w:sz w:val="19"/>
                <w:color w:val="17211D"/>
              </w:rPr>
              <w:t xml:space="preserve">Argon2 password verification, server-side sessions stored in PostgreSQL, httpOnly cookie named dmm_sid, configurable TTL and secure-cookie settings.</w:t>
            </w:r>
          </w:p>
        </w:tc>
      </w:tr>
      <w:tr>
        <w:tc>
          <w:tcPr>
            <w:shd w:fill="F3F6F5"/>
            <w:tcW w:w="1800" w:type="dxa"/>
          </w:tcPr>
          <w:p>
            <w:pPr>
              <w:spacing w:after="0"/>
            </w:pPr>
            <w:r>
              <w:rPr>
                <w:rFonts w:ascii="Aptos" w:hAnsi="Aptos"/>
                <w:sz w:val="19"/>
                <w:color w:val="17211D"/>
              </w:rPr>
              <w:t xml:space="preserve">Isolation</w:t>
            </w:r>
          </w:p>
        </w:tc>
        <w:tc>
          <w:tcPr>
            <w:shd w:fill="F3F6F5"/>
            <w:tcW w:w="7200" w:type="dxa"/>
          </w:tcPr>
          <w:p>
            <w:pPr>
              <w:spacing w:after="0"/>
            </w:pPr>
            <w:r>
              <w:rPr>
                <w:rFonts w:ascii="Aptos" w:hAnsi="Aptos"/>
                <w:sz w:val="19"/>
                <w:color w:val="17211D"/>
              </w:rPr>
              <w:t xml:space="preserve">Each request resolves session context and sets app.user_id, app.role and app.state_id inside a transaction; policies scope rows using current_setting values.</w:t>
            </w:r>
          </w:p>
        </w:tc>
      </w:tr>
      <w:tr>
        <w:tc>
          <w:tcPr>
            <w:shd w:fill="F3F6F5"/>
            <w:tcW w:w="1800" w:type="dxa"/>
          </w:tcPr>
          <w:p>
            <w:pPr>
              <w:spacing w:after="0"/>
            </w:pPr>
            <w:r>
              <w:rPr>
                <w:rFonts w:ascii="Aptos" w:hAnsi="Aptos"/>
                <w:sz w:val="19"/>
                <w:color w:val="17211D"/>
              </w:rPr>
              <w:t xml:space="preserve">Deployment</w:t>
            </w:r>
          </w:p>
        </w:tc>
        <w:tc>
          <w:tcPr>
            <w:shd w:fill="F3F6F5"/>
            <w:tcW w:w="7200" w:type="dxa"/>
          </w:tcPr>
          <w:p>
            <w:pPr>
              <w:spacing w:after="0"/>
            </w:pPr>
            <w:r>
              <w:rPr>
                <w:rFonts w:ascii="Aptos" w:hAnsi="Aptos"/>
                <w:sz w:val="19"/>
                <w:color w:val="17211D"/>
              </w:rPr>
              <w:t xml:space="preserve">The same-origin Express process serves client/dist and /api. Default Replit service listens on 0.0.0.0:5000 in the application workflow.</w:t>
            </w:r>
          </w:p>
        </w:tc>
      </w:tr>
    </w:tbl>
    <w:p>
      <w:pPr>
        <w:pStyle w:val="Heading2"/>
        <w:spacing w:after="100"/>
        <w:keepNext/>
      </w:pPr>
      <w:r>
        <w:rPr>
          <w:rFonts w:ascii="Aptos" w:hAnsi="Aptos"/>
          <w:sz w:val="22"/>
        </w:rPr>
        <w:t xml:space="preserve">6.2 Repository structure</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500" w:type="dxa"/>
          </w:tcPr>
          <w:p>
            <w:pPr>
              <w:spacing w:after="0"/>
            </w:pPr>
            <w:r>
              <w:rPr>
                <w:rFonts w:ascii="Aptos" w:hAnsi="Aptos"/>
                <w:sz w:val="19"/>
                <w:b/>
                <w:color w:val="FFFFFF"/>
              </w:rPr>
              <w:t xml:space="preserve">Area</w:t>
            </w:r>
          </w:p>
        </w:tc>
        <w:tc>
          <w:tcPr>
            <w:shd w:fill="1F6F5B"/>
            <w:tcW w:w="6500" w:type="dxa"/>
          </w:tcPr>
          <w:p>
            <w:pPr>
              <w:spacing w:after="0"/>
            </w:pPr>
            <w:r>
              <w:rPr>
                <w:rFonts w:ascii="Aptos" w:hAnsi="Aptos"/>
                <w:sz w:val="19"/>
                <w:b/>
                <w:color w:val="FFFFFF"/>
              </w:rPr>
              <w:t xml:space="preserve">Responsibility</w:t>
            </w:r>
          </w:p>
        </w:tc>
      </w:tr>
      <w:tr>
        <w:tc>
          <w:tcPr>
            <w:shd w:fill="F3F6F5"/>
            <w:tcW w:w="2500" w:type="dxa"/>
          </w:tcPr>
          <w:p>
            <w:pPr>
              <w:spacing w:after="0"/>
            </w:pPr>
            <w:r>
              <w:rPr>
                <w:rFonts w:ascii="Aptos" w:hAnsi="Aptos"/>
                <w:sz w:val="19"/>
                <w:color w:val="17211D"/>
              </w:rPr>
              <w:t xml:space="preserve">client/src/pages/</w:t>
            </w:r>
          </w:p>
        </w:tc>
        <w:tc>
          <w:tcPr>
            <w:shd w:fill="F3F6F5"/>
            <w:tcW w:w="6500" w:type="dxa"/>
          </w:tcPr>
          <w:p>
            <w:pPr>
              <w:spacing w:after="0"/>
            </w:pPr>
            <w:r>
              <w:rPr>
                <w:rFonts w:ascii="Aptos" w:hAnsi="Aptos"/>
                <w:sz w:val="19"/>
                <w:color w:val="17211D"/>
              </w:rPr>
              <w:t xml:space="preserve">User-facing assessor, Centre, public and detail screens.</w:t>
            </w:r>
          </w:p>
        </w:tc>
      </w:tr>
      <w:tr>
        <w:tc>
          <w:tcPr>
            <w:shd w:fill="F3F6F5"/>
            <w:tcW w:w="2500" w:type="dxa"/>
          </w:tcPr>
          <w:p>
            <w:pPr>
              <w:spacing w:after="0"/>
            </w:pPr>
            <w:r>
              <w:rPr>
                <w:rFonts w:ascii="Aptos" w:hAnsi="Aptos"/>
                <w:sz w:val="19"/>
                <w:color w:val="17211D"/>
              </w:rPr>
              <w:t xml:space="preserve">client/src/components/</w:t>
            </w:r>
          </w:p>
        </w:tc>
        <w:tc>
          <w:tcPr>
            <w:shd w:fill="F3F6F5"/>
            <w:tcW w:w="6500" w:type="dxa"/>
          </w:tcPr>
          <w:p>
            <w:pPr>
              <w:spacing w:after="0"/>
            </w:pPr>
            <w:r>
              <w:rPr>
                <w:rFonts w:ascii="Aptos" w:hAnsi="Aptos"/>
                <w:sz w:val="19"/>
                <w:color w:val="17211D"/>
              </w:rPr>
              <w:t xml:space="preserve">Shared navigation, maturity grid and systems dialog.</w:t>
            </w:r>
          </w:p>
        </w:tc>
      </w:tr>
      <w:tr>
        <w:tc>
          <w:tcPr>
            <w:shd w:fill="F3F6F5"/>
            <w:tcW w:w="2500" w:type="dxa"/>
          </w:tcPr>
          <w:p>
            <w:pPr>
              <w:spacing w:after="0"/>
            </w:pPr>
            <w:r>
              <w:rPr>
                <w:rFonts w:ascii="Aptos" w:hAnsi="Aptos"/>
                <w:sz w:val="19"/>
                <w:color w:val="17211D"/>
              </w:rPr>
              <w:t xml:space="preserve">client/src/api.ts and model.ts</w:t>
            </w:r>
          </w:p>
        </w:tc>
        <w:tc>
          <w:tcPr>
            <w:shd w:fill="F3F6F5"/>
            <w:tcW w:w="6500" w:type="dxa"/>
          </w:tcPr>
          <w:p>
            <w:pPr>
              <w:spacing w:after="0"/>
            </w:pPr>
            <w:r>
              <w:rPr>
                <w:rFonts w:ascii="Aptos" w:hAnsi="Aptos"/>
                <w:sz w:val="19"/>
                <w:color w:val="17211D"/>
              </w:rPr>
              <w:t xml:space="preserve">Typed API calls and client-side view models.</w:t>
            </w:r>
          </w:p>
        </w:tc>
      </w:tr>
      <w:tr>
        <w:tc>
          <w:tcPr>
            <w:shd w:fill="F3F6F5"/>
            <w:tcW w:w="2500" w:type="dxa"/>
          </w:tcPr>
          <w:p>
            <w:pPr>
              <w:spacing w:after="0"/>
            </w:pPr>
            <w:r>
              <w:rPr>
                <w:rFonts w:ascii="Aptos" w:hAnsi="Aptos"/>
                <w:sz w:val="19"/>
                <w:color w:val="17211D"/>
              </w:rPr>
              <w:t xml:space="preserve">server/src/routes/</w:t>
            </w:r>
          </w:p>
        </w:tc>
        <w:tc>
          <w:tcPr>
            <w:shd w:fill="F3F6F5"/>
            <w:tcW w:w="6500" w:type="dxa"/>
          </w:tcPr>
          <w:p>
            <w:pPr>
              <w:spacing w:after="0"/>
            </w:pPr>
            <w:r>
              <w:rPr>
                <w:rFonts w:ascii="Aptos" w:hAnsi="Aptos"/>
                <w:sz w:val="19"/>
                <w:color w:val="17211D"/>
              </w:rPr>
              <w:t xml:space="preserve">HTTP validation, authentication/role gates and response mapping; routes delegate data work.</w:t>
            </w:r>
          </w:p>
        </w:tc>
      </w:tr>
      <w:tr>
        <w:tc>
          <w:tcPr>
            <w:shd w:fill="F3F6F5"/>
            <w:tcW w:w="2500" w:type="dxa"/>
          </w:tcPr>
          <w:p>
            <w:pPr>
              <w:spacing w:after="0"/>
            </w:pPr>
            <w:r>
              <w:rPr>
                <w:rFonts w:ascii="Aptos" w:hAnsi="Aptos"/>
                <w:sz w:val="19"/>
                <w:color w:val="17211D"/>
              </w:rPr>
              <w:t xml:space="preserve">server/src/db/</w:t>
            </w:r>
          </w:p>
        </w:tc>
        <w:tc>
          <w:tcPr>
            <w:shd w:fill="F3F6F5"/>
            <w:tcW w:w="6500" w:type="dxa"/>
          </w:tcPr>
          <w:p>
            <w:pPr>
              <w:spacing w:after="0"/>
            </w:pPr>
            <w:r>
              <w:rPr>
                <w:rFonts w:ascii="Aptos" w:hAnsi="Aptos"/>
                <w:sz w:val="19"/>
                <w:color w:val="17211D"/>
              </w:rPr>
              <w:t xml:space="preserve">SQL queries, transactions, RLS context and domain persistence functions.</w:t>
            </w:r>
          </w:p>
        </w:tc>
      </w:tr>
      <w:tr>
        <w:tc>
          <w:tcPr>
            <w:shd w:fill="F3F6F5"/>
            <w:tcW w:w="2500" w:type="dxa"/>
          </w:tcPr>
          <w:p>
            <w:pPr>
              <w:spacing w:after="0"/>
            </w:pPr>
            <w:r>
              <w:rPr>
                <w:rFonts w:ascii="Aptos" w:hAnsi="Aptos"/>
                <w:sz w:val="19"/>
                <w:color w:val="17211D"/>
              </w:rPr>
              <w:t xml:space="preserve">server/src/lib/</w:t>
            </w:r>
          </w:p>
        </w:tc>
        <w:tc>
          <w:tcPr>
            <w:shd w:fill="F3F6F5"/>
            <w:tcW w:w="6500" w:type="dxa"/>
          </w:tcPr>
          <w:p>
            <w:pPr>
              <w:spacing w:after="0"/>
            </w:pPr>
            <w:r>
              <w:rPr>
                <w:rFonts w:ascii="Aptos" w:hAnsi="Aptos"/>
                <w:sz w:val="19"/>
                <w:color w:val="17211D"/>
              </w:rPr>
              <w:t xml:space="preserve">Scoring, national aggregation and model logic.</w:t>
            </w:r>
          </w:p>
        </w:tc>
      </w:tr>
      <w:tr>
        <w:tc>
          <w:tcPr>
            <w:shd w:fill="F3F6F5"/>
            <w:tcW w:w="2500" w:type="dxa"/>
          </w:tcPr>
          <w:p>
            <w:pPr>
              <w:spacing w:after="0"/>
            </w:pPr>
            <w:r>
              <w:rPr>
                <w:rFonts w:ascii="Aptos" w:hAnsi="Aptos"/>
                <w:sz w:val="19"/>
                <w:color w:val="17211D"/>
              </w:rPr>
              <w:t xml:space="preserve">migrations/</w:t>
            </w:r>
          </w:p>
        </w:tc>
        <w:tc>
          <w:tcPr>
            <w:shd w:fill="F3F6F5"/>
            <w:tcW w:w="6500" w:type="dxa"/>
          </w:tcPr>
          <w:p>
            <w:pPr>
              <w:spacing w:after="0"/>
            </w:pPr>
            <w:r>
              <w:rPr>
                <w:rFonts w:ascii="Aptos" w:hAnsi="Aptos"/>
                <w:sz w:val="19"/>
                <w:color w:val="17211D"/>
              </w:rPr>
              <w:t xml:space="preserve">Forward-only schema and model changes; migrations are numbered and tracked in schema_migrations.</w:t>
            </w:r>
          </w:p>
        </w:tc>
      </w:tr>
      <w:tr>
        <w:tc>
          <w:tcPr>
            <w:shd w:fill="F3F6F5"/>
            <w:tcW w:w="2500" w:type="dxa"/>
          </w:tcPr>
          <w:p>
            <w:pPr>
              <w:spacing w:after="0"/>
            </w:pPr>
            <w:r>
              <w:rPr>
                <w:rFonts w:ascii="Aptos" w:hAnsi="Aptos"/>
                <w:sz w:val="19"/>
                <w:color w:val="17211D"/>
              </w:rPr>
              <w:t xml:space="preserve">server/src/test/</w:t>
            </w:r>
          </w:p>
        </w:tc>
        <w:tc>
          <w:tcPr>
            <w:shd w:fill="F3F6F5"/>
            <w:tcW w:w="6500" w:type="dxa"/>
          </w:tcPr>
          <w:p>
            <w:pPr>
              <w:spacing w:after="0"/>
            </w:pPr>
            <w:r>
              <w:rPr>
                <w:rFonts w:ascii="Aptos" w:hAnsi="Aptos"/>
                <w:sz w:val="19"/>
                <w:color w:val="17211D"/>
              </w:rPr>
              <w:t xml:space="preserve">Isolation, access matrix, lock, model integrity, route resilience, login and public version tests.</w:t>
            </w:r>
          </w:p>
        </w:tc>
      </w:tr>
    </w:tbl>
    <w:p>
      <w:pPr>
        <w:pStyle w:val="Heading2"/>
        <w:spacing w:after="100"/>
        <w:keepNext/>
      </w:pPr>
      <w:r>
        <w:rPr>
          <w:rFonts w:ascii="Aptos" w:hAnsi="Aptos"/>
          <w:sz w:val="22"/>
        </w:rPr>
        <w:t xml:space="preserve">6.3 Core data model</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600" w:type="dxa"/>
          </w:tcPr>
          <w:p>
            <w:pPr>
              <w:spacing w:after="0"/>
            </w:pPr>
            <w:r>
              <w:rPr>
                <w:rFonts w:ascii="Aptos" w:hAnsi="Aptos"/>
                <w:sz w:val="19"/>
                <w:b/>
                <w:color w:val="FFFFFF"/>
              </w:rPr>
              <w:t xml:space="preserve">Entity</w:t>
            </w:r>
          </w:p>
        </w:tc>
        <w:tc>
          <w:tcPr>
            <w:shd w:fill="1F6F5B"/>
            <w:tcW w:w="6400" w:type="dxa"/>
          </w:tcPr>
          <w:p>
            <w:pPr>
              <w:spacing w:after="0"/>
            </w:pPr>
            <w:r>
              <w:rPr>
                <w:rFonts w:ascii="Aptos" w:hAnsi="Aptos"/>
                <w:sz w:val="19"/>
                <w:b/>
                <w:color w:val="FFFFFF"/>
              </w:rPr>
              <w:t xml:space="preserve">Purpose / key fields</w:t>
            </w:r>
          </w:p>
        </w:tc>
      </w:tr>
      <w:tr>
        <w:tc>
          <w:tcPr>
            <w:shd w:fill="F3F6F5"/>
            <w:tcW w:w="2600" w:type="dxa"/>
          </w:tcPr>
          <w:p>
            <w:pPr>
              <w:spacing w:after="0"/>
            </w:pPr>
            <w:r>
              <w:rPr>
                <w:rFonts w:ascii="Aptos" w:hAnsi="Aptos"/>
                <w:sz w:val="19"/>
                <w:color w:val="17211D"/>
              </w:rPr>
              <w:t xml:space="preserve">users</w:t>
            </w:r>
          </w:p>
        </w:tc>
        <w:tc>
          <w:tcPr>
            <w:shd w:fill="F3F6F5"/>
            <w:tcW w:w="6400" w:type="dxa"/>
          </w:tcPr>
          <w:p>
            <w:pPr>
              <w:spacing w:after="0"/>
            </w:pPr>
            <w:r>
              <w:rPr>
                <w:rFonts w:ascii="Aptos" w:hAnsi="Aptos"/>
                <w:sz w:val="19"/>
                <w:color w:val="17211D"/>
              </w:rPr>
              <w:t xml:space="preserve">Identity, email, name, designation, role, state_id and active status.</w:t>
            </w:r>
          </w:p>
        </w:tc>
      </w:tr>
      <w:tr>
        <w:tc>
          <w:tcPr>
            <w:shd w:fill="F3F6F5"/>
            <w:tcW w:w="2600" w:type="dxa"/>
          </w:tcPr>
          <w:p>
            <w:pPr>
              <w:spacing w:after="0"/>
            </w:pPr>
            <w:r>
              <w:rPr>
                <w:rFonts w:ascii="Aptos" w:hAnsi="Aptos"/>
                <w:sz w:val="19"/>
                <w:color w:val="17211D"/>
              </w:rPr>
              <w:t xml:space="preserve">states</w:t>
            </w:r>
          </w:p>
        </w:tc>
        <w:tc>
          <w:tcPr>
            <w:shd w:fill="F3F6F5"/>
            <w:tcW w:w="6400" w:type="dxa"/>
          </w:tcPr>
          <w:p>
            <w:pPr>
              <w:spacing w:after="0"/>
            </w:pPr>
            <w:r>
              <w:rPr>
                <w:rFonts w:ascii="Aptos" w:hAnsi="Aptos"/>
                <w:sz w:val="19"/>
                <w:color w:val="17211D"/>
              </w:rPr>
              <w:t xml:space="preserve">State and UT master list with is_ut flag.</w:t>
            </w:r>
          </w:p>
        </w:tc>
      </w:tr>
      <w:tr>
        <w:tc>
          <w:tcPr>
            <w:shd w:fill="F3F6F5"/>
            <w:tcW w:w="2600" w:type="dxa"/>
          </w:tcPr>
          <w:p>
            <w:pPr>
              <w:spacing w:after="0"/>
            </w:pPr>
            <w:r>
              <w:rPr>
                <w:rFonts w:ascii="Aptos" w:hAnsi="Aptos"/>
                <w:sz w:val="19"/>
                <w:color w:val="17211D"/>
              </w:rPr>
              <w:t xml:space="preserve">model_versions / capabilities</w:t>
            </w:r>
          </w:p>
        </w:tc>
        <w:tc>
          <w:tcPr>
            <w:shd w:fill="F3F6F5"/>
            <w:tcW w:w="6400" w:type="dxa"/>
          </w:tcPr>
          <w:p>
            <w:pPr>
              <w:spacing w:after="0"/>
            </w:pPr>
            <w:r>
              <w:rPr>
                <w:rFonts w:ascii="Aptos" w:hAnsi="Aptos"/>
                <w:sz w:val="19"/>
                <w:color w:val="17211D"/>
              </w:rPr>
              <w:t xml:space="preserve">Versioned model metadata, layer, order, capability name, measure and included functions.</w:t>
            </w:r>
          </w:p>
        </w:tc>
      </w:tr>
      <w:tr>
        <w:tc>
          <w:tcPr>
            <w:shd w:fill="F3F6F5"/>
            <w:tcW w:w="2600" w:type="dxa"/>
          </w:tcPr>
          <w:p>
            <w:pPr>
              <w:spacing w:after="0"/>
            </w:pPr>
            <w:r>
              <w:rPr>
                <w:rFonts w:ascii="Aptos" w:hAnsi="Aptos"/>
                <w:sz w:val="19"/>
                <w:color w:val="17211D"/>
              </w:rPr>
              <w:t xml:space="preserve">assessments</w:t>
            </w:r>
          </w:p>
        </w:tc>
        <w:tc>
          <w:tcPr>
            <w:shd w:fill="F3F6F5"/>
            <w:tcW w:w="6400" w:type="dxa"/>
          </w:tcPr>
          <w:p>
            <w:pPr>
              <w:spacing w:after="0"/>
            </w:pPr>
            <w:r>
              <w:rPr>
                <w:rFonts w:ascii="Aptos" w:hAnsi="Aptos"/>
                <w:sz w:val="19"/>
                <w:color w:val="17211D"/>
              </w:rPr>
              <w:t xml:space="preserve">State, assessor, model version, draft/submitted status and submission/lock timestamps; one draft per state.</w:t>
            </w:r>
          </w:p>
        </w:tc>
      </w:tr>
      <w:tr>
        <w:tc>
          <w:tcPr>
            <w:shd w:fill="F3F6F5"/>
            <w:tcW w:w="2600" w:type="dxa"/>
          </w:tcPr>
          <w:p>
            <w:pPr>
              <w:spacing w:after="0"/>
            </w:pPr>
            <w:r>
              <w:rPr>
                <w:rFonts w:ascii="Aptos" w:hAnsi="Aptos"/>
                <w:sz w:val="19"/>
                <w:color w:val="17211D"/>
              </w:rPr>
              <w:t xml:space="preserve">scores</w:t>
            </w:r>
          </w:p>
        </w:tc>
        <w:tc>
          <w:tcPr>
            <w:shd w:fill="F3F6F5"/>
            <w:tcW w:w="6400" w:type="dxa"/>
          </w:tcPr>
          <w:p>
            <w:pPr>
              <w:spacing w:after="0"/>
            </w:pPr>
            <w:r>
              <w:rPr>
                <w:rFonts w:ascii="Aptos" w:hAnsi="Aptos"/>
                <w:sz w:val="19"/>
                <w:color w:val="17211D"/>
              </w:rPr>
              <w:t xml:space="preserve">Assessment-capability value 0–4, note and optional system_id evidence link.</w:t>
            </w:r>
          </w:p>
        </w:tc>
      </w:tr>
      <w:tr>
        <w:tc>
          <w:tcPr>
            <w:shd w:fill="F3F6F5"/>
            <w:tcW w:w="2600" w:type="dxa"/>
          </w:tcPr>
          <w:p>
            <w:pPr>
              <w:spacing w:after="0"/>
            </w:pPr>
            <w:r>
              <w:rPr>
                <w:rFonts w:ascii="Aptos" w:hAnsi="Aptos"/>
                <w:sz w:val="19"/>
                <w:color w:val="17211D"/>
              </w:rPr>
              <w:t xml:space="preserve">systems</w:t>
            </w:r>
          </w:p>
        </w:tc>
        <w:tc>
          <w:tcPr>
            <w:shd w:fill="F3F6F5"/>
            <w:tcW w:w="6400" w:type="dxa"/>
          </w:tcPr>
          <w:p>
            <w:pPr>
              <w:spacing w:after="0"/>
            </w:pPr>
            <w:r>
              <w:rPr>
                <w:rFonts w:ascii="Aptos" w:hAnsi="Aptos"/>
                <w:sz w:val="19"/>
                <w:color w:val="17211D"/>
              </w:rPr>
              <w:t xml:space="preserve">State-owned evidence catalogue: name, districts_live, go_live and currently_in_use.</w:t>
            </w:r>
          </w:p>
        </w:tc>
      </w:tr>
      <w:tr>
        <w:tc>
          <w:tcPr>
            <w:shd w:fill="F3F6F5"/>
            <w:tcW w:w="2600" w:type="dxa"/>
          </w:tcPr>
          <w:p>
            <w:pPr>
              <w:spacing w:after="0"/>
            </w:pPr>
            <w:r>
              <w:rPr>
                <w:rFonts w:ascii="Aptos" w:hAnsi="Aptos"/>
                <w:sz w:val="19"/>
                <w:color w:val="17211D"/>
              </w:rPr>
              <w:t xml:space="preserve">audit_log</w:t>
            </w:r>
          </w:p>
        </w:tc>
        <w:tc>
          <w:tcPr>
            <w:shd w:fill="F3F6F5"/>
            <w:tcW w:w="6400" w:type="dxa"/>
          </w:tcPr>
          <w:p>
            <w:pPr>
              <w:spacing w:after="0"/>
            </w:pPr>
            <w:r>
              <w:rPr>
                <w:rFonts w:ascii="Aptos" w:hAnsi="Aptos"/>
                <w:sz w:val="19"/>
                <w:color w:val="17211D"/>
              </w:rPr>
              <w:t xml:space="preserve">Administrative and system-edit history.</w:t>
            </w:r>
          </w:p>
        </w:tc>
      </w:tr>
      <w:tr>
        <w:tc>
          <w:tcPr>
            <w:shd w:fill="F3F6F5"/>
            <w:tcW w:w="2600" w:type="dxa"/>
          </w:tcPr>
          <w:p>
            <w:pPr>
              <w:spacing w:after="0"/>
            </w:pPr>
            <w:r>
              <w:rPr>
                <w:rFonts w:ascii="Aptos" w:hAnsi="Aptos"/>
                <w:sz w:val="19"/>
                <w:color w:val="17211D"/>
              </w:rPr>
              <w:t xml:space="preserve">sessions</w:t>
            </w:r>
          </w:p>
        </w:tc>
        <w:tc>
          <w:tcPr>
            <w:shd w:fill="F3F6F5"/>
            <w:tcW w:w="6400" w:type="dxa"/>
          </w:tcPr>
          <w:p>
            <w:pPr>
              <w:spacing w:after="0"/>
            </w:pPr>
            <w:r>
              <w:rPr>
                <w:rFonts w:ascii="Aptos" w:hAnsi="Aptos"/>
                <w:sz w:val="19"/>
                <w:color w:val="17211D"/>
              </w:rPr>
              <w:t xml:space="preserve">Opaque server-side session identifiers and expiry; browser stores only the cookie identifier.</w:t>
            </w:r>
          </w:p>
        </w:tc>
      </w:tr>
      <w:tr>
        <w:tc>
          <w:tcPr>
            <w:shd w:fill="F3F6F5"/>
            <w:tcW w:w="2600" w:type="dxa"/>
          </w:tcPr>
          <w:p>
            <w:pPr>
              <w:spacing w:after="0"/>
            </w:pPr>
            <w:r>
              <w:rPr>
                <w:rFonts w:ascii="Aptos" w:hAnsi="Aptos"/>
                <w:sz w:val="19"/>
                <w:color w:val="17211D"/>
              </w:rPr>
              <w:t xml:space="preserve">support_requests</w:t>
            </w:r>
          </w:p>
        </w:tc>
        <w:tc>
          <w:tcPr>
            <w:shd w:fill="F3F6F5"/>
            <w:tcW w:w="6400" w:type="dxa"/>
          </w:tcPr>
          <w:p>
            <w:pPr>
              <w:spacing w:after="0"/>
            </w:pPr>
            <w:r>
              <w:rPr>
                <w:rFonts w:ascii="Aptos" w:hAnsi="Aptos"/>
                <w:sz w:val="19"/>
                <w:color w:val="17211D"/>
              </w:rPr>
              <w:t xml:space="preserve">Feature-gated request/reply data retained in schema for later activation.</w:t>
            </w:r>
          </w:p>
        </w:tc>
      </w:tr>
    </w:tbl>
    <w:p>
      <w:pPr>
        <w:pStyle w:val="Heading2"/>
        <w:spacing w:after="100"/>
        <w:keepNext/>
      </w:pPr>
      <w:r>
        <w:rPr>
          <w:rFonts w:ascii="Aptos" w:hAnsi="Aptos"/>
          <w:sz w:val="22"/>
        </w:rPr>
        <w:t xml:space="preserve">6.4 API surface</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200" w:type="dxa"/>
          </w:tcPr>
          <w:p>
            <w:pPr>
              <w:spacing w:after="0"/>
            </w:pPr>
            <w:r>
              <w:rPr>
                <w:rFonts w:ascii="Aptos" w:hAnsi="Aptos"/>
                <w:sz w:val="19"/>
                <w:b/>
                <w:color w:val="FFFFFF"/>
              </w:rPr>
              <w:t xml:space="preserve">Route group</w:t>
            </w:r>
          </w:p>
        </w:tc>
        <w:tc>
          <w:tcPr>
            <w:shd w:fill="1F6F5B"/>
            <w:tcW w:w="3600" w:type="dxa"/>
          </w:tcPr>
          <w:p>
            <w:pPr>
              <w:spacing w:after="0"/>
            </w:pPr>
            <w:r>
              <w:rPr>
                <w:rFonts w:ascii="Aptos" w:hAnsi="Aptos"/>
                <w:sz w:val="19"/>
                <w:b/>
                <w:color w:val="FFFFFF"/>
              </w:rPr>
              <w:t xml:space="preserve">Examples</w:t>
            </w:r>
          </w:p>
        </w:tc>
        <w:tc>
          <w:tcPr>
            <w:shd w:fill="1F6F5B"/>
            <w:tcW w:w="3200" w:type="dxa"/>
          </w:tcPr>
          <w:p>
            <w:pPr>
              <w:spacing w:after="0"/>
            </w:pPr>
            <w:r>
              <w:rPr>
                <w:rFonts w:ascii="Aptos" w:hAnsi="Aptos"/>
                <w:sz w:val="19"/>
                <w:b/>
                <w:color w:val="FFFFFF"/>
              </w:rPr>
              <w:t xml:space="preserve">Access / purpose</w:t>
            </w:r>
          </w:p>
        </w:tc>
      </w:tr>
      <w:tr>
        <w:tc>
          <w:tcPr>
            <w:shd w:fill="F3F6F5"/>
            <w:tcW w:w="2200" w:type="dxa"/>
          </w:tcPr>
          <w:p>
            <w:pPr>
              <w:spacing w:after="0"/>
            </w:pPr>
            <w:r>
              <w:rPr>
                <w:rFonts w:ascii="Aptos" w:hAnsi="Aptos"/>
                <w:sz w:val="19"/>
                <w:color w:val="17211D"/>
              </w:rPr>
              <w:t xml:space="preserve">/api/health</w:t>
            </w:r>
          </w:p>
        </w:tc>
        <w:tc>
          <w:tcPr>
            <w:shd w:fill="F3F6F5"/>
            <w:tcW w:w="3600" w:type="dxa"/>
          </w:tcPr>
          <w:p>
            <w:pPr>
              <w:spacing w:after="0"/>
            </w:pPr>
            <w:r>
              <w:rPr>
                <w:rFonts w:ascii="Aptos" w:hAnsi="Aptos"/>
                <w:sz w:val="19"/>
                <w:color w:val="17211D"/>
              </w:rPr>
              <w:t xml:space="preserve">GET /api/health</w:t>
            </w:r>
          </w:p>
        </w:tc>
        <w:tc>
          <w:tcPr>
            <w:shd w:fill="F3F6F5"/>
            <w:tcW w:w="3200" w:type="dxa"/>
          </w:tcPr>
          <w:p>
            <w:pPr>
              <w:spacing w:after="0"/>
            </w:pPr>
            <w:r>
              <w:rPr>
                <w:rFonts w:ascii="Aptos" w:hAnsi="Aptos"/>
                <w:sz w:val="19"/>
                <w:color w:val="17211D"/>
              </w:rPr>
              <w:t xml:space="preserve">Public operational check; returns database availability.</w:t>
            </w:r>
          </w:p>
        </w:tc>
      </w:tr>
      <w:tr>
        <w:tc>
          <w:tcPr>
            <w:shd w:fill="F3F6F5"/>
            <w:tcW w:w="2200" w:type="dxa"/>
          </w:tcPr>
          <w:p>
            <w:pPr>
              <w:spacing w:after="0"/>
            </w:pPr>
            <w:r>
              <w:rPr>
                <w:rFonts w:ascii="Aptos" w:hAnsi="Aptos"/>
                <w:sz w:val="19"/>
                <w:color w:val="17211D"/>
              </w:rPr>
              <w:t xml:space="preserve">/api/auth</w:t>
            </w:r>
          </w:p>
        </w:tc>
        <w:tc>
          <w:tcPr>
            <w:shd w:fill="F3F6F5"/>
            <w:tcW w:w="3600" w:type="dxa"/>
          </w:tcPr>
          <w:p>
            <w:pPr>
              <w:spacing w:after="0"/>
            </w:pPr>
            <w:r>
              <w:rPr>
                <w:rFonts w:ascii="Aptos" w:hAnsi="Aptos"/>
                <w:sz w:val="19"/>
                <w:color w:val="17211D"/>
              </w:rPr>
              <w:t xml:space="preserve">POST /login, POST /logout, GET /me</w:t>
            </w:r>
          </w:p>
        </w:tc>
        <w:tc>
          <w:tcPr>
            <w:shd w:fill="F3F6F5"/>
            <w:tcW w:w="3200" w:type="dxa"/>
          </w:tcPr>
          <w:p>
            <w:pPr>
              <w:spacing w:after="0"/>
            </w:pPr>
            <w:r>
              <w:rPr>
                <w:rFonts w:ascii="Aptos" w:hAnsi="Aptos"/>
                <w:sz w:val="19"/>
                <w:color w:val="17211D"/>
              </w:rPr>
              <w:t xml:space="preserve">Session lifecycle and current user.</w:t>
            </w:r>
          </w:p>
        </w:tc>
      </w:tr>
      <w:tr>
        <w:tc>
          <w:tcPr>
            <w:shd w:fill="F3F6F5"/>
            <w:tcW w:w="2200" w:type="dxa"/>
          </w:tcPr>
          <w:p>
            <w:pPr>
              <w:spacing w:after="0"/>
            </w:pPr>
            <w:r>
              <w:rPr>
                <w:rFonts w:ascii="Aptos" w:hAnsi="Aptos"/>
                <w:sz w:val="19"/>
                <w:color w:val="17211D"/>
              </w:rPr>
              <w:t xml:space="preserve">/api/model and /api/states</w:t>
            </w:r>
          </w:p>
        </w:tc>
        <w:tc>
          <w:tcPr>
            <w:shd w:fill="F3F6F5"/>
            <w:tcW w:w="3600" w:type="dxa"/>
          </w:tcPr>
          <w:p>
            <w:pPr>
              <w:spacing w:after="0"/>
            </w:pPr>
            <w:r>
              <w:rPr>
                <w:rFonts w:ascii="Aptos" w:hAnsi="Aptos"/>
                <w:sz w:val="19"/>
                <w:color w:val="17211D"/>
              </w:rPr>
              <w:t xml:space="preserve">GET model, states</w:t>
            </w:r>
          </w:p>
        </w:tc>
        <w:tc>
          <w:tcPr>
            <w:shd w:fill="F3F6F5"/>
            <w:tcW w:w="3200" w:type="dxa"/>
          </w:tcPr>
          <w:p>
            <w:pPr>
              <w:spacing w:after="0"/>
            </w:pPr>
            <w:r>
              <w:rPr>
                <w:rFonts w:ascii="Aptos" w:hAnsi="Aptos"/>
                <w:sz w:val="19"/>
                <w:color w:val="17211D"/>
              </w:rPr>
              <w:t xml:space="preserve">Public model/state reference data as applicable.</w:t>
            </w:r>
          </w:p>
        </w:tc>
      </w:tr>
      <w:tr>
        <w:tc>
          <w:tcPr>
            <w:shd w:fill="F3F6F5"/>
            <w:tcW w:w="2200" w:type="dxa"/>
          </w:tcPr>
          <w:p>
            <w:pPr>
              <w:spacing w:after="0"/>
            </w:pPr>
            <w:r>
              <w:rPr>
                <w:rFonts w:ascii="Aptos" w:hAnsi="Aptos"/>
                <w:sz w:val="19"/>
                <w:color w:val="17211D"/>
              </w:rPr>
              <w:t xml:space="preserve">/api/assessments</w:t>
            </w:r>
          </w:p>
        </w:tc>
        <w:tc>
          <w:tcPr>
            <w:shd w:fill="F3F6F5"/>
            <w:tcW w:w="3600" w:type="dxa"/>
          </w:tcPr>
          <w:p>
            <w:pPr>
              <w:spacing w:after="0"/>
            </w:pPr>
            <w:r>
              <w:rPr>
                <w:rFonts w:ascii="Aptos" w:hAnsi="Aptos"/>
                <w:sz w:val="19"/>
                <w:color w:val="17211D"/>
              </w:rPr>
              <w:t xml:space="preserve">Draft, score, review, submit, results, history, compare</w:t>
            </w:r>
          </w:p>
        </w:tc>
        <w:tc>
          <w:tcPr>
            <w:shd w:fill="F3F6F5"/>
            <w:tcW w:w="3200" w:type="dxa"/>
          </w:tcPr>
          <w:p>
            <w:pPr>
              <w:spacing w:after="0"/>
            </w:pPr>
            <w:r>
              <w:rPr>
                <w:rFonts w:ascii="Aptos" w:hAnsi="Aptos"/>
                <w:sz w:val="19"/>
                <w:color w:val="17211D"/>
              </w:rPr>
              <w:t xml:space="preserve">State-scoped assessment lifecycle; reads are authenticated and RLS-scoped.</w:t>
            </w:r>
          </w:p>
        </w:tc>
      </w:tr>
      <w:tr>
        <w:tc>
          <w:tcPr>
            <w:shd w:fill="F3F6F5"/>
            <w:tcW w:w="2200" w:type="dxa"/>
          </w:tcPr>
          <w:p>
            <w:pPr>
              <w:spacing w:after="0"/>
            </w:pPr>
            <w:r>
              <w:rPr>
                <w:rFonts w:ascii="Aptos" w:hAnsi="Aptos"/>
                <w:sz w:val="19"/>
                <w:color w:val="17211D"/>
              </w:rPr>
              <w:t xml:space="preserve">/api/systems</w:t>
            </w:r>
          </w:p>
        </w:tc>
        <w:tc>
          <w:tcPr>
            <w:shd w:fill="F3F6F5"/>
            <w:tcW w:w="3600" w:type="dxa"/>
          </w:tcPr>
          <w:p>
            <w:pPr>
              <w:spacing w:after="0"/>
            </w:pPr>
            <w:r>
              <w:rPr>
                <w:rFonts w:ascii="Aptos" w:hAnsi="Aptos"/>
                <w:sz w:val="19"/>
                <w:color w:val="17211D"/>
              </w:rPr>
              <w:t xml:space="preserve">List/create/edit/delete</w:t>
            </w:r>
          </w:p>
        </w:tc>
        <w:tc>
          <w:tcPr>
            <w:shd w:fill="F3F6F5"/>
            <w:tcW w:w="3200" w:type="dxa"/>
          </w:tcPr>
          <w:p>
            <w:pPr>
              <w:spacing w:after="0"/>
            </w:pPr>
            <w:r>
              <w:rPr>
                <w:rFonts w:ascii="Aptos" w:hAnsi="Aptos"/>
                <w:sz w:val="19"/>
                <w:color w:val="17211D"/>
              </w:rPr>
              <w:t xml:space="preserve">State-owned systems; Centre read access where required.</w:t>
            </w:r>
          </w:p>
        </w:tc>
      </w:tr>
      <w:tr>
        <w:tc>
          <w:tcPr>
            <w:shd w:fill="F3F6F5"/>
            <w:tcW w:w="2200" w:type="dxa"/>
          </w:tcPr>
          <w:p>
            <w:pPr>
              <w:spacing w:after="0"/>
            </w:pPr>
            <w:r>
              <w:rPr>
                <w:rFonts w:ascii="Aptos" w:hAnsi="Aptos"/>
                <w:sz w:val="19"/>
                <w:color w:val="17211D"/>
              </w:rPr>
              <w:t xml:space="preserve">/api/centre</w:t>
            </w:r>
          </w:p>
        </w:tc>
        <w:tc>
          <w:tcPr>
            <w:shd w:fill="F3F6F5"/>
            <w:tcW w:w="3600" w:type="dxa"/>
          </w:tcPr>
          <w:p>
            <w:pPr>
              <w:spacing w:after="0"/>
            </w:pPr>
            <w:r>
              <w:rPr>
                <w:rFonts w:ascii="Aptos" w:hAnsi="Aptos"/>
                <w:sz w:val="19"/>
                <w:color w:val="17211D"/>
              </w:rPr>
              <w:t xml:space="preserve">Dashboard, evidence, assessors, audit, export.csv</w:t>
            </w:r>
          </w:p>
        </w:tc>
        <w:tc>
          <w:tcPr>
            <w:shd w:fill="F3F6F5"/>
            <w:tcW w:w="3200" w:type="dxa"/>
          </w:tcPr>
          <w:p>
            <w:pPr>
              <w:spacing w:after="0"/>
            </w:pPr>
            <w:r>
              <w:rPr>
                <w:rFonts w:ascii="Aptos" w:hAnsi="Aptos"/>
                <w:sz w:val="19"/>
                <w:color w:val="17211D"/>
              </w:rPr>
              <w:t xml:space="preserve">Centre-only national operations and reporting.</w:t>
            </w:r>
          </w:p>
        </w:tc>
      </w:tr>
      <w:tr>
        <w:tc>
          <w:tcPr>
            <w:shd w:fill="F3F6F5"/>
            <w:tcW w:w="2200" w:type="dxa"/>
          </w:tcPr>
          <w:p>
            <w:pPr>
              <w:spacing w:after="0"/>
            </w:pPr>
            <w:r>
              <w:rPr>
                <w:rFonts w:ascii="Aptos" w:hAnsi="Aptos"/>
                <w:sz w:val="19"/>
                <w:color w:val="17211D"/>
              </w:rPr>
              <w:t xml:space="preserve">/api/requests</w:t>
            </w:r>
          </w:p>
        </w:tc>
        <w:tc>
          <w:tcPr>
            <w:shd w:fill="F3F6F5"/>
            <w:tcW w:w="3600" w:type="dxa"/>
          </w:tcPr>
          <w:p>
            <w:pPr>
              <w:spacing w:after="0"/>
            </w:pPr>
            <w:r>
              <w:rPr>
                <w:rFonts w:ascii="Aptos" w:hAnsi="Aptos"/>
                <w:sz w:val="19"/>
                <w:color w:val="17211D"/>
              </w:rPr>
              <w:t xml:space="preserve">Requests from state assessors</w:t>
            </w:r>
          </w:p>
        </w:tc>
        <w:tc>
          <w:tcPr>
            <w:shd w:fill="F3F6F5"/>
            <w:tcW w:w="3200" w:type="dxa"/>
          </w:tcPr>
          <w:p>
            <w:pPr>
              <w:spacing w:after="0"/>
            </w:pPr>
            <w:r>
              <w:rPr>
                <w:rFonts w:ascii="Aptos" w:hAnsi="Aptos"/>
                <w:sz w:val="19"/>
                <w:color w:val="17211D"/>
              </w:rPr>
              <w:t xml:space="preserve">Feature-gated; currently disabled by default.</w:t>
            </w:r>
          </w:p>
        </w:tc>
      </w:tr>
    </w:tbl>
    <w:p>
      <w:pPr>
        <w:pStyle w:val="Heading1"/>
        <w:spacing w:after="100"/>
        <w:keepNext/>
      </w:pPr>
      <w:r>
        <w:rPr>
          <w:rFonts w:ascii="Aptos" w:hAnsi="Aptos"/>
          <w:sz w:val="22"/>
        </w:rPr>
        <w:t xml:space="preserve">7. Security and privacy design</w:t>
      </w:r>
    </w:p>
    <w:p>
      <w:pPr>
        <w:spacing w:after="40"/>
      </w:pPr>
      <w:r>
        <w:rPr>
          <w:rFonts w:ascii="Aptos" w:hAnsi="Aptos"/>
          <w:sz w:val="22"/>
        </w:rPr>
        <w:t xml:space="preserve">• Use APP_DATABASE_URL for the request-path non-owner role and reserve ADMIN_DATABASE_URL / owner credentials for setup, migrations and seeding.</w:t>
      </w:r>
    </w:p>
    <w:p>
      <w:pPr>
        <w:spacing w:after="40"/>
      </w:pPr>
      <w:r>
        <w:rPr>
          <w:rFonts w:ascii="Aptos" w:hAnsi="Aptos"/>
          <w:sz w:val="22"/>
        </w:rPr>
        <w:t xml:space="preserve">• Refuse startup or test failure if the application role can bypass RLS; this prevents an accidental owner connection from defeating isolation.</w:t>
      </w:r>
    </w:p>
    <w:p>
      <w:pPr>
        <w:spacing w:after="40"/>
      </w:pPr>
      <w:r>
        <w:rPr>
          <w:rFonts w:ascii="Aptos" w:hAnsi="Aptos"/>
          <w:sz w:val="22"/>
        </w:rPr>
        <w:t xml:space="preserve">• Use httpOnly, secure cookies in production, SameSite configuration, server-side expiry and explicit logout destruction.</w:t>
      </w:r>
    </w:p>
    <w:p>
      <w:pPr>
        <w:spacing w:after="40"/>
      </w:pPr>
      <w:r>
        <w:rPr>
          <w:rFonts w:ascii="Aptos" w:hAnsi="Aptos"/>
          <w:sz w:val="22"/>
        </w:rPr>
        <w:t xml:space="preserve">• Validate request bodies with Zod before persistence. Keep route handlers thin and centralize SQL in database functions.</w:t>
      </w:r>
    </w:p>
    <w:p>
      <w:pPr>
        <w:spacing w:after="40"/>
      </w:pPr>
      <w:r>
        <w:rPr>
          <w:rFonts w:ascii="Aptos" w:hAnsi="Aptos"/>
          <w:sz w:val="22"/>
        </w:rPr>
        <w:t xml:space="preserve">• Do not log request bodies, query strings, scores, names or session data. Structured request logs contain timestamp, method, path, status and duration only.</w:t>
      </w:r>
    </w:p>
    <w:p>
      <w:pPr>
        <w:spacing w:after="40"/>
      </w:pPr>
      <w:r>
        <w:rPr>
          <w:rFonts w:ascii="Aptos" w:hAnsi="Aptos"/>
          <w:sz w:val="22"/>
        </w:rPr>
        <w:t xml:space="preserve">• Apply rate limiting to login attempts and keep password hashes out of application responses.</w:t>
      </w:r>
    </w:p>
    <w:p>
      <w:pPr>
        <w:spacing w:after="40"/>
      </w:pPr>
      <w:r>
        <w:rPr>
          <w:rFonts w:ascii="Aptos" w:hAnsi="Aptos"/>
          <w:sz w:val="22"/>
        </w:rPr>
        <w:t xml:space="preserve">• Back up PostgreSQL using a controlled logical backup and restore procedure; apply migrations forward-only across environments.</w:t>
      </w:r>
    </w:p>
    <w:p>
      <w:pPr>
        <w:spacing w:after="40"/>
      </w:pPr>
      <w:r>
        <w:rPr>
          <w:rFonts w:ascii="Aptos" w:hAnsi="Aptos"/>
          <w:sz w:val="22"/>
        </w:rPr>
        <w:t xml:space="preserve">• Treat evidence as potentially sensitive operational information. Limit it to authenticated state users, authorized Centre users and controlled exports.</w:t>
      </w:r>
    </w:p>
    <w:p>
      <w:pPr>
        <w:pStyle w:val="Heading1"/>
        <w:spacing w:after="100"/>
        <w:keepNext/>
      </w:pPr>
      <w:r>
        <w:rPr>
          <w:rFonts w:ascii="Aptos" w:hAnsi="Aptos"/>
          <w:sz w:val="22"/>
        </w:rPr>
        <w:t xml:space="preserve">8. Non-functional requirements</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1900" w:type="dxa"/>
          </w:tcPr>
          <w:p>
            <w:pPr>
              <w:spacing w:after="0"/>
            </w:pPr>
            <w:r>
              <w:rPr>
                <w:rFonts w:ascii="Aptos" w:hAnsi="Aptos"/>
                <w:sz w:val="19"/>
                <w:b/>
                <w:color w:val="FFFFFF"/>
              </w:rPr>
              <w:t xml:space="preserve">Area</w:t>
            </w:r>
          </w:p>
        </w:tc>
        <w:tc>
          <w:tcPr>
            <w:shd w:fill="1F6F5B"/>
            <w:tcW w:w="7100" w:type="dxa"/>
          </w:tcPr>
          <w:p>
            <w:pPr>
              <w:spacing w:after="0"/>
            </w:pPr>
            <w:r>
              <w:rPr>
                <w:rFonts w:ascii="Aptos" w:hAnsi="Aptos"/>
                <w:sz w:val="19"/>
                <w:b/>
                <w:color w:val="FFFFFF"/>
              </w:rPr>
              <w:t xml:space="preserve">Target / design rule</w:t>
            </w:r>
          </w:p>
        </w:tc>
      </w:tr>
      <w:tr>
        <w:tc>
          <w:tcPr>
            <w:shd w:fill="F3F6F5"/>
            <w:tcW w:w="1900" w:type="dxa"/>
          </w:tcPr>
          <w:p>
            <w:pPr>
              <w:spacing w:after="0"/>
            </w:pPr>
            <w:r>
              <w:rPr>
                <w:rFonts w:ascii="Aptos" w:hAnsi="Aptos"/>
                <w:sz w:val="19"/>
                <w:color w:val="17211D"/>
              </w:rPr>
              <w:t xml:space="preserve">Availability</w:t>
            </w:r>
          </w:p>
        </w:tc>
        <w:tc>
          <w:tcPr>
            <w:shd w:fill="F3F6F5"/>
            <w:tcW w:w="7100" w:type="dxa"/>
          </w:tcPr>
          <w:p>
            <w:pPr>
              <w:spacing w:after="0"/>
            </w:pPr>
            <w:r>
              <w:rPr>
                <w:rFonts w:ascii="Aptos" w:hAnsi="Aptos"/>
                <w:sz w:val="19"/>
                <w:color w:val="17211D"/>
              </w:rPr>
              <w:t xml:space="preserve">Expose /api/health for load balancers and deployment health checks; service must fail clearly when database connectivity is unavailable.</w:t>
            </w:r>
          </w:p>
        </w:tc>
      </w:tr>
      <w:tr>
        <w:tc>
          <w:tcPr>
            <w:shd w:fill="F3F6F5"/>
            <w:tcW w:w="1900" w:type="dxa"/>
          </w:tcPr>
          <w:p>
            <w:pPr>
              <w:spacing w:after="0"/>
            </w:pPr>
            <w:r>
              <w:rPr>
                <w:rFonts w:ascii="Aptos" w:hAnsi="Aptos"/>
                <w:sz w:val="19"/>
                <w:color w:val="17211D"/>
              </w:rPr>
              <w:t xml:space="preserve">Performance</w:t>
            </w:r>
          </w:p>
        </w:tc>
        <w:tc>
          <w:tcPr>
            <w:shd w:fill="F3F6F5"/>
            <w:tcW w:w="7100" w:type="dxa"/>
          </w:tcPr>
          <w:p>
            <w:pPr>
              <w:spacing w:after="0"/>
            </w:pPr>
            <w:r>
              <w:rPr>
                <w:rFonts w:ascii="Aptos" w:hAnsi="Aptos"/>
                <w:sz w:val="19"/>
                <w:color w:val="17211D"/>
              </w:rPr>
              <w:t xml:space="preserve">Use server-side aggregation for national views, indexed foreign keys/status fields and bounded result sets; avoid client-side loading of unrelated states.</w:t>
            </w:r>
          </w:p>
        </w:tc>
      </w:tr>
      <w:tr>
        <w:tc>
          <w:tcPr>
            <w:shd w:fill="F3F6F5"/>
            <w:tcW w:w="1900" w:type="dxa"/>
          </w:tcPr>
          <w:p>
            <w:pPr>
              <w:spacing w:after="0"/>
            </w:pPr>
            <w:r>
              <w:rPr>
                <w:rFonts w:ascii="Aptos" w:hAnsi="Aptos"/>
                <w:sz w:val="19"/>
                <w:color w:val="17211D"/>
              </w:rPr>
              <w:t xml:space="preserve">Consistency</w:t>
            </w:r>
          </w:p>
        </w:tc>
        <w:tc>
          <w:tcPr>
            <w:shd w:fill="F3F6F5"/>
            <w:tcW w:w="7100" w:type="dxa"/>
          </w:tcPr>
          <w:p>
            <w:pPr>
              <w:spacing w:after="0"/>
            </w:pPr>
            <w:r>
              <w:rPr>
                <w:rFonts w:ascii="Aptos" w:hAnsi="Aptos"/>
                <w:sz w:val="19"/>
                <w:color w:val="17211D"/>
              </w:rPr>
              <w:t xml:space="preserve">Use PostgreSQL transactions for context setup and multi-row lifecycle changes; derive scores from model rows, not duplicated constants.</w:t>
            </w:r>
          </w:p>
        </w:tc>
      </w:tr>
      <w:tr>
        <w:tc>
          <w:tcPr>
            <w:shd w:fill="F3F6F5"/>
            <w:tcW w:w="1900" w:type="dxa"/>
          </w:tcPr>
          <w:p>
            <w:pPr>
              <w:spacing w:after="0"/>
            </w:pPr>
            <w:r>
              <w:rPr>
                <w:rFonts w:ascii="Aptos" w:hAnsi="Aptos"/>
                <w:sz w:val="19"/>
                <w:color w:val="17211D"/>
              </w:rPr>
              <w:t xml:space="preserve">Maintainability</w:t>
            </w:r>
          </w:p>
        </w:tc>
        <w:tc>
          <w:tcPr>
            <w:shd w:fill="F3F6F5"/>
            <w:tcW w:w="7100" w:type="dxa"/>
          </w:tcPr>
          <w:p>
            <w:pPr>
              <w:spacing w:after="0"/>
            </w:pPr>
            <w:r>
              <w:rPr>
                <w:rFonts w:ascii="Aptos" w:hAnsi="Aptos"/>
                <w:sz w:val="19"/>
                <w:color w:val="17211D"/>
              </w:rPr>
              <w:t xml:space="preserve">Keep model content in dmm-model.js plus generated checked-in migration; use forward-only migrations and typed route/database boundaries.</w:t>
            </w:r>
          </w:p>
        </w:tc>
      </w:tr>
      <w:tr>
        <w:tc>
          <w:tcPr>
            <w:shd w:fill="F3F6F5"/>
            <w:tcW w:w="1900" w:type="dxa"/>
          </w:tcPr>
          <w:p>
            <w:pPr>
              <w:spacing w:after="0"/>
            </w:pPr>
            <w:r>
              <w:rPr>
                <w:rFonts w:ascii="Aptos" w:hAnsi="Aptos"/>
                <w:sz w:val="19"/>
                <w:color w:val="17211D"/>
              </w:rPr>
              <w:t xml:space="preserve">Observability</w:t>
            </w:r>
          </w:p>
        </w:tc>
        <w:tc>
          <w:tcPr>
            <w:shd w:fill="F3F6F5"/>
            <w:tcW w:w="7100" w:type="dxa"/>
          </w:tcPr>
          <w:p>
            <w:pPr>
              <w:spacing w:after="0"/>
            </w:pPr>
            <w:r>
              <w:rPr>
                <w:rFonts w:ascii="Aptos" w:hAnsi="Aptos"/>
                <w:sz w:val="19"/>
                <w:color w:val="17211D"/>
              </w:rPr>
              <w:t xml:space="preserve">Retain minimal structured request logs and audit_log for administrative/system changes without exposing PII in normal logs.</w:t>
            </w:r>
          </w:p>
        </w:tc>
      </w:tr>
      <w:tr>
        <w:tc>
          <w:tcPr>
            <w:shd w:fill="F3F6F5"/>
            <w:tcW w:w="1900" w:type="dxa"/>
          </w:tcPr>
          <w:p>
            <w:pPr>
              <w:spacing w:after="0"/>
            </w:pPr>
            <w:r>
              <w:rPr>
                <w:rFonts w:ascii="Aptos" w:hAnsi="Aptos"/>
                <w:sz w:val="19"/>
                <w:color w:val="17211D"/>
              </w:rPr>
              <w:t xml:space="preserve">Accessibility</w:t>
            </w:r>
          </w:p>
        </w:tc>
        <w:tc>
          <w:tcPr>
            <w:shd w:fill="F3F6F5"/>
            <w:tcW w:w="7100" w:type="dxa"/>
          </w:tcPr>
          <w:p>
            <w:pPr>
              <w:spacing w:after="0"/>
            </w:pPr>
            <w:r>
              <w:rPr>
                <w:rFonts w:ascii="Aptos" w:hAnsi="Aptos"/>
                <w:sz w:val="19"/>
                <w:color w:val="17211D"/>
              </w:rPr>
              <w:t xml:space="preserve">Visible focus rings, semantic controls, readable contrast, keyboard-compatible dialogs and responsive layouts without horizontal scrolling.</w:t>
            </w:r>
          </w:p>
        </w:tc>
      </w:tr>
      <w:tr>
        <w:tc>
          <w:tcPr>
            <w:shd w:fill="F3F6F5"/>
            <w:tcW w:w="1900" w:type="dxa"/>
          </w:tcPr>
          <w:p>
            <w:pPr>
              <w:spacing w:after="0"/>
            </w:pPr>
            <w:r>
              <w:rPr>
                <w:rFonts w:ascii="Aptos" w:hAnsi="Aptos"/>
                <w:sz w:val="19"/>
                <w:color w:val="17211D"/>
              </w:rPr>
              <w:t xml:space="preserve">Print/export</w:t>
            </w:r>
          </w:p>
        </w:tc>
        <w:tc>
          <w:tcPr>
            <w:shd w:fill="F3F6F5"/>
            <w:tcW w:w="7100" w:type="dxa"/>
          </w:tcPr>
          <w:p>
            <w:pPr>
              <w:spacing w:after="0"/>
            </w:pPr>
            <w:r>
              <w:rPr>
                <w:rFonts w:ascii="Aptos" w:hAnsi="Aptos"/>
                <w:sz w:val="19"/>
                <w:color w:val="17211D"/>
              </w:rPr>
              <w:t xml:space="preserve">Use browser print CSS; preserve maturity colours, A4 sizing, landscape grid where specified and page breaks for executive Results.</w:t>
            </w:r>
          </w:p>
        </w:tc>
      </w:tr>
    </w:tbl>
    <w:p>
      <w:pPr>
        <w:pStyle w:val="Heading1"/>
        <w:spacing w:after="100"/>
        <w:keepNext/>
      </w:pPr>
      <w:r>
        <w:rPr>
          <w:rFonts w:ascii="Aptos" w:hAnsi="Aptos"/>
          <w:sz w:val="22"/>
        </w:rPr>
        <w:t xml:space="preserve">9. Deployment and operations</w:t>
      </w:r>
    </w:p>
    <w:p>
      <w:pPr>
        <w:spacing w:after="100"/>
      </w:pPr>
      <w:r>
        <w:rPr>
          <w:rFonts w:ascii="Aptos" w:hAnsi="Aptos"/>
          <w:sz w:val="22"/>
        </w:rPr>
        <w:t xml:space="preserve">The Replit application workflow installs dependencies, builds the client and server, seeds protected development accounts, and starts the Express server on port 5000. Production should set NODE_ENV=production, use HTTPS, use the least-privileged APP_DATABASE_URL, and run setup/migrations with administrative credentials only.</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100" w:type="dxa"/>
          </w:tcPr>
          <w:p>
            <w:pPr>
              <w:spacing w:after="0"/>
            </w:pPr>
            <w:r>
              <w:rPr>
                <w:rFonts w:ascii="Aptos" w:hAnsi="Aptos"/>
                <w:sz w:val="19"/>
                <w:b/>
                <w:color w:val="FFFFFF"/>
              </w:rPr>
              <w:t xml:space="preserve">Step</w:t>
            </w:r>
          </w:p>
        </w:tc>
        <w:tc>
          <w:tcPr>
            <w:shd w:fill="1F6F5B"/>
            <w:tcW w:w="6900" w:type="dxa"/>
          </w:tcPr>
          <w:p>
            <w:pPr>
              <w:spacing w:after="0"/>
            </w:pPr>
            <w:r>
              <w:rPr>
                <w:rFonts w:ascii="Aptos" w:hAnsi="Aptos"/>
                <w:sz w:val="19"/>
                <w:b/>
                <w:color w:val="FFFFFF"/>
              </w:rPr>
              <w:t xml:space="preserve">Control</w:t>
            </w:r>
          </w:p>
        </w:tc>
      </w:tr>
      <w:tr>
        <w:tc>
          <w:tcPr>
            <w:shd w:fill="F3F6F5"/>
            <w:tcW w:w="2100" w:type="dxa"/>
          </w:tcPr>
          <w:p>
            <w:pPr>
              <w:spacing w:after="0"/>
            </w:pPr>
            <w:r>
              <w:rPr>
                <w:rFonts w:ascii="Aptos" w:hAnsi="Aptos"/>
                <w:sz w:val="19"/>
                <w:color w:val="17211D"/>
              </w:rPr>
              <w:t xml:space="preserve">Install/build</w:t>
            </w:r>
          </w:p>
        </w:tc>
        <w:tc>
          <w:tcPr>
            <w:shd w:fill="F3F6F5"/>
            <w:tcW w:w="6900" w:type="dxa"/>
          </w:tcPr>
          <w:p>
            <w:pPr>
              <w:spacing w:after="0"/>
            </w:pPr>
            <w:r>
              <w:rPr>
                <w:rFonts w:ascii="Aptos" w:hAnsi="Aptos"/>
                <w:sz w:val="19"/>
                <w:color w:val="17211D"/>
              </w:rPr>
              <w:t xml:space="preserve">npm install --include=dev &amp;&amp; npm run build</w:t>
            </w:r>
          </w:p>
        </w:tc>
      </w:tr>
      <w:tr>
        <w:tc>
          <w:tcPr>
            <w:shd w:fill="F3F6F5"/>
            <w:tcW w:w="2100" w:type="dxa"/>
          </w:tcPr>
          <w:p>
            <w:pPr>
              <w:spacing w:after="0"/>
            </w:pPr>
            <w:r>
              <w:rPr>
                <w:rFonts w:ascii="Aptos" w:hAnsi="Aptos"/>
                <w:sz w:val="19"/>
                <w:color w:val="17211D"/>
              </w:rPr>
              <w:t xml:space="preserve">Database setup</w:t>
            </w:r>
          </w:p>
        </w:tc>
        <w:tc>
          <w:tcPr>
            <w:shd w:fill="F3F6F5"/>
            <w:tcW w:w="6900" w:type="dxa"/>
          </w:tcPr>
          <w:p>
            <w:pPr>
              <w:spacing w:after="0"/>
            </w:pPr>
            <w:r>
              <w:rPr>
                <w:rFonts w:ascii="Aptos" w:hAnsi="Aptos"/>
                <w:sz w:val="19"/>
                <w:color w:val="17211D"/>
              </w:rPr>
              <w:t xml:space="preserve">npm run db:setup, then npm run db:migrate; never edit an applied migration.</w:t>
            </w:r>
          </w:p>
        </w:tc>
      </w:tr>
      <w:tr>
        <w:tc>
          <w:tcPr>
            <w:shd w:fill="F3F6F5"/>
            <w:tcW w:w="2100" w:type="dxa"/>
          </w:tcPr>
          <w:p>
            <w:pPr>
              <w:spacing w:after="0"/>
            </w:pPr>
            <w:r>
              <w:rPr>
                <w:rFonts w:ascii="Aptos" w:hAnsi="Aptos"/>
                <w:sz w:val="19"/>
                <w:color w:val="17211D"/>
              </w:rPr>
              <w:t xml:space="preserve">Seed</w:t>
            </w:r>
          </w:p>
        </w:tc>
        <w:tc>
          <w:tcPr>
            <w:shd w:fill="F3F6F5"/>
            <w:tcW w:w="6900" w:type="dxa"/>
          </w:tcPr>
          <w:p>
            <w:pPr>
              <w:spacing w:after="0"/>
            </w:pPr>
            <w:r>
              <w:rPr>
                <w:rFonts w:ascii="Aptos" w:hAnsi="Aptos"/>
                <w:sz w:val="19"/>
                <w:color w:val="17211D"/>
              </w:rPr>
              <w:t xml:space="preserve">Use protected seed secrets only for development/demo accounts; never print or commit passwords.</w:t>
            </w:r>
          </w:p>
        </w:tc>
      </w:tr>
      <w:tr>
        <w:tc>
          <w:tcPr>
            <w:shd w:fill="F3F6F5"/>
            <w:tcW w:w="2100" w:type="dxa"/>
          </w:tcPr>
          <w:p>
            <w:pPr>
              <w:spacing w:after="0"/>
            </w:pPr>
            <w:r>
              <w:rPr>
                <w:rFonts w:ascii="Aptos" w:hAnsi="Aptos"/>
                <w:sz w:val="19"/>
                <w:color w:val="17211D"/>
              </w:rPr>
              <w:t xml:space="preserve">Start</w:t>
            </w:r>
          </w:p>
        </w:tc>
        <w:tc>
          <w:tcPr>
            <w:shd w:fill="F3F6F5"/>
            <w:tcW w:w="6900" w:type="dxa"/>
          </w:tcPr>
          <w:p>
            <w:pPr>
              <w:spacing w:after="0"/>
            </w:pPr>
            <w:r>
              <w:rPr>
                <w:rFonts w:ascii="Aptos" w:hAnsi="Aptos"/>
                <w:sz w:val="19"/>
                <w:color w:val="17211D"/>
              </w:rPr>
              <w:t xml:space="preserve">npm run start or the managed workflow command with PORT=5000.</w:t>
            </w:r>
          </w:p>
        </w:tc>
      </w:tr>
      <w:tr>
        <w:tc>
          <w:tcPr>
            <w:shd w:fill="F3F6F5"/>
            <w:tcW w:w="2100" w:type="dxa"/>
          </w:tcPr>
          <w:p>
            <w:pPr>
              <w:spacing w:after="0"/>
            </w:pPr>
            <w:r>
              <w:rPr>
                <w:rFonts w:ascii="Aptos" w:hAnsi="Aptos"/>
                <w:sz w:val="19"/>
                <w:color w:val="17211D"/>
              </w:rPr>
              <w:t xml:space="preserve">Health check</w:t>
            </w:r>
          </w:p>
        </w:tc>
        <w:tc>
          <w:tcPr>
            <w:shd w:fill="F3F6F5"/>
            <w:tcW w:w="6900" w:type="dxa"/>
          </w:tcPr>
          <w:p>
            <w:pPr>
              <w:spacing w:after="0"/>
            </w:pPr>
            <w:r>
              <w:rPr>
                <w:rFonts w:ascii="Aptos" w:hAnsi="Aptos"/>
                <w:sz w:val="19"/>
                <w:color w:val="17211D"/>
              </w:rPr>
              <w:t xml:space="preserve">GET /api/health; expect { ok: true, db: "up" }.</w:t>
            </w:r>
          </w:p>
        </w:tc>
      </w:tr>
      <w:tr>
        <w:tc>
          <w:tcPr>
            <w:shd w:fill="F3F6F5"/>
            <w:tcW w:w="2100" w:type="dxa"/>
          </w:tcPr>
          <w:p>
            <w:pPr>
              <w:spacing w:after="0"/>
            </w:pPr>
            <w:r>
              <w:rPr>
                <w:rFonts w:ascii="Aptos" w:hAnsi="Aptos"/>
                <w:sz w:val="19"/>
                <w:color w:val="17211D"/>
              </w:rPr>
              <w:t xml:space="preserve">Release verification</w:t>
            </w:r>
          </w:p>
        </w:tc>
        <w:tc>
          <w:tcPr>
            <w:shd w:fill="F3F6F5"/>
            <w:tcW w:w="6900" w:type="dxa"/>
          </w:tcPr>
          <w:p>
            <w:pPr>
              <w:spacing w:after="0"/>
            </w:pPr>
            <w:r>
              <w:rPr>
                <w:rFonts w:ascii="Aptos" w:hAnsi="Aptos"/>
                <w:sz w:val="19"/>
                <w:color w:val="17211D"/>
              </w:rPr>
              <w:t xml:space="preserve">Run build/typecheck/tests, inspect logs and verify authenticated state/Centre routes plus public /about.</w:t>
            </w:r>
          </w:p>
        </w:tc>
      </w:tr>
      <w:tr>
        <w:tc>
          <w:tcPr>
            <w:shd w:fill="F3F6F5"/>
            <w:tcW w:w="2100" w:type="dxa"/>
          </w:tcPr>
          <w:p>
            <w:pPr>
              <w:spacing w:after="0"/>
            </w:pPr>
            <w:r>
              <w:rPr>
                <w:rFonts w:ascii="Aptos" w:hAnsi="Aptos"/>
                <w:sz w:val="19"/>
                <w:color w:val="17211D"/>
              </w:rPr>
              <w:t xml:space="preserve">Backup</w:t>
            </w:r>
          </w:p>
        </w:tc>
        <w:tc>
          <w:tcPr>
            <w:shd w:fill="F3F6F5"/>
            <w:tcW w:w="6900" w:type="dxa"/>
          </w:tcPr>
          <w:p>
            <w:pPr>
              <w:spacing w:after="0"/>
            </w:pPr>
            <w:r>
              <w:rPr>
                <w:rFonts w:ascii="Aptos" w:hAnsi="Aptos"/>
                <w:sz w:val="19"/>
                <w:color w:val="17211D"/>
              </w:rPr>
              <w:t xml:space="preserve">Nightly compressed pg_dump and a documented restore rehearsal.</w:t>
            </w:r>
          </w:p>
        </w:tc>
      </w:tr>
    </w:tbl>
    <w:p>
      <w:pPr>
        <w:pStyle w:val="Heading1"/>
        <w:spacing w:after="100"/>
        <w:keepNext/>
      </w:pPr>
      <w:r>
        <w:rPr>
          <w:rFonts w:ascii="Aptos" w:hAnsi="Aptos"/>
          <w:sz w:val="22"/>
        </w:rPr>
        <w:t xml:space="preserve">10. Testing and acceptance strategy</w:t>
      </w:r>
    </w:p>
    <w:p>
      <w:pPr>
        <w:spacing w:after="100"/>
      </w:pPr>
      <w:r>
        <w:rPr>
          <w:rFonts w:ascii="Aptos" w:hAnsi="Aptos"/>
          <w:sz w:val="22"/>
        </w:rPr>
        <w:t xml:space="preserve">The application’s most important tests exercise data isolation and business rules at the database/API boundary rather than trusting UI hiding. The access matrix is the authoritative role-coverage test.</w:t>
      </w:r>
    </w:p>
    <w:p>
      <w:pPr>
        <w:spacing w:after="40"/>
      </w:pPr>
      <w:r>
        <w:rPr>
          <w:rFonts w:ascii="Aptos" w:hAnsi="Aptos"/>
          <w:sz w:val="22"/>
        </w:rPr>
        <w:t xml:space="preserve">• Authentication: seeded login, inactive user, logout and session expiry.</w:t>
      </w:r>
    </w:p>
    <w:p>
      <w:pPr>
        <w:spacing w:after="40"/>
      </w:pPr>
      <w:r>
        <w:rPr>
          <w:rFonts w:ascii="Aptos" w:hAnsi="Aptos"/>
          <w:sz w:val="22"/>
        </w:rPr>
        <w:t xml:space="preserve">• Isolation: state assessor cannot read or modify another state; Centre can read national submitted data but cannot write state-scoped score data.</w:t>
      </w:r>
    </w:p>
    <w:p>
      <w:pPr>
        <w:spacing w:after="40"/>
      </w:pPr>
      <w:r>
        <w:rPr>
          <w:rFonts w:ascii="Aptos" w:hAnsi="Aptos"/>
          <w:sz w:val="22"/>
        </w:rPr>
        <w:t xml:space="preserve">• Assessment lifecycle: score 0 counts as answered, draft autosave, completeness review, submit, lock and read-only results.</w:t>
      </w:r>
    </w:p>
    <w:p>
      <w:pPr>
        <w:spacing w:after="40"/>
      </w:pPr>
      <w:r>
        <w:rPr>
          <w:rFonts w:ascii="Aptos" w:hAnsi="Aptos"/>
          <w:sz w:val="22"/>
        </w:rPr>
        <w:t xml:space="preserve">• Model integrity: new model version does not mutate old assessment wording or scoring interpretation.</w:t>
      </w:r>
    </w:p>
    <w:p>
      <w:pPr>
        <w:spacing w:after="40"/>
      </w:pPr>
      <w:r>
        <w:rPr>
          <w:rFonts w:ascii="Aptos" w:hAnsi="Aptos"/>
          <w:sz w:val="22"/>
        </w:rPr>
        <w:t xml:space="preserve">• Evidence integrity: only scores 3/4 can cite systems; cross-state system ownership is rejected; cited systems cannot be deleted.</w:t>
      </w:r>
    </w:p>
    <w:p>
      <w:pPr>
        <w:spacing w:after="40"/>
      </w:pPr>
      <w:r>
        <w:rPr>
          <w:rFonts w:ascii="Aptos" w:hAnsi="Aptos"/>
          <w:sz w:val="22"/>
        </w:rPr>
        <w:t xml:space="preserve">• National aggregation: drafts excluded, non-submitters absent from denominator, latest submitted assessment selected per state, excluded model-version capabilities counted transparently.</w:t>
      </w:r>
    </w:p>
    <w:p>
      <w:pPr>
        <w:spacing w:after="40"/>
      </w:pPr>
      <w:r>
        <w:rPr>
          <w:rFonts w:ascii="Aptos" w:hAnsi="Aptos"/>
          <w:sz w:val="22"/>
        </w:rPr>
        <w:t xml:space="preserve">• Resilience: malformed IDs and invalid request bodies return controlled errors rather than crashing the process.</w:t>
      </w:r>
    </w:p>
    <w:p>
      <w:pPr>
        <w:spacing w:after="40"/>
      </w:pPr>
      <w:r>
        <w:rPr>
          <w:rFonts w:ascii="Aptos" w:hAnsi="Aptos"/>
          <w:sz w:val="22"/>
        </w:rPr>
        <w:t xml:space="preserve">• UI acceptance: navigation labels and back buttons are deterministic; score hover text remains readable; print layouts retain band colours and fit the required paper orientation.</w:t>
      </w:r>
    </w:p>
    <w:p>
      <w:pPr>
        <w:pStyle w:val="Heading1"/>
        <w:spacing w:after="100"/>
        <w:keepNext/>
      </w:pPr>
      <w:r>
        <w:rPr>
          <w:rFonts w:ascii="Aptos" w:hAnsi="Aptos"/>
          <w:sz w:val="22"/>
        </w:rPr>
        <w:t xml:space="preserve">11. Current feature status and planned extensions</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2500" w:type="dxa"/>
          </w:tcPr>
          <w:p>
            <w:pPr>
              <w:spacing w:after="0"/>
            </w:pPr>
            <w:r>
              <w:rPr>
                <w:rFonts w:ascii="Aptos" w:hAnsi="Aptos"/>
                <w:sz w:val="19"/>
                <w:b/>
                <w:color w:val="FFFFFF"/>
              </w:rPr>
              <w:t xml:space="preserve">Status</w:t>
            </w:r>
          </w:p>
        </w:tc>
        <w:tc>
          <w:tcPr>
            <w:shd w:fill="1F6F5B"/>
            <w:tcW w:w="6500" w:type="dxa"/>
          </w:tcPr>
          <w:p>
            <w:pPr>
              <w:spacing w:after="0"/>
            </w:pPr>
            <w:r>
              <w:rPr>
                <w:rFonts w:ascii="Aptos" w:hAnsi="Aptos"/>
                <w:sz w:val="19"/>
                <w:b/>
                <w:color w:val="FFFFFF"/>
              </w:rPr>
              <w:t xml:space="preserve">Item</w:t>
            </w:r>
          </w:p>
        </w:tc>
      </w:tr>
      <w:tr>
        <w:tc>
          <w:tcPr>
            <w:shd w:fill="F3F6F5"/>
            <w:tcW w:w="2500" w:type="dxa"/>
          </w:tcPr>
          <w:p>
            <w:pPr>
              <w:spacing w:after="0"/>
            </w:pPr>
            <w:r>
              <w:rPr>
                <w:rFonts w:ascii="Aptos" w:hAnsi="Aptos"/>
                <w:sz w:val="19"/>
                <w:color w:val="17211D"/>
              </w:rPr>
              <w:t xml:space="preserve">Implemented</w:t>
            </w:r>
          </w:p>
        </w:tc>
        <w:tc>
          <w:tcPr>
            <w:shd w:fill="F3F6F5"/>
            <w:tcW w:w="6500" w:type="dxa"/>
          </w:tcPr>
          <w:p>
            <w:pPr>
              <w:spacing w:after="0"/>
            </w:pPr>
            <w:r>
              <w:rPr>
                <w:rFonts w:ascii="Aptos" w:hAnsi="Aptos"/>
                <w:sz w:val="19"/>
                <w:color w:val="17211D"/>
              </w:rPr>
              <w:t xml:space="preserve">State assessor flow, model/version data, 0–4 scoring, draft/submission/7-day lock, Results, full dashboard, Compare, browser-print PDF, systems management, Centre dashboard, Solutions Catalogue evidence view, assessor management, audit and CSV export.</w:t>
            </w:r>
          </w:p>
        </w:tc>
      </w:tr>
      <w:tr>
        <w:tc>
          <w:tcPr>
            <w:shd w:fill="F3F6F5"/>
            <w:tcW w:w="2500" w:type="dxa"/>
          </w:tcPr>
          <w:p>
            <w:pPr>
              <w:spacing w:after="0"/>
            </w:pPr>
            <w:r>
              <w:rPr>
                <w:rFonts w:ascii="Aptos" w:hAnsi="Aptos"/>
                <w:sz w:val="19"/>
                <w:color w:val="17211D"/>
              </w:rPr>
              <w:t xml:space="preserve">Implemented but disabled by default</w:t>
            </w:r>
          </w:p>
        </w:tc>
        <w:tc>
          <w:tcPr>
            <w:shd w:fill="F3F6F5"/>
            <w:tcW w:w="6500" w:type="dxa"/>
          </w:tcPr>
          <w:p>
            <w:pPr>
              <w:spacing w:after="0"/>
            </w:pPr>
            <w:r>
              <w:rPr>
                <w:rFonts w:ascii="Aptos" w:hAnsi="Aptos"/>
                <w:sz w:val="19"/>
                <w:color w:val="17211D"/>
              </w:rPr>
              <w:t xml:space="preserve">State support requests and Centre responses. Enable with FEATURE_SUPPORT_REQUESTS=true after programme approval and operational ownership are confirmed.</w:t>
            </w:r>
          </w:p>
        </w:tc>
      </w:tr>
      <w:tr>
        <w:tc>
          <w:tcPr>
            <w:shd w:fill="F3F6F5"/>
            <w:tcW w:w="2500" w:type="dxa"/>
          </w:tcPr>
          <w:p>
            <w:pPr>
              <w:spacing w:after="0"/>
            </w:pPr>
            <w:r>
              <w:rPr>
                <w:rFonts w:ascii="Aptos" w:hAnsi="Aptos"/>
                <w:sz w:val="19"/>
                <w:color w:val="17211D"/>
              </w:rPr>
              <w:t xml:space="preserve">Operational follow-up</w:t>
            </w:r>
          </w:p>
        </w:tc>
        <w:tc>
          <w:tcPr>
            <w:shd w:fill="F3F6F5"/>
            <w:tcW w:w="6500" w:type="dxa"/>
          </w:tcPr>
          <w:p>
            <w:pPr>
              <w:spacing w:after="0"/>
            </w:pPr>
            <w:r>
              <w:rPr>
                <w:rFonts w:ascii="Aptos" w:hAnsi="Aptos"/>
                <w:sz w:val="19"/>
                <w:color w:val="17211D"/>
              </w:rPr>
              <w:t xml:space="preserve">Complete production assessor invitation/set-password workflow; the current Centre reset flow returns a temporary password for controlled handover.</w:t>
            </w:r>
          </w:p>
        </w:tc>
      </w:tr>
      <w:tr>
        <w:tc>
          <w:tcPr>
            <w:shd w:fill="F3F6F5"/>
            <w:tcW w:w="2500" w:type="dxa"/>
          </w:tcPr>
          <w:p>
            <w:pPr>
              <w:spacing w:after="0"/>
            </w:pPr>
            <w:r>
              <w:rPr>
                <w:rFonts w:ascii="Aptos" w:hAnsi="Aptos"/>
                <w:sz w:val="19"/>
                <w:color w:val="17211D"/>
              </w:rPr>
              <w:t xml:space="preserve">Operational follow-up</w:t>
            </w:r>
          </w:p>
        </w:tc>
        <w:tc>
          <w:tcPr>
            <w:shd w:fill="F3F6F5"/>
            <w:tcW w:w="6500" w:type="dxa"/>
          </w:tcPr>
          <w:p>
            <w:pPr>
              <w:spacing w:after="0"/>
            </w:pPr>
            <w:r>
              <w:rPr>
                <w:rFonts w:ascii="Aptos" w:hAnsi="Aptos"/>
                <w:sz w:val="19"/>
                <w:color w:val="17211D"/>
              </w:rPr>
              <w:t xml:space="preserve">Publish the latest build and attach the intended custom subdomain separately from any root-domain app, if required.</w:t>
            </w:r>
          </w:p>
        </w:tc>
      </w:tr>
      <w:tr>
        <w:tc>
          <w:tcPr>
            <w:shd w:fill="F3F6F5"/>
            <w:tcW w:w="2500" w:type="dxa"/>
          </w:tcPr>
          <w:p>
            <w:pPr>
              <w:spacing w:after="0"/>
            </w:pPr>
            <w:r>
              <w:rPr>
                <w:rFonts w:ascii="Aptos" w:hAnsi="Aptos"/>
                <w:sz w:val="19"/>
                <w:color w:val="17211D"/>
              </w:rPr>
              <w:t xml:space="preserve">Future product</w:t>
            </w:r>
          </w:p>
        </w:tc>
        <w:tc>
          <w:tcPr>
            <w:shd w:fill="F3F6F5"/>
            <w:tcW w:w="6500" w:type="dxa"/>
          </w:tcPr>
          <w:p>
            <w:pPr>
              <w:spacing w:after="0"/>
            </w:pPr>
            <w:r>
              <w:rPr>
                <w:rFonts w:ascii="Aptos" w:hAnsi="Aptos"/>
                <w:sz w:val="19"/>
                <w:color w:val="17211D"/>
              </w:rPr>
              <w:t xml:space="preserve">Formal notification email integration, if approved, using a managed provider such as Resend or SendGrid; credentials must be held in Replit integrations/secrets, never in source.</w:t>
            </w:r>
          </w:p>
        </w:tc>
      </w:tr>
    </w:tbl>
    <w:p>
      <w:pPr>
        <w:pStyle w:val="Heading1"/>
        <w:spacing w:after="100"/>
        <w:keepNext/>
      </w:pPr>
      <w:r>
        <w:rPr>
          <w:rFonts w:ascii="Aptos" w:hAnsi="Aptos"/>
          <w:sz w:val="22"/>
        </w:rPr>
        <w:t xml:space="preserve">12. Change management</w:t>
      </w:r>
    </w:p>
    <w:p>
      <w:pPr>
        <w:spacing w:after="40"/>
      </w:pPr>
      <w:r>
        <w:rPr>
          <w:rFonts w:ascii="Aptos" w:hAnsi="Aptos"/>
          <w:sz w:val="22"/>
        </w:rPr>
        <w:t xml:space="preserve">• Treat model content as product data, not frontend constants. Bump MODEL_VERSION when the meaning of a score changes.</w:t>
      </w:r>
    </w:p>
    <w:p>
      <w:pPr>
        <w:spacing w:after="40"/>
      </w:pPr>
      <w:r>
        <w:rPr>
          <w:rFonts w:ascii="Aptos" w:hAnsi="Aptos"/>
          <w:sz w:val="22"/>
        </w:rPr>
        <w:t xml:space="preserve">• Create a new numbered migration for schema or model changes. Never edit an applied migration; fix forward.</w:t>
      </w:r>
    </w:p>
    <w:p>
      <w:pPr>
        <w:spacing w:after="40"/>
      </w:pPr>
      <w:r>
        <w:rPr>
          <w:rFonts w:ascii="Aptos" w:hAnsi="Aptos"/>
          <w:sz w:val="22"/>
        </w:rPr>
        <w:t xml:space="preserve">• Set public_notes only when a version changed what a score means, and set published_at explicitly at UTC midnight.</w:t>
      </w:r>
    </w:p>
    <w:p>
      <w:pPr>
        <w:spacing w:after="40"/>
      </w:pPr>
      <w:r>
        <w:rPr>
          <w:rFonts w:ascii="Aptos" w:hAnsi="Aptos"/>
          <w:sz w:val="22"/>
        </w:rPr>
        <w:t xml:space="preserve">• Before merging, run npm install --include=dev &amp;&amp; npm run build, npm run typecheck and the applicable server tests.</w:t>
      </w:r>
    </w:p>
    <w:p>
      <w:pPr>
        <w:spacing w:after="40"/>
      </w:pPr>
      <w:r>
        <w:rPr>
          <w:rFonts w:ascii="Aptos" w:hAnsi="Aptos"/>
          <w:sz w:val="22"/>
        </w:rPr>
        <w:t xml:space="preserve">• After merging or pulling changes, run the build and migrations in order, restart the workflow once, inspect logs and verify the affected user flow.</w:t>
      </w:r>
    </w:p>
    <w:p>
      <w:pPr>
        <w:spacing w:after="40"/>
      </w:pPr>
      <w:r>
        <w:rPr>
          <w:rFonts w:ascii="Aptos" w:hAnsi="Aptos"/>
          <w:sz w:val="22"/>
        </w:rPr>
        <w:t xml:space="preserve">• Keep this document and DEVELOPMENT.md aligned when the architecture, operating procedure or accepted product scope changes.</w:t>
      </w:r>
    </w:p>
    <w:p>
      <w:pPr>
        <w:pStyle w:val="Heading1"/>
        <w:spacing w:after="100"/>
        <w:keepNext/>
      </w:pPr>
      <w:r>
        <w:rPr>
          <w:rFonts w:ascii="Aptos" w:hAnsi="Aptos"/>
          <w:sz w:val="22"/>
        </w:rPr>
        <w:t xml:space="preserve">Appendix A. Reference implementation files</w:t>
      </w:r>
    </w:p>
    <w:tbl>
      <w:tblPr>
        <w:tblW w:w="9000" w:type="dxa"/>
        <w:tblLayout w:type="fixed"/>
        <w:tblBorders>
          <w:top w:val="single" w:sz="4" w:space="0" w:color="D6E1DC"/>
          <w:left w:val="single" w:sz="4" w:space="0" w:color="D6E1DC"/>
          <w:bottom w:val="single" w:sz="4" w:space="0" w:color="D6E1DC"/>
          <w:right w:val="single" w:sz="4" w:space="0" w:color="D6E1DC"/>
          <w:insideH w:val="single" w:sz="4" w:space="0" w:color="D6E1DC"/>
          <w:insideV w:val="single" w:sz="4" w:space="0" w:color="D6E1DC"/>
        </w:tblBorders>
        <w:tblCellMar>
          <w:top w:w="90" w:type="dxa"/>
          <w:start w:w="110" w:type="dxa"/>
          <w:bottom w:w="90" w:type="dxa"/>
          <w:end w:w="110" w:type="dxa"/>
        </w:tblCellMar>
      </w:tblPr>
      <w:tr>
        <w:tc>
          <w:tcPr>
            <w:shd w:fill="1F6F5B"/>
            <w:tcW w:w="3300" w:type="dxa"/>
          </w:tcPr>
          <w:p>
            <w:pPr>
              <w:spacing w:after="0"/>
            </w:pPr>
            <w:r>
              <w:rPr>
                <w:rFonts w:ascii="Aptos" w:hAnsi="Aptos"/>
                <w:sz w:val="19"/>
                <w:b/>
                <w:color w:val="FFFFFF"/>
              </w:rPr>
              <w:t xml:space="preserve">Reference</w:t>
            </w:r>
          </w:p>
        </w:tc>
        <w:tc>
          <w:tcPr>
            <w:shd w:fill="1F6F5B"/>
            <w:tcW w:w="5700" w:type="dxa"/>
          </w:tcPr>
          <w:p>
            <w:pPr>
              <w:spacing w:after="0"/>
            </w:pPr>
            <w:r>
              <w:rPr>
                <w:rFonts w:ascii="Aptos" w:hAnsi="Aptos"/>
                <w:sz w:val="19"/>
                <w:b/>
                <w:color w:val="FFFFFF"/>
              </w:rPr>
              <w:t xml:space="preserve">Why it matters</w:t>
            </w:r>
          </w:p>
        </w:tc>
      </w:tr>
      <w:tr>
        <w:tc>
          <w:tcPr>
            <w:shd w:fill="F3F6F5"/>
            <w:tcW w:w="3300" w:type="dxa"/>
          </w:tcPr>
          <w:p>
            <w:pPr>
              <w:spacing w:after="0"/>
            </w:pPr>
            <w:r>
              <w:rPr>
                <w:rFonts w:ascii="Aptos" w:hAnsi="Aptos"/>
                <w:sz w:val="19"/>
                <w:color w:val="17211D"/>
              </w:rPr>
              <w:t xml:space="preserve">README.md</w:t>
            </w:r>
          </w:p>
        </w:tc>
        <w:tc>
          <w:tcPr>
            <w:shd w:fill="F3F6F5"/>
            <w:tcW w:w="5700" w:type="dxa"/>
          </w:tcPr>
          <w:p>
            <w:pPr>
              <w:spacing w:after="0"/>
            </w:pPr>
            <w:r>
              <w:rPr>
                <w:rFonts w:ascii="Aptos" w:hAnsi="Aptos"/>
                <w:sz w:val="19"/>
                <w:color w:val="17211D"/>
              </w:rPr>
              <w:t xml:space="preserve">Product model, business rules, screen requirements and deployment handoff.</w:t>
            </w:r>
          </w:p>
        </w:tc>
      </w:tr>
      <w:tr>
        <w:tc>
          <w:tcPr>
            <w:shd w:fill="F3F6F5"/>
            <w:tcW w:w="3300" w:type="dxa"/>
          </w:tcPr>
          <w:p>
            <w:pPr>
              <w:spacing w:after="0"/>
            </w:pPr>
            <w:r>
              <w:rPr>
                <w:rFonts w:ascii="Aptos" w:hAnsi="Aptos"/>
                <w:sz w:val="19"/>
                <w:color w:val="17211D"/>
              </w:rPr>
              <w:t xml:space="preserve">DEVELOPMENT.md</w:t>
            </w:r>
          </w:p>
        </w:tc>
        <w:tc>
          <w:tcPr>
            <w:shd w:fill="F3F6F5"/>
            <w:tcW w:w="5700" w:type="dxa"/>
          </w:tcPr>
          <w:p>
            <w:pPr>
              <w:spacing w:after="0"/>
            </w:pPr>
            <w:r>
              <w:rPr>
                <w:rFonts w:ascii="Aptos" w:hAnsi="Aptos"/>
                <w:sz w:val="19"/>
                <w:color w:val="17211D"/>
              </w:rPr>
              <w:t xml:space="preserve">Local setup, architecture, testing and operational developer notes.</w:t>
            </w:r>
          </w:p>
        </w:tc>
      </w:tr>
      <w:tr>
        <w:tc>
          <w:tcPr>
            <w:shd w:fill="F3F6F5"/>
            <w:tcW w:w="3300" w:type="dxa"/>
          </w:tcPr>
          <w:p>
            <w:pPr>
              <w:spacing w:after="0"/>
            </w:pPr>
            <w:r>
              <w:rPr>
                <w:rFonts w:ascii="Aptos" w:hAnsi="Aptos"/>
                <w:sz w:val="19"/>
                <w:color w:val="17211D"/>
              </w:rPr>
              <w:t xml:space="preserve">MODEL-VERSIONS.md</w:t>
            </w:r>
          </w:p>
        </w:tc>
        <w:tc>
          <w:tcPr>
            <w:shd w:fill="F3F6F5"/>
            <w:tcW w:w="5700" w:type="dxa"/>
          </w:tcPr>
          <w:p>
            <w:pPr>
              <w:spacing w:after="0"/>
            </w:pPr>
            <w:r>
              <w:rPr>
                <w:rFonts w:ascii="Aptos" w:hAnsi="Aptos"/>
                <w:sz w:val="19"/>
                <w:color w:val="17211D"/>
              </w:rPr>
              <w:t xml:space="preserve">Rules for publishing and comparing model versions.</w:t>
            </w:r>
          </w:p>
        </w:tc>
      </w:tr>
      <w:tr>
        <w:tc>
          <w:tcPr>
            <w:shd w:fill="F3F6F5"/>
            <w:tcW w:w="3300" w:type="dxa"/>
          </w:tcPr>
          <w:p>
            <w:pPr>
              <w:spacing w:after="0"/>
            </w:pPr>
            <w:r>
              <w:rPr>
                <w:rFonts w:ascii="Aptos" w:hAnsi="Aptos"/>
                <w:sz w:val="19"/>
                <w:color w:val="17211D"/>
              </w:rPr>
              <w:t xml:space="preserve">server/src/db/index.ts</w:t>
            </w:r>
          </w:p>
        </w:tc>
        <w:tc>
          <w:tcPr>
            <w:shd w:fill="F3F6F5"/>
            <w:tcW w:w="5700" w:type="dxa"/>
          </w:tcPr>
          <w:p>
            <w:pPr>
              <w:spacing w:after="0"/>
            </w:pPr>
            <w:r>
              <w:rPr>
                <w:rFonts w:ascii="Aptos" w:hAnsi="Aptos"/>
                <w:sz w:val="19"/>
                <w:color w:val="17211D"/>
              </w:rPr>
              <w:t xml:space="preserve">Database operations and Centre/state data access.</w:t>
            </w:r>
          </w:p>
        </w:tc>
      </w:tr>
      <w:tr>
        <w:tc>
          <w:tcPr>
            <w:shd w:fill="F3F6F5"/>
            <w:tcW w:w="3300" w:type="dxa"/>
          </w:tcPr>
          <w:p>
            <w:pPr>
              <w:spacing w:after="0"/>
            </w:pPr>
            <w:r>
              <w:rPr>
                <w:rFonts w:ascii="Aptos" w:hAnsi="Aptos"/>
                <w:sz w:val="19"/>
                <w:color w:val="17211D"/>
              </w:rPr>
              <w:t xml:space="preserve">server/src/db/rls.ts</w:t>
            </w:r>
          </w:p>
        </w:tc>
        <w:tc>
          <w:tcPr>
            <w:shd w:fill="F3F6F5"/>
            <w:tcW w:w="5700" w:type="dxa"/>
          </w:tcPr>
          <w:p>
            <w:pPr>
              <w:spacing w:after="0"/>
            </w:pPr>
            <w:r>
              <w:rPr>
                <w:rFonts w:ascii="Aptos" w:hAnsi="Aptos"/>
                <w:sz w:val="19"/>
                <w:color w:val="17211D"/>
              </w:rPr>
              <w:t xml:space="preserve">Per-request database security context.</w:t>
            </w:r>
          </w:p>
        </w:tc>
      </w:tr>
      <w:tr>
        <w:tc>
          <w:tcPr>
            <w:shd w:fill="F3F6F5"/>
            <w:tcW w:w="3300" w:type="dxa"/>
          </w:tcPr>
          <w:p>
            <w:pPr>
              <w:spacing w:after="0"/>
            </w:pPr>
            <w:r>
              <w:rPr>
                <w:rFonts w:ascii="Aptos" w:hAnsi="Aptos"/>
                <w:sz w:val="19"/>
                <w:color w:val="17211D"/>
              </w:rPr>
              <w:t xml:space="preserve">server/src/lib/scoring.ts and national.ts</w:t>
            </w:r>
          </w:p>
        </w:tc>
        <w:tc>
          <w:tcPr>
            <w:shd w:fill="F3F6F5"/>
            <w:tcW w:w="5700" w:type="dxa"/>
          </w:tcPr>
          <w:p>
            <w:pPr>
              <w:spacing w:after="0"/>
            </w:pPr>
            <w:r>
              <w:rPr>
                <w:rFonts w:ascii="Aptos" w:hAnsi="Aptos"/>
                <w:sz w:val="19"/>
                <w:color w:val="17211D"/>
              </w:rPr>
              <w:t xml:space="preserve">Single sources for assessment and national calculations.</w:t>
            </w:r>
          </w:p>
        </w:tc>
      </w:tr>
      <w:tr>
        <w:tc>
          <w:tcPr>
            <w:shd w:fill="F3F6F5"/>
            <w:tcW w:w="3300" w:type="dxa"/>
          </w:tcPr>
          <w:p>
            <w:pPr>
              <w:spacing w:after="0"/>
            </w:pPr>
            <w:r>
              <w:rPr>
                <w:rFonts w:ascii="Aptos" w:hAnsi="Aptos"/>
                <w:sz w:val="19"/>
                <w:color w:val="17211D"/>
              </w:rPr>
              <w:t xml:space="preserve">server/src/http/app.ts</w:t>
            </w:r>
          </w:p>
        </w:tc>
        <w:tc>
          <w:tcPr>
            <w:shd w:fill="F3F6F5"/>
            <w:tcW w:w="5700" w:type="dxa"/>
          </w:tcPr>
          <w:p>
            <w:pPr>
              <w:spacing w:after="0"/>
            </w:pPr>
            <w:r>
              <w:rPr>
                <w:rFonts w:ascii="Aptos" w:hAnsi="Aptos"/>
                <w:sz w:val="19"/>
                <w:color w:val="17211D"/>
              </w:rPr>
              <w:t xml:space="preserve">Express middleware, routes, health check and production static serving.</w:t>
            </w:r>
          </w:p>
        </w:tc>
      </w:tr>
      <w:tr>
        <w:tc>
          <w:tcPr>
            <w:shd w:fill="F3F6F5"/>
            <w:tcW w:w="3300" w:type="dxa"/>
          </w:tcPr>
          <w:p>
            <w:pPr>
              <w:spacing w:after="0"/>
            </w:pPr>
            <w:r>
              <w:rPr>
                <w:rFonts w:ascii="Aptos" w:hAnsi="Aptos"/>
                <w:sz w:val="19"/>
                <w:color w:val="17211D"/>
              </w:rPr>
              <w:t xml:space="preserve">client/src/App.tsx</w:t>
            </w:r>
          </w:p>
        </w:tc>
        <w:tc>
          <w:tcPr>
            <w:shd w:fill="F3F6F5"/>
            <w:tcW w:w="5700" w:type="dxa"/>
          </w:tcPr>
          <w:p>
            <w:pPr>
              <w:spacing w:after="0"/>
            </w:pPr>
            <w:r>
              <w:rPr>
                <w:rFonts w:ascii="Aptos" w:hAnsi="Aptos"/>
                <w:sz w:val="19"/>
                <w:color w:val="17211D"/>
              </w:rPr>
              <w:t xml:space="preserve">Role-guarded frontend routes.</w:t>
            </w:r>
          </w:p>
        </w:tc>
      </w:tr>
      <w:tr>
        <w:tc>
          <w:tcPr>
            <w:shd w:fill="F3F6F5"/>
            <w:tcW w:w="3300" w:type="dxa"/>
          </w:tcPr>
          <w:p>
            <w:pPr>
              <w:spacing w:after="0"/>
            </w:pPr>
            <w:r>
              <w:rPr>
                <w:rFonts w:ascii="Aptos" w:hAnsi="Aptos"/>
                <w:sz w:val="19"/>
                <w:color w:val="17211D"/>
              </w:rPr>
              <w:t xml:space="preserve">migrations/*.sql</w:t>
            </w:r>
          </w:p>
        </w:tc>
        <w:tc>
          <w:tcPr>
            <w:shd w:fill="F3F6F5"/>
            <w:tcW w:w="5700" w:type="dxa"/>
          </w:tcPr>
          <w:p>
            <w:pPr>
              <w:spacing w:after="0"/>
            </w:pPr>
            <w:r>
              <w:rPr>
                <w:rFonts w:ascii="Aptos" w:hAnsi="Aptos"/>
                <w:sz w:val="19"/>
                <w:color w:val="17211D"/>
              </w:rPr>
              <w:t xml:space="preserve">Forward-only database and model evolution.</w:t>
            </w:r>
          </w:p>
        </w:tc>
      </w:tr>
    </w:tbl>
    <w:p>
      <w:pPr>
        <w:pStyle w:val="Heading1"/>
        <w:spacing w:after="100"/>
        <w:keepNext/>
      </w:pPr>
      <w:r>
        <w:rPr>
          <w:rFonts w:ascii="Aptos" w:hAnsi="Aptos"/>
          <w:sz w:val="22"/>
        </w:rPr>
        <w:t xml:space="preserve">Appendix B. Definition of done for a release</w:t>
      </w:r>
    </w:p>
    <w:p>
      <w:pPr>
        <w:spacing w:after="45"/>
      </w:pPr>
      <w:r>
        <w:rPr>
          <w:rFonts w:ascii="Aptos" w:hAnsi="Aptos"/>
          <w:sz w:val="22"/>
        </w:rPr>
        <w:t xml:space="preserve">1. All requested product behaviour is implemented in the correct role surface.</w:t>
      </w:r>
    </w:p>
    <w:p>
      <w:pPr>
        <w:spacing w:after="45"/>
      </w:pPr>
      <w:r>
        <w:rPr>
          <w:rFonts w:ascii="Aptos" w:hAnsi="Aptos"/>
          <w:sz w:val="22"/>
        </w:rPr>
        <w:t xml:space="preserve">2. Database changes are represented by a new checked-in migration and applied successfully in the target environment.</w:t>
      </w:r>
    </w:p>
    <w:p>
      <w:pPr>
        <w:spacing w:after="45"/>
      </w:pPr>
      <w:r>
        <w:rPr>
          <w:rFonts w:ascii="Aptos" w:hAnsi="Aptos"/>
          <w:sz w:val="22"/>
        </w:rPr>
        <w:t xml:space="preserve">3. Build and typecheck pass; relevant security/isolation/access tests pass.</w:t>
      </w:r>
    </w:p>
    <w:p>
      <w:pPr>
        <w:spacing w:after="45"/>
      </w:pPr>
      <w:r>
        <w:rPr>
          <w:rFonts w:ascii="Aptos" w:hAnsi="Aptos"/>
          <w:sz w:val="22"/>
        </w:rPr>
        <w:t xml:space="preserve">4. The workflow starts on the expected port and /api/health reports database availability.</w:t>
      </w:r>
    </w:p>
    <w:p>
      <w:pPr>
        <w:spacing w:after="45"/>
      </w:pPr>
      <w:r>
        <w:rPr>
          <w:rFonts w:ascii="Aptos" w:hAnsi="Aptos"/>
          <w:sz w:val="22"/>
        </w:rPr>
        <w:t xml:space="preserve">5. Authenticated state and Centre flows are manually checked, including empty/error states and print/export paths.</w:t>
      </w:r>
    </w:p>
    <w:p>
      <w:pPr>
        <w:spacing w:after="45"/>
      </w:pPr>
      <w:r>
        <w:rPr>
          <w:rFonts w:ascii="Aptos" w:hAnsi="Aptos"/>
          <w:sz w:val="22"/>
        </w:rPr>
        <w:t xml:space="preserve">6. No secret, password, token or personal data is committed or printed in logs.</w:t>
      </w:r>
    </w:p>
    <w:p>
      <w:pPr>
        <w:spacing w:after="45"/>
      </w:pPr>
      <w:r>
        <w:rPr>
          <w:rFonts w:ascii="Aptos" w:hAnsi="Aptos"/>
          <w:sz w:val="22"/>
        </w:rPr>
        <w:t xml:space="preserve">7. Release notes identify model-version implications, migration requirements and any feature flags.</w:t>
      </w:r>
    </w:p>
    <w:sectPr>
      <w:pgSz w:w="11906" w:h="16838"/>
      <w:pgMar w:top="900" w:right="900" w:bottom="900" w:left="900" w:header="450" w:footer="450"/>
      <w:cols w:num="1"/>
      <w:footerReference w:type="default" r:id="rIdFooter"/>
    </w:sectPr>
  </w:body>
</w:document>
</file>

<file path=word/footer1.xml><?xml version="1.0" encoding="utf-8"?>
<w:ftr xmlns:w="http://schemas.openxmlformats.org/wordprocessingml/2006/main" xmlns:r="http://schemas.openxmlformats.org/officeDocument/2006/relationships">
  <w:p>
    <w:pPr>
      <w:jc w:val="center"/>
    </w:pPr>
    <w:r>
      <w:rPr>
        <w:rFonts w:ascii="Aptos" w:hAnsi="Aptos"/>
        <w:sz w:val="22"/>
      </w:rPr>
      <w:t xml:space="preserve">DMM Development Document  ·  </w:t>
    </w:r>
    <w:fldSimple w:instr="PAGE">
      <w:r>
        <w:rPr>
          <w:rFonts w:ascii="Aptos" w:hAnsi="Aptos"/>
          <w:sz w:val="18"/>
          <w:color w:val="52645C"/>
        </w:rPr>
        <w:t xml:space="preserve">1</w:t>
      </w:r>
    </w:fldSimple>
  </w:p>
</w:ftr>
</file>

<file path=word/styles.xml><?xml version="1.0" encoding="utf-8"?>
<w:styles xmlns:w="http://schemas.openxmlformats.org/wordprocessingml/2006/main">
  <w:docDefaults>
    <w:rPrDefault>
      <w:rPr>
        <w:rFonts w:ascii="Aptos" w:hAnsi="Aptos"/>
        <w:sz w:val="22"/>
        <w:color w:val="17211D"/>
      </w:rPr>
    </w:rPrDefault>
    <w:pPrDefault>
      <w:pPr>
        <w:spacing w:line="276" w:lineRule="auto"/>
      </w:pPr>
    </w:pPrDefault>
  </w:docDefaults>
  <w:style w:type="paragraph" w:default="1" w:styleId="Normal">
    <w:name w:val="Normal"/>
    <w:rPr>
      <w:rFonts w:ascii="Aptos" w:hAnsi="Aptos"/>
      <w:sz w:val="22"/>
      <w:color w:val="17211D"/>
    </w:rPr>
  </w:style>
  <w:style w:type="paragraph" w:styleId="Heading1">
    <w:name w:val="heading 1"/>
    <w:basedOn w:val="Normal"/>
    <w:next w:val="Normal"/>
    <w:pPr>
      <w:keepNext/>
      <w:spacing w:before="280" w:after="120"/>
    </w:pPr>
    <w:rPr>
      <w:rFonts w:ascii="Aptos Display" w:hAnsi="Aptos Display"/>
      <w:b/>
      <w:sz w:val="30"/>
      <w:color w:val="1F6F5B"/>
    </w:rPr>
  </w:style>
  <w:style w:type="paragraph" w:styleId="Heading2">
    <w:name w:val="heading 2"/>
    <w:basedOn w:val="Normal"/>
    <w:next w:val="Normal"/>
    <w:pPr>
      <w:keepNext/>
      <w:spacing w:before="180" w:after="80"/>
    </w:pPr>
    <w:rPr>
      <w:b/>
      <w:sz w:val="25"/>
      <w:color w:val="2C4F43"/>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