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Predicting Bitcoin Price Direction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6 - Udita Saha, George Zavala, Aishwarya Srivastava, Ruiyang Sun</w:t>
      </w:r>
    </w:p>
    <w:p w:rsidR="00000000" w:rsidDel="00000000" w:rsidP="00000000" w:rsidRDefault="00000000" w:rsidRPr="00000000" w14:paraId="00000004">
      <w:pPr>
        <w:pStyle w:val="Heading1"/>
        <w:pBdr>
          <w:bottom w:color="000000" w:space="1" w:sz="4"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Executive Summary</w:t>
      </w:r>
    </w:p>
    <w:p w:rsidR="00000000" w:rsidDel="00000000" w:rsidP="00000000" w:rsidRDefault="00000000" w:rsidRPr="00000000" w14:paraId="00000005">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report describes a machine learning approach to forecast the 3-day price direction of the cryptocurrency Bitcoin. The business question is whether popular machine learning algorithms may provide a statistically meaningful edge over random guessing in cryptocurrency trading. </w:t>
      </w:r>
    </w:p>
    <w:p w:rsidR="00000000" w:rsidDel="00000000" w:rsidP="00000000" w:rsidRDefault="00000000" w:rsidRPr="00000000" w14:paraId="00000006">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Using 4062 daily observations from Yahoo Finance and the CoinMetric Community API, we engineered 38 features describing momentum, volatility, trend, and the Market Value to Realized Value (MVRV) ratio. After applying a filter to remove days where BTC’s 3-day forwards return was less than ±1%, 3178 observations remained. Five models were trained on a chronological 80/20 split with TimeSeriesSplit cross-validation to prevent data leakage: Linear Regression, Logistic Regression, Lasso, Random Forest, and XGBoost.</w:t>
      </w:r>
    </w:p>
    <w:p w:rsidR="00000000" w:rsidDel="00000000" w:rsidP="00000000" w:rsidRDefault="00000000" w:rsidRPr="00000000" w14:paraId="00000007">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Directional accuracy on unseen test data ranged from 48.90% (Logistic Regression) to 53.93% (XGBoost). Bootstrap confidence intervals with 1000 resamples confirm that only Lasso and XGBoost show evidence of a predictive edge above random guessing, with XGBoost being the only model whose 95% CI excludes 50% with [50.31%, 57.70%]. The Lasso regression model, despite selecting only 3 of 23 possible features, achieved directional accuracy of 53.62%, highlighting that regularization, not model complexity is the key to predicting BTC.</w:t>
      </w:r>
    </w:p>
    <w:p w:rsidR="00000000" w:rsidDel="00000000" w:rsidP="00000000" w:rsidRDefault="00000000" w:rsidRPr="00000000" w14:paraId="00000008">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Our business recommendation is that we deploy XGBoost as the primary directional signal in an investing strategy, retrained every 12 months to update the model. A 53%-54% win rate is a meaningful return and an MVRV feature is included to account for market behavior.</w:t>
      </w:r>
    </w:p>
    <w:p w:rsidR="00000000" w:rsidDel="00000000" w:rsidP="00000000" w:rsidRDefault="00000000" w:rsidRPr="00000000" w14:paraId="00000009">
      <w:pPr>
        <w:pStyle w:val="Heading1"/>
        <w:pBdr>
          <w:bottom w:color="000000" w:space="1" w:sz="4"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Problem Definition &amp; Framework</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Business Decision at Stake</w:t>
      </w:r>
    </w:p>
    <w:p w:rsidR="00000000" w:rsidDel="00000000" w:rsidP="00000000" w:rsidRDefault="00000000" w:rsidRPr="00000000" w14:paraId="0000000C">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Bitcoin is the world’s largest and most liquid cryptocurrency, with average daily trading volume of $40 billion. Despite its liquidity, short term return prediction is incredibly difficult as prices follow a nearly unpredictable pattern, there are no traditional valuation indicators (dividends, earnings), and the market operates 24/7 globally. The business decision is simple: can a data-driven model determine whether Bitcoin will be higher or lower three calendar days from now with enough consistency to deploy it as a reliable trading strategy. </w:t>
      </w:r>
    </w:p>
    <w:p w:rsidR="00000000" w:rsidDel="00000000" w:rsidP="00000000" w:rsidRDefault="00000000" w:rsidRPr="00000000" w14:paraId="0000000D">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3-day window was chosen because it is short enough to capture market momentum and long enough that a correct prediction translates into a meaningful price change. Predicting over very short windows (1 hour) is dominated by noise while predicting over long windows (1 year) requires fundamentally different features.</w:t>
      </w:r>
    </w:p>
    <w:p w:rsidR="00000000" w:rsidDel="00000000" w:rsidP="00000000" w:rsidRDefault="00000000" w:rsidRPr="00000000" w14:paraId="0000000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ML Task Framing</w:t>
      </w:r>
    </w:p>
    <w:p w:rsidR="00000000" w:rsidDel="00000000" w:rsidP="00000000" w:rsidRDefault="00000000" w:rsidRPr="00000000" w14:paraId="0000000F">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primary task is regression: predict the 3-day percentage return </w:t>
      </w: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y</m:t>
            </m:r>
          </m:e>
          <m:sub>
            <m:r>
              <w:rPr>
                <w:rFonts w:ascii="Cambria Math" w:cs="Cambria Math" w:eastAsia="Cambria Math" w:hAnsi="Cambria Math"/>
                <w:sz w:val="22"/>
                <w:szCs w:val="22"/>
              </w:rPr>
              <m:t xml:space="preserve">t</m:t>
            </m:r>
          </m:sub>
        </m:sSub>
        <m:r>
          <w:rPr>
            <w:rFonts w:ascii="Cambria Math" w:cs="Cambria Math" w:eastAsia="Cambria Math" w:hAnsi="Cambria Math"/>
            <w:sz w:val="22"/>
            <w:szCs w:val="22"/>
          </w:rPr>
          <m:t xml:space="preserve">=</m:t>
        </m:r>
        <m:f>
          <m:fPr>
            <m:ctrlPr>
              <w:rPr>
                <w:rFonts w:ascii="Cambria Math" w:cs="Cambria Math" w:eastAsia="Cambria Math" w:hAnsi="Cambria Math"/>
                <w:sz w:val="22"/>
                <w:szCs w:val="22"/>
              </w:rPr>
            </m:ctrlPr>
          </m:fPr>
          <m:num>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(close</m:t>
                </m:r>
              </m:e>
              <m:sub>
                <m:r>
                  <w:rPr>
                    <w:rFonts w:ascii="Cambria Math" w:cs="Cambria Math" w:eastAsia="Cambria Math" w:hAnsi="Cambria Math"/>
                    <w:sz w:val="22"/>
                    <w:szCs w:val="22"/>
                  </w:rPr>
                  <m:t xml:space="preserve">t+3</m:t>
                </m:r>
              </m:sub>
            </m:sSub>
            <m:r>
              <w:rPr>
                <w:rFonts w:ascii="Cambria Math" w:cs="Cambria Math" w:eastAsia="Cambria Math" w:hAnsi="Cambria Math"/>
                <w:sz w:val="22"/>
                <w:szCs w:val="22"/>
              </w:rPr>
              <m:t xml:space="preserve">-</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close</m:t>
                </m:r>
              </m:e>
              <m:sub>
                <m:r>
                  <w:rPr>
                    <w:rFonts w:ascii="Cambria Math" w:cs="Cambria Math" w:eastAsia="Cambria Math" w:hAnsi="Cambria Math"/>
                    <w:sz w:val="22"/>
                    <w:szCs w:val="22"/>
                  </w:rPr>
                  <m:t xml:space="preserve">t</m:t>
                </m:r>
              </m:sub>
            </m:sSub>
            <m:r>
              <w:rPr>
                <w:rFonts w:ascii="Cambria Math" w:cs="Cambria Math" w:eastAsia="Cambria Math" w:hAnsi="Cambria Math"/>
                <w:sz w:val="22"/>
                <w:szCs w:val="22"/>
              </w:rPr>
              <m:t xml:space="preserve">)</m:t>
            </m:r>
          </m:num>
          <m:den>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close</m:t>
                </m:r>
              </m:e>
              <m:sub>
                <m:r>
                  <w:rPr>
                    <w:rFonts w:ascii="Cambria Math" w:cs="Cambria Math" w:eastAsia="Cambria Math" w:hAnsi="Cambria Math"/>
                    <w:sz w:val="22"/>
                    <w:szCs w:val="22"/>
                  </w:rPr>
                  <m:t xml:space="preserve">t</m:t>
                </m:r>
              </m:sub>
            </m:sSub>
          </m:den>
        </m:f>
      </m:oMath>
      <w:r w:rsidDel="00000000" w:rsidR="00000000" w:rsidRPr="00000000">
        <w:rPr>
          <w:rFonts w:ascii="Times New Roman" w:cs="Times New Roman" w:eastAsia="Times New Roman" w:hAnsi="Times New Roman"/>
          <w:sz w:val="22"/>
          <w:szCs w:val="22"/>
          <w:rtl w:val="0"/>
        </w:rPr>
        <w:t xml:space="preserve">. Directional accuracy is defined as the share of the test set observations where </w:t>
      </w:r>
      <m:oMath>
        <m:r>
          <w:rPr>
            <w:rFonts w:ascii="Cambria Math" w:cs="Cambria Math" w:eastAsia="Cambria Math" w:hAnsi="Cambria Math"/>
            <w:sz w:val="22"/>
            <w:szCs w:val="22"/>
          </w:rPr>
          <m:t xml:space="preserve">sign</m:t>
        </m:r>
        <m:d>
          <m:dPr>
            <m:begChr m:val="("/>
            <m:endChr m:val=")"/>
            <m:ctrlPr>
              <w:rPr>
                <w:rFonts w:ascii="Cambria Math" w:cs="Cambria Math" w:eastAsia="Cambria Math" w:hAnsi="Cambria Math"/>
                <w:sz w:val="22"/>
                <w:szCs w:val="22"/>
              </w:rPr>
            </m:ctrlPr>
          </m:dPr>
          <m:e>
            <m:acc>
              <m:accPr>
                <m:chr m:val="̂"/>
                <m:ctrlPr>
                  <w:rPr>
                    <w:rFonts w:ascii="Cambria Math" w:cs="Cambria Math" w:eastAsia="Cambria Math" w:hAnsi="Cambria Math"/>
                    <w:sz w:val="22"/>
                    <w:szCs w:val="22"/>
                  </w:rPr>
                </m:ctrlPr>
              </m:accPr>
              <m:e>
                <m:r>
                  <w:rPr>
                    <w:rFonts w:ascii="Cambria Math" w:cs="Cambria Math" w:eastAsia="Cambria Math" w:hAnsi="Cambria Math"/>
                    <w:sz w:val="22"/>
                    <w:szCs w:val="22"/>
                  </w:rPr>
                  <m:t xml:space="preserve">y</m:t>
                </m:r>
              </m:e>
            </m:acc>
          </m:e>
        </m:d>
        <m:r>
          <w:rPr>
            <w:rFonts w:ascii="Cambria Math" w:cs="Cambria Math" w:eastAsia="Cambria Math" w:hAnsi="Cambria Math"/>
            <w:sz w:val="22"/>
            <w:szCs w:val="22"/>
          </w:rPr>
          <m:t xml:space="preserve">=sign(y)</m:t>
        </m:r>
      </m:oMath>
      <w:r w:rsidDel="00000000" w:rsidR="00000000" w:rsidRPr="00000000">
        <w:rPr>
          <w:rFonts w:ascii="Times New Roman" w:cs="Times New Roman" w:eastAsia="Times New Roman" w:hAnsi="Times New Roman"/>
          <w:sz w:val="22"/>
          <w:szCs w:val="22"/>
          <w:rtl w:val="0"/>
        </w:rPr>
        <w:t xml:space="preserve">. A ±1% return filter removes the ambiguous nearly flat days where direction carries no substantial value. </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Success is defined as observing a statistically significant directional accuracy above 50%, validated through bootstrap resampling rather than only a single point estimate. This is a stronger success criteria than in sample </w:t>
      </w:r>
      <m:oMath>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R</m:t>
            </m:r>
          </m:e>
          <m:sup>
            <m:r>
              <w:rPr>
                <w:rFonts w:ascii="Cambria Math" w:cs="Cambria Math" w:eastAsia="Cambria Math" w:hAnsi="Cambria Math"/>
                <w:sz w:val="22"/>
                <w:szCs w:val="22"/>
              </w:rPr>
              <m:t xml:space="preserve">2</m:t>
            </m:r>
          </m:sup>
        </m:sSup>
      </m:oMath>
      <w:r w:rsidDel="00000000" w:rsidR="00000000" w:rsidRPr="00000000">
        <w:rPr>
          <w:rFonts w:ascii="Times New Roman" w:cs="Times New Roman" w:eastAsia="Times New Roman" w:hAnsi="Times New Roman"/>
          <w:sz w:val="22"/>
          <w:szCs w:val="22"/>
          <w:rtl w:val="0"/>
        </w:rPr>
        <w:t xml:space="preserve">, which is near zero for all models and would be uninformative.</w:t>
      </w:r>
      <w:r w:rsidDel="00000000" w:rsidR="00000000" w:rsidRPr="00000000">
        <w:rPr>
          <w:rtl w:val="0"/>
        </w:rPr>
      </w:r>
    </w:p>
    <w:p w:rsidR="00000000" w:rsidDel="00000000" w:rsidP="00000000" w:rsidRDefault="00000000" w:rsidRPr="00000000" w14:paraId="0000001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How This Differs from Other MSBA Work</w:t>
      </w:r>
    </w:p>
    <w:p w:rsidR="00000000" w:rsidDel="00000000" w:rsidP="00000000" w:rsidRDefault="00000000" w:rsidRPr="00000000" w14:paraId="00000012">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Standard MSBA work using regression and machine learning algorithms for prediction typically involve i.i.d. samples where a random train/test split is valid. Our financial time-series data violates this assumption a huge way. Observations are autocorrelated meaning that today’s price is partly determined by yesterday’s so randomly splitting leaks future data into training. To account for this we employed TimeSeriesSplit cross validation to create chronological train/test splits to result in a valid model.</w:t>
      </w:r>
    </w:p>
    <w:p w:rsidR="00000000" w:rsidDel="00000000" w:rsidP="00000000" w:rsidRDefault="00000000" w:rsidRPr="00000000" w14:paraId="00000013">
      <w:pPr>
        <w:pStyle w:val="Heading1"/>
        <w:pBdr>
          <w:bottom w:color="000000" w:space="1" w:sz="4"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Preparation &amp; Feature Engineering</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Sources</w:t>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Daily open, high, low, close, volume data for BTC was downloaded via the yfinance library requesting 6,200 days of history, which returned 4,201 rows through early 2026. Our on-chain data was sourced from the CoinMetrics Community API using the CapMVRVCur metric. MVRV compares Bitcoin’s current market price to the average price of all existing Bitcoin. When MVRV is high, most traders are in profit and may be tempted to sell and when it is low, most are at a loss and tend to hold. This gives us a sense of the market behavior that pure price data cannot capture.</w:t>
      </w:r>
      <w:r w:rsidDel="00000000" w:rsidR="00000000" w:rsidRPr="00000000">
        <w:rPr>
          <w:rtl w:val="0"/>
        </w:rPr>
      </w:r>
    </w:p>
    <w:p w:rsidR="00000000" w:rsidDel="00000000" w:rsidP="00000000" w:rsidRDefault="00000000" w:rsidRPr="00000000" w14:paraId="0000001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Feature Engineering: Six Feature Groups</w:t>
      </w:r>
    </w:p>
    <w:p w:rsidR="00000000" w:rsidDel="00000000" w:rsidP="00000000" w:rsidRDefault="00000000" w:rsidRPr="00000000" w14:paraId="00000018">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merging price and on-chain data on date, 38 features were constructed: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Momentum / returns (4 features): 1, 3, and 7 day percentage returns and 1 day log return. These represent recent momentum through different periods.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Moving averages &amp; trend ratios (11 features): Simple and Exponential Moving Averages at 7, 14, 21, and 50 day windows, and three ratios: </w:t>
      </w:r>
      <m:oMath>
        <m:f>
          <m:fPr>
            <m:ctrlPr>
              <w:rPr>
                <w:rFonts w:ascii="Cambria Math" w:cs="Cambria Math" w:eastAsia="Cambria Math" w:hAnsi="Cambria Math"/>
                <w:b w:val="0"/>
                <w:bCs w:val="0"/>
                <w:i w:val="0"/>
                <w:iCs w:val="0"/>
                <w:smallCaps w:val="0"/>
                <w:strike w:val="0"/>
                <w:sz w:val="22"/>
                <w:szCs w:val="22"/>
                <w:u w:val="none"/>
                <w:shd w:fill="auto" w:val="clear"/>
                <w:vertAlign w:val="baseline"/>
              </w:rPr>
            </m:ctrlPr>
          </m:fPr>
          <m:num>
            <m:r>
              <w:rPr>
                <w:rFonts w:ascii="Cambria Math" w:cs="Cambria Math" w:eastAsia="Cambria Math" w:hAnsi="Cambria Math"/>
                <w:b w:val="0"/>
                <w:bCs w:val="0"/>
                <w:i w:val="0"/>
                <w:iCs w:val="0"/>
                <w:smallCaps w:val="0"/>
                <w:strike w:val="0"/>
                <w:sz w:val="22"/>
                <w:szCs w:val="22"/>
                <w:u w:val="none"/>
                <w:shd w:fill="auto" w:val="clear"/>
                <w:vertAlign w:val="baseline"/>
              </w:rPr>
              <m:t xml:space="preserve">price</m:t>
            </m:r>
          </m:num>
          <m:den>
            <m:sSub>
              <m:sSubPr>
                <m:ctrlPr>
                  <w:rPr>
                    <w:rFonts w:ascii="Cambria Math" w:cs="Cambria Math" w:eastAsia="Cambria Math" w:hAnsi="Cambria Math"/>
                    <w:b w:val="0"/>
                    <w:bCs w:val="0"/>
                    <w:i w:val="0"/>
                    <w:iCs w:val="0"/>
                    <w:smallCaps w:val="0"/>
                    <w:strike w:val="0"/>
                    <w:sz w:val="22"/>
                    <w:szCs w:val="22"/>
                    <w:u w:val="none"/>
                    <w:shd w:fill="auto" w:val="clear"/>
                    <w:vertAlign w:val="baseline"/>
                  </w:rPr>
                </m:ctrlPr>
              </m:sSubPr>
              <m:e>
                <m:r>
                  <w:rPr>
                    <w:rFonts w:ascii="Cambria Math" w:cs="Cambria Math" w:eastAsia="Cambria Math" w:hAnsi="Cambria Math"/>
                    <w:b w:val="0"/>
                    <w:bCs w:val="0"/>
                    <w:i w:val="0"/>
                    <w:iCs w:val="0"/>
                    <w:smallCaps w:val="0"/>
                    <w:strike w:val="0"/>
                    <w:sz w:val="22"/>
                    <w:szCs w:val="22"/>
                    <w:u w:val="none"/>
                    <w:shd w:fill="auto" w:val="clear"/>
                    <w:vertAlign w:val="baseline"/>
                  </w:rPr>
                  <m:t xml:space="preserve">SMA</m:t>
                </m:r>
              </m:e>
              <m:sub>
                <m:r>
                  <w:rPr>
                    <w:rFonts w:ascii="Cambria Math" w:cs="Cambria Math" w:eastAsia="Cambria Math" w:hAnsi="Cambria Math"/>
                    <w:b w:val="0"/>
                    <w:bCs w:val="0"/>
                    <w:i w:val="0"/>
                    <w:iCs w:val="0"/>
                    <w:smallCaps w:val="0"/>
                    <w:strike w:val="0"/>
                    <w:sz w:val="22"/>
                    <w:szCs w:val="22"/>
                    <w:u w:val="none"/>
                    <w:shd w:fill="auto" w:val="clear"/>
                    <w:vertAlign w:val="baseline"/>
                  </w:rPr>
                  <m:t xml:space="preserve">7</m:t>
                </m:r>
              </m:sub>
            </m:sSub>
          </m:den>
        </m:f>
      </m:oMath>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w:t>
      </w:r>
      <m:oMath>
        <m:f>
          <m:fPr>
            <m:ctrlPr>
              <w:rPr>
                <w:rFonts w:ascii="Cambria Math" w:cs="Cambria Math" w:eastAsia="Cambria Math" w:hAnsi="Cambria Math"/>
                <w:b w:val="0"/>
                <w:bCs w:val="0"/>
                <w:i w:val="0"/>
                <w:iCs w:val="0"/>
                <w:smallCaps w:val="0"/>
                <w:strike w:val="0"/>
                <w:sz w:val="22"/>
                <w:szCs w:val="22"/>
                <w:u w:val="none"/>
                <w:shd w:fill="auto" w:val="clear"/>
                <w:vertAlign w:val="baseline"/>
              </w:rPr>
            </m:ctrlPr>
          </m:fPr>
          <m:num>
            <m:r>
              <w:rPr>
                <w:rFonts w:ascii="Cambria Math" w:cs="Cambria Math" w:eastAsia="Cambria Math" w:hAnsi="Cambria Math"/>
                <w:b w:val="0"/>
                <w:bCs w:val="0"/>
                <w:i w:val="0"/>
                <w:iCs w:val="0"/>
                <w:smallCaps w:val="0"/>
                <w:strike w:val="0"/>
                <w:sz w:val="22"/>
                <w:szCs w:val="22"/>
                <w:u w:val="none"/>
                <w:shd w:fill="auto" w:val="clear"/>
                <w:vertAlign w:val="baseline"/>
              </w:rPr>
              <m:t xml:space="preserve">price</m:t>
            </m:r>
          </m:num>
          <m:den>
            <m:sSub>
              <m:sSubPr>
                <m:ctrlPr>
                  <w:rPr>
                    <w:rFonts w:ascii="Cambria Math" w:cs="Cambria Math" w:eastAsia="Cambria Math" w:hAnsi="Cambria Math"/>
                    <w:b w:val="0"/>
                    <w:bCs w:val="0"/>
                    <w:i w:val="0"/>
                    <w:iCs w:val="0"/>
                    <w:smallCaps w:val="0"/>
                    <w:strike w:val="0"/>
                    <w:sz w:val="22"/>
                    <w:szCs w:val="22"/>
                    <w:u w:val="none"/>
                    <w:shd w:fill="auto" w:val="clear"/>
                    <w:vertAlign w:val="baseline"/>
                  </w:rPr>
                </m:ctrlPr>
              </m:sSubPr>
              <m:e>
                <m:r>
                  <w:rPr>
                    <w:rFonts w:ascii="Cambria Math" w:cs="Cambria Math" w:eastAsia="Cambria Math" w:hAnsi="Cambria Math"/>
                    <w:b w:val="0"/>
                    <w:bCs w:val="0"/>
                    <w:i w:val="0"/>
                    <w:iCs w:val="0"/>
                    <w:smallCaps w:val="0"/>
                    <w:strike w:val="0"/>
                    <w:sz w:val="22"/>
                    <w:szCs w:val="22"/>
                    <w:u w:val="none"/>
                    <w:shd w:fill="auto" w:val="clear"/>
                    <w:vertAlign w:val="baseline"/>
                  </w:rPr>
                  <m:t xml:space="preserve">SMA</m:t>
                </m:r>
              </m:e>
              <m:sub>
                <m:r>
                  <w:rPr>
                    <w:rFonts w:ascii="Cambria Math" w:cs="Cambria Math" w:eastAsia="Cambria Math" w:hAnsi="Cambria Math"/>
                    <w:b w:val="0"/>
                    <w:bCs w:val="0"/>
                    <w:i w:val="0"/>
                    <w:iCs w:val="0"/>
                    <w:smallCaps w:val="0"/>
                    <w:strike w:val="0"/>
                    <w:sz w:val="22"/>
                    <w:szCs w:val="22"/>
                    <w:u w:val="none"/>
                    <w:shd w:fill="auto" w:val="clear"/>
                    <w:vertAlign w:val="baseline"/>
                  </w:rPr>
                  <m:t xml:space="preserve">21</m:t>
                </m:r>
              </m:sub>
            </m:sSub>
          </m:den>
        </m:f>
      </m:oMath>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and </w:t>
      </w:r>
      <m:oMath>
        <m:f>
          <m:num>
            <m:sSub>
              <m:sSubPr>
                <m:ctrlPr>
                  <w:rPr>
                    <w:rFonts w:ascii="Cambria Math" w:cs="Cambria Math" w:eastAsia="Cambria Math" w:hAnsi="Cambria Math"/>
                    <w:b w:val="0"/>
                    <w:bCs w:val="0"/>
                    <w:i w:val="0"/>
                    <w:iCs w:val="0"/>
                    <w:smallCaps w:val="0"/>
                    <w:strike w:val="0"/>
                    <w:sz w:val="22"/>
                    <w:szCs w:val="22"/>
                    <w:u w:val="none"/>
                    <w:shd w:fill="auto" w:val="clear"/>
                    <w:vertAlign w:val="baseline"/>
                  </w:rPr>
                </m:ctrlPr>
              </m:sSubPr>
              <m:e>
                <m:r>
                  <w:rPr>
                    <w:rFonts w:ascii="Cambria Math" w:cs="Cambria Math" w:eastAsia="Cambria Math" w:hAnsi="Cambria Math"/>
                    <w:b w:val="0"/>
                    <w:bCs w:val="0"/>
                    <w:i w:val="0"/>
                    <w:iCs w:val="0"/>
                    <w:smallCaps w:val="0"/>
                    <w:strike w:val="0"/>
                    <w:sz w:val="22"/>
                    <w:szCs w:val="22"/>
                    <w:u w:val="none"/>
                    <w:shd w:fill="auto" w:val="clear"/>
                    <w:vertAlign w:val="baseline"/>
                  </w:rPr>
                  <m:t xml:space="preserve">SMA</m:t>
                </m:r>
              </m:e>
              <m:sub>
                <m:r>
                  <w:rPr>
                    <w:rFonts w:ascii="Cambria Math" w:cs="Cambria Math" w:eastAsia="Cambria Math" w:hAnsi="Cambria Math"/>
                    <w:b w:val="0"/>
                    <w:bCs w:val="0"/>
                    <w:i w:val="0"/>
                    <w:iCs w:val="0"/>
                    <w:smallCaps w:val="0"/>
                    <w:strike w:val="0"/>
                    <w:sz w:val="22"/>
                    <w:szCs w:val="22"/>
                    <w:u w:val="none"/>
                    <w:shd w:fill="auto" w:val="clear"/>
                    <w:vertAlign w:val="baseline"/>
                  </w:rPr>
                  <m:t xml:space="preserve">7</m:t>
                </m:r>
              </m:sub>
            </m:sSub>
          </m:num>
          <m:den>
            <m:sSub>
              <m:sSubPr>
                <m:ctrlPr>
                  <w:rPr>
                    <w:rFonts w:ascii="Cambria Math" w:cs="Cambria Math" w:eastAsia="Cambria Math" w:hAnsi="Cambria Math"/>
                    <w:b w:val="0"/>
                    <w:bCs w:val="0"/>
                    <w:i w:val="0"/>
                    <w:iCs w:val="0"/>
                    <w:smallCaps w:val="0"/>
                    <w:strike w:val="0"/>
                    <w:sz w:val="22"/>
                    <w:szCs w:val="22"/>
                    <w:u w:val="none"/>
                    <w:shd w:fill="auto" w:val="clear"/>
                    <w:vertAlign w:val="baseline"/>
                  </w:rPr>
                </m:ctrlPr>
              </m:sSubPr>
              <m:e>
                <m:r>
                  <w:rPr>
                    <w:rFonts w:ascii="Cambria Math" w:cs="Cambria Math" w:eastAsia="Cambria Math" w:hAnsi="Cambria Math"/>
                    <w:b w:val="0"/>
                    <w:bCs w:val="0"/>
                    <w:i w:val="0"/>
                    <w:iCs w:val="0"/>
                    <w:smallCaps w:val="0"/>
                    <w:strike w:val="0"/>
                    <w:sz w:val="22"/>
                    <w:szCs w:val="22"/>
                    <w:u w:val="none"/>
                    <w:shd w:fill="auto" w:val="clear"/>
                    <w:vertAlign w:val="baseline"/>
                  </w:rPr>
                  <m:t xml:space="preserve">SMA</m:t>
                </m:r>
              </m:e>
              <m:sub>
                <m:r>
                  <w:rPr>
                    <w:rFonts w:ascii="Cambria Math" w:cs="Cambria Math" w:eastAsia="Cambria Math" w:hAnsi="Cambria Math"/>
                    <w:b w:val="0"/>
                    <w:bCs w:val="0"/>
                    <w:i w:val="0"/>
                    <w:iCs w:val="0"/>
                    <w:smallCaps w:val="0"/>
                    <w:strike w:val="0"/>
                    <w:sz w:val="22"/>
                    <w:szCs w:val="22"/>
                    <w:u w:val="none"/>
                    <w:shd w:fill="auto" w:val="clear"/>
                    <w:vertAlign w:val="baseline"/>
                  </w:rPr>
                  <m:t xml:space="preserve">21</m:t>
                </m:r>
              </m:sub>
            </m:sSub>
          </m:den>
        </m:f>
      </m:oMath>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Volatility (2 features): 7 and 14 day rolling standard deviation of log returns. High-volatility environments may have different directional predictability.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Oscillators &amp; microstructure (9 features): RSI-14, MACD, MACD signal line, MACD histogram, Bollinger Band width and position, ATR-14 as a percentage of price, volume ratio </w:t>
      </w:r>
      <m:oMath>
        <m:f>
          <m:fPr>
            <m:ctrlPr>
              <w:rPr>
                <w:rFonts w:ascii="Cambria Math" w:cs="Cambria Math" w:eastAsia="Cambria Math" w:hAnsi="Cambria Math"/>
                <w:b w:val="0"/>
                <w:bCs w:val="0"/>
                <w:i w:val="0"/>
                <w:iCs w:val="0"/>
                <w:smallCaps w:val="0"/>
                <w:strike w:val="0"/>
                <w:sz w:val="22"/>
                <w:szCs w:val="22"/>
                <w:u w:val="none"/>
                <w:shd w:fill="auto" w:val="clear"/>
                <w:vertAlign w:val="baseline"/>
              </w:rPr>
            </m:ctrlPr>
          </m:fPr>
          <m:num>
            <m:r>
              <w:rPr>
                <w:rFonts w:ascii="Cambria Math" w:cs="Cambria Math" w:eastAsia="Cambria Math" w:hAnsi="Cambria Math"/>
                <w:b w:val="0"/>
                <w:bCs w:val="0"/>
                <w:i w:val="0"/>
                <w:iCs w:val="0"/>
                <w:smallCaps w:val="0"/>
                <w:strike w:val="0"/>
                <w:sz w:val="22"/>
                <w:szCs w:val="22"/>
                <w:u w:val="none"/>
                <w:shd w:fill="auto" w:val="clear"/>
                <w:vertAlign w:val="baseline"/>
              </w:rPr>
              <m:t xml:space="preserve">daily</m:t>
            </m:r>
          </m:num>
          <m:den>
            <m:sSub>
              <m:sSubPr>
                <m:ctrlPr>
                  <w:rPr>
                    <w:rFonts w:ascii="Cambria Math" w:cs="Cambria Math" w:eastAsia="Cambria Math" w:hAnsi="Cambria Math"/>
                    <w:b w:val="0"/>
                    <w:bCs w:val="0"/>
                    <w:i w:val="0"/>
                    <w:iCs w:val="0"/>
                    <w:smallCaps w:val="0"/>
                    <w:strike w:val="0"/>
                    <w:sz w:val="22"/>
                    <w:szCs w:val="22"/>
                    <w:u w:val="none"/>
                    <w:shd w:fill="auto" w:val="clear"/>
                    <w:vertAlign w:val="baseline"/>
                  </w:rPr>
                </m:ctrlPr>
              </m:sSubPr>
              <m:e>
                <m:r>
                  <w:rPr>
                    <w:rFonts w:ascii="Cambria Math" w:cs="Cambria Math" w:eastAsia="Cambria Math" w:hAnsi="Cambria Math"/>
                    <w:b w:val="0"/>
                    <w:bCs w:val="0"/>
                    <w:i w:val="0"/>
                    <w:iCs w:val="0"/>
                    <w:smallCaps w:val="0"/>
                    <w:strike w:val="0"/>
                    <w:sz w:val="22"/>
                    <w:szCs w:val="22"/>
                    <w:u w:val="none"/>
                    <w:shd w:fill="auto" w:val="clear"/>
                    <w:vertAlign w:val="baseline"/>
                  </w:rPr>
                  <m:t xml:space="preserve">SMA</m:t>
                </m:r>
              </m:e>
              <m:sub>
                <m:r>
                  <w:rPr>
                    <w:rFonts w:ascii="Cambria Math" w:cs="Cambria Math" w:eastAsia="Cambria Math" w:hAnsi="Cambria Math"/>
                    <w:b w:val="0"/>
                    <w:bCs w:val="0"/>
                    <w:i w:val="0"/>
                    <w:iCs w:val="0"/>
                    <w:smallCaps w:val="0"/>
                    <w:strike w:val="0"/>
                    <w:sz w:val="22"/>
                    <w:szCs w:val="22"/>
                    <w:u w:val="none"/>
                    <w:shd w:fill="auto" w:val="clear"/>
                    <w:vertAlign w:val="baseline"/>
                  </w:rPr>
                  <m:t xml:space="preserve">21</m:t>
                </m:r>
              </m:sub>
            </m:sSub>
          </m:den>
        </m:f>
      </m:oMath>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candle body, and candle range.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Lagged prices &amp; directions (7 features): Close price lags at 1, 2, 3, 5, and 7 days, and binary direction at lags 1 and 2.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On-chain MVRV (3 features): Raw MVRV ratio, 7-day percentage change in MVRV, and a 90-day rolling Z-score (mvrv_z). The Z-score is the most useful of the three because it normalizes the reading and makes it comparable across different time periods.</w:t>
      </w:r>
    </w:p>
    <w:p w:rsidR="00000000" w:rsidDel="00000000" w:rsidP="00000000" w:rsidRDefault="00000000" w:rsidRPr="00000000" w14:paraId="0000001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Preprocessing, Filtering, and Splitting the Data</w:t>
      </w:r>
    </w:p>
    <w:p w:rsidR="00000000" w:rsidDel="00000000" w:rsidP="00000000" w:rsidRDefault="00000000" w:rsidRPr="00000000" w14:paraId="00000020">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Rows with missing values arising from rolling-window initialization were dropped. The CoinMetrics series begins in 2012 so early pre-2012 rows were also dropped, leaving 4,062 usable rows before setting the target. The 3 day forward return target was computed and rows with any remaining NaN in the feature set or target were removed, yielding 4,059 complete rows. The ±1% threshold filter then removed 881 near-flat observations, leaving 3,178 rows. Features were standardized with StandardScaler and applied to both train and test sets.</w:t>
      </w:r>
    </w:p>
    <w:p w:rsidR="00000000" w:rsidDel="00000000" w:rsidP="00000000" w:rsidRDefault="00000000" w:rsidRPr="00000000" w14:paraId="00000021">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Lasso model used a separate 23 feature subset (lasso_features) that excludes raw price level variables (absolute SMA, EMA, close lags) to avoid scale related features in the regularization path. All other models used the full 38-feature set.</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1"/>
        <w:pBdr>
          <w:bottom w:color="000000" w:space="1" w:sz="4"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Modeling Approach &amp; Results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Baseline: Linear &amp; Logistic Regression</w:t>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We trained a linear regression model on all 38 standardized features to serve as the simplest benchmark. We recorded a training </w:t>
      </w:r>
      <m:oMath>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R</m:t>
            </m:r>
          </m:e>
          <m:sup>
            <m:r>
              <w:rPr>
                <w:rFonts w:ascii="Cambria Math" w:cs="Cambria Math" w:eastAsia="Cambria Math" w:hAnsi="Cambria Math"/>
                <w:sz w:val="22"/>
                <w:szCs w:val="22"/>
              </w:rPr>
              <m:t xml:space="preserve">2</m:t>
            </m:r>
          </m:sup>
        </m:sSup>
      </m:oMath>
      <w:r w:rsidDel="00000000" w:rsidR="00000000" w:rsidRPr="00000000">
        <w:rPr>
          <w:rFonts w:ascii="Times New Roman" w:cs="Times New Roman" w:eastAsia="Times New Roman" w:hAnsi="Times New Roman"/>
          <w:sz w:val="22"/>
          <w:szCs w:val="22"/>
          <w:rtl w:val="0"/>
        </w:rPr>
        <w:t xml:space="preserve"> of 0.043 and a test </w:t>
      </w:r>
      <m:oMath>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R</m:t>
            </m:r>
          </m:e>
          <m:sup>
            <m:r>
              <w:rPr>
                <w:rFonts w:ascii="Cambria Math" w:cs="Cambria Math" w:eastAsia="Cambria Math" w:hAnsi="Cambria Math"/>
                <w:sz w:val="22"/>
                <w:szCs w:val="22"/>
              </w:rPr>
              <m:t xml:space="preserve">2</m:t>
            </m:r>
          </m:sup>
        </m:sSup>
      </m:oMath>
      <w:r w:rsidDel="00000000" w:rsidR="00000000" w:rsidRPr="00000000">
        <w:rPr>
          <w:rFonts w:ascii="Times New Roman" w:cs="Times New Roman" w:eastAsia="Times New Roman" w:hAnsi="Times New Roman"/>
          <w:sz w:val="22"/>
          <w:szCs w:val="22"/>
          <w:rtl w:val="0"/>
        </w:rPr>
        <w:t xml:space="preserve"> of -.214, meaning the model’s predictions are negatively correlated with actual returns with unseen data. Directional accuracy is 50.16% which is statistically insignificant and not meaningfully different from randomly guessing. Our logistic regression model was trained on the binary direction label. It earned a training accuracy of 58% and a test accuracy of 49%. Both models serve as a baseline to draw comparisons for the following more complicated models. </w:t>
      </w:r>
      <w:r w:rsidDel="00000000" w:rsidR="00000000" w:rsidRPr="00000000">
        <w:rPr>
          <w:rtl w:val="0"/>
        </w:rPr>
      </w:r>
    </w:p>
    <w:p w:rsidR="00000000" w:rsidDel="00000000" w:rsidP="00000000" w:rsidRDefault="00000000" w:rsidRPr="00000000" w14:paraId="0000002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Intermediate: Lasso with Cross Validated Regularization</w:t>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Lasso regression was applied to the 23 feature subset using a grid of 50 log-spaced λ values with 5-fold TimeSeriesSplit cross-validation scored by MSE. We recorded a minimum CV-MSE of: </w:t>
      </w:r>
      <m:oMath>
        <m:sSub>
          <m:sSubPr>
            <m:ctrlPr>
              <w:rPr>
                <w:rFonts w:ascii="Cambria Math" w:cs="Cambria Math" w:eastAsia="Cambria Math" w:hAnsi="Cambria Math"/>
                <w:sz w:val="22"/>
                <w:szCs w:val="22"/>
              </w:rPr>
            </m:ctrlPr>
          </m:sSubPr>
          <m:e>
            <m:r>
              <m:t>λ</m:t>
            </m:r>
          </m:e>
          <m:sub>
            <m:r>
              <w:rPr>
                <w:rFonts w:ascii="Cambria Math" w:cs="Cambria Math" w:eastAsia="Cambria Math" w:hAnsi="Cambria Math"/>
                <w:sz w:val="22"/>
                <w:szCs w:val="22"/>
              </w:rPr>
              <m:t xml:space="preserve">min</m:t>
            </m:r>
          </m:sub>
        </m:sSub>
      </m:oMath>
      <w:r w:rsidDel="00000000" w:rsidR="00000000" w:rsidRPr="00000000">
        <w:rPr>
          <w:rFonts w:ascii="Times New Roman" w:cs="Times New Roman" w:eastAsia="Times New Roman" w:hAnsi="Times New Roman"/>
          <w:sz w:val="22"/>
          <w:szCs w:val="22"/>
          <w:rtl w:val="0"/>
        </w:rPr>
        <w:t xml:space="preserve">= 0.00373 and a </w:t>
      </w:r>
      <m:oMath>
        <m:sSub>
          <m:sSubPr>
            <m:ctrlPr>
              <w:rPr>
                <w:rFonts w:ascii="Cambria Math" w:cs="Cambria Math" w:eastAsia="Cambria Math" w:hAnsi="Cambria Math"/>
                <w:sz w:val="22"/>
                <w:szCs w:val="22"/>
              </w:rPr>
            </m:ctrlPr>
          </m:sSubPr>
          <m:e>
            <m:r>
              <m:t>λ</m:t>
            </m:r>
          </m:e>
          <m:sub>
            <m:r>
              <w:rPr>
                <w:rFonts w:ascii="Cambria Math" w:cs="Cambria Math" w:eastAsia="Cambria Math" w:hAnsi="Cambria Math"/>
                <w:sz w:val="22"/>
                <w:szCs w:val="22"/>
              </w:rPr>
              <m:t xml:space="preserve">1se</m:t>
            </m:r>
          </m:sub>
        </m:sSub>
      </m:oMath>
      <w:r w:rsidDel="00000000" w:rsidR="00000000" w:rsidRPr="00000000">
        <w:rPr>
          <w:rFonts w:ascii="Times New Roman" w:cs="Times New Roman" w:eastAsia="Times New Roman" w:hAnsi="Times New Roman"/>
          <w:sz w:val="22"/>
          <w:szCs w:val="22"/>
          <w:rtl w:val="0"/>
        </w:rPr>
        <w:t xml:space="preserve">= 10.0. At </w:t>
      </w:r>
      <m:oMath>
        <m:sSub>
          <m:sSubPr>
            <m:ctrlPr>
              <w:rPr>
                <w:rFonts w:ascii="Cambria Math" w:cs="Cambria Math" w:eastAsia="Cambria Math" w:hAnsi="Cambria Math"/>
                <w:sz w:val="22"/>
                <w:szCs w:val="22"/>
              </w:rPr>
            </m:ctrlPr>
          </m:sSubPr>
          <m:e>
            <m:r>
              <m:t>λ</m:t>
            </m:r>
          </m:e>
          <m:sub>
            <m:r>
              <w:rPr>
                <w:rFonts w:ascii="Cambria Math" w:cs="Cambria Math" w:eastAsia="Cambria Math" w:hAnsi="Cambria Math"/>
                <w:sz w:val="22"/>
                <w:szCs w:val="22"/>
              </w:rPr>
              <m:t xml:space="preserve">min</m:t>
            </m:r>
          </m:sub>
        </m:sSub>
      </m:oMath>
      <w:r w:rsidDel="00000000" w:rsidR="00000000" w:rsidRPr="00000000">
        <w:rPr>
          <w:rFonts w:ascii="Times New Roman" w:cs="Times New Roman" w:eastAsia="Times New Roman" w:hAnsi="Times New Roman"/>
          <w:sz w:val="22"/>
          <w:szCs w:val="22"/>
          <w:rtl w:val="0"/>
        </w:rPr>
        <w:t xml:space="preserve"> Lasso retained only 3 of 23 features with non-zero coefficients. The L1 penalty performed automatic variable selection, shrinking 87% of the possible features to zero. At </w:t>
      </w:r>
      <m:oMath>
        <m:sSub>
          <m:sSubPr>
            <m:ctrlPr>
              <w:rPr>
                <w:rFonts w:ascii="Cambria Math" w:cs="Cambria Math" w:eastAsia="Cambria Math" w:hAnsi="Cambria Math"/>
                <w:sz w:val="22"/>
                <w:szCs w:val="22"/>
              </w:rPr>
            </m:ctrlPr>
          </m:sSubPr>
          <m:e>
            <m:r>
              <m:t>λ</m:t>
            </m:r>
          </m:e>
          <m:sub>
            <m:r>
              <w:rPr>
                <w:rFonts w:ascii="Cambria Math" w:cs="Cambria Math" w:eastAsia="Cambria Math" w:hAnsi="Cambria Math"/>
                <w:sz w:val="22"/>
                <w:szCs w:val="22"/>
              </w:rPr>
              <m:t xml:space="preserve">1se</m:t>
            </m:r>
          </m:sub>
        </m:sSub>
      </m:oMath>
      <w:r w:rsidDel="00000000" w:rsidR="00000000" w:rsidRPr="00000000">
        <w:rPr>
          <w:rFonts w:ascii="Times New Roman" w:cs="Times New Roman" w:eastAsia="Times New Roman" w:hAnsi="Times New Roman"/>
          <w:sz w:val="22"/>
          <w:szCs w:val="22"/>
          <w:rtl w:val="0"/>
        </w:rPr>
        <w:t xml:space="preserve">, all 23 coefficients shrink to zero, indicating the most optimal model is similar to the null. Despite this extreme regularization, Lasso achieves 53.62% directional accuracy on the test set, outperforming both baseline models. </w:t>
      </w:r>
      <w:r w:rsidDel="00000000" w:rsidR="00000000" w:rsidRPr="00000000">
        <w:rPr>
          <w:rtl w:val="0"/>
        </w:rPr>
      </w:r>
    </w:p>
    <w:p w:rsidR="00000000" w:rsidDel="00000000" w:rsidP="00000000" w:rsidRDefault="00000000" w:rsidRPr="00000000" w14:paraId="0000002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Advanced: Random Forest and XGBoost</w:t>
      </w:r>
    </w:p>
    <w:p w:rsidR="00000000" w:rsidDel="00000000" w:rsidP="00000000" w:rsidRDefault="00000000" w:rsidRPr="00000000" w14:paraId="0000002A">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Our random forest model with 200 estimators was tuned using GridSearchCV with max_depthmin_samples_leaf and max_features with TimeSeriesSplit. We found that the best parameters were max_depth=2, max_features=sqrt, min_samples_leaf=50. We observed an OOB error of 98.3%, test </w:t>
      </w:r>
      <m:oMath>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R</m:t>
            </m:r>
          </m:e>
          <m:sup>
            <m:r>
              <w:rPr>
                <w:rFonts w:ascii="Cambria Math" w:cs="Cambria Math" w:eastAsia="Cambria Math" w:hAnsi="Cambria Math"/>
                <w:sz w:val="22"/>
                <w:szCs w:val="22"/>
              </w:rPr>
              <m:t xml:space="preserve">2</m:t>
            </m:r>
          </m:sup>
        </m:sSup>
      </m:oMath>
      <w:sdt>
        <w:sdtPr>
          <w:id w:val="-1233473403"/>
          <w:tag w:val="goog_rdk_0"/>
        </w:sdtPr>
        <w:sdtContent>
          <w:r w:rsidDel="00000000" w:rsidR="00000000" w:rsidRPr="00000000">
            <w:rPr>
              <w:rFonts w:ascii="Gungsuh" w:cs="Gungsuh" w:eastAsia="Gungsuh" w:hAnsi="Gungsuh"/>
              <w:sz w:val="22"/>
              <w:szCs w:val="22"/>
              <w:rtl w:val="0"/>
            </w:rPr>
            <w:t xml:space="preserve"> = −0.007 and directional accuracy = 49.84%. Despite its nonlinear ability, Random Forest underperforms the Lasso model.</w:t>
          </w:r>
        </w:sdtContent>
      </w:sdt>
    </w:p>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XGBoost was tuned over a 288-configuration grid spanning max_depth, learning_rate, n_estimators, subsample, colsample_bytree, reg_alpha (L1), and reg_lambda (L2). We found that the best parameters were max_depth=3, learning_rate=0.01, n_estimators=100, subsample=0.6, colsample_bytree=0.8, reg_alpha=1.0, reg_lambda=5.0. XGBoost achieved the best results of any model: test </w:t>
      </w:r>
      <m:oMath>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R</m:t>
            </m:r>
          </m:e>
          <m:sup>
            <m:r>
              <w:rPr>
                <w:rFonts w:ascii="Cambria Math" w:cs="Cambria Math" w:eastAsia="Cambria Math" w:hAnsi="Cambria Math"/>
                <w:sz w:val="22"/>
                <w:szCs w:val="22"/>
              </w:rPr>
              <m:t xml:space="preserve">2</m:t>
            </m:r>
          </m:sup>
        </m:sSup>
      </m:oMath>
      <w:r w:rsidDel="00000000" w:rsidR="00000000" w:rsidRPr="00000000">
        <w:rPr>
          <w:rFonts w:ascii="Times New Roman" w:cs="Times New Roman" w:eastAsia="Times New Roman" w:hAnsi="Times New Roman"/>
          <w:sz w:val="22"/>
          <w:szCs w:val="22"/>
          <w:rtl w:val="0"/>
        </w:rPr>
        <w:t xml:space="preserve">= 0.006 (the only positive test </w:t>
      </w:r>
      <m:oMath>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R</m:t>
            </m:r>
          </m:e>
          <m:sup>
            <m:r>
              <w:rPr>
                <w:rFonts w:ascii="Cambria Math" w:cs="Cambria Math" w:eastAsia="Cambria Math" w:hAnsi="Cambria Math"/>
                <w:sz w:val="22"/>
                <w:szCs w:val="22"/>
              </w:rPr>
              <m:t xml:space="preserve">2</m:t>
            </m:r>
          </m:sup>
        </m:sSup>
      </m:oMath>
      <w:r w:rsidDel="00000000" w:rsidR="00000000" w:rsidRPr="00000000">
        <w:rPr>
          <w:rFonts w:ascii="Times New Roman" w:cs="Times New Roman" w:eastAsia="Times New Roman" w:hAnsi="Times New Roman"/>
          <w:sz w:val="22"/>
          <w:szCs w:val="22"/>
          <w:rtl w:val="0"/>
        </w:rPr>
        <w:t xml:space="preserve">) and 53.93% directional accuracy. It is also the only model with a confidence interval that excludes 50%. </w:t>
      </w:r>
      <w:r w:rsidDel="00000000" w:rsidR="00000000" w:rsidRPr="00000000">
        <w:rPr>
          <w:rtl w:val="0"/>
        </w:rPr>
      </w:r>
    </w:p>
    <w:p w:rsidR="00000000" w:rsidDel="00000000" w:rsidP="00000000" w:rsidRDefault="00000000" w:rsidRPr="00000000" w14:paraId="0000002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Model Comparison</w:t>
      </w:r>
    </w:p>
    <w:tbl>
      <w:tblPr>
        <w:tblStyle w:val="Table1"/>
        <w:tblW w:w="969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56"/>
        <w:gridCol w:w="1085"/>
        <w:gridCol w:w="1224"/>
        <w:gridCol w:w="1980"/>
        <w:gridCol w:w="2296"/>
        <w:gridCol w:w="1550"/>
        <w:tblGridChange w:id="0">
          <w:tblGrid>
            <w:gridCol w:w="1556"/>
            <w:gridCol w:w="1085"/>
            <w:gridCol w:w="1224"/>
            <w:gridCol w:w="1980"/>
            <w:gridCol w:w="2296"/>
            <w:gridCol w:w="1550"/>
          </w:tblGrid>
        </w:tblGridChange>
      </w:tblGrid>
      <w:tr>
        <w:trPr>
          <w:cantSplit w:val="0"/>
          <w:trHeight w:val="467" w:hRule="atLeast"/>
          <w:tblHeader w:val="0"/>
        </w:trPr>
        <w:tc>
          <w:tcPr>
            <w:shd w:fill="a4c2f4" w:val="clear"/>
          </w:tcPr>
          <w:p w:rsidR="00000000" w:rsidDel="00000000" w:rsidP="00000000" w:rsidRDefault="00000000" w:rsidRPr="00000000" w14:paraId="0000002D">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Model</w:t>
            </w:r>
          </w:p>
        </w:tc>
        <w:tc>
          <w:tcPr>
            <w:shd w:fill="a4c2f4" w:val="clear"/>
          </w:tcPr>
          <w:p w:rsidR="00000000" w:rsidDel="00000000" w:rsidP="00000000" w:rsidRDefault="00000000" w:rsidRPr="00000000" w14:paraId="0000002E">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Train </w:t>
            </w:r>
            <m:oMath>
              <m:sSup>
                <m:sSupPr>
                  <m:ctrlPr>
                    <w:rPr>
                      <w:rFonts w:ascii="Cambria Math" w:cs="Cambria Math" w:eastAsia="Cambria Math" w:hAnsi="Cambria Math"/>
                      <w:color w:val="000000"/>
                      <w:sz w:val="22"/>
                      <w:szCs w:val="22"/>
                    </w:rPr>
                  </m:ctrlPr>
                </m:sSupPr>
                <m:e>
                  <m:r>
                    <w:rPr>
                      <w:rFonts w:ascii="Cambria Math" w:cs="Cambria Math" w:eastAsia="Cambria Math" w:hAnsi="Cambria Math"/>
                      <w:color w:val="000000"/>
                      <w:sz w:val="22"/>
                      <w:szCs w:val="22"/>
                    </w:rPr>
                    <m:t xml:space="preserve">R</m:t>
                  </m:r>
                </m:e>
                <m:sup>
                  <m:r>
                    <w:rPr>
                      <w:rFonts w:ascii="Cambria Math" w:cs="Cambria Math" w:eastAsia="Cambria Math" w:hAnsi="Cambria Math"/>
                      <w:color w:val="000000"/>
                      <w:sz w:val="22"/>
                      <w:szCs w:val="22"/>
                    </w:rPr>
                    <m:t xml:space="preserve">2</m:t>
                  </m:r>
                </m:sup>
              </m:sSup>
            </m:oMath>
            <w:r w:rsidDel="00000000" w:rsidR="00000000" w:rsidRPr="00000000">
              <w:rPr>
                <w:rtl w:val="0"/>
              </w:rPr>
            </w:r>
          </w:p>
        </w:tc>
        <w:tc>
          <w:tcPr>
            <w:shd w:fill="a4c2f4" w:val="clear"/>
          </w:tcPr>
          <w:p w:rsidR="00000000" w:rsidDel="00000000" w:rsidP="00000000" w:rsidRDefault="00000000" w:rsidRPr="00000000" w14:paraId="0000002F">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Test </w:t>
            </w:r>
            <m:oMath>
              <m:sSup>
                <m:sSupPr>
                  <m:ctrlPr>
                    <w:rPr>
                      <w:rFonts w:ascii="Cambria Math" w:cs="Cambria Math" w:eastAsia="Cambria Math" w:hAnsi="Cambria Math"/>
                      <w:color w:val="000000"/>
                      <w:sz w:val="22"/>
                      <w:szCs w:val="22"/>
                    </w:rPr>
                  </m:ctrlPr>
                </m:sSupPr>
                <m:e>
                  <m:r>
                    <w:rPr>
                      <w:rFonts w:ascii="Cambria Math" w:cs="Cambria Math" w:eastAsia="Cambria Math" w:hAnsi="Cambria Math"/>
                      <w:color w:val="000000"/>
                      <w:sz w:val="22"/>
                      <w:szCs w:val="22"/>
                    </w:rPr>
                    <m:t xml:space="preserve">R</m:t>
                  </m:r>
                </m:e>
                <m:sup>
                  <m:r>
                    <w:rPr>
                      <w:rFonts w:ascii="Cambria Math" w:cs="Cambria Math" w:eastAsia="Cambria Math" w:hAnsi="Cambria Math"/>
                      <w:color w:val="000000"/>
                      <w:sz w:val="22"/>
                      <w:szCs w:val="22"/>
                    </w:rPr>
                    <m:t xml:space="preserve">2</m:t>
                  </m:r>
                </m:sup>
              </m:sSup>
            </m:oMath>
            <w:r w:rsidDel="00000000" w:rsidR="00000000" w:rsidRPr="00000000">
              <w:rPr>
                <w:rtl w:val="0"/>
              </w:rPr>
            </w:r>
          </w:p>
        </w:tc>
        <w:tc>
          <w:tcPr>
            <w:shd w:fill="a4c2f4" w:val="clear"/>
          </w:tcPr>
          <w:p w:rsidR="00000000" w:rsidDel="00000000" w:rsidP="00000000" w:rsidRDefault="00000000" w:rsidRPr="00000000" w14:paraId="00000030">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Dir. Accuracy</w:t>
            </w:r>
          </w:p>
        </w:tc>
        <w:tc>
          <w:tcPr>
            <w:shd w:fill="a4c2f4" w:val="clear"/>
          </w:tcPr>
          <w:p w:rsidR="00000000" w:rsidDel="00000000" w:rsidP="00000000" w:rsidRDefault="00000000" w:rsidRPr="00000000" w14:paraId="00000031">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95% CI</w:t>
            </w:r>
          </w:p>
        </w:tc>
        <w:tc>
          <w:tcPr>
            <w:shd w:fill="a4c2f4" w:val="clear"/>
          </w:tcPr>
          <w:p w:rsidR="00000000" w:rsidDel="00000000" w:rsidP="00000000" w:rsidRDefault="00000000" w:rsidRPr="00000000" w14:paraId="00000032">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CI Excludes 50%?</w:t>
            </w:r>
          </w:p>
        </w:tc>
      </w:tr>
      <w:tr>
        <w:trPr>
          <w:cantSplit w:val="0"/>
          <w:tblHeader w:val="0"/>
        </w:trPr>
        <w:tc>
          <w:tcPr>
            <w:shd w:fill="a4c2f4" w:val="clear"/>
          </w:tcPr>
          <w:p w:rsidR="00000000" w:rsidDel="00000000" w:rsidP="00000000" w:rsidRDefault="00000000" w:rsidRPr="00000000" w14:paraId="00000033">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Linear Regression</w:t>
            </w:r>
          </w:p>
        </w:tc>
        <w:tc>
          <w:tcPr/>
          <w:p w:rsidR="00000000" w:rsidDel="00000000" w:rsidP="00000000" w:rsidRDefault="00000000" w:rsidRPr="00000000" w14:paraId="0000003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.043</w:t>
            </w:r>
          </w:p>
        </w:tc>
        <w:tc>
          <w:tcPr/>
          <w:p w:rsidR="00000000" w:rsidDel="00000000" w:rsidP="00000000" w:rsidRDefault="00000000" w:rsidRPr="00000000" w14:paraId="0000003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-.214</w:t>
            </w:r>
          </w:p>
        </w:tc>
        <w:tc>
          <w:tcPr/>
          <w:p w:rsidR="00000000" w:rsidDel="00000000" w:rsidP="00000000" w:rsidRDefault="00000000" w:rsidRPr="00000000" w14:paraId="0000003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50.16%</w:t>
            </w:r>
          </w:p>
        </w:tc>
        <w:tc>
          <w:tcPr/>
          <w:p w:rsidR="00000000" w:rsidDel="00000000" w:rsidP="00000000" w:rsidRDefault="00000000" w:rsidRPr="00000000" w14:paraId="0000003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[46.4%, 53.8%]</w:t>
            </w:r>
          </w:p>
        </w:tc>
        <w:tc>
          <w:tcPr/>
          <w:p w:rsidR="00000000" w:rsidDel="00000000" w:rsidP="00000000" w:rsidRDefault="00000000" w:rsidRPr="00000000" w14:paraId="0000003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r>
      <w:tr>
        <w:trPr>
          <w:cantSplit w:val="0"/>
          <w:tblHeader w:val="0"/>
        </w:trPr>
        <w:tc>
          <w:tcPr>
            <w:shd w:fill="a4c2f4" w:val="clear"/>
          </w:tcPr>
          <w:p w:rsidR="00000000" w:rsidDel="00000000" w:rsidP="00000000" w:rsidRDefault="00000000" w:rsidRPr="00000000" w14:paraId="0000003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Logistic Regression</w:t>
            </w:r>
          </w:p>
        </w:tc>
        <w:tc>
          <w:tcPr/>
          <w:p w:rsidR="00000000" w:rsidDel="00000000" w:rsidP="00000000" w:rsidRDefault="00000000" w:rsidRPr="00000000" w14:paraId="0000003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58% accuracy</w:t>
            </w:r>
          </w:p>
        </w:tc>
        <w:tc>
          <w:tcPr/>
          <w:p w:rsidR="00000000" w:rsidDel="00000000" w:rsidP="00000000" w:rsidRDefault="00000000" w:rsidRPr="00000000" w14:paraId="0000003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48.9% accuracy</w:t>
            </w:r>
          </w:p>
        </w:tc>
        <w:tc>
          <w:tcPr/>
          <w:p w:rsidR="00000000" w:rsidDel="00000000" w:rsidP="00000000" w:rsidRDefault="00000000" w:rsidRPr="00000000" w14:paraId="0000003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48.9%</w:t>
            </w:r>
          </w:p>
        </w:tc>
        <w:tc>
          <w:tcPr/>
          <w:p w:rsidR="00000000" w:rsidDel="00000000" w:rsidP="00000000" w:rsidRDefault="00000000" w:rsidRPr="00000000" w14:paraId="0000003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[44.8%, 52.8%]</w:t>
            </w:r>
          </w:p>
        </w:tc>
        <w:tc>
          <w:tcPr/>
          <w:p w:rsidR="00000000" w:rsidDel="00000000" w:rsidP="00000000" w:rsidRDefault="00000000" w:rsidRPr="00000000" w14:paraId="0000003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r>
      <w:tr>
        <w:trPr>
          <w:cantSplit w:val="0"/>
          <w:tblHeader w:val="0"/>
        </w:trPr>
        <w:tc>
          <w:tcPr>
            <w:shd w:fill="a4c2f4" w:val="clear"/>
          </w:tcPr>
          <w:p w:rsidR="00000000" w:rsidDel="00000000" w:rsidP="00000000" w:rsidRDefault="00000000" w:rsidRPr="00000000" w14:paraId="0000003F">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Lasso</w:t>
            </w:r>
          </w:p>
        </w:tc>
        <w:tc>
          <w:tcPr/>
          <w:p w:rsidR="00000000" w:rsidDel="00000000" w:rsidP="00000000" w:rsidRDefault="00000000" w:rsidRPr="00000000" w14:paraId="0000004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p w:rsidR="00000000" w:rsidDel="00000000" w:rsidP="00000000" w:rsidRDefault="00000000" w:rsidRPr="00000000" w14:paraId="0000004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p w:rsidR="00000000" w:rsidDel="00000000" w:rsidP="00000000" w:rsidRDefault="00000000" w:rsidRPr="00000000" w14:paraId="0000004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53.62%</w:t>
            </w:r>
          </w:p>
        </w:tc>
        <w:tc>
          <w:tcPr/>
          <w:p w:rsidR="00000000" w:rsidDel="00000000" w:rsidP="00000000" w:rsidRDefault="00000000" w:rsidRPr="00000000" w14:paraId="0000004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[49.5%, 57.4%]</w:t>
            </w:r>
          </w:p>
        </w:tc>
        <w:tc>
          <w:tcPr/>
          <w:p w:rsidR="00000000" w:rsidDel="00000000" w:rsidP="00000000" w:rsidRDefault="00000000" w:rsidRPr="00000000" w14:paraId="0000004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r>
      <w:tr>
        <w:trPr>
          <w:cantSplit w:val="0"/>
          <w:tblHeader w:val="0"/>
        </w:trPr>
        <w:tc>
          <w:tcPr>
            <w:shd w:fill="a4c2f4" w:val="clear"/>
          </w:tcPr>
          <w:p w:rsidR="00000000" w:rsidDel="00000000" w:rsidP="00000000" w:rsidRDefault="00000000" w:rsidRPr="00000000" w14:paraId="00000045">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Random Forest</w:t>
            </w:r>
          </w:p>
        </w:tc>
        <w:tc>
          <w:tcPr/>
          <w:p w:rsidR="00000000" w:rsidDel="00000000" w:rsidP="00000000" w:rsidRDefault="00000000" w:rsidRPr="00000000" w14:paraId="0000004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.037</w:t>
            </w:r>
          </w:p>
        </w:tc>
        <w:tc>
          <w:tcPr/>
          <w:p w:rsidR="00000000" w:rsidDel="00000000" w:rsidP="00000000" w:rsidRDefault="00000000" w:rsidRPr="00000000" w14:paraId="0000004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-.007</w:t>
            </w:r>
          </w:p>
        </w:tc>
        <w:tc>
          <w:tcPr/>
          <w:p w:rsidR="00000000" w:rsidDel="00000000" w:rsidP="00000000" w:rsidRDefault="00000000" w:rsidRPr="00000000" w14:paraId="0000004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49.84%</w:t>
            </w:r>
          </w:p>
        </w:tc>
        <w:tc>
          <w:tcPr/>
          <w:p w:rsidR="00000000" w:rsidDel="00000000" w:rsidP="00000000" w:rsidRDefault="00000000" w:rsidRPr="00000000" w14:paraId="0000004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[44.5%, 52.0%]</w:t>
            </w:r>
          </w:p>
        </w:tc>
        <w:tc>
          <w:tcPr/>
          <w:p w:rsidR="00000000" w:rsidDel="00000000" w:rsidP="00000000" w:rsidRDefault="00000000" w:rsidRPr="00000000" w14:paraId="0000004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r>
      <w:tr>
        <w:trPr>
          <w:cantSplit w:val="0"/>
          <w:tblHeader w:val="0"/>
        </w:trPr>
        <w:tc>
          <w:tcPr>
            <w:shd w:fill="a4c2f4" w:val="clear"/>
          </w:tcPr>
          <w:p w:rsidR="00000000" w:rsidDel="00000000" w:rsidP="00000000" w:rsidRDefault="00000000" w:rsidRPr="00000000" w14:paraId="0000004B">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XGBoost</w:t>
            </w:r>
          </w:p>
        </w:tc>
        <w:tc>
          <w:tcPr/>
          <w:p w:rsidR="00000000" w:rsidDel="00000000" w:rsidP="00000000" w:rsidRDefault="00000000" w:rsidRPr="00000000" w14:paraId="0000004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.0528</w:t>
            </w:r>
          </w:p>
        </w:tc>
        <w:tc>
          <w:tcPr/>
          <w:p w:rsidR="00000000" w:rsidDel="00000000" w:rsidP="00000000" w:rsidRDefault="00000000" w:rsidRPr="00000000" w14:paraId="0000004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.0056</w:t>
            </w:r>
          </w:p>
        </w:tc>
        <w:tc>
          <w:tcPr/>
          <w:p w:rsidR="00000000" w:rsidDel="00000000" w:rsidP="00000000" w:rsidRDefault="00000000" w:rsidRPr="00000000" w14:paraId="0000004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53.93%</w:t>
            </w:r>
          </w:p>
        </w:tc>
        <w:tc>
          <w:tcPr/>
          <w:p w:rsidR="00000000" w:rsidDel="00000000" w:rsidP="00000000" w:rsidRDefault="00000000" w:rsidRPr="00000000" w14:paraId="0000004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[50.3%, 57.7%]</w:t>
            </w:r>
          </w:p>
        </w:tc>
        <w:tc>
          <w:tcPr/>
          <w:p w:rsidR="00000000" w:rsidDel="00000000" w:rsidP="00000000" w:rsidRDefault="00000000" w:rsidRPr="00000000" w14:paraId="0000005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r>
    </w:tbl>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Bootstrap Confidence Intervals</w:t>
      </w:r>
    </w:p>
    <w:p w:rsidR="00000000" w:rsidDel="00000000" w:rsidP="00000000" w:rsidRDefault="00000000" w:rsidRPr="00000000" w14:paraId="00000053">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be confident with our point estimates, we created bootstrap confidence intervals to analyze the behavior. Linear Regression’s CI [46.4%, 53.8%] and Logistic Regression’s [44.8%, 52.8%] both contain 50% so we cannot confidently say these models provide any true predictive value. Random Forest’s CI [44.5%, 52.0%] dips below the CI for Logistic Regression. Lasso’s CI [49.5%, 57.4%] barely includes 50% at the lower bound. XGBoost’s CI [50.3%, 57.7%] is the only interval that excludes 50%, pointing towards it being the best model to deploy.</w:t>
      </w:r>
    </w:p>
    <w:p w:rsidR="00000000" w:rsidDel="00000000" w:rsidP="00000000" w:rsidRDefault="00000000" w:rsidRPr="00000000" w14:paraId="00000054">
      <w:pPr>
        <w:pStyle w:val="Heading1"/>
        <w:pBdr>
          <w:bottom w:color="000000" w:space="1" w:sz="4"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Key Findings &amp; Business Recommendations</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Key Findings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small but statistically significant advantage exists. XGBoost correctly predicted the 3-day direction 53.93% of the time, and its bootstrap confidence interval confirms this is not a statistical anomaly. A model that is right 54% of the time instead of 50% may sound marginal but applied consistently over hundreds of predictions it adds up to a meaningful advantage.</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Regularization beats complexity: Lasso with 3 features, outperforms Random Forest with 200 trees and 38 features. The correct response to a weak target is aggressive regularization, not increasing model complexity.</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On-chain data adds value: The MVRV Z-score appears in XGBoost’s top feature importances and provides context that we cannot derive from yfinance. Including the on-chain data is a difference maker and separates randomly guessing from a model with true predictive power</w:t>
      </w:r>
    </w:p>
    <w:p w:rsidR="00000000" w:rsidDel="00000000" w:rsidP="00000000" w:rsidRDefault="00000000" w:rsidRPr="00000000" w14:paraId="0000005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Business Recommendations</w:t>
      </w:r>
    </w:p>
    <w:p w:rsidR="00000000" w:rsidDel="00000000" w:rsidP="00000000" w:rsidRDefault="00000000" w:rsidRPr="00000000" w14:paraId="0000005B">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would recommend to stakeholders that they deploy XGBoost as the primary model.</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It is the only model with a bootstrap CI that excludes 50%. The other four models should not be used for any real investing strategies. The stakeholders should also consider implementing a retraining cycle every 12 months to allow for the model to learn from new unseen recent data. Lastly, I would recommend adding a check where investment amount decreases when the MVRV z-score is high. A high MVRV z-score indicates that Bitcoin is overvalued and may recorrect to a lower price.</w:t>
      </w:r>
    </w:p>
    <w:p w:rsidR="00000000" w:rsidDel="00000000" w:rsidP="00000000" w:rsidRDefault="00000000" w:rsidRPr="00000000" w14:paraId="0000005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Limitations</w:t>
      </w:r>
    </w:p>
    <w:p w:rsidR="00000000" w:rsidDel="00000000" w:rsidP="00000000" w:rsidRDefault="00000000" w:rsidRPr="00000000" w14:paraId="0000005D">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 of the key limitations that we cannot predict or consider when training the model is the “eras” of the Bitcoin community and cryptocurrency in general. The training set reflects many different parts of the Bitcoin adoption. Cryptocurrency is now viewed differently, and Bitcoin has even been used as legal tender in El Salvador. Future markets may look drastically different than the markets in the early 2010s.</w:t>
      </w:r>
    </w:p>
    <w:p w:rsidR="00000000" w:rsidDel="00000000" w:rsidP="00000000" w:rsidRDefault="00000000" w:rsidRPr="00000000" w14:paraId="0000005E">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Another limitation is feature multicollinearity as many of the 38 features are related mathematically. For example, SMA and EMA have overlapping features. We see proof of this through Lasso selecting only 3 features. </w:t>
      </w:r>
    </w:p>
    <w:p w:rsidR="00000000" w:rsidDel="00000000" w:rsidP="00000000" w:rsidRDefault="00000000" w:rsidRPr="00000000" w14:paraId="0000005F">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last limitation comes from our threshold filter where we remove days where returns are less than ±1%. Eliminating these days means the models were never evaluated on days when the price did not change significantly, which is a very real case that occurs frequently in the market. </w:t>
      </w:r>
    </w:p>
    <w:p w:rsidR="00000000" w:rsidDel="00000000" w:rsidP="00000000" w:rsidRDefault="00000000" w:rsidRPr="00000000" w14:paraId="00000060">
      <w:pPr>
        <w:spacing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1">
      <w:pPr>
        <w:pStyle w:val="Heading2"/>
        <w:rPr>
          <w:color w:val="000000"/>
        </w:rPr>
      </w:pPr>
      <w:bookmarkStart w:colFirst="0" w:colLast="0" w:name="_heading=h.nif1vb8yael1" w:id="0"/>
      <w:bookmarkEnd w:id="0"/>
      <w:r w:rsidDel="00000000" w:rsidR="00000000" w:rsidRPr="00000000">
        <w:rPr>
          <w:rFonts w:ascii="Times New Roman" w:cs="Times New Roman" w:eastAsia="Times New Roman" w:hAnsi="Times New Roman"/>
          <w:color w:val="000000"/>
          <w:rtl w:val="0"/>
        </w:rPr>
        <w:t xml:space="preserve">Team Contributions</w:t>
      </w:r>
      <w:r w:rsidDel="00000000" w:rsidR="00000000" w:rsidRPr="00000000">
        <w:rPr>
          <w:rtl w:val="0"/>
        </w:rPr>
      </w:r>
    </w:p>
    <w:tbl>
      <w:tblPr>
        <w:tblStyle w:val="Table2"/>
        <w:tblW w:w="9350.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2695"/>
        <w:gridCol w:w="6655"/>
        <w:tblGridChange w:id="0">
          <w:tblGrid>
            <w:gridCol w:w="2695"/>
            <w:gridCol w:w="6655"/>
          </w:tblGrid>
        </w:tblGridChange>
      </w:tblGrid>
      <w:tr>
        <w:trPr>
          <w:cantSplit w:val="0"/>
          <w:tblHeader w:val="0"/>
        </w:trPr>
        <w:tc>
          <w:tcPr/>
          <w:p w:rsidR="00000000" w:rsidDel="00000000" w:rsidP="00000000" w:rsidRDefault="00000000" w:rsidRPr="00000000" w14:paraId="00000062">
            <w:pPr>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Team Member</w:t>
            </w:r>
          </w:p>
        </w:tc>
        <w:tc>
          <w:tcPr/>
          <w:p w:rsidR="00000000" w:rsidDel="00000000" w:rsidP="00000000" w:rsidRDefault="00000000" w:rsidRPr="00000000" w14:paraId="00000063">
            <w:pPr>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Contributions</w:t>
            </w:r>
          </w:p>
        </w:tc>
      </w:tr>
      <w:tr>
        <w:trPr>
          <w:cantSplit w:val="0"/>
          <w:trHeight w:val="488.96484375" w:hRule="atLeast"/>
          <w:tblHeader w:val="0"/>
        </w:trPr>
        <w:tc>
          <w:tcPr>
            <w:vAlign w:val="center"/>
          </w:tcPr>
          <w:p w:rsidR="00000000" w:rsidDel="00000000" w:rsidP="00000000" w:rsidRDefault="00000000" w:rsidRPr="00000000" w14:paraId="000000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Udita Saha</w:t>
            </w:r>
          </w:p>
        </w:tc>
        <w:tc>
          <w:tcPr/>
          <w:p w:rsidR="00000000" w:rsidDel="00000000" w:rsidP="00000000" w:rsidRDefault="00000000" w:rsidRPr="00000000" w14:paraId="00000065">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Linear, Logistic Models, Directional Accuracy</w:t>
            </w:r>
          </w:p>
        </w:tc>
      </w:tr>
      <w:tr>
        <w:trPr>
          <w:cantSplit w:val="0"/>
          <w:tblHeader w:val="0"/>
        </w:trPr>
        <w:tc>
          <w:tcPr>
            <w:vAlign w:val="center"/>
          </w:tcPr>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George Zavala</w:t>
            </w:r>
          </w:p>
        </w:tc>
        <w:tc>
          <w:tcPr/>
          <w:p w:rsidR="00000000" w:rsidDel="00000000" w:rsidP="00000000" w:rsidRDefault="00000000" w:rsidRPr="00000000" w14:paraId="00000067">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Pipeline (Yahoo Finance, CoinMetrics MVRV), Feature Engineering</w:t>
            </w:r>
          </w:p>
        </w:tc>
      </w:tr>
      <w:tr>
        <w:trPr>
          <w:cantSplit w:val="0"/>
          <w:tblHeader w:val="0"/>
        </w:trPr>
        <w:tc>
          <w:tcPr>
            <w:vAlign w:val="center"/>
          </w:tcPr>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Aishwarya Srivastava</w:t>
            </w:r>
          </w:p>
        </w:tc>
        <w:tc>
          <w:tcPr/>
          <w:p w:rsidR="00000000" w:rsidDel="00000000" w:rsidP="00000000" w:rsidRDefault="00000000" w:rsidRPr="00000000" w14:paraId="00000069">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Lasso CV, Random Forest GridSearch, Bootstrap Confidence Intervals</w:t>
            </w:r>
          </w:p>
        </w:tc>
      </w:tr>
      <w:tr>
        <w:trPr>
          <w:cantSplit w:val="0"/>
          <w:tblHeader w:val="0"/>
        </w:trPr>
        <w:tc>
          <w:tcPr>
            <w:vAlign w:val="cente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Ruiyang Sun</w:t>
            </w:r>
          </w:p>
        </w:tc>
        <w:tc>
          <w:tcPr/>
          <w:p w:rsidR="00000000" w:rsidDel="00000000" w:rsidP="00000000" w:rsidRDefault="00000000" w:rsidRPr="00000000" w14:paraId="0000006B">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XGBoost GridSearch, Visualizations, Price Prediction</w:t>
            </w:r>
          </w:p>
        </w:tc>
      </w:tr>
    </w:tbl>
    <w:p w:rsidR="00000000" w:rsidDel="00000000" w:rsidP="00000000" w:rsidRDefault="00000000" w:rsidRPr="00000000" w14:paraId="0000006C">
      <w:pPr>
        <w:spacing w:line="360" w:lineRule="auto"/>
        <w:rPr>
          <w:rFonts w:ascii="Times New Roman" w:cs="Times New Roman" w:eastAsia="Times New Roman" w:hAnsi="Times New Roman"/>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157D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157D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157D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157D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157D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157D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157D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157D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157D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157D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157D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157D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157D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157D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157D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157D2"/>
    <w:rPr>
      <w:i w:val="1"/>
      <w:iCs w:val="1"/>
      <w:color w:val="404040" w:themeColor="text1" w:themeTint="0000BF"/>
    </w:rPr>
  </w:style>
  <w:style w:type="paragraph" w:styleId="ListParagraph">
    <w:name w:val="List Paragraph"/>
    <w:basedOn w:val="Normal"/>
    <w:uiPriority w:val="34"/>
    <w:qFormat w:val="1"/>
    <w:rsid w:val="00F157D2"/>
    <w:pPr>
      <w:ind w:left="720"/>
      <w:contextualSpacing w:val="1"/>
    </w:pPr>
  </w:style>
  <w:style w:type="character" w:styleId="IntenseEmphasis">
    <w:name w:val="Intense Emphasis"/>
    <w:basedOn w:val="DefaultParagraphFont"/>
    <w:uiPriority w:val="21"/>
    <w:qFormat w:val="1"/>
    <w:rsid w:val="00F157D2"/>
    <w:rPr>
      <w:i w:val="1"/>
      <w:iCs w:val="1"/>
      <w:color w:val="0f4761" w:themeColor="accent1" w:themeShade="0000BF"/>
    </w:rPr>
  </w:style>
  <w:style w:type="paragraph" w:styleId="IntenseQuote">
    <w:name w:val="Intense Quote"/>
    <w:basedOn w:val="Normal"/>
    <w:next w:val="Normal"/>
    <w:link w:val="IntenseQuoteChar"/>
    <w:uiPriority w:val="30"/>
    <w:qFormat w:val="1"/>
    <w:rsid w:val="00F157D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157D2"/>
    <w:rPr>
      <w:i w:val="1"/>
      <w:iCs w:val="1"/>
      <w:color w:val="0f4761" w:themeColor="accent1" w:themeShade="0000BF"/>
    </w:rPr>
  </w:style>
  <w:style w:type="character" w:styleId="IntenseReference">
    <w:name w:val="Intense Reference"/>
    <w:basedOn w:val="DefaultParagraphFont"/>
    <w:uiPriority w:val="32"/>
    <w:qFormat w:val="1"/>
    <w:rsid w:val="00F157D2"/>
    <w:rPr>
      <w:b w:val="1"/>
      <w:bCs w:val="1"/>
      <w:smallCaps w:val="1"/>
      <w:color w:val="0f4761" w:themeColor="accent1" w:themeShade="0000BF"/>
      <w:spacing w:val="5"/>
    </w:rPr>
  </w:style>
  <w:style w:type="character" w:styleId="PlaceholderText">
    <w:name w:val="Placeholder Text"/>
    <w:basedOn w:val="DefaultParagraphFont"/>
    <w:uiPriority w:val="99"/>
    <w:semiHidden w:val="1"/>
    <w:rsid w:val="004F7538"/>
    <w:rPr>
      <w:color w:val="666666"/>
    </w:rPr>
  </w:style>
  <w:style w:type="table" w:styleId="TableGrid">
    <w:name w:val="Table Grid"/>
    <w:basedOn w:val="TableNormal"/>
    <w:uiPriority w:val="39"/>
    <w:rsid w:val="002C14F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5Dark-Accent1">
    <w:name w:val="Grid Table 5 Dark Accent 1"/>
    <w:basedOn w:val="TableNormal"/>
    <w:uiPriority w:val="50"/>
    <w:rsid w:val="00235EC9"/>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e4f5"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15608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156082" w:themeFill="accent1" w:val="clear"/>
      </w:tcPr>
    </w:tblStylePr>
    <w:tblStylePr w:type="band1Vert">
      <w:tblPr/>
      <w:tcPr>
        <w:shd w:color="auto" w:fill="83caeb" w:themeFill="accent1" w:themeFillTint="000066" w:val="clear"/>
      </w:tcPr>
    </w:tblStylePr>
    <w:tblStylePr w:type="band1Horz">
      <w:tblPr/>
      <w:tcPr>
        <w:shd w:color="auto" w:fill="83caeb" w:themeFill="accent1" w:themeFillTint="000066" w:val="clear"/>
      </w:tcPr>
    </w:tblStylePr>
  </w:style>
  <w:style w:type="table" w:styleId="GridTable4-Accent1">
    <w:name w:val="Grid Table 4 Accent 1"/>
    <w:basedOn w:val="TableNormal"/>
    <w:uiPriority w:val="49"/>
    <w:rsid w:val="008C09E6"/>
    <w:pPr>
      <w:spacing w:after="0" w:line="240" w:lineRule="auto"/>
    </w:pPr>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insideV w:color="45b0e1" w:space="0" w:sz="4" w:themeColor="accent1" w:themeTint="000099" w:val="single"/>
      </w:tblBorders>
    </w:tblPr>
    <w:tblStylePr w:type="firstRow">
      <w:rPr>
        <w:b w:val="1"/>
        <w:bCs w:val="1"/>
        <w:color w:val="ffffff" w:themeColor="background1"/>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space="0" w:sz="0" w:val="nil"/>
          <w:insideV w:space="0" w:sz="0" w:val="nil"/>
        </w:tcBorders>
        <w:shd w:color="auto" w:fill="156082" w:themeFill="accent1" w:val="clear"/>
      </w:tcPr>
    </w:tblStylePr>
    <w:tblStylePr w:type="lastRow">
      <w:rPr>
        <w:b w:val="1"/>
        <w:bCs w:val="1"/>
      </w:rPr>
      <w:tblPr/>
      <w:tcPr>
        <w:tcBorders>
          <w:top w:color="156082" w:space="0" w:sz="4" w:themeColor="accent1" w:val="double"/>
        </w:tcBorders>
      </w:tcPr>
    </w:tblStylePr>
    <w:tblStylePr w:type="firstCol">
      <w:rPr>
        <w:b w:val="1"/>
        <w:bCs w:val="1"/>
      </w:rPr>
    </w:tblStylePr>
    <w:tblStylePr w:type="lastCol">
      <w:rPr>
        <w:b w:val="1"/>
        <w:bCs w:val="1"/>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NvTibIkeqvTumQpoGgOh1LT27A==">CgMxLjAaJQoBMBIgCh4IB0IaCg9UaW1lcyBOZXcgUm9tYW4SB0d1bmdzdWgyDmgubmlmMXZiOHlhZWwxOAByITFFbklTekYxbDFpOFYtT1NJUkFVd1p3WTVwczhaYW9WYQ==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2026-03-19T18:24:00Z</dcterms:created>
  <dc:creator>George Zavala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0x0101009B56E88B5EA17643AB244D2C30069D02</vt:lpwstr>
  </property>
</Properties>
</file>