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60"/>
        <w:jc w:val="center"/>
      </w:pPr>
      <w:r>
        <w:rPr>
          <w:rFonts w:ascii="Arial" w:cs="Arial" w:eastAsia="Arial" w:hAnsi="Arial"/>
          <w:b/>
          <w:bCs/>
          <w:color w:val="888888"/>
          <w:sz w:val="20"/>
          <w:szCs w:val="20"/>
        </w:rPr>
        <w:t xml:space="preserve">MODULE 5</w:t>
      </w:r>
    </w:p>
    <w:p>
      <w:pPr>
        <w:spacing w:before="0" w:after="60"/>
        <w:jc w:val="center"/>
      </w:pPr>
      <w:r>
        <w:rPr>
          <w:rFonts w:ascii="Arial" w:cs="Arial" w:eastAsia="Arial" w:hAnsi="Arial"/>
          <w:b/>
          <w:bCs/>
          <w:color w:val="1B2A4A"/>
          <w:sz w:val="52"/>
          <w:szCs w:val="52"/>
        </w:rPr>
        <w:t xml:space="preserve">Cybercrime Awareness</w:t>
      </w:r>
    </w:p>
    <w:p>
      <w:pPr>
        <w:spacing w:before="0" w:after="80"/>
        <w:jc w:val="center"/>
      </w:pPr>
      <w:r>
        <w:rPr>
          <w:rFonts w:ascii="Arial" w:cs="Arial" w:eastAsia="Arial" w:hAnsi="Arial"/>
          <w:color w:val="C0392B"/>
          <w:sz w:val="30"/>
          <w:szCs w:val="30"/>
        </w:rPr>
        <w:t xml:space="preserve">Case Study &amp; Prevention Guide</w:t>
      </w:r>
    </w:p>
    <w:p>
      <w:pPr>
        <w:spacing w:before="0" w:after="60"/>
        <w:jc w:val="center"/>
      </w:pPr>
      <w:r>
        <w:rPr>
          <w:rFonts w:ascii="Arial" w:cs="Arial" w:eastAsia="Arial" w:hAnsi="Arial"/>
          <w:color w:val="2E6DA4"/>
          <w:sz w:val="22"/>
          <w:szCs w:val="22"/>
        </w:rPr>
        <w:t xml:space="preserve">Digital Ambassador Program  •  Module 5  •  20 Marks</w:t>
      </w:r>
    </w:p>
    <w:p>
      <w:pPr>
        <w:spacing w:before="280" w:after="0"/>
      </w:pPr>
      <w:r>
        <w:t xml:space="preserve"/>
      </w:r>
    </w:p>
    <w:p>
      <w:pPr>
        <w:pBdr>
          <w:bottom w:val="single" w:color="1B2A4A" w:sz="8" w:space="4"/>
        </w:pBdr>
        <w:spacing w:before="360" w:after="120"/>
      </w:pPr>
      <w:r>
        <w:rPr>
          <w:rFonts w:ascii="Arial" w:cs="Arial" w:eastAsia="Arial" w:hAnsi="Arial"/>
          <w:b/>
          <w:bCs/>
          <w:color w:val="1B2A4A"/>
          <w:sz w:val="36"/>
          <w:szCs w:val="36"/>
        </w:rPr>
        <w:t xml:space="preserve">Part A — Case Study: UPI Payment Fraud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6"/>
              <w:left w:val="single" w:color="1B2A4A" w:sz="6"/>
              <w:bottom w:val="single" w:color="1B2A4A" w:sz="6"/>
              <w:right w:val="single" w:color="1B2A4A" w:sz="6"/>
            </w:tcBorders>
            <w:shd w:fill="F4F6F9" w:val="clear"/>
            <w:tcMar>
              <w:top w:type="dxa" w:w="100"/>
              <w:left w:type="dxa" w:w="120"/>
              <w:bottom w:type="dxa" w:w="100"/>
              <w:right w:type="dxa" w:w="120"/>
            </w:tcMar>
          </w:tcPr>
          <w:p>
            <w:r>
              <w:rPr>
                <w:rFonts w:ascii="Arial" w:cs="Arial" w:eastAsia="Arial" w:hAnsi="Arial"/>
                <w:b/>
                <w:bCs/>
                <w:color w:val="888888"/>
                <w:sz w:val="18"/>
                <w:szCs w:val="18"/>
              </w:rPr>
              <w:t xml:space="preserve">Cybercrime Type</w:t>
            </w:r>
          </w:p>
          <w:p>
            <w:r>
              <w:rPr>
                <w:rFonts w:ascii="Arial" w:cs="Arial" w:eastAsia="Arial" w:hAnsi="Arial"/>
                <w:b/>
                <w:bCs/>
                <w:color w:val="1B2A4A"/>
                <w:sz w:val="20"/>
                <w:szCs w:val="20"/>
              </w:rPr>
              <w:t xml:space="preserve">UPI/Online Payment Fraud</w:t>
            </w:r>
          </w:p>
        </w:tc>
        <w:tc>
          <w:tcPr>
            <w:tcW w:type="dxa" w:w="2340"/>
            <w:tcBorders>
              <w:top w:val="single" w:color="1B2A4A" w:sz="6"/>
              <w:left w:val="single" w:color="1B2A4A" w:sz="6"/>
              <w:bottom w:val="single" w:color="1B2A4A" w:sz="6"/>
              <w:right w:val="single" w:color="1B2A4A" w:sz="6"/>
            </w:tcBorders>
            <w:shd w:fill="F4F6F9" w:val="clear"/>
            <w:tcMar>
              <w:top w:type="dxa" w:w="100"/>
              <w:left w:type="dxa" w:w="120"/>
              <w:bottom w:type="dxa" w:w="100"/>
              <w:right w:type="dxa" w:w="120"/>
            </w:tcMar>
          </w:tcPr>
          <w:p>
            <w:r>
              <w:rPr>
                <w:rFonts w:ascii="Arial" w:cs="Arial" w:eastAsia="Arial" w:hAnsi="Arial"/>
                <w:b/>
                <w:bCs/>
                <w:color w:val="888888"/>
                <w:sz w:val="18"/>
                <w:szCs w:val="18"/>
              </w:rPr>
              <w:t xml:space="preserve">Scenario Type</w:t>
            </w:r>
          </w:p>
          <w:p>
            <w:r>
              <w:rPr>
                <w:rFonts w:ascii="Arial" w:cs="Arial" w:eastAsia="Arial" w:hAnsi="Arial"/>
                <w:b/>
                <w:bCs/>
                <w:color w:val="1B2A4A"/>
                <w:sz w:val="20"/>
                <w:szCs w:val="20"/>
              </w:rPr>
              <w:t xml:space="preserve">Realistic Fictional</w:t>
            </w:r>
          </w:p>
        </w:tc>
        <w:tc>
          <w:tcPr>
            <w:tcW w:type="dxa" w:w="2340"/>
            <w:tcBorders>
              <w:top w:val="single" w:color="1B2A4A" w:sz="6"/>
              <w:left w:val="single" w:color="1B2A4A" w:sz="6"/>
              <w:bottom w:val="single" w:color="1B2A4A" w:sz="6"/>
              <w:right w:val="single" w:color="1B2A4A" w:sz="6"/>
            </w:tcBorders>
            <w:shd w:fill="F4F6F9" w:val="clear"/>
            <w:tcMar>
              <w:top w:type="dxa" w:w="100"/>
              <w:left w:type="dxa" w:w="120"/>
              <w:bottom w:type="dxa" w:w="100"/>
              <w:right w:type="dxa" w:w="120"/>
            </w:tcMar>
          </w:tcPr>
          <w:p>
            <w:r>
              <w:rPr>
                <w:rFonts w:ascii="Arial" w:cs="Arial" w:eastAsia="Arial" w:hAnsi="Arial"/>
                <w:b/>
                <w:bCs/>
                <w:color w:val="888888"/>
                <w:sz w:val="18"/>
                <w:szCs w:val="18"/>
              </w:rPr>
              <w:t xml:space="preserve">Target Group</w:t>
            </w:r>
          </w:p>
          <w:p>
            <w:r>
              <w:rPr>
                <w:rFonts w:ascii="Arial" w:cs="Arial" w:eastAsia="Arial" w:hAnsi="Arial"/>
                <w:b/>
                <w:bCs/>
                <w:color w:val="1B2A4A"/>
                <w:sz w:val="20"/>
                <w:szCs w:val="20"/>
              </w:rPr>
              <w:t xml:space="preserve">College Students</w:t>
            </w:r>
          </w:p>
        </w:tc>
        <w:tc>
          <w:tcPr>
            <w:tcW w:type="dxa" w:w="2340"/>
            <w:tcBorders>
              <w:top w:val="single" w:color="1B2A4A" w:sz="6"/>
              <w:left w:val="single" w:color="1B2A4A" w:sz="6"/>
              <w:bottom w:val="single" w:color="1B2A4A" w:sz="6"/>
              <w:right w:val="single" w:color="1B2A4A" w:sz="6"/>
            </w:tcBorders>
            <w:shd w:fill="F4F6F9" w:val="clear"/>
            <w:tcMar>
              <w:top w:type="dxa" w:w="100"/>
              <w:left w:type="dxa" w:w="120"/>
              <w:bottom w:type="dxa" w:w="100"/>
              <w:right w:type="dxa" w:w="120"/>
            </w:tcMar>
          </w:tcPr>
          <w:p>
            <w:r>
              <w:rPr>
                <w:rFonts w:ascii="Arial" w:cs="Arial" w:eastAsia="Arial" w:hAnsi="Arial"/>
                <w:b/>
                <w:bCs/>
                <w:color w:val="888888"/>
                <w:sz w:val="18"/>
                <w:szCs w:val="18"/>
              </w:rPr>
              <w:t xml:space="preserve">Word Count</w:t>
            </w:r>
          </w:p>
          <w:p>
            <w:r>
              <w:rPr>
                <w:rFonts w:ascii="Arial" w:cs="Arial" w:eastAsia="Arial" w:hAnsi="Arial"/>
                <w:b/>
                <w:bCs/>
                <w:color w:val="1B2A4A"/>
                <w:sz w:val="20"/>
                <w:szCs w:val="20"/>
              </w:rPr>
              <w:t xml:space="preserve">~230 words</w:t>
            </w:r>
          </w:p>
        </w:tc>
      </w:tr>
    </w:tbl>
    <w:p>
      <w:pPr>
        <w:spacing w:before="120" w:after="0"/>
      </w:pPr>
      <w:r>
        <w:t xml:space="preserve"/>
      </w:r>
    </w:p>
    <w:p>
      <w:pPr>
        <w:spacing w:before="260" w:after="100"/>
      </w:pPr>
      <w:r>
        <w:rPr>
          <w:rFonts w:ascii="Arial" w:cs="Arial" w:eastAsia="Arial" w:hAnsi="Arial"/>
          <w:b/>
          <w:bCs/>
          <w:color w:val="2E6DA4"/>
          <w:sz w:val="26"/>
          <w:szCs w:val="26"/>
        </w:rPr>
        <w:t xml:space="preserve">The Scholarship Refund Scam</w:t>
      </w:r>
    </w:p>
    <w:p>
      <w:pPr>
        <w:spacing w:before="80" w:after="80"/>
        <w:jc w:val="left"/>
      </w:pPr>
      <w:r>
        <w:rPr>
          <w:rFonts w:ascii="Arial" w:cs="Arial" w:eastAsia="Arial" w:hAnsi="Arial"/>
          <w:color w:val="1A1A2E"/>
          <w:sz w:val="22"/>
          <w:szCs w:val="22"/>
        </w:rPr>
        <w:t xml:space="preserve">Priya, a first-year B.Com student at a state university in Madhya Pradesh, received a WhatsApp message one afternoon from an unknown number. The sender claimed to be an official from her college's scholarship cell, informing her that a government scholarship of ₹8,500 had been processed in her name and would be transferred to her UPI account immediately.</w:t>
      </w:r>
    </w:p>
    <w:p>
      <w:pPr>
        <w:spacing w:before="40" w:after="0"/>
      </w:pPr>
      <w:r>
        <w:t xml:space="preserve"/>
      </w:r>
    </w:p>
    <w:p>
      <w:pPr>
        <w:spacing w:before="80" w:after="80"/>
        <w:jc w:val="left"/>
      </w:pPr>
      <w:r>
        <w:rPr>
          <w:rFonts w:ascii="Arial" w:cs="Arial" w:eastAsia="Arial" w:hAnsi="Arial"/>
          <w:color w:val="1A1A2E"/>
          <w:sz w:val="22"/>
          <w:szCs w:val="22"/>
        </w:rPr>
        <w:t xml:space="preserve">The message asked her to share her UPI ID and confirm a small “verification amount” of ₹1 via a payment link to activate the transfer. When she clicked the link, it opened a page that looked identical to her bank’s UPI interface, asking her to enter her UPI PIN to “receive” the money. Trusting the process, she complied.</w:t>
      </w:r>
    </w:p>
    <w:p>
      <w:pPr>
        <w:spacing w:before="40" w:after="0"/>
      </w:pPr>
      <w:r>
        <w:t xml:space="preserve"/>
      </w:r>
    </w:p>
    <w:p>
      <w:pPr>
        <w:spacing w:before="80" w:after="80"/>
        <w:jc w:val="left"/>
      </w:pPr>
      <w:r>
        <w:rPr>
          <w:rFonts w:ascii="Arial" w:cs="Arial" w:eastAsia="Arial" w:hAnsi="Arial"/>
          <w:color w:val="1A1A2E"/>
          <w:sz w:val="22"/>
          <w:szCs w:val="22"/>
        </w:rPr>
        <w:t xml:space="preserve">Within seconds, ₹12,000 was debited from her account across three rapid transactions. The scholarship, of course, never arrived.</w:t>
      </w:r>
    </w:p>
    <w:p>
      <w:pPr>
        <w:spacing w:before="60" w:after="0"/>
      </w:pPr>
      <w:r>
        <w:t xml:space="preserve"/>
      </w:r>
    </w:p>
    <w:p>
      <w:pPr>
        <w:spacing w:before="180" w:after="80"/>
      </w:pPr>
      <w:r>
        <w:rPr>
          <w:rFonts w:ascii="Arial" w:cs="Arial" w:eastAsia="Arial" w:hAnsi="Arial"/>
          <w:b/>
          <w:bCs/>
          <w:color w:val="1B2A4A"/>
          <w:sz w:val="22"/>
          <w:szCs w:val="22"/>
        </w:rPr>
        <w:t xml:space="preserve">How This Fraud Typically Happens (Step-by-Step)</w:t>
      </w:r>
    </w:p>
    <w:p>
      <w:pPr>
        <w:pStyle w:val="ListParagraph"/>
        <w:numPr>
          <w:ilvl w:val="0"/>
          <w:numId w:val="2"/>
        </w:numPr>
        <w:spacing w:before="60" w:after="40"/>
      </w:pPr>
      <w:r>
        <w:rPr>
          <w:rFonts w:ascii="Arial" w:cs="Arial" w:eastAsia="Arial" w:hAnsi="Arial"/>
          <w:color w:val="1A1A2E"/>
          <w:sz w:val="21"/>
          <w:szCs w:val="21"/>
        </w:rPr>
        <w:t xml:space="preserve">Fraudster identifies target — often through leaked college admission or hostel data.</w:t>
      </w:r>
    </w:p>
    <w:p>
      <w:pPr>
        <w:pStyle w:val="ListParagraph"/>
        <w:numPr>
          <w:ilvl w:val="0"/>
          <w:numId w:val="2"/>
        </w:numPr>
        <w:spacing w:before="40" w:after="40"/>
      </w:pPr>
      <w:r>
        <w:rPr>
          <w:rFonts w:ascii="Arial" w:cs="Arial" w:eastAsia="Arial" w:hAnsi="Arial"/>
          <w:color w:val="1A1A2E"/>
          <w:sz w:val="21"/>
          <w:szCs w:val="21"/>
        </w:rPr>
        <w:t xml:space="preserve">Contact is made via WhatsApp or SMS posing as a government or college official.</w:t>
      </w:r>
    </w:p>
    <w:p>
      <w:pPr>
        <w:pStyle w:val="ListParagraph"/>
        <w:numPr>
          <w:ilvl w:val="0"/>
          <w:numId w:val="2"/>
        </w:numPr>
        <w:spacing w:before="40" w:after="40"/>
      </w:pPr>
      <w:r>
        <w:rPr>
          <w:rFonts w:ascii="Arial" w:cs="Arial" w:eastAsia="Arial" w:hAnsi="Arial"/>
          <w:color w:val="1A1A2E"/>
          <w:sz w:val="21"/>
          <w:szCs w:val="21"/>
        </w:rPr>
        <w:t xml:space="preserve">Victim is told they are receiving money (scholarship, refund, prize) and are sent a fake payment link.</w:t>
      </w:r>
    </w:p>
    <w:p>
      <w:pPr>
        <w:pStyle w:val="ListParagraph"/>
        <w:numPr>
          <w:ilvl w:val="0"/>
          <w:numId w:val="2"/>
        </w:numPr>
        <w:spacing w:before="40" w:after="40"/>
      </w:pPr>
      <w:r>
        <w:rPr>
          <w:rFonts w:ascii="Arial" w:cs="Arial" w:eastAsia="Arial" w:hAnsi="Arial"/>
          <w:color w:val="1A1A2E"/>
          <w:sz w:val="21"/>
          <w:szCs w:val="21"/>
        </w:rPr>
        <w:t xml:space="preserve">Victim enters their UPI PIN on a spoofed page — the PIN authorises a debit, not a credit.</w:t>
      </w:r>
    </w:p>
    <w:p>
      <w:pPr>
        <w:pStyle w:val="ListParagraph"/>
        <w:numPr>
          <w:ilvl w:val="0"/>
          <w:numId w:val="2"/>
        </w:numPr>
        <w:spacing w:before="40" w:after="60"/>
      </w:pPr>
      <w:r>
        <w:rPr>
          <w:rFonts w:ascii="Arial" w:cs="Arial" w:eastAsia="Arial" w:hAnsi="Arial"/>
          <w:color w:val="1A1A2E"/>
          <w:sz w:val="21"/>
          <w:szCs w:val="21"/>
        </w:rPr>
        <w:t xml:space="preserve">Multiple small transactions are fired rapidly before the victim realises what has happened.</w:t>
      </w:r>
    </w:p>
    <w:p>
      <w:pPr>
        <w:spacing w:before="60" w:after="0"/>
      </w:pPr>
      <w:r>
        <w:t xml:space="preserve"/>
      </w:r>
    </w:p>
    <w:p>
      <w:pPr>
        <w:spacing w:before="180" w:after="80"/>
      </w:pPr>
      <w:r>
        <w:rPr>
          <w:rFonts w:ascii="Arial" w:cs="Arial" w:eastAsia="Arial" w:hAnsi="Arial"/>
          <w:b/>
          <w:bCs/>
          <w:color w:val="1B2A4A"/>
          <w:sz w:val="22"/>
          <w:szCs w:val="22"/>
        </w:rPr>
        <w:t xml:space="preserve">Who Is Usually Targeted?</w:t>
      </w:r>
    </w:p>
    <w:p>
      <w:pPr>
        <w:spacing w:before="80" w:after="80"/>
        <w:jc w:val="left"/>
      </w:pPr>
      <w:r>
        <w:rPr>
          <w:rFonts w:ascii="Arial" w:cs="Arial" w:eastAsia="Arial" w:hAnsi="Arial"/>
          <w:color w:val="1A1A2E"/>
          <w:sz w:val="22"/>
          <w:szCs w:val="22"/>
        </w:rPr>
        <w:t xml:space="preserve">First-generation college students, hostel residents, scholarship applicants, and anyone unfamiliar with how UPI credit/debit flows work. Fraudsters specifically target young people in Tier 2 and Tier 3 cities where digital literacy is growing but not yet matched by awareness of scam tactics.</w:t>
      </w:r>
    </w:p>
    <w:p>
      <w:pPr>
        <w:spacing w:before="60" w:after="0"/>
      </w:pPr>
      <w:r>
        <w:t xml:space="preserve"/>
      </w:r>
    </w:p>
    <w:p>
      <w:pPr>
        <w:spacing w:before="180" w:after="80"/>
      </w:pPr>
      <w:r>
        <w:rPr>
          <w:rFonts w:ascii="Arial" w:cs="Arial" w:eastAsia="Arial" w:hAnsi="Arial"/>
          <w:b/>
          <w:bCs/>
          <w:color w:val="1B2A4A"/>
          <w:sz w:val="22"/>
          <w:szCs w:val="22"/>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CEA" w:val="clear"/>
            <w:tcMar>
              <w:top w:type="dxa" w:w="160"/>
              <w:left w:type="dxa" w:w="200"/>
              <w:bottom w:type="dxa" w:w="160"/>
              <w:right w:type="dxa" w:w="200"/>
            </w:tcMar>
          </w:tcPr>
          <w:p>
            <w:pPr>
              <w:spacing w:before="60" w:after="0"/>
            </w:pPr>
            <w:r>
              <w:rPr>
                <w:rFonts w:ascii="Arial" w:cs="Arial" w:eastAsia="Arial" w:hAnsi="Arial"/>
                <w:b/>
                <w:bCs/>
                <w:color w:val="C0392B"/>
                <w:sz w:val="22"/>
                <w:szCs w:val="22"/>
              </w:rPr>
              <w:t xml:space="preserve">Financial loss:</w:t>
            </w:r>
          </w:p>
          <w:p>
            <w:pPr>
              <w:spacing w:before="60" w:after="0"/>
            </w:pPr>
            <w:r>
              <w:rPr>
                <w:rFonts w:ascii="Arial" w:cs="Arial" w:eastAsia="Arial" w:hAnsi="Arial"/>
                <w:b w:val="false"/>
                <w:bCs w:val="false"/>
                <w:color w:val="1A1A2E"/>
                <w:sz w:val="21"/>
                <w:szCs w:val="21"/>
              </w:rPr>
              <w:t xml:space="preserve">Immediate deduction from bank account, often unrecoverable within hours.</w:t>
            </w:r>
          </w:p>
          <w:p>
            <w:pPr>
              <w:spacing w:before="60" w:after="0"/>
            </w:pPr>
            <w:r>
              <w:rPr>
                <w:rFonts w:ascii="Arial" w:cs="Arial" w:eastAsia="Arial" w:hAnsi="Arial"/>
                <w:b w:val="false"/>
                <w:bCs w:val="false"/>
                <w:color w:val="1A1A2E"/>
                <w:sz w:val="10"/>
                <w:szCs w:val="10"/>
              </w:rPr>
              <w:t xml:space="preserve"> </w:t>
            </w:r>
          </w:p>
          <w:p>
            <w:pPr>
              <w:spacing w:before="60" w:after="0"/>
            </w:pPr>
            <w:r>
              <w:rPr>
                <w:rFonts w:ascii="Arial" w:cs="Arial" w:eastAsia="Arial" w:hAnsi="Arial"/>
                <w:b/>
                <w:bCs/>
                <w:color w:val="D35400"/>
                <w:sz w:val="22"/>
                <w:szCs w:val="22"/>
              </w:rPr>
              <w:t xml:space="preserve">Psychological impact:</w:t>
            </w:r>
          </w:p>
          <w:p>
            <w:pPr>
              <w:spacing w:before="60" w:after="0"/>
            </w:pPr>
            <w:r>
              <w:rPr>
                <w:rFonts w:ascii="Arial" w:cs="Arial" w:eastAsia="Arial" w:hAnsi="Arial"/>
                <w:b w:val="false"/>
                <w:bCs w:val="false"/>
                <w:color w:val="1A1A2E"/>
                <w:sz w:val="21"/>
                <w:szCs w:val="21"/>
              </w:rPr>
              <w:t xml:space="preserve">Shame, anxiety, and reluctance to report due to fear of blame or ridicule.</w:t>
            </w:r>
          </w:p>
          <w:p>
            <w:pPr>
              <w:spacing w:before="60" w:after="0"/>
            </w:pPr>
            <w:r>
              <w:rPr>
                <w:rFonts w:ascii="Arial" w:cs="Arial" w:eastAsia="Arial" w:hAnsi="Arial"/>
                <w:b w:val="false"/>
                <w:bCs w:val="false"/>
                <w:color w:val="1A1A2E"/>
                <w:sz w:val="10"/>
                <w:szCs w:val="10"/>
              </w:rPr>
              <w:t xml:space="preserve"> </w:t>
            </w:r>
          </w:p>
          <w:p>
            <w:pPr>
              <w:spacing w:before="60" w:after="0"/>
            </w:pPr>
            <w:r>
              <w:rPr>
                <w:rFonts w:ascii="Arial" w:cs="Arial" w:eastAsia="Arial" w:hAnsi="Arial"/>
                <w:b/>
                <w:bCs/>
                <w:color w:val="7D5A00"/>
                <w:sz w:val="22"/>
                <w:szCs w:val="22"/>
              </w:rPr>
              <w:t xml:space="preserve">Academic disruption:</w:t>
            </w:r>
          </w:p>
          <w:p>
            <w:pPr>
              <w:spacing w:before="60" w:after="0"/>
            </w:pPr>
            <w:r>
              <w:rPr>
                <w:rFonts w:ascii="Arial" w:cs="Arial" w:eastAsia="Arial" w:hAnsi="Arial"/>
                <w:b w:val="false"/>
                <w:bCs w:val="false"/>
                <w:color w:val="1A1A2E"/>
                <w:sz w:val="21"/>
                <w:szCs w:val="21"/>
              </w:rPr>
              <w:t xml:space="preserve">Loss of funds meant for fees, books, or living expenses creates immediate hardship.</w:t>
            </w:r>
          </w:p>
          <w:p>
            <w:pPr>
              <w:spacing w:before="60" w:after="0"/>
            </w:pPr>
            <w:r>
              <w:rPr>
                <w:rFonts w:ascii="Arial" w:cs="Arial" w:eastAsia="Arial" w:hAnsi="Arial"/>
                <w:b w:val="false"/>
                <w:bCs w:val="false"/>
                <w:color w:val="1A1A2E"/>
                <w:sz w:val="10"/>
                <w:szCs w:val="10"/>
              </w:rPr>
              <w:t xml:space="preserve"> </w:t>
            </w:r>
          </w:p>
          <w:p>
            <w:pPr>
              <w:spacing w:before="60" w:after="0"/>
            </w:pPr>
            <w:r>
              <w:rPr>
                <w:rFonts w:ascii="Arial" w:cs="Arial" w:eastAsia="Arial" w:hAnsi="Arial"/>
                <w:b/>
                <w:bCs/>
                <w:color w:val="1B2A4A"/>
                <w:sz w:val="22"/>
                <w:szCs w:val="22"/>
              </w:rPr>
              <w:t xml:space="preserve">Data exposure:</w:t>
            </w:r>
          </w:p>
          <w:p>
            <w:pPr>
              <w:spacing w:before="60" w:after="0"/>
            </w:pPr>
            <w:r>
              <w:rPr>
                <w:rFonts w:ascii="Arial" w:cs="Arial" w:eastAsia="Arial" w:hAnsi="Arial"/>
                <w:b w:val="false"/>
                <w:bCs w:val="false"/>
                <w:color w:val="1A1A2E"/>
                <w:sz w:val="21"/>
                <w:szCs w:val="21"/>
              </w:rPr>
              <w:t xml:space="preserve">Any information entered on fake pages may be used for further identity theft.</w:t>
            </w:r>
          </w:p>
        </w:tc>
      </w:tr>
    </w:tbl>
    <w:p>
      <w:pPr>
        <w:spacing w:before="80" w:after="0"/>
      </w:pPr>
      <w:r>
        <w:t xml:space="preserve"/>
      </w:r>
    </w:p>
    <w:p>
      <w:pPr>
        <w:spacing w:before="60" w:after="80"/>
      </w:pPr>
      <w:r>
        <w:rPr>
          <w:rFonts w:ascii="Arial" w:cs="Arial" w:eastAsia="Arial" w:hAnsi="Arial"/>
          <w:b/>
          <w:bCs/>
          <w:color w:val="888888"/>
          <w:sz w:val="20"/>
          <w:szCs w:val="20"/>
        </w:rPr>
        <w:t xml:space="preserve">Note: </w:t>
      </w:r>
      <w:r>
        <w:rPr>
          <w:rFonts w:ascii="Arial" w:cs="Arial" w:eastAsia="Arial" w:hAnsi="Arial"/>
          <w:i/>
          <w:iCs/>
          <w:color w:val="888888"/>
          <w:sz w:val="20"/>
          <w:szCs w:val="20"/>
        </w:rPr>
        <w:t xml:space="preserve">This is a realistic fictional scenario. It is based on commonly reported UPI fraud patterns documented by the Reserve Bank of India (RBI) and the National Cyber Crime Reporting Portal (cybercrime.gov.in). The specific details (names, amounts, institution) are invented.</w:t>
      </w:r>
    </w:p>
    <w:p>
      <w:pPr>
        <w:spacing w:before="320" w:after="0"/>
      </w:pPr>
      <w:r>
        <w:t xml:space="preserve"/>
      </w:r>
    </w:p>
    <w:p>
      <w:pPr>
        <w:pBdr>
          <w:bottom w:val="single" w:color="1B2A4A" w:sz="8" w:space="4"/>
        </w:pBdr>
        <w:spacing w:before="360" w:after="120"/>
      </w:pPr>
      <w:r>
        <w:rPr>
          <w:rFonts w:ascii="Arial" w:cs="Arial" w:eastAsia="Arial" w:hAnsi="Arial"/>
          <w:b/>
          <w:bCs/>
          <w:color w:val="1B2A4A"/>
          <w:sz w:val="36"/>
          <w:szCs w:val="36"/>
        </w:rPr>
        <w:t xml:space="preserve">Part B — ‘Stay Safe Online’ Prevention Checklist</w:t>
      </w:r>
    </w:p>
    <w:p>
      <w:pPr>
        <w:spacing w:before="60" w:after="0"/>
      </w:pPr>
      <w:r>
        <w:t xml:space="preserve"/>
      </w:r>
    </w:p>
    <w:p>
      <w:pPr>
        <w:spacing w:before="80" w:after="80"/>
        <w:jc w:val="left"/>
      </w:pPr>
      <w:r>
        <w:rPr>
          <w:rFonts w:ascii="Arial" w:cs="Arial" w:eastAsia="Arial" w:hAnsi="Arial"/>
          <w:color w:val="1A1A2E"/>
          <w:sz w:val="22"/>
          <w:szCs w:val="22"/>
        </w:rPr>
        <w:t xml:space="preserve">The following checklist contains 10 specific, actionable tips for college students in India. Tips marked “UPI / Financial” are specific to payment safety. All tips are relevant to the everyday digital habits of Indian college students.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1860"/>
      </w:tblGrid>
      <w:tr>
        <w:tc>
          <w:tcPr>
            <w:tcW w:type="dxa" w:w="50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w:t>
            </w:r>
          </w:p>
        </w:tc>
        <w:tc>
          <w:tcPr>
            <w:tcW w:type="dxa" w:w="7000"/>
            <w:tcBorders>
              <w:top w:val="single" w:color="1B2A4A" w:sz="6"/>
              <w:left w:val="single" w:color="1B2A4A" w:sz="6"/>
              <w:bottom w:val="single" w:color="1B2A4A" w:sz="6"/>
              <w:right w:val="single" w:color="1B2A4A" w:sz="6"/>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Tip / Action</w:t>
            </w:r>
          </w:p>
        </w:tc>
        <w:tc>
          <w:tcPr>
            <w:tcW w:type="dxa" w:w="1860"/>
            <w:tcBorders>
              <w:top w:val="single" w:color="1B2A4A" w:sz="6"/>
              <w:left w:val="single" w:color="1B2A4A" w:sz="6"/>
              <w:bottom w:val="single" w:color="1B2A4A" w:sz="6"/>
              <w:right w:val="single" w:color="1B2A4A" w:sz="6"/>
            </w:tcBorders>
            <w:shd w:fill="1B2A4A" w:val="clear"/>
            <w:tcMar>
              <w:top w:type="dxa" w:w="100"/>
              <w:left w:type="dxa" w:w="100"/>
              <w:bottom w:type="dxa" w:w="100"/>
              <w:right w:type="dxa" w:w="100"/>
            </w:tcMar>
          </w:tcPr>
          <w:p>
            <w:pPr>
              <w:jc w:val="center"/>
            </w:pPr>
            <w:r>
              <w:rPr>
                <w:rFonts w:ascii="Arial" w:cs="Arial" w:eastAsia="Arial" w:hAnsi="Arial"/>
                <w:b/>
                <w:bCs/>
                <w:color w:val="FFFFFF"/>
                <w:sz w:val="22"/>
                <w:szCs w:val="22"/>
              </w:rPr>
              <w:t xml:space="preserve">Category</w:t>
            </w:r>
          </w:p>
        </w:tc>
      </w:tr>
      <w:tr>
        <w:tc>
          <w:tcPr>
            <w:tcW w:type="dxa" w:w="5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Never enter your UPI PIN to receive money. Your PIN is only needed to send money. Any request asking you to “confirm” receipt with your PIN is a scam.</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UPI / Financial</w:t>
            </w:r>
          </w:p>
        </w:tc>
      </w:tr>
      <w:tr>
        <w:tc>
          <w:tcPr>
            <w:tcW w:type="dxa" w:w="5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Verify QR codes before scanning. Scammers place fake QR codes over legitimate ones in shops and on notice boards. Always confirm the payee name on-screen before approving.</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UPI / Financial</w:t>
            </w:r>
          </w:p>
        </w:tc>
      </w:tr>
      <w:tr>
        <w:tc>
          <w:tcPr>
            <w:tcW w:type="dxa" w:w="5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Enable transaction limits on your UPI app. Most apps (BHIM, GPay, PhonePe) allow daily transaction caps. Set a realistic limit to minimise losses if compromised.</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2E6DA4"/>
                <w:sz w:val="18"/>
                <w:szCs w:val="18"/>
              </w:rPr>
              <w:t xml:space="preserve">Account Security</w:t>
            </w:r>
          </w:p>
        </w:tc>
      </w:tr>
      <w:tr>
        <w:tc>
          <w:tcPr>
            <w:tcW w:type="dxa" w:w="5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Use strong, unique passwords for every online account and enable two-factor authentication (2FA) wherever available — especially for email, social media, and banking.</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2E6DA4"/>
                <w:sz w:val="18"/>
                <w:szCs w:val="18"/>
              </w:rPr>
              <w:t xml:space="preserve">Account Security</w:t>
            </w:r>
          </w:p>
        </w:tc>
      </w:tr>
      <w:tr>
        <w:tc>
          <w:tcPr>
            <w:tcW w:type="dxa" w:w="500"/>
            <w:tcBorders>
              <w:top w:val="single" w:color="CCCCCC" w:sz="1"/>
              <w:left w:val="single" w:color="CCCCCC" w:sz="1"/>
              <w:bottom w:val="single" w:color="CCCCCC" w:sz="1"/>
              <w:right w:val="single" w:color="CCCCCC" w:sz="1"/>
            </w:tcBorders>
            <w:shd w:fill="D354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Do not click links in unsolicited WhatsApp messages or SMS, even if they appear to be from your bank, college, or government. Go directly to the official website instead.</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D35400"/>
                <w:sz w:val="18"/>
                <w:szCs w:val="18"/>
              </w:rPr>
              <w:t xml:space="preserve">Phishing Defence</w:t>
            </w:r>
          </w:p>
        </w:tc>
      </w:tr>
      <w:tr>
        <w:tc>
          <w:tcPr>
            <w:tcW w:type="dxa" w:w="500"/>
            <w:tcBorders>
              <w:top w:val="single" w:color="CCCCCC" w:sz="1"/>
              <w:left w:val="single" w:color="CCCCCC" w:sz="1"/>
              <w:bottom w:val="single" w:color="CCCCCC" w:sz="1"/>
              <w:right w:val="single" w:color="CCCCCC" w:sz="1"/>
            </w:tcBorders>
            <w:shd w:fill="D354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Check the URL before entering any credentials online. Fake sites often use subtle misspellings (e.g. ‘sbi-secure.in’ instead of ‘sbi.co.in’). Look for https:// and a padlock icon.</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D35400"/>
                <w:sz w:val="18"/>
                <w:szCs w:val="18"/>
              </w:rPr>
              <w:t xml:space="preserve">Phishing Defence</w:t>
            </w:r>
          </w:p>
        </w:tc>
      </w:tr>
      <w:tr>
        <w:tc>
          <w:tcPr>
            <w:tcW w:type="dxa" w:w="500"/>
            <w:tcBorders>
              <w:top w:val="single" w:color="CCCCCC" w:sz="1"/>
              <w:left w:val="single" w:color="CCCCCC" w:sz="1"/>
              <w:bottom w:val="single" w:color="CCCCCC" w:sz="1"/>
              <w:right w:val="single" w:color="CCCCCC" w:sz="1"/>
            </w:tcBorders>
            <w:shd w:fill="1A6B3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Keep your phone’s OS and apps updated. Security patches close vulnerabilities that cybercriminals actively exploit on older software versions.</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1A6B3B"/>
                <w:sz w:val="18"/>
                <w:szCs w:val="18"/>
              </w:rPr>
              <w:t xml:space="preserve">Device Safety</w:t>
            </w:r>
          </w:p>
        </w:tc>
      </w:tr>
      <w:tr>
        <w:tc>
          <w:tcPr>
            <w:tcW w:type="dxa" w:w="500"/>
            <w:tcBorders>
              <w:top w:val="single" w:color="CCCCCC" w:sz="1"/>
              <w:left w:val="single" w:color="CCCCCC" w:sz="1"/>
              <w:bottom w:val="single" w:color="CCCCCC" w:sz="1"/>
              <w:right w:val="single" w:color="CCCCCC" w:sz="1"/>
            </w:tcBorders>
            <w:shd w:fill="1A6B3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Avoid using public Wi-Fi (college canteen, railway station, cafes) for banking or logging into personal accounts. Use your mobile data or a trusted VPN instead.</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1A6B3B"/>
                <w:sz w:val="18"/>
                <w:szCs w:val="18"/>
              </w:rPr>
              <w:t xml:space="preserve">Network Safety</w:t>
            </w:r>
          </w:p>
        </w:tc>
      </w:tr>
      <w:tr>
        <w:tc>
          <w:tcPr>
            <w:tcW w:type="dxa" w:w="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9</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Review app permissions regularly. Many fraudulent apps request access to SMS, contacts, and camera. Revoke permissions from apps that do not need them.</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1B2A4A"/>
                <w:sz w:val="18"/>
                <w:szCs w:val="18"/>
              </w:rPr>
              <w:t xml:space="preserve">Privacy</w:t>
            </w:r>
          </w:p>
        </w:tc>
      </w:tr>
      <w:tr>
        <w:tc>
          <w:tcPr>
            <w:tcW w:type="dxa" w:w="5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10</w:t>
            </w:r>
          </w:p>
        </w:tc>
        <w:tc>
          <w:tcPr>
            <w:tcW w:type="dxa" w:w="70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60"/>
            </w:tcMar>
          </w:tcPr>
          <w:p>
            <w:r>
              <w:rPr>
                <w:rFonts w:ascii="Arial" w:cs="Arial" w:eastAsia="Arial" w:hAnsi="Arial"/>
                <w:color w:val="1A1A2E"/>
                <w:sz w:val="21"/>
                <w:szCs w:val="21"/>
              </w:rPr>
              <w:t xml:space="preserve">Report cybercrime immediately. Use the National Cyber Crime Portal at cybercrime.gov.in or call the dedicated helpline 1930 (available 24×7 across India).</w:t>
            </w:r>
          </w:p>
        </w:tc>
        <w:tc>
          <w:tcPr>
            <w:tcW w:type="dxa" w:w="1860"/>
            <w:tcBorders>
              <w:top w:val="single" w:color="CCCCCC" w:sz="1"/>
              <w:left w:val="single" w:color="CCCCCC" w:sz="1"/>
              <w:bottom w:val="single" w:color="CCCCCC" w:sz="1"/>
              <w:right w:val="single" w:color="CCCCCC" w:sz="1"/>
            </w:tcBorders>
            <w:shd w:fill="F8F8FF"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REPORT 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6"/>
              <w:bottom w:val="single" w:color="1B2A4A" w:sz="6"/>
              <w:right w:val="single" w:color="1B2A4A" w:sz="6"/>
            </w:tcBorders>
            <w:shd w:fill="1B2A4A" w:val="clear"/>
            <w:tcMar>
              <w:top w:type="dxa" w:w="160"/>
              <w:left w:type="dxa" w:w="200"/>
              <w:bottom w:type="dxa" w:w="160"/>
              <w:right w:type="dxa" w:w="200"/>
            </w:tcMar>
          </w:tcPr>
          <w:p>
            <w:pPr>
              <w:spacing w:before="80" w:after="0"/>
            </w:pPr>
            <w:r>
              <w:rPr>
                <w:rFonts w:ascii="Arial" w:cs="Arial" w:eastAsia="Arial" w:hAnsi="Arial"/>
                <w:b/>
                <w:bCs/>
                <w:color w:val="FFFFFF"/>
                <w:sz w:val="24"/>
                <w:szCs w:val="24"/>
              </w:rPr>
              <w:t xml:space="preserve">HOW TO REPORT A CYBERCRIME IN INDIA</w:t>
            </w:r>
          </w:p>
          <w:p>
            <w:pPr>
              <w:spacing w:before="40" w:after="0"/>
            </w:pPr>
            <w:r>
              <w:rPr>
                <w:rFonts w:ascii="Arial" w:cs="Arial" w:eastAsia="Arial" w:hAnsi="Arial"/>
                <w:b w:val="false"/>
                <w:bCs w:val="false"/>
                <w:color w:val="1A1A2E"/>
                <w:sz w:val="10"/>
                <w:szCs w:val="10"/>
              </w:rPr>
              <w:t xml:space="preserve"> </w:t>
            </w:r>
          </w:p>
          <w:p>
            <w:pPr>
              <w:spacing w:before="60" w:after="0"/>
            </w:pPr>
            <w:r>
              <w:rPr>
                <w:rFonts w:ascii="Arial" w:cs="Arial" w:eastAsia="Arial" w:hAnsi="Arial"/>
                <w:b w:val="false"/>
                <w:bCs w:val="false"/>
                <w:color w:val="FFFFFF"/>
                <w:sz w:val="22"/>
                <w:szCs w:val="22"/>
              </w:rPr>
              <w:t xml:space="preserve">National Cyber Crime Reporting Portal:  cybercrime.gov.in</w:t>
            </w:r>
          </w:p>
          <w:p>
            <w:pPr>
              <w:spacing w:before="60" w:after="0"/>
            </w:pPr>
            <w:r>
              <w:rPr>
                <w:rFonts w:ascii="Arial" w:cs="Arial" w:eastAsia="Arial" w:hAnsi="Arial"/>
                <w:b w:val="false"/>
                <w:bCs w:val="false"/>
                <w:color w:val="FFFFFF"/>
                <w:sz w:val="22"/>
                <w:szCs w:val="22"/>
              </w:rPr>
              <w:t xml:space="preserve">National Cyber Crime Helpline:  1930  (24x7, all states)</w:t>
            </w:r>
          </w:p>
          <w:p>
            <w:pPr>
              <w:spacing w:before="80" w:after="0"/>
            </w:pPr>
            <w:r>
              <w:rPr>
                <w:rFonts w:ascii="Arial" w:cs="Arial" w:eastAsia="Arial" w:hAnsi="Arial"/>
                <w:b w:val="false"/>
                <w:bCs w:val="false"/>
                <w:color w:val="EEF2FF"/>
                <w:sz w:val="20"/>
                <w:szCs w:val="20"/>
              </w:rPr>
              <w:t xml:space="preserve">You can report financial fraud, phishing, cyberbullying, identity theft, and more. Early reporting maximises your chance of recovering lost funds.</w:t>
            </w:r>
          </w:p>
        </w:tc>
      </w:tr>
    </w:tbl>
    <w:p>
      <w:pPr>
        <w:spacing w:before="320" w:after="0"/>
      </w:pPr>
      <w:r>
        <w:t xml:space="preserve"/>
      </w:r>
    </w:p>
    <w:p>
      <w:pPr>
        <w:pBdr>
          <w:bottom w:val="single" w:color="1B2A4A" w:sz="8" w:space="4"/>
        </w:pBdr>
        <w:spacing w:before="360" w:after="120"/>
      </w:pPr>
      <w:r>
        <w:rPr>
          <w:rFonts w:ascii="Arial" w:cs="Arial" w:eastAsia="Arial" w:hAnsi="Arial"/>
          <w:b/>
          <w:bCs/>
          <w:color w:val="1B2A4A"/>
          <w:sz w:val="36"/>
          <w:szCs w:val="36"/>
        </w:rPr>
        <w:t xml:space="preserve">Part B — Personal Reflection</w:t>
      </w:r>
    </w:p>
    <w:p>
      <w:pPr>
        <w:spacing w:before="60" w:after="0"/>
      </w:pPr>
      <w:r>
        <w:t xml:space="preserve"/>
      </w:r>
    </w:p>
    <w:p>
      <w:pPr>
        <w:spacing w:before="260" w:after="100"/>
      </w:pPr>
      <w:r>
        <w:rPr>
          <w:rFonts w:ascii="Arial" w:cs="Arial" w:eastAsia="Arial" w:hAnsi="Arial"/>
          <w:b/>
          <w:bCs/>
          <w:color w:val="2E6DA4"/>
          <w:sz w:val="26"/>
          <w:szCs w:val="26"/>
        </w:rPr>
        <w:t xml:space="preserve">What Surprised Me Most — and One Habit I Will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single" w:color="1B2A4A" w:sz="6"/>
              <w:bottom w:val="single" w:color="1B2A4A" w:sz="6"/>
              <w:right w:val="single" w:color="1B2A4A" w:sz="6"/>
            </w:tcBorders>
            <w:shd w:fill="FEF9E7" w:val="clear"/>
            <w:tcMar>
              <w:top w:type="dxa" w:w="160"/>
              <w:left w:type="dxa" w:w="200"/>
              <w:bottom w:type="dxa" w:w="160"/>
              <w:right w:type="dxa" w:w="200"/>
            </w:tcMar>
          </w:tcPr>
          <w:p>
            <w:pPr>
              <w:spacing w:before="80" w:after="0"/>
            </w:pPr>
            <w:r>
              <w:rPr>
                <w:rFonts w:ascii="Arial" w:cs="Arial" w:eastAsia="Arial" w:hAnsi="Arial"/>
                <w:b w:val="false"/>
                <w:bCs w:val="false"/>
                <w:color w:val="1A1A2E"/>
                <w:sz w:val="22"/>
                <w:szCs w:val="22"/>
              </w:rPr>
              <w:t xml:space="preserve">What surprised me most while researching UPI fraud was how psychologically sophisticated these attacks have become. The scam does not rely on hacking or malware — it relies entirely on manipulating the victim’s trust and their incomplete understanding of how UPI works. The critical insight is that your UPI PIN is a debit authorisation key, not a verification code, and yet thousands of people have lost savings simply because no one clearly explained this distinction to them.</w:t>
            </w:r>
          </w:p>
          <w:p>
            <w:pPr>
              <w:spacing w:before="60" w:after="0"/>
            </w:pPr>
            <w:r>
              <w:rPr>
                <w:rFonts w:ascii="Arial" w:cs="Arial" w:eastAsia="Arial" w:hAnsi="Arial"/>
                <w:b w:val="false"/>
                <w:bCs w:val="false"/>
                <w:color w:val="1A1A2E"/>
                <w:sz w:val="10"/>
                <w:szCs w:val="10"/>
              </w:rPr>
              <w:t xml:space="preserve"> </w:t>
            </w:r>
          </w:p>
          <w:p>
            <w:pPr>
              <w:spacing w:before="80" w:after="0"/>
            </w:pPr>
            <w:r>
              <w:rPr>
                <w:rFonts w:ascii="Arial" w:cs="Arial" w:eastAsia="Arial" w:hAnsi="Arial"/>
                <w:b w:val="false"/>
                <w:bCs w:val="false"/>
                <w:color w:val="1A1A2E"/>
                <w:sz w:val="22"/>
                <w:szCs w:val="22"/>
              </w:rPr>
              <w:t xml:space="preserve">I was also struck by how quickly funds move after a fraudulent transaction. In many reported cases, the money is withdrawn from the fraudster’s account within minutes, making recovery nearly impossible even when the victim reports immediately.</w:t>
            </w:r>
          </w:p>
          <w:p>
            <w:pPr>
              <w:spacing w:before="60" w:after="0"/>
            </w:pPr>
            <w:r>
              <w:rPr>
                <w:rFonts w:ascii="Arial" w:cs="Arial" w:eastAsia="Arial" w:hAnsi="Arial"/>
                <w:b w:val="false"/>
                <w:bCs w:val="false"/>
                <w:color w:val="1A1A2E"/>
                <w:sz w:val="10"/>
                <w:szCs w:val="10"/>
              </w:rPr>
              <w:t xml:space="preserve"> </w:t>
            </w:r>
          </w:p>
          <w:p>
            <w:pPr>
              <w:spacing w:before="80" w:after="0"/>
            </w:pPr>
            <w:r>
              <w:rPr>
                <w:rFonts w:ascii="Arial" w:cs="Arial" w:eastAsia="Arial" w:hAnsi="Arial"/>
                <w:b w:val="false"/>
                <w:bCs w:val="false"/>
                <w:color w:val="1A1A2E"/>
                <w:sz w:val="22"/>
                <w:szCs w:val="22"/>
              </w:rPr>
              <w:t xml:space="preserve">The one habit I will personally change is this: I will set a daily UPI transaction limit on my payment app and review my linked permissions every month. Small structural safeguards matter more than hoping I will ‘always stay alert’ in the moment.</w:t>
            </w:r>
          </w:p>
        </w:tc>
      </w:tr>
    </w:tbl>
    <w:p>
      <w:pPr>
        <w:spacing w:before="80" w:after="0"/>
      </w:pPr>
      <w:r>
        <w:t xml:space="preserve"/>
      </w:r>
    </w:p>
    <w:p>
      <w:pPr>
        <w:spacing w:before="60" w:after="60"/>
        <w:jc w:val="right"/>
      </w:pPr>
      <w:r>
        <w:rPr>
          <w:rFonts w:ascii="Arial" w:cs="Arial" w:eastAsia="Arial" w:hAnsi="Arial"/>
          <w:b/>
          <w:bCs/>
          <w:color w:val="888888"/>
          <w:sz w:val="20"/>
          <w:szCs w:val="20"/>
        </w:rPr>
        <w:t xml:space="preserve">Word Count (Reflection): </w:t>
      </w:r>
      <w:r>
        <w:rPr>
          <w:rFonts w:ascii="Arial" w:cs="Arial" w:eastAsia="Arial" w:hAnsi="Arial"/>
          <w:i/>
          <w:iCs/>
          <w:color w:val="888888"/>
          <w:sz w:val="20"/>
          <w:szCs w:val="20"/>
        </w:rPr>
        <w:t xml:space="preserve">~150 words</w:t>
      </w:r>
    </w:p>
    <w:p>
      <w:pPr>
        <w:spacing w:before="320" w:after="0"/>
      </w:pPr>
      <w:r>
        <w:t xml:space="preserve"/>
      </w:r>
    </w:p>
    <w:p>
      <w:pPr>
        <w:pBdr>
          <w:bottom w:val="single" w:color="1B2A4A" w:sz="8" w:space="4"/>
        </w:pBdr>
        <w:spacing w:before="360" w:after="120"/>
      </w:pPr>
      <w:r>
        <w:rPr>
          <w:rFonts w:ascii="Arial" w:cs="Arial" w:eastAsia="Arial" w:hAnsi="Arial"/>
          <w:b/>
          <w:bCs/>
          <w:color w:val="1B2A4A"/>
          <w:sz w:val="36"/>
          <w:szCs w:val="36"/>
        </w:rPr>
        <w:t xml:space="preserve">Submission Checklist — task-5-cybercrime/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2000"/>
        <w:gridCol w:w="1000"/>
      </w:tblGrid>
      <w:tr>
        <w:tc>
          <w:tcPr>
            <w:tcW w:type="dxa" w:w="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Deliverable</w:t>
            </w:r>
          </w:p>
        </w:tc>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 Met</w:t>
            </w:r>
          </w:p>
        </w:tc>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pPr>
              <w:jc w:val="center"/>
            </w:pPr>
            <w:r>
              <w:rPr>
                <w:rFonts w:ascii="Arial" w:cs="Arial" w:eastAsia="Arial" w:hAnsi="Arial"/>
                <w:b/>
                <w:bCs/>
                <w:color w:val="1B2A4A"/>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module-5-report.docx — This full report (Part A + Part B)</w:t>
            </w:r>
          </w:p>
        </w:tc>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2E6DA4"/>
                <w:sz w:val="18"/>
                <w:szCs w:val="18"/>
              </w:rPr>
              <w:t xml:space="preserve">All task items 19–26 covered</w:t>
            </w:r>
          </w:p>
        </w:tc>
        <w:tc>
          <w:tcPr>
            <w:tcW w:type="dxa" w:w="1000"/>
            <w:tcBorders>
              <w:top w:val="single" w:color="CCCCCC" w:sz="1"/>
              <w:left w:val="single" w:color="CCCCCC" w:sz="1"/>
              <w:bottom w:val="single" w:color="CCCCCC" w:sz="1"/>
              <w:right w:val="single" w:color="CCCCCC" w:sz="1"/>
            </w:tcBorders>
            <w:shd w:fill="EAF7EE" w:val="clear"/>
            <w:tcMar>
              <w:top w:type="dxa" w:w="70"/>
              <w:left w:type="dxa" w:w="100"/>
              <w:bottom w:type="dxa" w:w="70"/>
              <w:right w:type="dxa" w:w="100"/>
            </w:tcMar>
          </w:tcPr>
          <w:p>
            <w:pPr>
              <w:jc w:val="center"/>
            </w:pPr>
            <w:r>
              <w:rPr>
                <w:rFonts w:ascii="Arial" w:cs="Arial" w:eastAsia="Arial" w:hAnsi="Arial"/>
                <w:b/>
                <w:bCs/>
                <w:color w:val="1A6B3B"/>
                <w:sz w:val="20"/>
                <w:szCs w:val="20"/>
              </w:rPr>
              <w:t xml:space="preserve">✔ Done</w:t>
            </w:r>
          </w:p>
        </w:tc>
      </w:tr>
      <w:tr>
        <w:tc>
          <w:tcPr>
            <w:tcW w:type="dxa" w:w="6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pPr>
              <w:jc w:val="center"/>
            </w:pPr>
            <w:r>
              <w:rPr>
                <w:rFonts w:ascii="Arial" w:cs="Arial" w:eastAsia="Arial" w:hAnsi="Arial"/>
                <w:b/>
                <w:bCs/>
                <w:color w:val="1B2A4A"/>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casestudy.md — UPI Payment Fraud case study (200–250 words)</w:t>
            </w:r>
          </w:p>
        </w:tc>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2E6DA4"/>
                <w:sz w:val="18"/>
                <w:szCs w:val="18"/>
              </w:rPr>
              <w:t xml:space="preserve">Task items 19–21</w:t>
            </w:r>
          </w:p>
        </w:tc>
        <w:tc>
          <w:tcPr>
            <w:tcW w:type="dxa" w:w="1000"/>
            <w:tcBorders>
              <w:top w:val="single" w:color="CCCCCC" w:sz="1"/>
              <w:left w:val="single" w:color="CCCCCC" w:sz="1"/>
              <w:bottom w:val="single" w:color="CCCCCC" w:sz="1"/>
              <w:right w:val="single" w:color="CCCCCC" w:sz="1"/>
            </w:tcBorders>
            <w:shd w:fill="EAF7EE" w:val="clear"/>
            <w:tcMar>
              <w:top w:type="dxa" w:w="70"/>
              <w:left w:type="dxa" w:w="100"/>
              <w:bottom w:type="dxa" w:w="70"/>
              <w:right w:type="dxa" w:w="100"/>
            </w:tcMar>
          </w:tcPr>
          <w:p>
            <w:pPr>
              <w:jc w:val="center"/>
            </w:pPr>
            <w:r>
              <w:rPr>
                <w:rFonts w:ascii="Arial" w:cs="Arial" w:eastAsia="Arial" w:hAnsi="Arial"/>
                <w:b/>
                <w:bCs/>
                <w:color w:val="1A6B3B"/>
                <w:sz w:val="20"/>
                <w:szCs w:val="20"/>
              </w:rPr>
              <w:t xml:space="preserve">✔ Done</w:t>
            </w:r>
          </w:p>
        </w:tc>
      </w:tr>
      <w:tr>
        <w:tc>
          <w:tcPr>
            <w:tcW w:type="dxa" w:w="600"/>
            <w:tcBorders>
              <w:top w:val="single" w:color="CCCCCC" w:sz="1"/>
              <w:left w:val="single" w:color="CCCCCC" w:sz="1"/>
              <w:bottom w:val="single" w:color="CCCCCC" w:sz="1"/>
              <w:right w:val="single" w:color="CCCCCC" w:sz="1"/>
            </w:tcBorders>
            <w:shd w:fill="F4F6F9" w:val="clear"/>
            <w:tcMar>
              <w:top w:type="dxa" w:w="70"/>
              <w:left w:type="dxa" w:w="100"/>
              <w:bottom w:type="dxa" w:w="70"/>
              <w:right w:type="dxa" w:w="100"/>
            </w:tcMar>
          </w:tcPr>
          <w:p>
            <w:pPr>
              <w:jc w:val="center"/>
            </w:pPr>
            <w:r>
              <w:rPr>
                <w:rFonts w:ascii="Arial" w:cs="Arial" w:eastAsia="Arial" w:hAnsi="Arial"/>
                <w:b/>
                <w:bCs/>
                <w:color w:val="1B2A4A"/>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prevention-checklist.md — 10-tip Stay Safe Online checklist</w:t>
            </w:r>
          </w:p>
        </w:tc>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color w:val="2E6DA4"/>
                <w:sz w:val="18"/>
                <w:szCs w:val="18"/>
              </w:rPr>
              <w:t xml:space="preserve">Task items 22–25 (incl. 2 UPI tips + 1930 + cybercrime.gov.in)</w:t>
            </w:r>
          </w:p>
        </w:tc>
        <w:tc>
          <w:tcPr>
            <w:tcW w:type="dxa" w:w="1000"/>
            <w:tcBorders>
              <w:top w:val="single" w:color="CCCCCC" w:sz="1"/>
              <w:left w:val="single" w:color="CCCCCC" w:sz="1"/>
              <w:bottom w:val="single" w:color="CCCCCC" w:sz="1"/>
              <w:right w:val="single" w:color="CCCCCC" w:sz="1"/>
            </w:tcBorders>
            <w:shd w:fill="EAF7EE" w:val="clear"/>
            <w:tcMar>
              <w:top w:type="dxa" w:w="70"/>
              <w:left w:type="dxa" w:w="100"/>
              <w:bottom w:type="dxa" w:w="70"/>
              <w:right w:type="dxa" w:w="100"/>
            </w:tcMar>
          </w:tcPr>
          <w:p>
            <w:pPr>
              <w:jc w:val="center"/>
            </w:pPr>
            <w:r>
              <w:rPr>
                <w:rFonts w:ascii="Arial" w:cs="Arial" w:eastAsia="Arial" w:hAnsi="Arial"/>
                <w:b/>
                <w:bCs/>
                <w:color w:val="1A6B3B"/>
                <w:sz w:val="20"/>
                <w:szCs w:val="20"/>
              </w:rPr>
              <w:t xml:space="preserve">✔ Done</w:t>
            </w:r>
          </w:p>
        </w:tc>
      </w:tr>
    </w:tbl>
    <w:p>
      <w:pPr>
        <w:spacing w:before="120" w:after="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120"/>
      <w:jc w:val="right"/>
    </w:pPr>
    <w:r>
      <w:rPr>
        <w:rFonts w:ascii="Arial" w:cs="Arial" w:eastAsia="Arial" w:hAnsi="Arial"/>
        <w:i/>
        <w:iCs/>
        <w:color w:val="888888"/>
        <w:sz w:val="18"/>
        <w:szCs w:val="18"/>
      </w:rPr>
      <w:t xml:space="preserve">Module 5  —  Cybercrime Awareness | Digital Ambassador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2026-03-30T16:28:02.928Z</dcterms:created>
  <dcterms:modified xsi:type="dcterms:W3CDTF">2026-03-30T16:28:02.929Z</dcterms:modified>
</cp:coreProperties>
</file>

<file path=docProps/custom.xml><?xml version="1.0" encoding="utf-8"?>
<Properties xmlns="http://schemas.openxmlformats.org/officeDocument/2006/custom-properties" xmlns:vt="http://schemas.openxmlformats.org/officeDocument/2006/docPropsVTypes"/>
</file>