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From Forecasts to Shelf Decisions:</w:t>
      </w:r>
      <w:r>
        <w:br/>
      </w:r>
      <w:r>
        <w:t xml:space="preserve">Evaluating AI-Based Inventory Optimization from Traditional Methods to Neural Forecasting</w:t>
      </w:r>
    </w:p>
    <w:p>
      <w:pPr>
        <w:pStyle w:val="Subtitle"/>
        <w:jc w:val="center"/>
      </w:pPr>
      <w:r>
        <w:t xml:space="preserve">AI Inventory Optimization Research Project</w:t>
      </w:r>
      <w:r>
        <w:br/>
      </w:r>
      <w:r>
        <w:t xml:space="preserve">Evidence freeze:</w:t>
      </w:r>
      <w:r>
        <w:t xml:space="preserve"> </w:t>
      </w:r>
      <w:r>
        <w:rPr>
          <w:rStyle w:val="VerbatimChar"/>
        </w:rPr>
        <w:t xml:space="preserve">edb42ad</w:t>
      </w:r>
      <w:r>
        <w:t xml:space="preserve"> </w:t>
      </w:r>
      <w:r>
        <w:t xml:space="preserve">Publication correction freeze:</w:t>
      </w:r>
      <w:r>
        <w:t xml:space="preserve"> </w:t>
      </w:r>
      <w:r>
        <w:rPr>
          <w:rStyle w:val="VerbatimChar"/>
        </w:rPr>
        <w:t xml:space="preserve">8802da1</w:t>
      </w:r>
    </w:p>
    <w:p>
      <w:pPr>
        <w:pStyle w:val="Subtitle"/>
        <w:jc w:val="center"/>
      </w:pPr>
      <w:r>
        <w:t xml:space="preserve">September 2026</w:t>
      </w:r>
    </w:p>
    <w:p>
      <w:pPr>
        <w:pStyle w:val="AbstractTitle"/>
      </w:pPr>
      <w:r>
        <w:t xml:space="preserve">Abstract</w:t>
      </w:r>
    </w:p>
    <w:p>
      <w:pPr>
        <w:pStyle w:val="Abstract"/>
      </w:pPr>
      <w:r>
        <w:t xml:space="preserve">Retail inventory management turns on two coupled decisions: how much customers</w:t>
      </w:r>
      <w:r>
        <w:t xml:space="preserve"> </w:t>
      </w:r>
      <w:r>
        <w:t xml:space="preserve">will want, and how much stock to hold in anticipation. Most forecasting</w:t>
      </w:r>
      <w:r>
        <w:t xml:space="preserve"> </w:t>
      </w:r>
      <w:r>
        <w:t xml:space="preserve">research addresses only the first. This study addresses both. Twelve</w:t>
      </w:r>
      <w:r>
        <w:t xml:space="preserve"> </w:t>
      </w:r>
      <w:r>
        <w:t xml:space="preserve">forecasting approaches, from the moving average to a global long short-term</w:t>
      </w:r>
      <w:r>
        <w:t xml:space="preserve"> </w:t>
      </w:r>
      <w:r>
        <w:t xml:space="preserve">memory (LSTM) neural network, are compared on two retail demand environments:</w:t>
      </w:r>
      <w:r>
        <w:t xml:space="preserve"> </w:t>
      </w:r>
      <w:r>
        <w:t xml:space="preserve">500 intermittent-demand series from the Walmart M5 data and all 500 series of</w:t>
      </w:r>
      <w:r>
        <w:t xml:space="preserve"> </w:t>
      </w:r>
      <w:r>
        <w:t xml:space="preserve">a dense store-item demand dataset. Every model is evaluated under identical</w:t>
      </w:r>
      <w:r>
        <w:t xml:space="preserve"> </w:t>
      </w:r>
      <w:r>
        <w:t xml:space="preserve">conditions: the same calendar window, a 28-day horizon over eight rolling</w:t>
      </w:r>
      <w:r>
        <w:t xml:space="preserve"> </w:t>
      </w:r>
      <w:r>
        <w:t xml:space="preserve">origins, the same error metrics, and the same downstream inventory policy, so</w:t>
      </w:r>
      <w:r>
        <w:t xml:space="preserve"> </w:t>
      </w:r>
      <w:r>
        <w:t xml:space="preserve">that forecasts are judged by the costs they generate as well as the errors</w:t>
      </w:r>
      <w:r>
        <w:t xml:space="preserve"> </w:t>
      </w:r>
      <w:r>
        <w:t xml:space="preserve">they contain.</w:t>
      </w:r>
    </w:p>
    <w:p>
      <w:pPr>
        <w:pStyle w:val="Abstract"/>
      </w:pPr>
      <w:r>
        <w:t xml:space="preserve">On sparse M5 demand, the LSTM records the lowest forecast error (mean absolute</w:t>
      </w:r>
      <w:r>
        <w:t xml:space="preserve"> </w:t>
      </w:r>
      <w:r>
        <w:t xml:space="preserve">scaled error, MASE, of 1.316) and the lowest inventory cost (152.83), ranking</w:t>
      </w:r>
      <w:r>
        <w:t xml:space="preserve"> </w:t>
      </w:r>
      <w:r>
        <w:t xml:space="preserve">first under 25 of 27 tested inventory policies. On dense store demand, the</w:t>
      </w:r>
      <w:r>
        <w:t xml:space="preserve"> </w:t>
      </w:r>
      <w:r>
        <w:t xml:space="preserve">LSTM again records the lowest forecast error (MASE 0.978) but ranks fourth on</w:t>
      </w:r>
      <w:r>
        <w:t xml:space="preserve"> </w:t>
      </w:r>
      <w:r>
        <w:t xml:space="preserve">inventory cost (2,247.46), behind a moving average (2,084.50); policy</w:t>
      </w:r>
      <w:r>
        <w:t xml:space="preserve"> </w:t>
      </w:r>
      <w:r>
        <w:t xml:space="preserve">leadership there is fragmented across moving average, SES, naive, and DES</w:t>
      </w:r>
      <w:r>
        <w:t xml:space="preserve"> </w:t>
      </w:r>
      <w:r>
        <w:t xml:space="preserve">(9, 7, 6, and 5 policies of 27, respectively). The implication is that lower</w:t>
      </w:r>
      <w:r>
        <w:t xml:space="preserve"> </w:t>
      </w:r>
      <w:r>
        <w:t xml:space="preserve">forecast error does not necessarily produce lower inventory cost. Ninety-one</w:t>
      </w:r>
      <w:r>
        <w:t xml:space="preserve"> </w:t>
      </w:r>
      <w:r>
        <w:t xml:space="preserve">paired statistical comparisons with Holm correction distinguish substantive</w:t>
      </w:r>
      <w:r>
        <w:t xml:space="preserve"> </w:t>
      </w:r>
      <w:r>
        <w:t xml:space="preserve">differences from sampling variation, and a 27-policy sensitivity grid</w:t>
      </w:r>
      <w:r>
        <w:t xml:space="preserve"> </w:t>
      </w:r>
      <w:r>
        <w:t xml:space="preserve">distinguishes conclusions that are stable across policies from ones that</w:t>
      </w:r>
      <w:r>
        <w:t xml:space="preserve"> </w:t>
      </w:r>
      <w:r>
        <w:t xml:space="preserve">depend on them. All data, code, and validation gates are frozen and traceable.</w:t>
      </w:r>
      <w:r>
        <w:t xml:space="preserve"> </w:t>
      </w:r>
      <w:r>
        <w:t xml:space="preserve">The large-language-model phase of this research program was designed but not</w:t>
      </w:r>
      <w:r>
        <w:t xml:space="preserve"> </w:t>
      </w:r>
      <w:r>
        <w:t xml:space="preserve">executed and appears here only as future work.</w:t>
      </w:r>
    </w:p>
    <w:p>
      <w:pPr>
        <w:pStyle w:val="FirstParagraph"/>
      </w:pPr>
      <w:r>
        <w:rPr>
          <w:b/>
          <w:bCs/>
        </w:rPr>
        <w:t xml:space="preserve">Keywords:</w:t>
      </w:r>
      <w:r>
        <w:t xml:space="preserve"> </w:t>
      </w:r>
      <w:r>
        <w:t xml:space="preserve">retail demand forecasting; inventory optimization;</w:t>
      </w:r>
      <w:r>
        <w:t xml:space="preserve"> </w:t>
      </w:r>
      <w:r>
        <w:t xml:space="preserve">intermittent demand; M5 competition; LSTM; Croston method; forecast evaluation;</w:t>
      </w:r>
      <w:r>
        <w:t xml:space="preserve"> </w:t>
      </w:r>
      <w:r>
        <w:t xml:space="preserve">MASE; order-up-to policy; sensitivity analysis.</w:t>
      </w:r>
    </w:p>
    <w:bookmarkStart w:id="9" w:name="research-question"/>
    <w:p>
      <w:pPr>
        <w:pStyle w:val="Heading2"/>
      </w:pPr>
      <w:r>
        <w:t xml:space="preserve">Research question</w:t>
      </w:r>
    </w:p>
    <w:p>
      <w:pPr>
        <w:pStyle w:val="FirstParagraph"/>
      </w:pPr>
      <w:r>
        <w:t xml:space="preserve">How does the effectiveness of AI-based inventory optimization change as we move</w:t>
      </w:r>
      <w:r>
        <w:t xml:space="preserve"> </w:t>
      </w:r>
      <w:r>
        <w:t xml:space="preserve">from traditional forecasting models toward neural-network approaches, when</w:t>
      </w:r>
      <w:r>
        <w:t xml:space="preserve"> </w:t>
      </w:r>
      <w:r>
        <w:t xml:space="preserve">effectiveness is measured at the level of inventory outcomes rather than</w:t>
      </w:r>
      <w:r>
        <w:t xml:space="preserve"> </w:t>
      </w:r>
      <w:r>
        <w:t xml:space="preserve">forecast errors alone?</w:t>
      </w:r>
    </w:p>
    <w:bookmarkEnd w:id="9"/>
    <w:bookmarkStart w:id="10" w:name="hypotheses-neutral-framing"/>
    <w:p>
      <w:pPr>
        <w:pStyle w:val="Heading2"/>
      </w:pPr>
      <w:r>
        <w:t xml:space="preserve">Hypotheses (neutral framing)</w:t>
      </w:r>
    </w:p>
    <w:p>
      <w:pPr>
        <w:pStyle w:val="FirstParagraph"/>
      </w:pPr>
      <w:r>
        <w:t xml:space="preserve">Forecast accuracy differs significantly across model generations on</w:t>
      </w:r>
      <w:r>
        <w:t xml:space="preserve"> </w:t>
      </w:r>
      <w:r>
        <w:t xml:space="preserve">the same series and horizons.</w:t>
      </w:r>
    </w:p>
    <w:p>
      <w:pPr>
        <w:pStyle w:val="BodyText"/>
      </w:pPr>
      <w:r>
        <w:t xml:space="preserve">Forecast-accuracy differences translate into measurable</w:t>
      </w:r>
      <w:r>
        <w:t xml:space="preserve"> </w:t>
      </w:r>
      <w:r>
        <w:t xml:space="preserve">inventory-outcome differences under a common policy.</w:t>
      </w:r>
    </w:p>
    <w:p>
      <w:pPr>
        <w:pStyle w:val="BodyText"/>
      </w:pPr>
      <w:r>
        <w:t xml:space="preserve">Increasing model sophistication yields monotonically improving</w:t>
      </w:r>
      <w:r>
        <w:t xml:space="preserve"> </w:t>
      </w:r>
      <w:r>
        <w:t xml:space="preserve">inventory outcomes. (The claim under test; rejection is a publishable</w:t>
      </w:r>
      <w:r>
        <w:t xml:space="preserve"> </w:t>
      </w:r>
      <w:r>
        <w:t xml:space="preserve">finding, not a failure.)</w:t>
      </w:r>
    </w:p>
    <w:p>
      <w:pPr>
        <w:pStyle w:val="BodyText"/>
      </w:pPr>
      <w:r>
        <w:t xml:space="preserve">Observed patterns are consistent across the two retail environments.</w:t>
      </w:r>
    </w:p>
    <w:bookmarkEnd w:id="10"/>
    <w:bookmarkStart w:id="11" w:name="at-a-glance"/>
    <w:p>
      <w:pPr>
        <w:pStyle w:val="Heading2"/>
      </w:pPr>
      <w:r>
        <w:t xml:space="preserve">At a glance</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shd w:fill="EDEDED" w:val="clear"/>
          </w:tcPr>
          <w:p>
            <w:pPr>
              <w:pStyle w:val="Compact"/>
              <w:spacing w:after="40"/>
            </w:pPr>
          </w:p>
        </w:tc>
        <w:tc>
          <w:tcPr>
            <w:shd w:fill="EDEDED" w:val="clear"/>
          </w:tcPr>
          <w:p>
            <w:pPr>
              <w:pStyle w:val="Compact"/>
              <w:spacing w:after="40"/>
              <w:jc w:val="left"/>
            </w:pPr>
            <w:r>
              <w:rPr>
                <w:b/>
                <w:bCs/>
                <w:sz w:val="19"/>
              </w:rPr>
              <w:t xml:space="preserve">M5 (sparse, intermittent)</w:t>
            </w:r>
          </w:p>
        </w:tc>
        <w:tc>
          <w:tcPr>
            <w:shd w:fill="EDEDED" w:val="clear"/>
          </w:tcPr>
          <w:p>
            <w:pPr>
              <w:pStyle w:val="Compact"/>
              <w:spacing w:after="40"/>
              <w:jc w:val="left"/>
            </w:pPr>
            <w:r>
              <w:rPr>
                <w:b/>
                <w:bCs/>
                <w:sz w:val="19"/>
              </w:rPr>
              <w:t xml:space="preserve">Store (dense, smooth)</w:t>
            </w:r>
          </w:p>
        </w:tc>
      </w:tr>
      <w:tr>
        <w:tc>
          <w:tcPr/>
          <w:p>
            <w:pPr>
              <w:pStyle w:val="Compact"/>
              <w:spacing w:after="40"/>
              <w:jc w:val="left"/>
            </w:pPr>
            <w:r>
              <w:rPr>
                <w:sz w:val="19"/>
              </w:rPr>
              <w:t xml:space="preserve">Lowest forecast error</w:t>
            </w:r>
          </w:p>
        </w:tc>
        <w:tc>
          <w:tcPr/>
          <w:p>
            <w:pPr>
              <w:pStyle w:val="Compact"/>
              <w:spacing w:after="40"/>
              <w:jc w:val="left"/>
            </w:pPr>
            <w:r>
              <w:rPr>
                <w:sz w:val="19"/>
              </w:rPr>
              <w:t xml:space="preserve">LSTM (MASE 1.316)</w:t>
            </w:r>
          </w:p>
        </w:tc>
        <w:tc>
          <w:tcPr/>
          <w:p>
            <w:pPr>
              <w:pStyle w:val="Compact"/>
              <w:spacing w:after="40"/>
              <w:jc w:val="left"/>
            </w:pPr>
            <w:r>
              <w:rPr>
                <w:sz w:val="19"/>
              </w:rPr>
              <w:t xml:space="preserve">LSTM (MASE 0.978)</w:t>
            </w:r>
          </w:p>
        </w:tc>
      </w:tr>
      <w:tr>
        <w:tc>
          <w:tcPr/>
          <w:p>
            <w:pPr>
              <w:pStyle w:val="Compact"/>
              <w:spacing w:after="40"/>
              <w:jc w:val="left"/>
            </w:pPr>
            <w:r>
              <w:rPr>
                <w:sz w:val="19"/>
              </w:rPr>
              <w:t xml:space="preserve">Lowest inventory cost</w:t>
            </w:r>
          </w:p>
        </w:tc>
        <w:tc>
          <w:tcPr/>
          <w:p>
            <w:pPr>
              <w:pStyle w:val="Compact"/>
              <w:spacing w:after="40"/>
              <w:jc w:val="left"/>
            </w:pPr>
            <w:r>
              <w:rPr>
                <w:sz w:val="19"/>
              </w:rPr>
              <w:t xml:space="preserve">LSTM (cost 152.83)</w:t>
            </w:r>
          </w:p>
        </w:tc>
        <w:tc>
          <w:tcPr/>
          <w:p>
            <w:pPr>
              <w:pStyle w:val="Compact"/>
              <w:spacing w:after="40"/>
              <w:jc w:val="left"/>
            </w:pPr>
            <w:r>
              <w:rPr>
                <w:sz w:val="19"/>
              </w:rPr>
              <w:t xml:space="preserve">Moving average (cost 2,084.50)</w:t>
            </w:r>
          </w:p>
        </w:tc>
      </w:tr>
      <w:tr>
        <w:tc>
          <w:tcPr/>
          <w:p>
            <w:pPr>
              <w:pStyle w:val="Compact"/>
              <w:spacing w:after="40"/>
              <w:jc w:val="left"/>
            </w:pPr>
            <w:r>
              <w:rPr>
                <w:sz w:val="19"/>
              </w:rPr>
              <w:t xml:space="preserve">Stability</w:t>
            </w:r>
          </w:p>
        </w:tc>
        <w:tc>
          <w:tcPr/>
          <w:p>
            <w:pPr>
              <w:pStyle w:val="Compact"/>
              <w:spacing w:after="40"/>
              <w:jc w:val="left"/>
            </w:pPr>
            <w:r>
              <w:rPr>
                <w:b/>
                <w:bCs/>
                <w:sz w:val="19"/>
              </w:rPr>
              <w:t xml:space="preserve">Stable:</w:t>
            </w:r>
            <w:r>
              <w:rPr>
                <w:sz w:val="19"/>
              </w:rPr>
              <w:t xml:space="preserve"> </w:t>
            </w:r>
            <w:r>
              <w:rPr>
                <w:sz w:val="19"/>
              </w:rPr>
              <w:t xml:space="preserve">LSTM first in 25/27 policies</w:t>
            </w:r>
          </w:p>
        </w:tc>
        <w:tc>
          <w:tcPr/>
          <w:p>
            <w:pPr>
              <w:pStyle w:val="Compact"/>
              <w:spacing w:after="40"/>
              <w:jc w:val="left"/>
            </w:pPr>
            <w:r>
              <w:rPr>
                <w:b/>
                <w:bCs/>
                <w:sz w:val="19"/>
              </w:rPr>
              <w:t xml:space="preserve">Policy-dependent:</w:t>
            </w:r>
            <w:r>
              <w:rPr>
                <w:sz w:val="19"/>
              </w:rPr>
              <w:t xml:space="preserve"> </w:t>
            </w:r>
            <w:r>
              <w:rPr>
                <w:sz w:val="19"/>
              </w:rPr>
              <w:t xml:space="preserve">lead shared 9 / 7 / 6 / 5</w:t>
            </w:r>
          </w:p>
        </w:tc>
      </w:tr>
      <w:tr>
        <w:tc>
          <w:tcPr/>
          <w:p>
            <w:pPr>
              <w:pStyle w:val="Compact"/>
              <w:spacing w:after="40"/>
              <w:jc w:val="left"/>
            </w:pPr>
            <w:r>
              <w:rPr>
                <w:sz w:val="19"/>
              </w:rPr>
              <w:t xml:space="preserve">Correspondence</w:t>
            </w:r>
          </w:p>
        </w:tc>
        <w:tc>
          <w:tcPr/>
          <w:p>
            <w:pPr>
              <w:pStyle w:val="Compact"/>
              <w:spacing w:after="40"/>
              <w:jc w:val="left"/>
            </w:pPr>
            <w:r>
              <w:rPr>
                <w:sz w:val="19"/>
              </w:rPr>
              <w:t xml:space="preserve">Lowest error</w:t>
            </w:r>
            <w:r>
              <w:rPr>
                <w:sz w:val="19"/>
              </w:rPr>
              <w:t xml:space="preserve"> </w:t>
            </w:r>
            <m:oMath>
              <m:r>
                <m:rPr>
                  <m:sty m:val="p"/>
                </m:rPr>
                <m:t>→</m:t>
              </m:r>
            </m:oMath>
            <w:r>
              <w:rPr>
                <w:sz w:val="19"/>
              </w:rPr>
              <w:t xml:space="preserve"> </w:t>
            </w:r>
            <w:r>
              <w:rPr>
                <w:sz w:val="19"/>
              </w:rPr>
              <w:t xml:space="preserve">lowest cost</w:t>
            </w:r>
          </w:p>
        </w:tc>
        <w:tc>
          <w:tcPr/>
          <w:p>
            <w:pPr>
              <w:pStyle w:val="Compact"/>
              <w:spacing w:after="40"/>
              <w:jc w:val="left"/>
            </w:pPr>
            <w:r>
              <w:rPr>
                <w:sz w:val="19"/>
              </w:rPr>
              <w:t xml:space="preserve">Lowest error</w:t>
            </w:r>
            <w:r>
              <w:rPr>
                <w:sz w:val="19"/>
              </w:rPr>
              <w:t xml:space="preserve"> </w:t>
            </w:r>
            <m:oMath>
              <m:box>
                <m:boxPr>
                  <m:opEmu m:val="on"/>
                </m:boxPr>
                <m:e>
                  <m:r>
                    <m:rPr>
                      <m:sty m:val="p"/>
                    </m:rPr>
                    <m:t>↛</m:t>
                  </m:r>
                </m:e>
              </m:box>
            </m:oMath>
            <w:r>
              <w:rPr>
                <w:sz w:val="19"/>
              </w:rPr>
              <w:t xml:space="preserve"> </w:t>
            </w:r>
            <w:r>
              <w:rPr>
                <w:sz w:val="19"/>
              </w:rPr>
              <w:t xml:space="preserve">lowest cost</w:t>
            </w:r>
          </w:p>
        </w:tc>
      </w:tr>
    </w:tbl>
    <w:p>
      <w:pPr>
        <w:pStyle w:val="BodyText"/>
      </w:pPr>
      <w:r>
        <w:rPr>
          <w:i/>
          <w:iCs/>
        </w:rPr>
        <w:t xml:space="preserve">Lower forecast error does not necessarily imply lower inventory cost.</w:t>
      </w:r>
    </w:p>
    <w:bookmarkEnd w:id="11"/>
    <w:bookmarkStart w:id="33" w:name="sec:overview"/>
    <w:p>
      <w:pPr>
        <w:pStyle w:val="Heading1"/>
      </w:pPr>
      <w:r>
        <w:rPr>
          <w:b/>
        </w:rPr>
        <w:t>Contents</w:t>
      </w:r>
    </w:p>
    <w:p>
      <w:r>
        <w:fldChar w:fldCharType="begin"/>
      </w:r>
      <w:r>
        <w:instrText xml:space="preserve">TOC \o "1-3" \h \z \u</w:instrText>
      </w:r>
      <w:r>
        <w:fldChar w:fldCharType="separate"/>
      </w:r>
      <w:r>
        <w:rPr>
          <w:i/>
        </w:rPr>
        <w:t>Right-click &gt; Update Field in Word to populate.</w:t>
      </w:r>
      <w:r>
        <w:fldChar w:fldCharType="end"/>
      </w:r>
    </w:p>
    <w:p>
      <w:pPr>
        <w:pStyle w:val="Heading1"/>
      </w:pPr>
      <w:r>
        <w:t xml:space="preserve">Project Overview and Objective</w:t>
      </w:r>
    </w:p>
    <w:bookmarkStart w:id="12" w:name="sec:problem"/>
    <w:p>
      <w:pPr>
        <w:pStyle w:val="Heading2"/>
      </w:pPr>
      <w:r>
        <w:t xml:space="preserve">Problem context</w:t>
      </w:r>
    </w:p>
    <w:p>
      <w:pPr>
        <w:pStyle w:val="FirstParagraph"/>
      </w:pPr>
      <w:r>
        <w:t xml:space="preserve">Retail inventory decisions balance two costs. Ordering too much ties up cash</w:t>
      </w:r>
      <w:r>
        <w:t xml:space="preserve"> </w:t>
      </w:r>
      <w:r>
        <w:t xml:space="preserve">in holding cost; ordering too little forfeits margin through stockouts. The</w:t>
      </w:r>
      <w:r>
        <w:t xml:space="preserve"> </w:t>
      </w:r>
      <w:r>
        <w:t xml:space="preserve">preferred order quantity lies between these extremes, and locating it begins</w:t>
      </w:r>
      <w:r>
        <w:t xml:space="preserve"> </w:t>
      </w:r>
      <w:r>
        <w:t xml:space="preserve">with demand prediction but does not end there. A forecast is an estimate; an</w:t>
      </w:r>
      <w:r>
        <w:t xml:space="preserve"> </w:t>
      </w:r>
      <w:r>
        <w:t xml:space="preserve">order commits resources. This study covers the full path from estimate to</w:t>
      </w:r>
      <w:r>
        <w:t xml:space="preserve"> </w:t>
      </w:r>
      <w:r>
        <w:t xml:space="preserve">committed cost.</w:t>
      </w:r>
    </w:p>
    <w:p>
      <w:pPr>
        <w:pStyle w:val="BodyText"/>
      </w:pPr>
      <w:r>
        <w:t xml:space="preserve">Two demand environments frame the analysis. The first, captured by the Walmart</w:t>
      </w:r>
      <w:r>
        <w:t xml:space="preserve"> </w:t>
      </w:r>
      <w:r>
        <w:t xml:space="preserve">M5 data, is sparse and intermittent: most items sell nothing on most days,</w:t>
      </w:r>
      <w:r>
        <w:t xml:space="preserve"> </w:t>
      </w:r>
      <w:r>
        <w:t xml:space="preserve">with a 64.5% zero rate across the studied series. Classical forecasting tools</w:t>
      </w:r>
      <w:r>
        <w:t xml:space="preserve"> </w:t>
      </w:r>
      <w:r>
        <w:t xml:space="preserve">were developed largely for smooth, continuous demand and are poorly suited to</w:t>
      </w:r>
      <w:r>
        <w:t xml:space="preserve"> </w:t>
      </w:r>
      <w:r>
        <w:t xml:space="preserve">this setting. The second, a store-item demand dataset, is dense: nearly every</w:t>
      </w:r>
      <w:r>
        <w:t xml:space="preserve"> </w:t>
      </w:r>
      <w:r>
        <w:t xml:space="preserve">item sells every day (zero rate 0.02%). A method that performs well in one</w:t>
      </w:r>
      <w:r>
        <w:t xml:space="preserve"> </w:t>
      </w:r>
      <w:r>
        <w:t xml:space="preserve">environment may perform poorly in the other, so any comparative claim is</w:t>
      </w:r>
      <w:r>
        <w:t xml:space="preserve"> </w:t>
      </w:r>
      <w:r>
        <w:t xml:space="preserve">tested in both.</w:t>
      </w:r>
    </w:p>
    <w:bookmarkEnd w:id="12"/>
    <w:bookmarkStart w:id="13" w:name="sec:why-not-accuracy"/>
    <w:p>
      <w:pPr>
        <w:pStyle w:val="Heading2"/>
      </w:pPr>
      <w:r>
        <w:t xml:space="preserve">Why forecast accuracy alone is insufficient</w:t>
      </w:r>
    </w:p>
    <w:p>
      <w:pPr>
        <w:pStyle w:val="FirstParagraph"/>
      </w:pPr>
      <w:r>
        <w:t xml:space="preserve">Forecast accuracy and inventory cost weight errors differently. Consider two</w:t>
      </w:r>
      <w:r>
        <w:t xml:space="preserve"> </w:t>
      </w:r>
      <w:r>
        <w:t xml:space="preserve">forecasters where A has lower average error than B. If A’s errors concentrate</w:t>
      </w:r>
      <w:r>
        <w:t xml:space="preserve"> </w:t>
      </w:r>
      <w:r>
        <w:t xml:space="preserve">in under-prediction on high-volume days while B’s errors are modest</w:t>
      </w:r>
      <w:r>
        <w:t xml:space="preserve"> </w:t>
      </w:r>
      <w:r>
        <w:t xml:space="preserve">over-predictions on quiet days, B can produce the lower inventory cost under a</w:t>
      </w:r>
      <w:r>
        <w:t xml:space="preserve"> </w:t>
      </w:r>
      <w:r>
        <w:t xml:space="preserve">real ordering rule. Accuracy metrics treat each unit of error symmetrically,</w:t>
      </w:r>
      <w:r>
        <w:t xml:space="preserve"> </w:t>
      </w:r>
      <w:r>
        <w:t xml:space="preserve">while inventory costs penalize stockouts and overstocks asymmetrically, filter</w:t>
      </w:r>
      <w:r>
        <w:t xml:space="preserve"> </w:t>
      </w:r>
      <w:r>
        <w:t xml:space="preserve">forecasts through safety-stock formulas, and interact with lead times and</w:t>
      </w:r>
      <w:r>
        <w:t xml:space="preserve"> </w:t>
      </w:r>
      <w:r>
        <w:t xml:space="preserve">review rhythms. Evaluating a forecasting model without passing its forecasts</w:t>
      </w:r>
      <w:r>
        <w:t xml:space="preserve"> </w:t>
      </w:r>
      <w:r>
        <w:t xml:space="preserve">through an inventory policy therefore measures only part of its economic</w:t>
      </w:r>
      <w:r>
        <w:t xml:space="preserve"> </w:t>
      </w:r>
      <w:r>
        <w:t xml:space="preserve">effect. Every model in this study is evaluated twice: once as a forecaster</w:t>
      </w:r>
      <w:r>
        <w:t xml:space="preserve"> </w:t>
      </w:r>
      <w:r>
        <w:t xml:space="preserve">and once as an input to inventory decisions under a single shared ordering</w:t>
      </w:r>
      <w:r>
        <w:t xml:space="preserve"> </w:t>
      </w:r>
      <w:r>
        <w:t xml:space="preserve">policy.</w:t>
      </w:r>
    </w:p>
    <w:bookmarkEnd w:id="13"/>
    <w:bookmarkStart w:id="14" w:name="sec:rq"/>
    <w:p>
      <w:pPr>
        <w:pStyle w:val="Heading2"/>
      </w:pPr>
      <w:r>
        <w:t xml:space="preserve">Research question</w:t>
      </w:r>
    </w:p>
    <w:p>
      <w:pPr>
        <w:pStyle w:val="FirstParagraph"/>
      </w:pPr>
      <w:r>
        <w:t xml:space="preserve">How does the effectiveness of AI-based inventory optimization change as we move</w:t>
      </w:r>
      <w:r>
        <w:t xml:space="preserve"> </w:t>
      </w:r>
      <w:r>
        <w:t xml:space="preserve">from traditional forecasting models toward neural-network approaches, when</w:t>
      </w:r>
      <w:r>
        <w:t xml:space="preserve"> </w:t>
      </w:r>
      <w:r>
        <w:t xml:space="preserve">effectiveness is measured at the level of inventory outcomes rather than</w:t>
      </w:r>
      <w:r>
        <w:t xml:space="preserve"> </w:t>
      </w:r>
      <w:r>
        <w:t xml:space="preserve">forecast errors alone?</w:t>
      </w:r>
    </w:p>
    <w:bookmarkEnd w:id="14"/>
    <w:bookmarkStart w:id="15" w:name="sec:hypotheses"/>
    <w:p>
      <w:pPr>
        <w:pStyle w:val="Heading2"/>
      </w:pPr>
      <w:r>
        <w:t xml:space="preserve">Hypotheses</w:t>
      </w:r>
    </w:p>
    <w:p>
      <w:pPr>
        <w:pStyle w:val="FirstParagraph"/>
      </w:pPr>
      <w:r>
        <w:t xml:space="preserve">The study tests four neutrally framed claims so that any outcome is</w:t>
      </w:r>
      <w:r>
        <w:t xml:space="preserve"> </w:t>
      </w:r>
      <w:r>
        <w:t xml:space="preserve">informative:</w:t>
      </w:r>
      <w:r>
        <w:t xml:space="preserve"> </w:t>
      </w:r>
      <w:r>
        <w:rPr>
          <w:b/>
          <w:bCs/>
        </w:rPr>
        <w:t xml:space="preserve">H1,</w:t>
      </w:r>
      <w:r>
        <w:t xml:space="preserve"> </w:t>
      </w:r>
      <w:r>
        <w:t xml:space="preserve">accuracy differs significantly across model</w:t>
      </w:r>
      <w:r>
        <w:t xml:space="preserve"> </w:t>
      </w:r>
      <w:r>
        <w:t xml:space="preserve">generations;</w:t>
      </w:r>
      <w:r>
        <w:t xml:space="preserve"> </w:t>
      </w:r>
      <w:r>
        <w:rPr>
          <w:b/>
          <w:bCs/>
        </w:rPr>
        <w:t xml:space="preserve">H2,</w:t>
      </w:r>
      <w:r>
        <w:t xml:space="preserve"> </w:t>
      </w:r>
      <w:r>
        <w:t xml:space="preserve">accuracy differences produce measurable inventory</w:t>
      </w:r>
      <w:r>
        <w:t xml:space="preserve"> </w:t>
      </w:r>
      <w:r>
        <w:t xml:space="preserve">differences under a common policy;</w:t>
      </w:r>
      <w:r>
        <w:t xml:space="preserve"> </w:t>
      </w:r>
      <w:r>
        <w:rPr>
          <w:b/>
          <w:bCs/>
        </w:rPr>
        <w:t xml:space="preserve">H3,</w:t>
      </w:r>
      <w:r>
        <w:t xml:space="preserve"> </w:t>
      </w:r>
      <w:r>
        <w:t xml:space="preserve">sophistication improves</w:t>
      </w:r>
      <w:r>
        <w:t xml:space="preserve"> </w:t>
      </w:r>
      <w:r>
        <w:t xml:space="preserve">inventory outcomes monotonically (the claim under test; its rejection would be</w:t>
      </w:r>
      <w:r>
        <w:t xml:space="preserve"> </w:t>
      </w:r>
      <w:r>
        <w:t xml:space="preserve">the finding, not a failure);</w:t>
      </w:r>
      <w:r>
        <w:t xml:space="preserve"> </w:t>
      </w:r>
      <w:r>
        <w:rPr>
          <w:b/>
          <w:bCs/>
        </w:rPr>
        <w:t xml:space="preserve">H4,</w:t>
      </w:r>
      <w:r>
        <w:t xml:space="preserve"> </w:t>
      </w:r>
      <w:r>
        <w:t xml:space="preserve">patterns hold across both retail</w:t>
      </w:r>
      <w:r>
        <w:t xml:space="preserve"> </w:t>
      </w:r>
      <w:r>
        <w:t xml:space="preserve">environments. Verdicts appear in section 4.20.</w:t>
      </w:r>
    </w:p>
    <w:bookmarkEnd w:id="15"/>
    <w:bookmarkStart w:id="16" w:name="sec:objectives"/>
    <w:p>
      <w:pPr>
        <w:pStyle w:val="Heading2"/>
      </w:pPr>
      <w:r>
        <w:t xml:space="preserve">Objectives</w:t>
      </w:r>
    </w:p>
    <w:p>
      <w:pPr>
        <w:numPr>
          <w:ilvl w:val="0"/>
          <w:numId w:val="1001"/>
        </w:numPr>
      </w:pPr>
      <w:r>
        <w:t xml:space="preserve">Compare twelve forecasting approaches (baselines, exponential</w:t>
      </w:r>
      <w:r>
        <w:t xml:space="preserve"> </w:t>
      </w:r>
      <w:r>
        <w:t xml:space="preserve">smoothing, ARIMA/SARIMA, Croston-family specialists, and a global LSTM) on</w:t>
      </w:r>
      <w:r>
        <w:t xml:space="preserve"> </w:t>
      </w:r>
      <w:r>
        <w:t xml:space="preserve">identical footing across two demand environments.</w:t>
      </w:r>
    </w:p>
    <w:p>
      <w:pPr>
        <w:numPr>
          <w:ilvl w:val="0"/>
          <w:numId w:val="1001"/>
        </w:numPr>
      </w:pPr>
      <w:r>
        <w:t xml:space="preserve">Evaluate each model on forecast accuracy and on the inventory cost its</w:t>
      </w:r>
      <w:r>
        <w:t xml:space="preserve"> </w:t>
      </w:r>
      <w:r>
        <w:t xml:space="preserve">forecasts generate under a shared ordering policy.</w:t>
      </w:r>
    </w:p>
    <w:p>
      <w:pPr>
        <w:numPr>
          <w:ilvl w:val="0"/>
          <w:numId w:val="1001"/>
        </w:numPr>
      </w:pPr>
      <w:r>
        <w:t xml:space="preserve">Distinguish statistical significance from practical importance using</w:t>
      </w:r>
      <w:r>
        <w:t xml:space="preserve"> </w:t>
      </w:r>
      <w:r>
        <w:t xml:space="preserve">paired tests, effect sizes, and confidence intervals.</w:t>
      </w:r>
    </w:p>
    <w:p>
      <w:pPr>
        <w:numPr>
          <w:ilvl w:val="0"/>
          <w:numId w:val="1001"/>
        </w:numPr>
      </w:pPr>
      <w:r>
        <w:t xml:space="preserve">Distinguish policy-stable conclusions from policy-sensitive ones using a</w:t>
      </w:r>
      <w:r>
        <w:t xml:space="preserve"> </w:t>
      </w:r>
      <w:r>
        <w:t xml:space="preserve">27-policy sensitivity grid.</w:t>
      </w:r>
    </w:p>
    <w:p>
      <w:pPr>
        <w:numPr>
          <w:ilvl w:val="0"/>
          <w:numId w:val="1001"/>
        </w:numPr>
      </w:pPr>
      <w:r>
        <w:t xml:space="preserve">Publish a frozen, traceable evidence base that supports independent</w:t>
      </w:r>
      <w:r>
        <w:t xml:space="preserve"> </w:t>
      </w:r>
      <w:r>
        <w:t xml:space="preserve">audit of every reported number.</w:t>
      </w:r>
    </w:p>
    <w:bookmarkEnd w:id="16"/>
    <w:bookmarkStart w:id="17" w:name="sec:scope"/>
    <w:p>
      <w:pPr>
        <w:pStyle w:val="Heading2"/>
      </w:pPr>
      <w:r>
        <w:t xml:space="preserve">Scope</w:t>
      </w:r>
    </w:p>
    <w:p>
      <w:pPr>
        <w:pStyle w:val="FirstParagraph"/>
      </w:pPr>
      <w:r>
        <w:t xml:space="preserve">The study covers univariate daily demand forecasting (no prices, promotions, or</w:t>
      </w:r>
      <w:r>
        <w:t xml:space="preserve"> </w:t>
      </w:r>
      <w:r>
        <w:t xml:space="preserve">calendar features), a 28-day horizon over eight rolling origins, and one</w:t>
      </w:r>
      <w:r>
        <w:t xml:space="preserve"> </w:t>
      </w:r>
      <w:r>
        <w:t xml:space="preserve">family of inventory policies (daily-review order-up-to, lost sales). The M5</w:t>
      </w:r>
      <w:r>
        <w:t xml:space="preserve"> </w:t>
      </w:r>
      <w:r>
        <w:t xml:space="preserve">analysis uses a stratified sample of 500 series rather than the full 30,490</w:t>
      </w:r>
      <w:r>
        <w:t xml:space="preserve"> </w:t>
      </w:r>
      <w:r>
        <w:t xml:space="preserve">catalog. SARIMA runs Store-only and the Croston family M5-only, each for</w:t>
      </w:r>
      <w:r>
        <w:t xml:space="preserve"> </w:t>
      </w:r>
      <w:r>
        <w:t xml:space="preserve">documented methodological reasons. The planned large-language-model phase was</w:t>
      </w:r>
      <w:r>
        <w:t xml:space="preserve"> </w:t>
      </w:r>
      <w:r>
        <w:t xml:space="preserve">designed but not executed; it appears only as future work (section 7.10).</w:t>
      </w:r>
    </w:p>
    <w:bookmarkEnd w:id="17"/>
    <w:bookmarkStart w:id="18" w:name="sec:contributions"/>
    <w:p>
      <w:pPr>
        <w:pStyle w:val="Heading2"/>
      </w:pPr>
      <w:r>
        <w:t xml:space="preserve">Research contributions</w:t>
      </w:r>
    </w:p>
    <w:p>
      <w:pPr>
        <w:pStyle w:val="FirstParagraph"/>
      </w:pPr>
      <w:r>
        <w:t xml:space="preserve">The empirical contribution is a measurement of the forecast-decision</w:t>
      </w:r>
      <w:r>
        <w:t xml:space="preserve"> </w:t>
      </w:r>
      <w:r>
        <w:t xml:space="preserve">relationship in both directions within one controlled design: correspondence</w:t>
      </w:r>
      <w:r>
        <w:t xml:space="preserve"> </w:t>
      </w:r>
      <w:r>
        <w:t xml:space="preserve">on M5 demand and divergence on Store demand. The methodological contribution</w:t>
      </w:r>
      <w:r>
        <w:t xml:space="preserve"> </w:t>
      </w:r>
      <w:r>
        <w:t xml:space="preserve">comprises a shared-policy evaluation harness that holds the inventory</w:t>
      </w:r>
      <w:r>
        <w:t xml:space="preserve"> </w:t>
      </w:r>
      <w:r>
        <w:t xml:space="preserve">treatment constant across models, a leakage-safe rolling protocol with</w:t>
      </w:r>
      <w:r>
        <w:t xml:space="preserve"> </w:t>
      </w:r>
      <w:r>
        <w:t xml:space="preserve">scale-free metrics, and a sensitivity discipline in which headline rankings</w:t>
      </w:r>
      <w:r>
        <w:t xml:space="preserve"> </w:t>
      </w:r>
      <w:r>
        <w:t xml:space="preserve">are reported together with their stability across policies. The analytical</w:t>
      </w:r>
      <w:r>
        <w:t xml:space="preserve"> </w:t>
      </w:r>
      <w:r>
        <w:t xml:space="preserve">contribution pairs each significance statement with an effect size and each</w:t>
      </w:r>
      <w:r>
        <w:t xml:space="preserve"> </w:t>
      </w:r>
      <w:r>
        <w:t xml:space="preserve">headline ranking with a policy-stability assessment. For reproducibility, the</w:t>
      </w:r>
      <w:r>
        <w:t xml:space="preserve"> </w:t>
      </w:r>
      <w:r>
        <w:t xml:space="preserve">frozen evidence package (number sheet, figure and table audits, claim</w:t>
      </w:r>
      <w:r>
        <w:t xml:space="preserve"> </w:t>
      </w:r>
      <w:r>
        <w:t xml:space="preserve">traceability) maps every reported number to its source file.</w:t>
      </w:r>
    </w:p>
    <w:bookmarkEnd w:id="18"/>
    <w:bookmarkStart w:id="31" w:name="sec:datasets-glance"/>
    <w:p>
      <w:pPr>
        <w:pStyle w:val="Heading2"/>
      </w:pPr>
      <w:r>
        <w:t xml:space="preserve">Datasets at a glance</w:t>
      </w:r>
    </w:p>
    <w:p>
      <w:pPr>
        <w:pStyle w:val="FirstParagraph"/>
      </w:pPr>
      <w:r>
        <w:rPr>
          <w:b/>
          <w:bCs/>
        </w:rPr>
        <w:t xml:space="preserve">M5 (primary).</w:t>
      </w:r>
      <w:r>
        <w:t xml:space="preserve"> </w:t>
      </w:r>
      <w:r>
        <w:t xml:space="preserve">Walmart M5 competition data</w:t>
      </w:r>
      <w:r>
        <w:t xml:space="preserve"> </w:t>
      </w:r>
      <w:r>
        <w:t xml:space="preserve">(Makridakis et al. 2022)</w:t>
      </w:r>
      <w:r>
        <w:t xml:space="preserve">:</w:t>
      </w:r>
      <w:r>
        <w:t xml:space="preserve"> </w:t>
      </w:r>
      <w:r>
        <w:t xml:space="preserve">thousands of item-store daily series, 2011 to 2016. This study uses 500</w:t>
      </w:r>
      <w:r>
        <w:t xml:space="preserve"> </w:t>
      </w:r>
      <w:r>
        <w:t xml:space="preserve">stratified series over the common window 2013-01-01 to 2016-05-22. The</w:t>
      </w:r>
      <w:r>
        <w:t xml:space="preserve"> </w:t>
      </w:r>
      <w:r>
        <w:t xml:space="preserve">archetype split is 194 highly intermittent, 199 intermittent, 26 moderate, 80</w:t>
      </w:r>
      <w:r>
        <w:t xml:space="preserve"> </w:t>
      </w:r>
      <w:r>
        <w:t xml:space="preserve">variable, and 1 smooth series.</w:t>
      </w:r>
      <w:r>
        <w:t xml:space="preserve"> </w:t>
      </w:r>
      <w:r>
        <w:rPr>
          <w:b/>
          <w:bCs/>
        </w:rPr>
        <w:t xml:space="preserve">Store Item Demand (secondary robustness</w:t>
      </w:r>
      <w:r>
        <w:rPr>
          <w:b/>
          <w:bCs/>
        </w:rPr>
        <w:t xml:space="preserve"> </w:t>
      </w:r>
      <w:r>
        <w:rPr>
          <w:b/>
          <w:bCs/>
        </w:rPr>
        <w:t xml:space="preserve">environment).</w:t>
      </w:r>
      <w:r>
        <w:t xml:space="preserve"> </w:t>
      </w:r>
      <w:r>
        <w:t xml:space="preserve">Kaggle Store Item Demand Forecasting Challenge: 10 stores by 50</w:t>
      </w:r>
      <w:r>
        <w:t xml:space="preserve"> </w:t>
      </w:r>
      <w:r>
        <w:t xml:space="preserve">items (500 series), a complete panel of 913,000 rows from 2013-01-01 to</w:t>
      </w:r>
      <w:r>
        <w:t xml:space="preserve"> </w:t>
      </w:r>
      <w:r>
        <w:t xml:space="preserve">2017-12-31, analyzed over the same common window. Demand is dense, with</w:t>
      </w:r>
      <w:r>
        <w:t xml:space="preserve"> </w:t>
      </w:r>
      <w:r>
        <w:t xml:space="preserve">essentially no zero-demand days.</w:t>
      </w:r>
      <w:r>
        <w:t xml:space="preserve"> </w:t>
      </w:r>
      <w:hyperlink w:anchor="fig:rep-m5,fig:rep-store,fig:diversity">
        <w:r>
          <w:rPr>
            <w:rStyle w:val="Hyperlink"/>
          </w:rPr>
          <w:t xml:space="preserve">[fig:rep-m5,fig:rep-store,fig:diversity]</w:t>
        </w:r>
      </w:hyperlink>
      <w:r>
        <w:t xml:space="preserve"> </w:t>
      </w:r>
      <w:r>
        <w:t xml:space="preserve">illustrate the contrast.</w:t>
      </w:r>
    </w:p>
    <w:bookmarkStart w:id="22" w:name="fig:rep-m5"/>
    <w:p>
      <w:pPr>
        <w:pStyle w:val="CaptionedFigure"/>
        <w:jc w:val="center"/>
      </w:pPr>
      <w:r>
        <w:drawing>
          <wp:inline>
            <wp:extent cx="4800600" cy="2386132"/>
            <wp:effectExtent b="0" l="0" r="0" t="0"/>
            <wp:docPr descr="" title="" id="20" name="Picture"/>
            <a:graphic>
              <a:graphicData uri="http://schemas.openxmlformats.org/drawingml/2006/picture">
                <pic:pic>
                  <pic:nvPicPr>
                    <pic:cNvPr descr="04_representative_series.png" id="21" name="Picture"/>
                    <pic:cNvPicPr>
                      <a:picLocks noChangeArrowheads="1" noChangeAspect="1"/>
                    </pic:cNvPicPr>
                  </pic:nvPicPr>
                  <pic:blipFill>
                    <a:blip r:embed="rId19"/>
                    <a:stretch>
                      <a:fillRect/>
                    </a:stretch>
                  </pic:blipFill>
                  <pic:spPr bwMode="auto">
                    <a:xfrm>
                      <a:off x="0" y="0"/>
                      <a:ext cx="4800600" cy="2386132"/>
                    </a:xfrm>
                    <a:prstGeom prst="rect">
                      <a:avLst/>
                    </a:prstGeom>
                    <a:noFill/>
                    <a:ln w="9525">
                      <a:noFill/>
                      <a:headEnd/>
                      <a:tailEnd/>
                    </a:ln>
                  </pic:spPr>
                </pic:pic>
              </a:graphicData>
            </a:graphic>
          </wp:inline>
        </w:drawing>
      </w:r>
    </w:p>
    <w:p>
      <w:pPr>
        <w:pStyle w:val="ImageCaption"/>
      </w:pPr>
      <w:r>
        <w:t>Figure 1: Representative sparse M5 series: extended zero-demand intervals punctuated by spikes. Source: 07_figures/eda/m5 (notebook 03).</w:t>
      </w:r>
    </w:p>
    <w:bookmarkEnd w:id="22"/>
    <w:bookmarkStart w:id="26" w:name="fig:rep-store"/>
    <w:p>
      <w:pPr>
        <w:pStyle w:val="CaptionedFigure"/>
        <w:jc w:val="center"/>
      </w:pPr>
      <w:r>
        <w:drawing>
          <wp:inline>
            <wp:extent cx="4800600" cy="3372652"/>
            <wp:effectExtent b="0" l="0" r="0" t="0"/>
            <wp:docPr descr="" title="" id="24" name="Picture"/>
            <a:graphic>
              <a:graphicData uri="http://schemas.openxmlformats.org/drawingml/2006/picture">
                <pic:pic>
                  <pic:nvPicPr>
                    <pic:cNvPr descr="08_representative_series.png" id="25" name="Picture"/>
                    <pic:cNvPicPr>
                      <a:picLocks noChangeArrowheads="1" noChangeAspect="1"/>
                    </pic:cNvPicPr>
                  </pic:nvPicPr>
                  <pic:blipFill>
                    <a:blip r:embed="rId23"/>
                    <a:stretch>
                      <a:fillRect/>
                    </a:stretch>
                  </pic:blipFill>
                  <pic:spPr bwMode="auto">
                    <a:xfrm>
                      <a:off x="0" y="0"/>
                      <a:ext cx="4800600" cy="3372652"/>
                    </a:xfrm>
                    <a:prstGeom prst="rect">
                      <a:avLst/>
                    </a:prstGeom>
                    <a:noFill/>
                    <a:ln w="9525">
                      <a:noFill/>
                      <a:headEnd/>
                      <a:tailEnd/>
                    </a:ln>
                  </pic:spPr>
                </pic:pic>
              </a:graphicData>
            </a:graphic>
          </wp:inline>
        </w:drawing>
      </w:r>
    </w:p>
    <w:p>
      <w:pPr>
        <w:pStyle w:val="ImageCaption"/>
      </w:pPr>
      <w:r>
        <w:t>Figure 2: Representative dense Store series: nonzero demand each day with a weekly rhythm. Source: 07_figures/eda/store_item_demand (notebook 03).</w:t>
      </w:r>
    </w:p>
    <w:bookmarkEnd w:id="26"/>
    <w:bookmarkStart w:id="30" w:name="fig:diversity"/>
    <w:p>
      <w:pPr>
        <w:pStyle w:val="CaptionedFigure"/>
        <w:jc w:val="center"/>
      </w:pPr>
      <w:r>
        <w:drawing>
          <wp:inline>
            <wp:extent cx="4800600" cy="4207533"/>
            <wp:effectExtent b="0" l="0" r="0" t="0"/>
            <wp:docPr descr="" title="" id="28" name="Picture"/>
            <a:graphic>
              <a:graphicData uri="http://schemas.openxmlformats.org/drawingml/2006/picture">
                <pic:pic>
                  <pic:nvPicPr>
                    <pic:cNvPr descr="11_series_diversity_panel.png" id="29" name="Picture"/>
                    <pic:cNvPicPr>
                      <a:picLocks noChangeArrowheads="1" noChangeAspect="1"/>
                    </pic:cNvPicPr>
                  </pic:nvPicPr>
                  <pic:blipFill>
                    <a:blip r:embed="rId27"/>
                    <a:stretch>
                      <a:fillRect/>
                    </a:stretch>
                  </pic:blipFill>
                  <pic:spPr bwMode="auto">
                    <a:xfrm>
                      <a:off x="0" y="0"/>
                      <a:ext cx="4800600" cy="4207533"/>
                    </a:xfrm>
                    <a:prstGeom prst="rect">
                      <a:avLst/>
                    </a:prstGeom>
                    <a:noFill/>
                    <a:ln w="9525">
                      <a:noFill/>
                      <a:headEnd/>
                      <a:tailEnd/>
                    </a:ln>
                  </pic:spPr>
                </pic:pic>
              </a:graphicData>
            </a:graphic>
          </wp:inline>
        </w:drawing>
      </w:r>
    </w:p>
    <w:p>
      <w:pPr>
        <w:pStyle w:val="ImageCaption"/>
      </w:pPr>
      <w:r>
        <w:t>Figure 3: Store demand diversity: level and volatility differ widely across series within a dense environment. Source: notebook 03.</w:t>
      </w:r>
    </w:p>
    <w:bookmarkEnd w:id="30"/>
    <w:bookmarkEnd w:id="31"/>
    <w:bookmarkStart w:id="32" w:name="sec:establishes"/>
    <w:p>
      <w:pPr>
        <w:pStyle w:val="Heading2"/>
      </w:pPr>
      <w:r>
        <w:t xml:space="preserve">What the study establishes</w:t>
      </w:r>
    </w:p>
    <w:p>
      <w:pPr>
        <w:pStyle w:val="FirstParagraph"/>
      </w:pPr>
      <w:r>
        <w:t xml:space="preserve">First, a forecast leaderboard for both datasets with uncertainty quantified.</w:t>
      </w:r>
      <w:r>
        <w:t xml:space="preserve"> </w:t>
      </w:r>
      <w:r>
        <w:t xml:space="preserve">Second, a decision-level leaderboard showing where forecasting skill reduces</w:t>
      </w:r>
      <w:r>
        <w:t xml:space="preserve"> </w:t>
      </w:r>
      <w:r>
        <w:t xml:space="preserve">cost and where it does not. Third, a robustness map recording which</w:t>
      </w:r>
      <w:r>
        <w:t xml:space="preserve"> </w:t>
      </w:r>
      <w:r>
        <w:t xml:space="preserve">conclusions hold across lead times, service targets, and cost ratios, and</w:t>
      </w:r>
      <w:r>
        <w:t xml:space="preserve"> </w:t>
      </w:r>
      <w:r>
        <w:t xml:space="preserve">which vary with them. In summary: on M5 demand the lowest-error forecaster is</w:t>
      </w:r>
      <w:r>
        <w:t xml:space="preserve"> </w:t>
      </w:r>
      <w:r>
        <w:t xml:space="preserve">also the lowest-cost inventory input and remains so across policies; on Store</w:t>
      </w:r>
      <w:r>
        <w:t xml:space="preserve"> </w:t>
      </w:r>
      <w:r>
        <w:t xml:space="preserve">demand it is not, and the lowest-cost input depends on the policy.</w:t>
      </w:r>
    </w:p>
    <w:bookmarkEnd w:id="32"/>
    <w:bookmarkEnd w:id="33"/>
    <w:bookmarkStart w:id="73" w:name="sec:method"/>
    <w:p>
      <w:pPr>
        <w:pStyle w:val="Heading1"/>
      </w:pPr>
      <w:r>
        <w:t xml:space="preserve">Research Methodology</w:t>
      </w:r>
    </w:p>
    <w:bookmarkStart w:id="34" w:name="sec:workflow"/>
    <w:p>
      <w:pPr>
        <w:pStyle w:val="Heading2"/>
      </w:pPr>
      <w:r>
        <w:t xml:space="preserve">End-to-end research workflow</w:t>
      </w:r>
    </w:p>
    <w:p>
      <w:pPr>
        <w:pStyle w:val="FirstParagraph"/>
      </w:pPr>
      <w:r>
        <w:t xml:space="preserve">The study is organized as a notebook sequence: a research map (00) states the</w:t>
      </w:r>
      <w:r>
        <w:t xml:space="preserve"> </w:t>
      </w:r>
      <w:r>
        <w:t xml:space="preserve">question; environment control (01) fixes seeds and software; acquisition and</w:t>
      </w:r>
      <w:r>
        <w:t xml:space="preserve"> </w:t>
      </w:r>
      <w:r>
        <w:t xml:space="preserve">audit notebooks (02a, 02b) verify both datasets; exploratory analysis (03)</w:t>
      </w:r>
      <w:r>
        <w:t xml:space="preserve"> </w:t>
      </w:r>
      <w:r>
        <w:t xml:space="preserve">characterizes demand before model selection; experimental design (04) locks</w:t>
      </w:r>
      <w:r>
        <w:t xml:space="preserve"> </w:t>
      </w:r>
      <w:r>
        <w:t xml:space="preserve">the protocol; a teaching notebook (05a) sets out time-series vocabulary; then</w:t>
      </w:r>
      <w:r>
        <w:t xml:space="preserve"> </w:t>
      </w:r>
      <w:r>
        <w:t xml:space="preserve">the model rungs run in order (baselines in 05b, exponential smoothing in 06,</w:t>
      </w:r>
      <w:r>
        <w:t xml:space="preserve"> </w:t>
      </w:r>
      <w:r>
        <w:t xml:space="preserve">Croston specialists in 06c, ARIMA/SARIMA in 07, LSTM in 08). A subsequent</w:t>
      </w:r>
      <w:r>
        <w:t xml:space="preserve"> </w:t>
      </w:r>
      <w:r>
        <w:t xml:space="preserve">hardening pass corrected calendar, validation, comparability, metric, and</w:t>
      </w:r>
      <w:r>
        <w:t xml:space="preserve"> </w:t>
      </w:r>
      <w:r>
        <w:t xml:space="preserve">policy issues and froze the evidence; see section 2.14. Each</w:t>
      </w:r>
      <w:r>
        <w:t xml:space="preserve"> </w:t>
      </w:r>
      <w:r>
        <w:t xml:space="preserve">notebook’s role in the report is recorded in the traceability matrix</w:t>
      </w:r>
      <w:r>
        <w:t xml:space="preserve"> </w:t>
      </w:r>
      <w:r>
        <w:t xml:space="preserve">(</w:t>
      </w:r>
      <w:r>
        <w:rPr>
          <w:rStyle w:val="VerbatimChar"/>
        </w:rPr>
        <w:t xml:space="preserve">traceability/notebook_traceability.csv</w:t>
      </w:r>
      <w:r>
        <w:t xml:space="preserve">).</w:t>
      </w:r>
    </w:p>
    <w:bookmarkEnd w:id="34"/>
    <w:bookmarkStart w:id="35" w:name="sec:acquisition"/>
    <w:p>
      <w:pPr>
        <w:pStyle w:val="Heading2"/>
      </w:pPr>
      <w:r>
        <w:t xml:space="preserve">Data acquisition and audit</w:t>
      </w:r>
    </w:p>
    <w:p>
      <w:pPr>
        <w:pStyle w:val="FirstParagraph"/>
      </w:pPr>
      <w:r>
        <w:t xml:space="preserve">M5 source files (</w:t>
      </w:r>
      <w:r>
        <w:rPr>
          <w:rStyle w:val="VerbatimChar"/>
        </w:rPr>
        <w:t xml:space="preserve">sales_train_evaluation.csv</w:t>
      </w:r>
      <w:r>
        <w:t xml:space="preserve">,</w:t>
      </w:r>
      <w:r>
        <w:t xml:space="preserve"> </w:t>
      </w:r>
      <w:r>
        <w:rPr>
          <w:rStyle w:val="VerbatimChar"/>
        </w:rPr>
        <w:t xml:space="preserve">calendar.csv</w:t>
      </w:r>
      <w:r>
        <w:t xml:space="preserve">)</w:t>
      </w:r>
      <w:r>
        <w:t xml:space="preserve"> </w:t>
      </w:r>
      <w:r>
        <w:t xml:space="preserve">were audited for dimensions (30,490 item-store series; day columns d_1 onward</w:t>
      </w:r>
      <w:r>
        <w:t xml:space="preserve"> </w:t>
      </w:r>
      <w:r>
        <w:t xml:space="preserve">with verified date-index alignment), and the Store file (</w:t>
      </w:r>
      <w:r>
        <w:rPr>
          <w:rStyle w:val="VerbatimChar"/>
        </w:rPr>
        <w:t xml:space="preserve">train.csv</w:t>
      </w:r>
      <w:r>
        <w:t xml:space="preserve">)</w:t>
      </w:r>
      <w:r>
        <w:t xml:space="preserve"> </w:t>
      </w:r>
      <w:r>
        <w:t xml:space="preserve">was verified as a complete panel: every store-item-date combination present,</w:t>
      </w:r>
      <w:r>
        <w:t xml:space="preserve"> </w:t>
      </w:r>
      <w:r>
        <w:t xml:space="preserve">no duplicates, a single zero-sales entry. Both datasets were reindexed onto</w:t>
      </w:r>
      <w:r>
        <w:t xml:space="preserve"> </w:t>
      </w:r>
      <w:r>
        <w:t xml:space="preserve">one common calendar so that cross-dataset comparison does not confound model</w:t>
      </w:r>
      <w:r>
        <w:t xml:space="preserve"> </w:t>
      </w:r>
      <w:r>
        <w:t xml:space="preserve">effects with differences in history length.</w:t>
      </w:r>
    </w:p>
    <w:bookmarkEnd w:id="35"/>
    <w:bookmarkStart w:id="37" w:name="sec:protocol"/>
    <w:p>
      <w:pPr>
        <w:pStyle w:val="Heading2"/>
      </w:pPr>
      <w:r>
        <w:t xml:space="preserve">Temporal experimental protocol</w:t>
      </w:r>
    </w:p>
    <w:p>
      <w:pPr>
        <w:pStyle w:val="FirstParagraph"/>
      </w:pPr>
      <w:hyperlink w:anchor="tab:protocol">
        <w:r>
          <w:rPr>
            <w:rStyle w:val="Hyperlink"/>
          </w:rPr>
          <w:t xml:space="preserve">1</w:t>
        </w:r>
      </w:hyperlink>
      <w:r>
        <w:t xml:space="preserve"> </w:t>
      </w:r>
      <w:r>
        <w:t xml:space="preserve">states the frozen design. Splits are time-based only.</w:t>
      </w:r>
      <w:r>
        <w:t xml:space="preserve"> </w:t>
      </w:r>
      <w:r>
        <w:t xml:space="preserve">Training covers 2013-01-01 to 2015-10-31 (1,034 days); validation 2015-11-01</w:t>
      </w:r>
      <w:r>
        <w:t xml:space="preserve"> </w:t>
      </w:r>
      <w:r>
        <w:t xml:space="preserve">to 2016-02-29 (121 days, leap day included after the hardening correction);</w:t>
      </w:r>
      <w:r>
        <w:t xml:space="preserve"> </w:t>
      </w:r>
      <w:r>
        <w:t xml:space="preserve">testing 2016-03-01 to 2016-05-22 (83 days). Forecasts span</w:t>
      </w:r>
      <w:r>
        <w:t xml:space="preserve"> </w:t>
      </w:r>
      <m:oMath>
        <m:r>
          <m:t>h</m:t>
        </m:r>
        <m:r>
          <m:rPr>
            <m:sty m:val="p"/>
          </m:rPr>
          <m:t>=</m:t>
        </m:r>
        <m:r>
          <m:t>28</m:t>
        </m:r>
      </m:oMath>
      <w:r>
        <w:t xml:space="preserve"> </w:t>
      </w:r>
      <w:r>
        <w:t xml:space="preserve">days from</w:t>
      </w:r>
      <w:r>
        <w:t xml:space="preserve"> </w:t>
      </w:r>
      <w:r>
        <w:t xml:space="preserve">each of 8 weekly rolling origins under an expanding window, with each model</w:t>
      </w:r>
      <w:r>
        <w:t xml:space="preserve"> </w:t>
      </w:r>
      <w:r>
        <w:t xml:space="preserve">restricted strictly to history preceding each origin (asserted in code). All</w:t>
      </w:r>
      <w:r>
        <w:t xml:space="preserve"> </w:t>
      </w:r>
      <w:r>
        <w:t xml:space="preserve">model selection (averaging windows, smoothing weights, ARIMA orders, Croston</w:t>
      </w:r>
      <w:r>
        <w:t xml:space="preserve"> </w:t>
      </w:r>
      <w:r>
        <w:t xml:space="preserve">parameters, LSTM stopping) uses validation data only; the test window is used</w:t>
      </w:r>
      <w:r>
        <w:t xml:space="preserve"> </w:t>
      </w:r>
      <w:r>
        <w:t xml:space="preserve">once for final scoring. The global seed is 42 throughout.</w:t>
      </w:r>
    </w:p>
    <w:bookmarkStart w:id="36" w:name="tab:protocol"/>
    <w:p>
      <w:pPr>
        <w:pStyle w:val="TableCaption"/>
      </w:pPr>
      <w:r>
        <w:t>Table 1: Frozen experimental protocol (source: 05_experiments/config.json).</w:t>
      </w:r>
    </w:p>
    <w:tbl>
      <w:tblPr>
        <w:tblStyle w:val="Table"/>
        <w:tblW w:type="auto" w:w="0"/>
        <w:jc w:val="center"/>
        <w:tblLook w:firstRow="1" w:lastRow="0" w:firstColumn="0" w:lastColumn="0" w:noHBand="0" w:noVBand="0" w:val="0020"/>
        <w:tblCaption w:val="Frozen experimental protocol (source: 05_experiments/config.json)."/>
      </w:tblPr>
      <w:tblGrid>
        <w:gridCol w:w="3960"/>
        <w:gridCol w:w="3960"/>
      </w:tblGrid>
      <w:tr>
        <w:trPr>
          <w:tblHeader w:val="on"/>
        </w:trPr>
        <w:tc>
          <w:tcPr>
            <w:shd w:fill="EDEDED" w:val="clear"/>
          </w:tcPr>
          <w:p>
            <w:pPr>
              <w:pStyle w:val="Compact"/>
              <w:spacing w:after="40"/>
              <w:jc w:val="left"/>
            </w:pPr>
            <w:r>
              <w:rPr>
                <w:b/>
                <w:sz w:val="19"/>
              </w:rPr>
              <w:t xml:space="preserve">Element</w:t>
            </w:r>
          </w:p>
        </w:tc>
        <w:tc>
          <w:tcPr>
            <w:shd w:fill="EDEDED" w:val="clear"/>
          </w:tcPr>
          <w:p>
            <w:pPr>
              <w:pStyle w:val="Compact"/>
              <w:spacing w:after="40"/>
              <w:jc w:val="left"/>
            </w:pPr>
            <w:r>
              <w:rPr>
                <w:b/>
                <w:sz w:val="19"/>
              </w:rPr>
              <w:t xml:space="preserve">Frozen value</w:t>
            </w:r>
          </w:p>
        </w:tc>
      </w:tr>
      <w:tr>
        <w:tc>
          <w:tcPr/>
          <w:p>
            <w:pPr>
              <w:pStyle w:val="Compact"/>
              <w:spacing w:after="40"/>
              <w:jc w:val="left"/>
            </w:pPr>
            <w:r>
              <w:rPr>
                <w:sz w:val="19"/>
              </w:rPr>
              <w:t xml:space="preserve">Common window</w:t>
            </w:r>
          </w:p>
        </w:tc>
        <w:tc>
          <w:tcPr/>
          <w:p>
            <w:pPr>
              <w:pStyle w:val="Compact"/>
              <w:spacing w:after="40"/>
              <w:jc w:val="left"/>
            </w:pPr>
            <w:r>
              <w:rPr>
                <w:sz w:val="19"/>
              </w:rPr>
              <w:t xml:space="preserve">2013-01-01 to 2016-05-22 (1,238 days)</w:t>
            </w:r>
          </w:p>
        </w:tc>
      </w:tr>
      <w:tr>
        <w:tc>
          <w:tcPr/>
          <w:p>
            <w:pPr>
              <w:pStyle w:val="Compact"/>
              <w:spacing w:after="40"/>
              <w:jc w:val="left"/>
            </w:pPr>
            <w:r>
              <w:rPr>
                <w:sz w:val="19"/>
              </w:rPr>
              <w:t xml:space="preserve">Train / validation / test</w:t>
            </w:r>
          </w:p>
        </w:tc>
        <w:tc>
          <w:tcPr/>
          <w:p>
            <w:pPr>
              <w:pStyle w:val="Compact"/>
              <w:spacing w:after="40"/>
              <w:jc w:val="left"/>
            </w:pPr>
            <w:r>
              <w:rPr>
                <w:sz w:val="19"/>
              </w:rPr>
              <w:t xml:space="preserve">1,034 / 121 / 83 days (validation includes 2016-02-29)</w:t>
            </w:r>
          </w:p>
        </w:tc>
      </w:tr>
      <w:tr>
        <w:tc>
          <w:tcPr/>
          <w:p>
            <w:pPr>
              <w:pStyle w:val="Compact"/>
              <w:spacing w:after="40"/>
              <w:jc w:val="left"/>
            </w:pPr>
            <w:r>
              <w:rPr>
                <w:sz w:val="19"/>
              </w:rPr>
              <w:t xml:space="preserve">Horizon</w:t>
            </w:r>
            <w:r>
              <w:rPr>
                <w:sz w:val="19"/>
              </w:rPr>
              <w:t xml:space="preserve"> </w:t>
            </w:r>
            <m:oMath>
              <m:r>
                <m:t>h</m:t>
              </m:r>
            </m:oMath>
          </w:p>
        </w:tc>
        <w:tc>
          <w:tcPr/>
          <w:p>
            <w:pPr>
              <w:pStyle w:val="Compact"/>
              <w:spacing w:after="40"/>
              <w:jc w:val="left"/>
            </w:pPr>
            <w:r>
              <w:rPr>
                <w:sz w:val="19"/>
              </w:rPr>
              <w:t xml:space="preserve">28 days, 8 weekly rolling origins, expanding window</w:t>
            </w:r>
          </w:p>
        </w:tc>
      </w:tr>
      <w:tr>
        <w:tc>
          <w:tcPr/>
          <w:p>
            <w:pPr>
              <w:pStyle w:val="Compact"/>
              <w:spacing w:after="40"/>
              <w:jc w:val="left"/>
            </w:pPr>
            <w:r>
              <w:rPr>
                <w:sz w:val="19"/>
              </w:rPr>
              <w:t xml:space="preserve">M5 sample</w:t>
            </w:r>
          </w:p>
        </w:tc>
        <w:tc>
          <w:tcPr/>
          <w:p>
            <w:pPr>
              <w:pStyle w:val="Compact"/>
              <w:spacing w:after="40"/>
              <w:jc w:val="left"/>
            </w:pPr>
            <w:r>
              <w:rPr>
                <w:sz w:val="19"/>
              </w:rPr>
              <w:t xml:space="preserve">500 series, stratified by archetype</w:t>
            </w:r>
            <w:r>
              <w:rPr>
                <w:sz w:val="19"/>
              </w:rPr>
              <w:t xml:space="preserve"> </w:t>
            </w:r>
            <m:oMath>
              <m:r>
                <m:rPr>
                  <m:sty m:val="p"/>
                </m:rPr>
                <m:t>×</m:t>
              </m:r>
            </m:oMath>
            <w:r>
              <w:rPr>
                <w:sz w:val="19"/>
              </w:rPr>
              <w:t xml:space="preserve"> </w:t>
            </w:r>
            <w:r>
              <w:rPr>
                <w:sz w:val="19"/>
              </w:rPr>
              <w:t xml:space="preserve">department</w:t>
            </w:r>
          </w:p>
        </w:tc>
      </w:tr>
      <w:tr>
        <w:tc>
          <w:tcPr/>
          <w:p>
            <w:pPr>
              <w:pStyle w:val="Compact"/>
              <w:spacing w:after="40"/>
              <w:jc w:val="left"/>
            </w:pPr>
            <w:r>
              <w:rPr>
                <w:sz w:val="19"/>
              </w:rPr>
              <w:t xml:space="preserve">Store sample</w:t>
            </w:r>
          </w:p>
        </w:tc>
        <w:tc>
          <w:tcPr/>
          <w:p>
            <w:pPr>
              <w:pStyle w:val="Compact"/>
              <w:spacing w:after="40"/>
              <w:jc w:val="left"/>
            </w:pPr>
            <w:r>
              <w:rPr>
                <w:sz w:val="19"/>
              </w:rPr>
              <w:t xml:space="preserve">All 500 series (complete panel)</w:t>
            </w:r>
          </w:p>
        </w:tc>
      </w:tr>
      <w:tr>
        <w:tc>
          <w:tcPr/>
          <w:p>
            <w:pPr>
              <w:pStyle w:val="Compact"/>
              <w:spacing w:after="40"/>
              <w:jc w:val="left"/>
            </w:pPr>
            <w:r>
              <w:rPr>
                <w:sz w:val="19"/>
              </w:rPr>
              <w:t xml:space="preserve">Evaluation population</w:t>
            </w:r>
          </w:p>
        </w:tc>
        <w:tc>
          <w:tcPr/>
          <w:p>
            <w:pPr>
              <w:pStyle w:val="Compact"/>
              <w:spacing w:after="40"/>
              <w:jc w:val="left"/>
            </w:pPr>
            <m:oMath>
              <m:r>
                <m:t>500</m:t>
              </m:r>
              <m:r>
                <m:rPr>
                  <m:sty m:val="p"/>
                </m:rPr>
                <m:t>×</m:t>
              </m:r>
              <m:r>
                <m:t>8</m:t>
              </m:r>
              <m:r>
                <m:rPr>
                  <m:sty m:val="p"/>
                </m:rPr>
                <m:t>×</m:t>
              </m:r>
              <m:r>
                <m:t>28</m:t>
              </m:r>
              <m:r>
                <m:rPr>
                  <m:sty m:val="p"/>
                </m:rPr>
                <m:t>=</m:t>
              </m:r>
              <m:r>
                <m:t>112</m:t>
              </m:r>
              <m:r>
                <m:rPr>
                  <m:sty m:val="p"/>
                </m:rPr>
                <m:t>,</m:t>
              </m:r>
              <m:r>
                <m:t>000</m:t>
              </m:r>
            </m:oMath>
            <w:r>
              <w:rPr>
                <w:sz w:val="19"/>
              </w:rPr>
              <w:t xml:space="preserve"> </w:t>
            </w:r>
            <w:r>
              <w:rPr>
                <w:sz w:val="19"/>
              </w:rPr>
              <w:t xml:space="preserve">forecasts per model-dataset</w:t>
            </w:r>
          </w:p>
        </w:tc>
      </w:tr>
      <w:tr>
        <w:tc>
          <w:tcPr/>
          <w:p>
            <w:pPr>
              <w:pStyle w:val="Compact"/>
              <w:spacing w:after="40"/>
              <w:jc w:val="left"/>
            </w:pPr>
            <w:r>
              <w:rPr>
                <w:sz w:val="19"/>
              </w:rPr>
              <w:t xml:space="preserve">Seed</w:t>
            </w:r>
          </w:p>
        </w:tc>
        <w:tc>
          <w:tcPr/>
          <w:p>
            <w:pPr>
              <w:pStyle w:val="Compact"/>
              <w:spacing w:after="40"/>
              <w:jc w:val="left"/>
            </w:pPr>
            <w:r>
              <w:rPr>
                <w:sz w:val="19"/>
              </w:rPr>
              <w:t xml:space="preserve">42 throughout</w:t>
            </w:r>
          </w:p>
        </w:tc>
      </w:tr>
    </w:tbl>
    <w:bookmarkEnd w:id="36"/>
    <w:bookmarkEnd w:id="37"/>
    <w:bookmarkStart w:id="42" w:name="sec:selection"/>
    <w:p>
      <w:pPr>
        <w:pStyle w:val="Heading2"/>
      </w:pPr>
      <w:r>
        <w:t xml:space="preserve">Series selection</w:t>
      </w:r>
    </w:p>
    <w:p>
      <w:pPr>
        <w:pStyle w:val="FirstParagraph"/>
      </w:pPr>
      <w:r>
        <w:t xml:space="preserve">Store demand uses all 500 series, so no sampling was required. M5 contributes</w:t>
      </w:r>
      <w:r>
        <w:t xml:space="preserve"> </w:t>
      </w:r>
      <w:r>
        <w:t xml:space="preserve">a stratified sample of 500 (recorded in</w:t>
      </w:r>
      <w:r>
        <w:t xml:space="preserve"> </w:t>
      </w:r>
      <w:r>
        <w:rPr>
          <w:rStyle w:val="VerbatimChar"/>
        </w:rPr>
        <w:t xml:space="preserve">05_experiments/m5_series_selection.json</w:t>
      </w:r>
      <w:r>
        <w:t xml:space="preserve">) covering all demand</w:t>
      </w:r>
      <w:r>
        <w:t xml:space="preserve"> </w:t>
      </w:r>
      <w:r>
        <w:t xml:space="preserve">archetypes and departments. Random sampling risked omitting rare but</w:t>
      </w:r>
      <w:r>
        <w:t xml:space="preserve"> </w:t>
      </w:r>
      <w:r>
        <w:t xml:space="preserve">substantively important demand shapes, while full-catalog deep learning was</w:t>
      </w:r>
      <w:r>
        <w:t xml:space="preserve"> </w:t>
      </w:r>
      <w:r>
        <w:t xml:space="preserve">computationally infeasible. Representativeness is documented in</w:t>
      </w:r>
      <w:r>
        <w:t xml:space="preserve"> </w:t>
      </w:r>
      <w:hyperlink w:anchor="fig:representativeness">
        <w:r>
          <w:rPr>
            <w:rStyle w:val="Hyperlink"/>
          </w:rPr>
          <w:t xml:space="preserve">4</w:t>
        </w:r>
      </w:hyperlink>
      <w:r>
        <w:t xml:space="preserve">.</w:t>
      </w:r>
    </w:p>
    <w:bookmarkStart w:id="41" w:name="fig:representativeness"/>
    <w:p>
      <w:pPr>
        <w:pStyle w:val="CaptionedFigure"/>
        <w:jc w:val="center"/>
      </w:pPr>
      <w:r>
        <w:drawing>
          <wp:inline>
            <wp:extent cx="4800600" cy="2979892"/>
            <wp:effectExtent b="0" l="0" r="0" t="0"/>
            <wp:docPr descr="" title="" id="39" name="Picture"/>
            <a:graphic>
              <a:graphicData uri="http://schemas.openxmlformats.org/drawingml/2006/picture">
                <pic:pic>
                  <pic:nvPicPr>
                    <pic:cNvPr descr="01_m5_representativeness.png" id="40" name="Picture"/>
                    <pic:cNvPicPr>
                      <a:picLocks noChangeArrowheads="1" noChangeAspect="1"/>
                    </pic:cNvPicPr>
                  </pic:nvPicPr>
                  <pic:blipFill>
                    <a:blip r:embed="rId38"/>
                    <a:stretch>
                      <a:fillRect/>
                    </a:stretch>
                  </pic:blipFill>
                  <pic:spPr bwMode="auto">
                    <a:xfrm>
                      <a:off x="0" y="0"/>
                      <a:ext cx="4800600" cy="2979892"/>
                    </a:xfrm>
                    <a:prstGeom prst="rect">
                      <a:avLst/>
                    </a:prstGeom>
                    <a:noFill/>
                    <a:ln w="9525">
                      <a:noFill/>
                      <a:headEnd/>
                      <a:tailEnd/>
                    </a:ln>
                  </pic:spPr>
                </pic:pic>
              </a:graphicData>
            </a:graphic>
          </wp:inline>
        </w:drawing>
      </w:r>
    </w:p>
    <w:p>
      <w:pPr>
        <w:pStyle w:val="ImageCaption"/>
      </w:pPr>
      <w:r>
        <w:t>Figure 4: M5 500-series stratified selection: coverage across archetypes and departments. Source: notebook 04.</w:t>
      </w:r>
    </w:p>
    <w:bookmarkEnd w:id="41"/>
    <w:bookmarkEnd w:id="42"/>
    <w:bookmarkStart w:id="47" w:name="sec:archetypes-method"/>
    <w:p>
      <w:pPr>
        <w:pStyle w:val="Heading2"/>
      </w:pPr>
      <w:r>
        <w:t xml:space="preserve">Demand characterization and archetypes</w:t>
      </w:r>
    </w:p>
    <w:p>
      <w:pPr>
        <w:pStyle w:val="FirstParagraph"/>
      </w:pPr>
      <w:r>
        <w:t xml:space="preserve">Following the Syntetos–Boylan tradition</w:t>
      </w:r>
      <w:r>
        <w:t xml:space="preserve"> </w:t>
      </w:r>
      <w:r>
        <w:t xml:space="preserve">(Syntetos and Boylan 2005)</w:t>
      </w:r>
      <w:r>
        <w:t xml:space="preserve">, and specifically its demand-pattern categorization</w:t>
      </w:r>
      <w:r>
        <w:t xml:space="preserve"> </w:t>
      </w:r>
      <w:r>
        <w:t xml:space="preserve">(Syntetos et al. 2005)</w:t>
      </w:r>
      <w:r>
        <w:t xml:space="preserve">, intermittency is</w:t>
      </w:r>
      <w:r>
        <w:t xml:space="preserve"> </w:t>
      </w:r>
      <w:r>
        <w:t xml:space="preserve">characterized per series by average demand interval (ADI) and squared</w:t>
      </w:r>
      <w:r>
        <w:t xml:space="preserve"> </w:t>
      </w:r>
      <w:r>
        <w:t xml:space="preserve">coefficient of variation (CV</w:t>
      </w:r>
      <m:oMath>
        <m:sSup>
          <m:e>
            <m:r>
              <m:t>​</m:t>
            </m:r>
          </m:e>
          <m:sup>
            <m:r>
              <m:t>2</m:t>
            </m:r>
          </m:sup>
        </m:sSup>
      </m:oMath>
      <w:r>
        <w:t xml:space="preserve">). The resulting quadrants are labeled here as</w:t>
      </w:r>
      <w:r>
        <w:t xml:space="preserve"> </w:t>
      </w:r>
      <w:r>
        <w:t xml:space="preserve">Smooth, Intermittent, Erratic/Variable, and Lumpy/Highly Intermittent, with an</w:t>
      </w:r>
      <w:r>
        <w:t xml:space="preserve"> </w:t>
      </w:r>
      <w:r>
        <w:t xml:space="preserve">additional Moderate band; volume terciles provide a second axis. M5 archetype</w:t>
      </w:r>
      <w:r>
        <w:t xml:space="preserve"> </w:t>
      </w:r>
      <w:r>
        <w:t xml:space="preserve">counts are 194 highly intermittent, 199 intermittent, 26 moderate, 80</w:t>
      </w:r>
      <w:r>
        <w:t xml:space="preserve"> </w:t>
      </w:r>
      <w:r>
        <w:t xml:space="preserve">variable, and 1 smooth. The single smooth series is reported for completeness</w:t>
      </w:r>
      <w:r>
        <w:t xml:space="preserve"> </w:t>
      </w:r>
      <w:r>
        <w:t xml:space="preserve">but supports no inference (section 7.6).</w:t>
      </w:r>
    </w:p>
    <w:bookmarkStart w:id="46" w:name="fig:quadrants"/>
    <w:p>
      <w:pPr>
        <w:pStyle w:val="CaptionedFigure"/>
        <w:jc w:val="center"/>
      </w:pPr>
      <w:r>
        <w:drawing>
          <wp:inline>
            <wp:extent cx="4800600" cy="3574914"/>
            <wp:effectExtent b="0" l="0" r="0" t="0"/>
            <wp:docPr descr="" title="" id="44" name="Picture"/>
            <a:graphic>
              <a:graphicData uri="http://schemas.openxmlformats.org/drawingml/2006/picture">
                <pic:pic>
                  <pic:nvPicPr>
                    <pic:cNvPr descr="02_intermittency_quadrants.png" id="45" name="Picture"/>
                    <pic:cNvPicPr>
                      <a:picLocks noChangeArrowheads="1" noChangeAspect="1"/>
                    </pic:cNvPicPr>
                  </pic:nvPicPr>
                  <pic:blipFill>
                    <a:blip r:embed="rId43"/>
                    <a:stretch>
                      <a:fillRect/>
                    </a:stretch>
                  </pic:blipFill>
                  <pic:spPr bwMode="auto">
                    <a:xfrm>
                      <a:off x="0" y="0"/>
                      <a:ext cx="4800600" cy="3574914"/>
                    </a:xfrm>
                    <a:prstGeom prst="rect">
                      <a:avLst/>
                    </a:prstGeom>
                    <a:noFill/>
                    <a:ln w="9525">
                      <a:noFill/>
                      <a:headEnd/>
                      <a:tailEnd/>
                    </a:ln>
                  </pic:spPr>
                </pic:pic>
              </a:graphicData>
            </a:graphic>
          </wp:inline>
        </w:drawing>
      </w:r>
    </w:p>
    <w:p>
      <w:pPr>
        <w:pStyle w:val="ImageCaption"/>
      </w:pPr>
      <w:r>
        <w:t>Figure 5: Intermittency quadrants (ADI versus CV), which motivate the archetype analysis and the Croston rung. Source: notebook 03.</w:t>
      </w:r>
    </w:p>
    <w:bookmarkEnd w:id="46"/>
    <w:bookmarkEnd w:id="47"/>
    <w:bookmarkStart w:id="52" w:name="sec:ladder"/>
    <w:p>
      <w:pPr>
        <w:pStyle w:val="Heading2"/>
      </w:pPr>
      <w:r>
        <w:t xml:space="preserve">Model-ladder design</w:t>
      </w:r>
    </w:p>
    <w:p>
      <w:pPr>
        <w:pStyle w:val="FirstParagraph"/>
      </w:pPr>
      <w:r>
        <w:t xml:space="preserve">Models are ordered by complexity while evaluation is held constant: baselines</w:t>
      </w:r>
      <w:r>
        <w:t xml:space="preserve"> </w:t>
      </w:r>
      <w:r>
        <w:t xml:space="preserve">(Naive, Seasonal Naive, Moving Average) define the threshold any method must</w:t>
      </w:r>
      <w:r>
        <w:t xml:space="preserve"> </w:t>
      </w:r>
      <w:r>
        <w:t xml:space="preserve">clear; SES, DES (Holt), and additive TES add memory for level, trend, and</w:t>
      </w:r>
      <w:r>
        <w:t xml:space="preserve"> </w:t>
      </w:r>
      <w:r>
        <w:t xml:space="preserve">seasonality; ARIMA adds autocorrelation modeling and SARIMA seasonal</w:t>
      </w:r>
      <w:r>
        <w:t xml:space="preserve"> </w:t>
      </w:r>
      <w:r>
        <w:t xml:space="preserve">autocorrelation; the Croston family specializes in intermittent demand; the</w:t>
      </w:r>
      <w:r>
        <w:t xml:space="preserve"> </w:t>
      </w:r>
      <w:r>
        <w:t xml:space="preserve">global LSTM learns nonlinear patterns pooled across all series of a dataset.</w:t>
      </w:r>
      <w:r>
        <w:t xml:space="preserve"> </w:t>
      </w:r>
      <w:r>
        <w:t xml:space="preserve">Complexity is the independent variable; whether it produces value is the</w:t>
      </w:r>
      <w:r>
        <w:t xml:space="preserve"> </w:t>
      </w:r>
      <w:r>
        <w:t xml:space="preserve">empirical question.</w:t>
      </w:r>
      <w:r>
        <w:t xml:space="preserve"> </w:t>
      </w:r>
      <w:hyperlink w:anchor="fig:ladder">
        <w:r>
          <w:rPr>
            <w:rStyle w:val="Hyperlink"/>
          </w:rPr>
          <w:t xml:space="preserve">6</w:t>
        </w:r>
      </w:hyperlink>
      <w:r>
        <w:t xml:space="preserve"> </w:t>
      </w:r>
      <w:r>
        <w:t xml:space="preserve">summarizes the arrangement.</w:t>
      </w:r>
    </w:p>
    <w:bookmarkStart w:id="51" w:name="fig:ladder"/>
    <w:p>
      <w:pPr>
        <w:pStyle w:val="CaptionedFigure"/>
        <w:jc w:val="center"/>
      </w:pPr>
      <w:r>
        <w:drawing>
          <wp:inline>
            <wp:extent cx="4533900" cy="1462713"/>
            <wp:effectExtent b="0" l="0" r="0" t="0"/>
            <wp:docPr descr="" title="" id="49" name="Picture"/>
            <a:graphic>
              <a:graphicData uri="http://schemas.openxmlformats.org/drawingml/2006/picture">
                <pic:pic>
                  <pic:nvPicPr>
                    <pic:cNvPr descr="11_forecasting_model_ladder.png" id="50" name="Picture"/>
                    <pic:cNvPicPr>
                      <a:picLocks noChangeArrowheads="1" noChangeAspect="1"/>
                    </pic:cNvPicPr>
                  </pic:nvPicPr>
                  <pic:blipFill>
                    <a:blip r:embed="rId48"/>
                    <a:stretch>
                      <a:fillRect/>
                    </a:stretch>
                  </pic:blipFill>
                  <pic:spPr bwMode="auto">
                    <a:xfrm>
                      <a:off x="0" y="0"/>
                      <a:ext cx="4533900" cy="1462713"/>
                    </a:xfrm>
                    <a:prstGeom prst="rect">
                      <a:avLst/>
                    </a:prstGeom>
                    <a:noFill/>
                    <a:ln w="9525">
                      <a:noFill/>
                      <a:headEnd/>
                      <a:tailEnd/>
                    </a:ln>
                  </pic:spPr>
                </pic:pic>
              </a:graphicData>
            </a:graphic>
          </wp:inline>
        </w:drawing>
      </w:r>
    </w:p>
    <w:p>
      <w:pPr>
        <w:pStyle w:val="ImageCaption"/>
      </w:pPr>
      <w:r>
        <w:t>Figure 6: The model ladder: complexity increases by rung. Whether value increases with it is tested in section 4. Teaching figure from notebook 05a.</w:t>
      </w:r>
    </w:p>
    <w:bookmarkEnd w:id="51"/>
    <w:bookmarkEnd w:id="52"/>
    <w:bookmarkStart w:id="53" w:name="sec:forecast-models"/>
    <w:p>
      <w:pPr>
        <w:pStyle w:val="Heading2"/>
      </w:pPr>
      <w:r>
        <w:t xml:space="preserve">Forecasting models</w:t>
      </w:r>
    </w:p>
    <w:p>
      <w:pPr>
        <w:pStyle w:val="FirstParagraph"/>
      </w:pPr>
      <w:r>
        <w:t xml:space="preserve">Naive carries the last observed day forward 28 days. Seasonal Naive repeats</w:t>
      </w:r>
      <w:r>
        <w:t xml:space="preserve"> </w:t>
      </w:r>
      <w:r>
        <w:t xml:space="preserve">the last seven observed days (an early implementation that reached beyond the</w:t>
      </w:r>
      <w:r>
        <w:t xml:space="preserve"> </w:t>
      </w:r>
      <w:r>
        <w:t xml:space="preserve">seasonal window was identified and corrected to use observed values only).</w:t>
      </w:r>
      <w:r>
        <w:t xml:space="preserve"> </w:t>
      </w:r>
      <w:r>
        <w:t xml:space="preserve">Moving Average uses validation-selected global windows (M5: 14 days; Store: 7</w:t>
      </w:r>
      <w:r>
        <w:t xml:space="preserve"> </w:t>
      </w:r>
      <w:r>
        <w:t xml:space="preserve">days; validation MAE 0.9206 and 7.4057 respectively). SES tracks a moving</w:t>
      </w:r>
      <w:r>
        <w:t xml:space="preserve"> </w:t>
      </w:r>
      <w:r>
        <w:t xml:space="preserve">level (</w:t>
      </w:r>
      <m:oMath>
        <m:r>
          <m:t>α</m:t>
        </m:r>
        <m:r>
          <m:rPr>
            <m:sty m:val="p"/>
          </m:rPr>
          <m:t>=</m:t>
        </m:r>
        <m:r>
          <m:t>0.1</m:t>
        </m:r>
      </m:oMath>
      <w:r>
        <w:t xml:space="preserve">), DES adds trend (</w:t>
      </w:r>
      <m:oMath>
        <m:r>
          <m:t>α</m:t>
        </m:r>
        <m:r>
          <m:rPr>
            <m:sty m:val="p"/>
          </m:rPr>
          <m:t>=</m:t>
        </m:r>
        <m:r>
          <m:t>β</m:t>
        </m:r>
        <m:r>
          <m:rPr>
            <m:sty m:val="p"/>
          </m:rPr>
          <m:t>=</m:t>
        </m:r>
        <m:r>
          <m:t>0.2</m:t>
        </m:r>
      </m:oMath>
      <w:r>
        <w:t xml:space="preserve">), and additive TES</w:t>
      </w:r>
      <w:r>
        <w:t xml:space="preserve"> </w:t>
      </w:r>
      <w:r>
        <w:t xml:space="preserve">adds a weekly seasonal component (</w:t>
      </w:r>
      <m:oMath>
        <m:r>
          <m:t>0.3</m:t>
        </m:r>
        <m:r>
          <m:rPr>
            <m:sty m:val="p"/>
          </m:rPr>
          <m:t>/</m:t>
        </m:r>
        <m:r>
          <m:t>0.3</m:t>
        </m:r>
        <m:r>
          <m:rPr>
            <m:sty m:val="p"/>
          </m:rPr>
          <m:t>/</m:t>
        </m:r>
        <m:r>
          <m:t>0.3</m:t>
        </m:r>
      </m:oMath>
      <w:r>
        <w:t xml:space="preserve">); all use transparent</w:t>
      </w:r>
      <w:r>
        <w:t xml:space="preserve"> </w:t>
      </w:r>
      <w:r>
        <w:t xml:space="preserve">implementations with validation-grid selection. ARIMA(1,1,0) runs on both</w:t>
      </w:r>
      <w:r>
        <w:t xml:space="preserve"> </w:t>
      </w:r>
      <w:r>
        <w:t xml:space="preserve">datasets with a sparse-data pre-check (series with more than 85% zeros fall</w:t>
      </w:r>
      <w:r>
        <w:t xml:space="preserve"> </w:t>
      </w:r>
      <w:r>
        <w:t xml:space="preserve">back to Naive rather than fitting noise); per-series order search was</w:t>
      </w:r>
      <w:r>
        <w:t xml:space="preserve"> </w:t>
      </w:r>
      <w:r>
        <w:t xml:space="preserve">rejected as overfitting-prone and computationally out of scope.</w:t>
      </w:r>
      <w:r>
        <w:t xml:space="preserve"> </w:t>
      </w:r>
      <w:r>
        <w:t xml:space="preserve">SARIMA(1,1,0)(0,1,1)</w:t>
      </w:r>
      <m:oMath>
        <m:sSub>
          <m:e>
            <m:r>
              <m:t>​</m:t>
            </m:r>
          </m:e>
          <m:sub>
            <m:r>
              <m:t>7</m:t>
            </m:r>
          </m:sub>
        </m:sSub>
      </m:oMath>
      <w:r>
        <w:t xml:space="preserve"> </w:t>
      </w:r>
      <w:r>
        <w:t xml:space="preserve">runs Store-only, since seasonal differencing of</w:t>
      </w:r>
      <w:r>
        <w:t xml:space="preserve"> </w:t>
      </w:r>
      <w:r>
        <w:t xml:space="preserve">predominantly zero series lacks methodological justification and the Croston</w:t>
      </w:r>
      <w:r>
        <w:t xml:space="preserve"> </w:t>
      </w:r>
      <w:r>
        <w:t xml:space="preserve">family already covers the M5 specialty. Croston, SBA, and TSB run M5-only</w:t>
      </w:r>
      <w:r>
        <w:t xml:space="preserve"> </w:t>
      </w:r>
      <w:r>
        <w:t xml:space="preserve">(validation parameters 0.1, 0.5, and 0.1–0.3), as flat intermittent-demand</w:t>
      </w:r>
      <w:r>
        <w:t xml:space="preserve"> </w:t>
      </w:r>
      <w:r>
        <w:t xml:space="preserve">forecasts have no applicability to dense data. The LSTM is one global network</w:t>
      </w:r>
      <w:r>
        <w:t xml:space="preserve"> </w:t>
      </w:r>
      <w:r>
        <w:t xml:space="preserve">per dataset with a 28-day lookback, per-series history-only scaling, and</w:t>
      </w:r>
      <w:r>
        <w:t xml:space="preserve"> </w:t>
      </w:r>
      <w:r>
        <w:t xml:space="preserve">chronological per-series validation (rebuilt during hardening to remove</w:t>
      </w:r>
      <w:r>
        <w:t xml:space="preserve"> </w:t>
      </w:r>
      <w:r>
        <w:t xml:space="preserve">overlapping-window leakage), seeded at 42. Full configurations are in</w:t>
      </w:r>
      <w:r>
        <w:t xml:space="preserve"> </w:t>
      </w:r>
      <w:r>
        <w:t xml:space="preserve">appendix C.</w:t>
      </w:r>
    </w:p>
    <w:bookmarkEnd w:id="53"/>
    <w:bookmarkStart w:id="62" w:name="sec:metrics"/>
    <w:p>
      <w:pPr>
        <w:pStyle w:val="Heading2"/>
      </w:pPr>
      <w:r>
        <w:t xml:space="preserve">Forecast evaluation metrics</w:t>
      </w:r>
    </w:p>
    <w:p>
      <w:pPr>
        <w:pStyle w:val="FirstParagraph"/>
      </w:pPr>
      <w:r>
        <w:t xml:space="preserve">Headline accuracy is mean absolute error (MAE); the primary scale-free metric</w:t>
      </w:r>
      <w:r>
        <w:t xml:space="preserve"> </w:t>
      </w:r>
      <w:r>
        <w:t xml:space="preserve">is MASE with seasonal period</w:t>
      </w:r>
      <w:r>
        <w:t xml:space="preserve"> </w:t>
      </w:r>
      <m:oMath>
        <m:r>
          <m:t>m</m:t>
        </m:r>
        <m:r>
          <m:rPr>
            <m:sty m:val="p"/>
          </m:rPr>
          <m:t>=</m:t>
        </m:r>
        <m:r>
          <m:t>7</m:t>
        </m:r>
      </m:oMath>
      <w:r>
        <w:t xml:space="preserve"> </w:t>
      </w:r>
      <w:r>
        <w:t xml:space="preserve">(the weekly retail rhythm shown in</w:t>
      </w:r>
      <w:r>
        <w:t xml:space="preserve"> </w:t>
      </w:r>
      <w:r>
        <w:t xml:space="preserve">figure 7), whose denominator is the in-sample one-step seasonal-naive</w:t>
      </w:r>
      <w:r>
        <w:t xml:space="preserve"> </w:t>
      </w:r>
      <w:r>
        <w:t xml:space="preserve">error computed on training data only. Validation and test data never enter</w:t>
      </w:r>
      <w:r>
        <w:t xml:space="preserve"> </w:t>
      </w:r>
      <w:r>
        <w:t xml:space="preserve">the denominator. RMSE, RMSSE, WAPE, and sMAPE are reported alongside; no</w:t>
      </w:r>
      <w:r>
        <w:t xml:space="preserve"> </w:t>
      </w:r>
      <w:r>
        <w:t xml:space="preserve">metric is selected after seeing results. Two conventions matter for</w:t>
      </w:r>
      <w:r>
        <w:t xml:space="preserve"> </w:t>
      </w:r>
      <w:r>
        <w:t xml:space="preserve">interpretation. First, zero denominators (constant training history) are left</w:t>
      </w:r>
      <w:r>
        <w:t xml:space="preserve"> </w:t>
      </w:r>
      <w:r>
        <w:t xml:space="preserve">as honest missing values rather than epsilon-adjusted (no such cases</w:t>
      </w:r>
      <w:r>
        <w:t xml:space="preserve"> </w:t>
      </w:r>
      <w:r>
        <w:t xml:space="preserve">occurred:</w:t>
      </w:r>
      <w:r>
        <w:t xml:space="preserve"> </w:t>
      </w:r>
      <m:oMath>
        <m:sSub>
          <m:e>
            <m:r>
              <m:t>n</m:t>
            </m:r>
          </m:e>
          <m:sub>
            <m:r>
              <m:rPr>
                <m:nor/>
                <m:sty m:val="p"/>
              </m:rPr>
              <m:t>NaN</m:t>
            </m:r>
          </m:sub>
        </m:sSub>
        <m:r>
          <m:rPr>
            <m:sty m:val="p"/>
          </m:rPr>
          <m:t>=</m:t>
        </m:r>
        <m:r>
          <m:t>0</m:t>
        </m:r>
      </m:oMath>
      <w:r>
        <w:t xml:space="preserve"> </w:t>
      </w:r>
      <w:r>
        <w:t xml:space="preserve">throughout). Second, archetype-level WAPE and</w:t>
      </w:r>
      <w:r>
        <w:t xml:space="preserve"> </w:t>
      </w:r>
      <w:r>
        <w:t xml:space="preserve">sMAPE are pooled ratios over each cell, because averaging per-series ratios</w:t>
      </w:r>
      <w:r>
        <w:t xml:space="preserve"> </w:t>
      </w:r>
      <w:r>
        <w:t xml:space="preserve">allows a single near-zero-demand series to dominate the mean; model-level</w:t>
      </w:r>
      <w:r>
        <w:t xml:space="preserve"> </w:t>
      </w:r>
      <w:r>
        <w:t xml:space="preserve">WAPE columns remain per-series means and were verified consistent across</w:t>
      </w:r>
      <w:r>
        <w:t xml:space="preserve"> </w:t>
      </w:r>
      <w:r>
        <w:t xml:space="preserve">files. sMAPE is reported with its known distortions on near-zero demand</w:t>
      </w:r>
      <w:r>
        <w:t xml:space="preserve"> </w:t>
      </w:r>
      <w:r>
        <w:t xml:space="preserve">documented. Definitions are formalized in appendix A.</w:t>
      </w:r>
    </w:p>
    <w:bookmarkStart w:id="57" w:name="fig:weekly"/>
    <w:p>
      <w:pPr>
        <w:pStyle w:val="CaptionedFigure"/>
        <w:jc w:val="center"/>
      </w:pPr>
      <w:r>
        <w:drawing>
          <wp:inline>
            <wp:extent cx="4800600" cy="2349229"/>
            <wp:effectExtent b="0" l="0" r="0" t="0"/>
            <wp:docPr descr="" title="" id="55" name="Picture"/>
            <a:graphic>
              <a:graphicData uri="http://schemas.openxmlformats.org/drawingml/2006/picture">
                <pic:pic>
                  <pic:nvPicPr>
                    <pic:cNvPr descr="03_weekly_seasonality.png" id="56" name="Picture"/>
                    <pic:cNvPicPr>
                      <a:picLocks noChangeArrowheads="1" noChangeAspect="1"/>
                    </pic:cNvPicPr>
                  </pic:nvPicPr>
                  <pic:blipFill>
                    <a:blip r:embed="rId54"/>
                    <a:stretch>
                      <a:fillRect/>
                    </a:stretch>
                  </pic:blipFill>
                  <pic:spPr bwMode="auto">
                    <a:xfrm>
                      <a:off x="0" y="0"/>
                      <a:ext cx="4800600" cy="2349229"/>
                    </a:xfrm>
                    <a:prstGeom prst="rect">
                      <a:avLst/>
                    </a:prstGeom>
                    <a:noFill/>
                    <a:ln w="9525">
                      <a:noFill/>
                      <a:headEnd/>
                      <a:tailEnd/>
                    </a:ln>
                  </pic:spPr>
                </pic:pic>
              </a:graphicData>
            </a:graphic>
          </wp:inline>
        </w:drawing>
      </w:r>
    </w:p>
    <w:p>
      <w:pPr>
        <w:pStyle w:val="ImageCaption"/>
      </w:pPr>
      <w:r>
        <w:t>Figure 7: Weekly seasonality in retail demand, supporting seasonal period  in MASE/RMSSE, Seasonal Naive, and SARIMA. Source: notebook 03.</w:t>
      </w:r>
    </w:p>
    <w:bookmarkEnd w:id="57"/>
    <w:bookmarkStart w:id="61" w:name="fig:acf"/>
    <w:p>
      <w:pPr>
        <w:pStyle w:val="CaptionedFigure"/>
        <w:jc w:val="center"/>
      </w:pPr>
      <w:r>
        <w:drawing>
          <wp:inline>
            <wp:extent cx="4800600" cy="1330286"/>
            <wp:effectExtent b="0" l="0" r="0" t="0"/>
            <wp:docPr descr="" title="" id="59" name="Picture"/>
            <a:graphic>
              <a:graphicData uri="http://schemas.openxmlformats.org/drawingml/2006/picture">
                <pic:pic>
                  <pic:nvPicPr>
                    <pic:cNvPr descr="04_acf_pacf.png" id="60" name="Picture"/>
                    <pic:cNvPicPr>
                      <a:picLocks noChangeArrowheads="1" noChangeAspect="1"/>
                    </pic:cNvPicPr>
                  </pic:nvPicPr>
                  <pic:blipFill>
                    <a:blip r:embed="rId58"/>
                    <a:stretch>
                      <a:fillRect/>
                    </a:stretch>
                  </pic:blipFill>
                  <pic:spPr bwMode="auto">
                    <a:xfrm>
                      <a:off x="0" y="0"/>
                      <a:ext cx="4800600" cy="1330286"/>
                    </a:xfrm>
                    <a:prstGeom prst="rect">
                      <a:avLst/>
                    </a:prstGeom>
                    <a:noFill/>
                    <a:ln w="9525">
                      <a:noFill/>
                      <a:headEnd/>
                      <a:tailEnd/>
                    </a:ln>
                  </pic:spPr>
                </pic:pic>
              </a:graphicData>
            </a:graphic>
          </wp:inline>
        </w:drawing>
      </w:r>
    </w:p>
    <w:p>
      <w:pPr>
        <w:pStyle w:val="ImageCaption"/>
      </w:pPr>
      <w:r>
        <w:t>Figure 8: Autocorrelation structure: demand covaries with its recent past, which is the property ARIMA-style models exploit. Source: notebook 03.</w:t>
      </w:r>
    </w:p>
    <w:bookmarkEnd w:id="61"/>
    <w:bookmarkEnd w:id="62"/>
    <w:bookmarkStart w:id="63" w:name="sec:stats-method"/>
    <w:p>
      <w:pPr>
        <w:pStyle w:val="Heading2"/>
      </w:pPr>
      <w:r>
        <w:t xml:space="preserve">Statistical comparison</w:t>
      </w:r>
    </w:p>
    <w:p>
      <w:pPr>
        <w:pStyle w:val="FirstParagraph"/>
      </w:pPr>
      <w:r>
        <w:t xml:space="preserve">Ninety-one paired comparisons (55 M5 and 36 Store) combine the Wilcoxon</w:t>
      </w:r>
      <w:r>
        <w:t xml:space="preserve"> </w:t>
      </w:r>
      <w:r>
        <w:t xml:space="preserve">signed-rank test (normal approximation) with the Diebold-Mariano test</w:t>
      </w:r>
      <w:r>
        <w:t xml:space="preserve"> </w:t>
      </w:r>
      <w:r>
        <w:t xml:space="preserve">(Diebold and Mariano 1995)</w:t>
      </w:r>
      <w:r>
        <w:t xml:space="preserve">, Holm correction</w:t>
      </w:r>
      <w:r>
        <w:t xml:space="preserve"> </w:t>
      </w:r>
      <w:r>
        <w:t xml:space="preserve">(Holm 1979)</w:t>
      </w:r>
      <w:r>
        <w:t xml:space="preserve"> </w:t>
      </w:r>
      <w:r>
        <w:t xml:space="preserve">for multiplicity,</w:t>
      </w:r>
      <w:r>
        <w:t xml:space="preserve"> </w:t>
      </w:r>
      <w:r>
        <w:t xml:space="preserve">500-replication bootstrap confidence intervals</w:t>
      </w:r>
      <w:r>
        <w:t xml:space="preserve"> </w:t>
      </w:r>
      <w:r>
        <w:t xml:space="preserve">(Efron and Tibshirani 1993)</w:t>
      </w:r>
      <w:r>
        <w:t xml:space="preserve">, paired</w:t>
      </w:r>
      <w:r>
        <w:t xml:space="preserve"> </w:t>
      </w:r>
      <w:r>
        <w:t xml:space="preserve">Cohen</w:t>
      </w:r>
      <w:r>
        <w:t xml:space="preserve"> </w:t>
      </w:r>
      <m:oMath>
        <m:sSub>
          <m:e>
            <m:r>
              <m:t>d</m:t>
            </m:r>
          </m:e>
          <m:sub>
            <m:r>
              <m:t>z</m:t>
            </m:r>
          </m:sub>
        </m:sSub>
      </m:oMath>
      <w:r>
        <w:t xml:space="preserve">, and the Wilcoxon rank-biserial</w:t>
      </w:r>
      <w:r>
        <w:t xml:space="preserve"> </w:t>
      </w:r>
      <m:oMath>
        <m:r>
          <m:t>r</m:t>
        </m:r>
      </m:oMath>
      <w:r>
        <w:t xml:space="preserve">. With 112,000 paired errors,</w:t>
      </w:r>
      <w:r>
        <w:t xml:space="preserve"> </w:t>
      </w:r>
      <w:r>
        <w:t xml:space="preserve">tests have high power to detect small differences, so each</w:t>
      </w:r>
      <w:r>
        <w:t xml:space="preserve"> </w:t>
      </w:r>
      <m:oMath>
        <m:r>
          <m:t>p</m:t>
        </m:r>
      </m:oMath>
      <w:r>
        <w:t xml:space="preserve">-value is</w:t>
      </w:r>
      <w:r>
        <w:t xml:space="preserve"> </w:t>
      </w:r>
      <w:r>
        <w:t xml:space="preserve">reported together with an effect size. A qualification on the observation</w:t>
      </w:r>
      <w:r>
        <w:t xml:space="preserve"> </w:t>
      </w:r>
      <w:r>
        <w:t xml:space="preserve">count is required: the 112,000 paired errors per comparison arise from 500</w:t>
      </w:r>
      <w:r>
        <w:t xml:space="preserve"> </w:t>
      </w:r>
      <w:r>
        <w:t xml:space="preserve">series observed across 8 rolling origins and 28 horizon steps, with</w:t>
      </w:r>
      <w:r>
        <w:t xml:space="preserve"> </w:t>
      </w:r>
      <w:r>
        <w:t xml:space="preserve">overlapping estimation windows. They are repeated, dependent observations, not</w:t>
      </w:r>
      <w:r>
        <w:t xml:space="preserve"> </w:t>
      </w:r>
      <w:r>
        <w:t xml:space="preserve">112,000 independent draws, and the nominal count should not be read as an</w:t>
      </w:r>
      <w:r>
        <w:t xml:space="preserve"> </w:t>
      </w:r>
      <w:r>
        <w:t xml:space="preserve">effective independent sample size. The paired tests were preregistered on</w:t>
      </w:r>
      <w:r>
        <w:t xml:space="preserve"> </w:t>
      </w:r>
      <w:r>
        <w:t xml:space="preserve">this structure and remain the reported inference; series-level or</w:t>
      </w:r>
      <w:r>
        <w:t xml:space="preserve"> </w:t>
      </w:r>
      <w:r>
        <w:t xml:space="preserve">block-bootstrap inference that respects the dependence explicitly is</w:t>
      </w:r>
      <w:r>
        <w:t xml:space="preserve"> </w:t>
      </w:r>
      <w:r>
        <w:t xml:space="preserve">identified as a robustness extension in section 7.11. Methodological</w:t>
      </w:r>
      <w:r>
        <w:t xml:space="preserve"> </w:t>
      </w:r>
      <w:r>
        <w:t xml:space="preserve">detail is in appendix B.</w:t>
      </w:r>
    </w:p>
    <w:bookmarkEnd w:id="63"/>
    <w:bookmarkStart w:id="68" w:name="sec:policy"/>
    <w:p>
      <w:pPr>
        <w:pStyle w:val="Heading2"/>
      </w:pPr>
      <w:r>
        <w:t xml:space="preserve">Inventory policy</w:t>
      </w:r>
    </w:p>
    <w:p>
      <w:pPr>
        <w:pStyle w:val="FirstParagraph"/>
      </w:pPr>
      <w:r>
        <w:t xml:space="preserve">All forecasts pass through one shared ordering implementation</w:t>
      </w:r>
      <w:r>
        <w:t xml:space="preserve"> </w:t>
      </w:r>
      <w:r>
        <w:t xml:space="preserve">(</w:t>
      </w:r>
      <w:r>
        <w:rPr>
          <w:rStyle w:val="VerbatimChar"/>
        </w:rPr>
        <w:t xml:space="preserve">11_src/inventory_policy.py</w:t>
      </w:r>
      <w:r>
        <w:t xml:space="preserve">), identical for every model by</w:t>
      </w:r>
      <w:r>
        <w:t xml:space="preserve"> </w:t>
      </w:r>
      <w:r>
        <w:t xml:space="preserve">construction: a daily-review order-up-to (base-stock) policy with lost sales.</w:t>
      </w:r>
      <w:r>
        <w:t xml:space="preserve"> </w:t>
      </w:r>
      <w:r>
        <w:t xml:space="preserve">For each series-origin instance, safety stock equals</w:t>
      </w:r>
      <w:r>
        <w:t xml:space="preserve"> </w:t>
      </w:r>
      <m:oMath>
        <m:r>
          <m:t>z</m:t>
        </m:r>
      </m:oMath>
      <w:r>
        <w:t xml:space="preserve"> </w:t>
      </w:r>
      <w:r>
        <w:t xml:space="preserve">times the</w:t>
      </w:r>
      <w:r>
        <w:t xml:space="preserve"> </w:t>
      </w:r>
      <w:r>
        <w:t xml:space="preserve">forecast-error standard deviation (floored) times</w:t>
      </w:r>
      <w:r>
        <w:t xml:space="preserve"> </w:t>
      </w:r>
      <m:oMath>
        <m:rad>
          <m:radPr>
            <m:degHide m:val="on"/>
          </m:radPr>
          <m:deg/>
          <m:e>
            <m:r>
              <m:t>L</m:t>
            </m:r>
          </m:e>
        </m:rad>
      </m:oMath>
      <w:r>
        <w:t xml:space="preserve">; the order-up-to</w:t>
      </w:r>
      <w:r>
        <w:t xml:space="preserve"> </w:t>
      </w:r>
      <w:r>
        <w:t xml:space="preserve">level is the sum of the next</w:t>
      </w:r>
      <w:r>
        <w:t xml:space="preserve"> </w:t>
      </w:r>
      <m:oMath>
        <m:r>
          <m:t>L</m:t>
        </m:r>
      </m:oMath>
      <w:r>
        <w:t xml:space="preserve"> </w:t>
      </w:r>
      <w:r>
        <w:t xml:space="preserve">forecasts plus safety stock; unmet demand is</w:t>
      </w:r>
      <w:r>
        <w:t xml:space="preserve"> </w:t>
      </w:r>
      <w:r>
        <w:t xml:space="preserve">lost at penalty</w:t>
      </w:r>
      <w:r>
        <w:t xml:space="preserve"> </w:t>
      </w:r>
      <m:oMath>
        <m:r>
          <m:t>P</m:t>
        </m:r>
      </m:oMath>
      <w:r>
        <w:t xml:space="preserve"> </w:t>
      </w:r>
      <w:r>
        <w:t xml:space="preserve">per unit; end-of-day stock accrues holding cost</w:t>
      </w:r>
      <w:r>
        <w:t xml:space="preserve"> </w:t>
      </w:r>
      <m:oMath>
        <m:r>
          <m:t>H</m:t>
        </m:r>
      </m:oMath>
      <w:r>
        <w:t xml:space="preserve"> </w:t>
      </w:r>
      <w:r>
        <w:t xml:space="preserve">per</w:t>
      </w:r>
      <w:r>
        <w:t xml:space="preserve"> </w:t>
      </w:r>
      <w:r>
        <w:t xml:space="preserve">unit. The default ranking policy is</w:t>
      </w:r>
      <w:r>
        <w:t xml:space="preserve"> </w:t>
      </w:r>
      <m:oMath>
        <m:r>
          <m:t>L</m:t>
        </m:r>
        <m:r>
          <m:rPr>
            <m:sty m:val="p"/>
          </m:rPr>
          <m:t>=</m:t>
        </m:r>
        <m:r>
          <m:t>7</m:t>
        </m:r>
      </m:oMath>
      <w:r>
        <w:t xml:space="preserve">, 95% service target (</w:t>
      </w:r>
      <m:oMath>
        <m:r>
          <m:t>z</m:t>
        </m:r>
        <m:r>
          <m:rPr>
            <m:sty m:val="p"/>
          </m:rPr>
          <m:t>≈</m:t>
        </m:r>
        <m:r>
          <m:t>1.645</m:t>
        </m:r>
      </m:oMath>
      <w:r>
        <w:t xml:space="preserve">),</w:t>
      </w:r>
      <w:r>
        <w:t xml:space="preserve"> </w:t>
      </w:r>
      <m:oMath>
        <m:r>
          <m:t>H</m:t>
        </m:r>
        <m:r>
          <m:rPr>
            <m:sty m:val="p"/>
          </m:rPr>
          <m:t>=</m:t>
        </m:r>
        <m:r>
          <m:t>1</m:t>
        </m:r>
      </m:oMath>
      <w:r>
        <w:t xml:space="preserve">,</w:t>
      </w:r>
      <w:r>
        <w:t xml:space="preserve"> </w:t>
      </w:r>
      <m:oMath>
        <m:r>
          <m:t>P</m:t>
        </m:r>
        <m:r>
          <m:rPr>
            <m:sty m:val="p"/>
          </m:rPr>
          <m:t>=</m:t>
        </m:r>
        <m:r>
          <m:t>5</m:t>
        </m:r>
      </m:oMath>
      <w:r>
        <w:t xml:space="preserve">. Total cost decomposes into holding and stockout</w:t>
      </w:r>
      <w:r>
        <w:t xml:space="preserve"> </w:t>
      </w:r>
      <w:r>
        <w:t xml:space="preserve">components, with service level, average inventory, and reorder frequency as</w:t>
      </w:r>
      <w:r>
        <w:t xml:space="preserve"> </w:t>
      </w:r>
      <w:r>
        <w:t xml:space="preserve">diagnostics.</w:t>
      </w:r>
      <w:r>
        <w:t xml:space="preserve"> </w:t>
      </w:r>
      <w:hyperlink w:anchor="fig:invlink">
        <w:r>
          <w:rPr>
            <w:rStyle w:val="Hyperlink"/>
          </w:rPr>
          <w:t xml:space="preserve">9</w:t>
        </w:r>
      </w:hyperlink>
      <w:r>
        <w:t xml:space="preserve"> </w:t>
      </w:r>
      <w:r>
        <w:t xml:space="preserve">illustrates how forecasts enter ordering</w:t>
      </w:r>
      <w:r>
        <w:t xml:space="preserve"> </w:t>
      </w:r>
      <w:r>
        <w:t xml:space="preserve">decisions.</w:t>
      </w:r>
    </w:p>
    <w:bookmarkStart w:id="67" w:name="fig:invlink"/>
    <w:p>
      <w:pPr>
        <w:pStyle w:val="CaptionedFigure"/>
        <w:jc w:val="center"/>
      </w:pPr>
      <w:r>
        <w:drawing>
          <wp:inline>
            <wp:extent cx="4533900" cy="946470"/>
            <wp:effectExtent b="0" l="0" r="0" t="0"/>
            <wp:docPr descr="" title="" id="65" name="Picture"/>
            <a:graphic>
              <a:graphicData uri="http://schemas.openxmlformats.org/drawingml/2006/picture">
                <pic:pic>
                  <pic:nvPicPr>
                    <pic:cNvPr descr="12_inventory_connection.png" id="66" name="Picture"/>
                    <pic:cNvPicPr>
                      <a:picLocks noChangeArrowheads="1" noChangeAspect="1"/>
                    </pic:cNvPicPr>
                  </pic:nvPicPr>
                  <pic:blipFill>
                    <a:blip r:embed="rId64"/>
                    <a:stretch>
                      <a:fillRect/>
                    </a:stretch>
                  </pic:blipFill>
                  <pic:spPr bwMode="auto">
                    <a:xfrm>
                      <a:off x="0" y="0"/>
                      <a:ext cx="4533900" cy="946470"/>
                    </a:xfrm>
                    <a:prstGeom prst="rect">
                      <a:avLst/>
                    </a:prstGeom>
                    <a:noFill/>
                    <a:ln w="9525">
                      <a:noFill/>
                      <a:headEnd/>
                      <a:tailEnd/>
                    </a:ln>
                  </pic:spPr>
                </pic:pic>
              </a:graphicData>
            </a:graphic>
          </wp:inline>
        </w:drawing>
      </w:r>
    </w:p>
    <w:p>
      <w:pPr>
        <w:pStyle w:val="ImageCaption"/>
      </w:pPr>
      <w:r>
        <w:t>Figure 9: From forecast to order: forecasts determine safety stock and order-up-to levels, so the policy governs what each unit of error costs. Teaching figure from notebook 05a.</w:t>
      </w:r>
    </w:p>
    <w:bookmarkEnd w:id="67"/>
    <w:bookmarkEnd w:id="68"/>
    <w:bookmarkStart w:id="69" w:name="sec:sens-method"/>
    <w:p>
      <w:pPr>
        <w:pStyle w:val="Heading2"/>
      </w:pPr>
      <w:r>
        <w:t xml:space="preserve">Robustness and sensitivity analysis</w:t>
      </w:r>
    </w:p>
    <w:p>
      <w:pPr>
        <w:pStyle w:val="FirstParagraph"/>
      </w:pPr>
      <w:r>
        <w:t xml:space="preserve">Headline rankings use the default policy. Their stability is then tested on a</w:t>
      </w:r>
      <w:r>
        <w:t xml:space="preserve"> </w:t>
      </w:r>
      <w:r>
        <w:t xml:space="preserve">27-policy grid (</w:t>
      </w:r>
      <m:oMath>
        <m:r>
          <m:t>L</m:t>
        </m:r>
        <m:r>
          <m:rPr>
            <m:sty m:val="p"/>
          </m:rPr>
          <m:t>∈</m:t>
        </m:r>
        <m:r>
          <m:rPr>
            <m:sty m:val="p"/>
          </m:rPr>
          <m:t>{</m:t>
        </m:r>
        <m:r>
          <m:t>3</m:t>
        </m:r>
        <m:r>
          <m:rPr>
            <m:sty m:val="p"/>
          </m:rPr>
          <m:t>,</m:t>
        </m:r>
        <m:r>
          <m:t>7</m:t>
        </m:r>
        <m:r>
          <m:rPr>
            <m:sty m:val="p"/>
          </m:rPr>
          <m:t>,</m:t>
        </m:r>
        <m:r>
          <m:t>14</m:t>
        </m:r>
        <m:r>
          <m:rPr>
            <m:sty m:val="p"/>
          </m:rPr>
          <m:t>}</m:t>
        </m:r>
      </m:oMath>
      <w:r>
        <w:t xml:space="preserve">, service</w:t>
      </w:r>
      <w:r>
        <w:t xml:space="preserve"> </w:t>
      </w:r>
      <m:oMath>
        <m:r>
          <m:rPr>
            <m:sty m:val="p"/>
          </m:rPr>
          <m:t>∈</m:t>
        </m:r>
        <m:r>
          <m:rPr>
            <m:sty m:val="p"/>
          </m:rPr>
          <m:t>{</m:t>
        </m:r>
        <m:r>
          <m:t>90</m:t>
        </m:r>
        <m:r>
          <m:rPr>
            <m:sty m:val="p"/>
          </m:rPr>
          <m:t>%</m:t>
        </m:r>
        <m:r>
          <m:rPr>
            <m:sty m:val="p"/>
          </m:rPr>
          <m:t>,</m:t>
        </m:r>
        <m:r>
          <m:t>95</m:t>
        </m:r>
        <m:r>
          <m:rPr>
            <m:sty m:val="p"/>
          </m:rPr>
          <m:t>%</m:t>
        </m:r>
        <m:r>
          <m:rPr>
            <m:sty m:val="p"/>
          </m:rPr>
          <m:t>,</m:t>
        </m:r>
        <m:r>
          <m:t>99</m:t>
        </m:r>
        <m:r>
          <m:rPr>
            <m:sty m:val="p"/>
          </m:rPr>
          <m:t>%</m:t>
        </m:r>
        <m:r>
          <m:rPr>
            <m:sty m:val="p"/>
          </m:rPr>
          <m:t>}</m:t>
        </m:r>
      </m:oMath>
      <w:r>
        <w:t xml:space="preserve">,</w:t>
      </w:r>
      <w:r>
        <w:t xml:space="preserve"> </w:t>
      </w:r>
      <m:oMath>
        <m:r>
          <m:t>P</m:t>
        </m:r>
        <m:r>
          <m:rPr>
            <m:sty m:val="p"/>
          </m:rPr>
          <m:t>∈</m:t>
        </m:r>
        <m:r>
          <m:rPr>
            <m:sty m:val="p"/>
          </m:rPr>
          <m:t>{</m:t>
        </m:r>
        <m:r>
          <m:t>3</m:t>
        </m:r>
        <m:r>
          <m:rPr>
            <m:sty m:val="p"/>
          </m:rPr>
          <m:t>,</m:t>
        </m:r>
        <m:r>
          <m:t>5</m:t>
        </m:r>
        <m:r>
          <m:rPr>
            <m:sty m:val="p"/>
          </m:rPr>
          <m:t>,</m:t>
        </m:r>
        <m:r>
          <m:t>10</m:t>
        </m:r>
        <m:r>
          <m:rPr>
            <m:sty m:val="p"/>
          </m:rPr>
          <m:t>}</m:t>
        </m:r>
      </m:oMath>
      <w:r>
        <w:t xml:space="preserve">,</w:t>
      </w:r>
      <w:r>
        <w:t xml:space="preserve"> </w:t>
      </w:r>
      <m:oMath>
        <m:r>
          <m:t>H</m:t>
        </m:r>
        <m:r>
          <m:rPr>
            <m:sty m:val="p"/>
          </m:rPr>
          <m:t>=</m:t>
        </m:r>
        <m:r>
          <m:t>1</m:t>
        </m:r>
      </m:oMath>
      <w:r>
        <w:t xml:space="preserve">), replaying every model-dataset through 540 costing</w:t>
      </w:r>
      <w:r>
        <w:t xml:space="preserve"> </w:t>
      </w:r>
      <w:r>
        <w:t xml:space="preserve">runs. A model ranked first across nearly all policies is described as robust;</w:t>
      </w:r>
      <w:r>
        <w:t xml:space="preserve"> </w:t>
      </w:r>
      <w:r>
        <w:t xml:space="preserve">one whose rank moves with the policy is described as policy-sensitive.</w:t>
      </w:r>
      <w:r>
        <w:t xml:space="preserve"> </w:t>
      </w:r>
      <w:r>
        <w:t xml:space="preserve">Per-archetype M5 costing adds the demand-structure dimension.</w:t>
      </w:r>
    </w:p>
    <w:bookmarkEnd w:id="69"/>
    <w:bookmarkStart w:id="70" w:name="sec:conv-method"/>
    <w:p>
      <w:pPr>
        <w:pStyle w:val="Heading2"/>
      </w:pPr>
      <w:r>
        <w:t xml:space="preserve">Convergence and feasibility</w:t>
      </w:r>
    </w:p>
    <w:p>
      <w:pPr>
        <w:pStyle w:val="FirstParagraph"/>
      </w:pPr>
      <w:r>
        <w:t xml:space="preserve">Every ARIMA/SARIMA estimation is logged per series-origin</w:t>
      </w:r>
      <w:r>
        <w:t xml:space="preserve"> </w:t>
      </w:r>
      <w:r>
        <w:t xml:space="preserve">(</w:t>
      </w:r>
      <w:r>
        <w:rPr>
          <w:rStyle w:val="VerbatimChar"/>
        </w:rPr>
        <w:t xml:space="preserve">convergence_details_*.csv</w:t>
      </w:r>
      <w:r>
        <w:t xml:space="preserve">), with a scope column separating the</w:t>
      </w:r>
      <w:r>
        <w:t xml:space="preserve"> </w:t>
      </w:r>
      <w:r>
        <w:t xml:space="preserve">exploratory 100-series SARIMA subset from the primary full-500 run. A 16-fit</w:t>
      </w:r>
      <w:r>
        <w:t xml:space="preserve"> </w:t>
      </w:r>
      <w:r>
        <w:t xml:space="preserve">feasibility probe (0.62 s per fit) preceded the 4,000-fit full-500 SARIMA run</w:t>
      </w:r>
      <w:r>
        <w:t xml:space="preserve"> </w:t>
      </w:r>
      <w:r>
        <w:t xml:space="preserve">(2,382 s; 4,000 of 4,000 successful). The contrast between complete</w:t>
      </w:r>
      <w:r>
        <w:t xml:space="preserve"> </w:t>
      </w:r>
      <w:r>
        <w:t xml:space="preserve">convergence on dense data and partial pre-check fallback on sparse data is</w:t>
      </w:r>
      <w:r>
        <w:t xml:space="preserve"> </w:t>
      </w:r>
      <w:r>
        <w:t xml:space="preserve">itself an empirical result about estimation feasibility under demand</w:t>
      </w:r>
      <w:r>
        <w:t xml:space="preserve"> </w:t>
      </w:r>
      <w:r>
        <w:t xml:space="preserve">structure.</w:t>
      </w:r>
    </w:p>
    <w:bookmarkEnd w:id="70"/>
    <w:bookmarkStart w:id="71" w:name="sec:validation"/>
    <w:p>
      <w:pPr>
        <w:pStyle w:val="Heading2"/>
      </w:pPr>
      <w:r>
        <w:t xml:space="preserve">Validation and reproducibility</w:t>
      </w:r>
    </w:p>
    <w:p>
      <w:pPr>
        <w:pStyle w:val="FirstParagraph"/>
      </w:pPr>
      <w:r>
        <w:t xml:space="preserve">An independent validator re-checks row counts (112,000 per model-dataset),</w:t>
      </w:r>
      <w:r>
        <w:t xml:space="preserve"> </w:t>
      </w:r>
      <w:r>
        <w:t xml:space="preserve">duplicate keys (zero), origin coverage (1–8), horizon length (28 throughout),</w:t>
      </w:r>
      <w:r>
        <w:t xml:space="preserve"> </w:t>
      </w:r>
      <w:r>
        <w:t xml:space="preserve">test-window containment, forecast finiteness and non-negativity, and</w:t>
      </w:r>
      <w:r>
        <w:t xml:space="preserve"> </w:t>
      </w:r>
      <w:r>
        <w:t xml:space="preserve">cross-family actuals identity (maximum spread 0.0): 0 FAIL</w:t>
      </w:r>
      <w:r>
        <w:t xml:space="preserve"> </w:t>
      </w:r>
      <w:r>
        <w:t xml:space="preserve">(</w:t>
      </w:r>
      <w:r>
        <w:rPr>
          <w:rStyle w:val="VerbatimChar"/>
        </w:rPr>
        <w:t xml:space="preserve">06_results/validation_report.json</w:t>
      </w:r>
      <w:r>
        <w:t xml:space="preserve">). Seeds (42), manifests, run</w:t>
      </w:r>
      <w:r>
        <w:t xml:space="preserve"> </w:t>
      </w:r>
      <w:r>
        <w:t xml:space="preserve">logs, and a pre-hardening backup make each step replayable; provenance is</w:t>
      </w:r>
      <w:r>
        <w:t xml:space="preserve"> </w:t>
      </w:r>
      <w:r>
        <w:t xml:space="preserve">inventoried in appendix I.</w:t>
      </w:r>
    </w:p>
    <w:bookmarkEnd w:id="71"/>
    <w:bookmarkStart w:id="72" w:name="sec:hardening"/>
    <w:p>
      <w:pPr>
        <w:pStyle w:val="Heading2"/>
      </w:pPr>
      <w:r>
        <w:t xml:space="preserve">Research hardening and final evidence freeze</w:t>
      </w:r>
    </w:p>
    <w:p>
      <w:pPr>
        <w:pStyle w:val="FirstParagraph"/>
      </w:pPr>
      <w:r>
        <w:t xml:space="preserve">Before reporting, the evidence passed a hardening audit that corrected the</w:t>
      </w:r>
      <w:r>
        <w:t xml:space="preserve"> </w:t>
      </w:r>
      <w:r>
        <w:t xml:space="preserve">calendar (leap day 2016-02-29 assigned to validation, giving 1,034/121/83),</w:t>
      </w:r>
      <w:r>
        <w:t xml:space="preserve"> </w:t>
      </w:r>
      <w:r>
        <w:t xml:space="preserve">revalidated the LSTM on chronological per-series splits, fixed a Seasonal</w:t>
      </w:r>
      <w:r>
        <w:t xml:space="preserve"> </w:t>
      </w:r>
      <w:r>
        <w:t xml:space="preserve">Naive lookahead, unified all models onto one inventory module, corrected MASE</w:t>
      </w:r>
      <w:r>
        <w:t xml:space="preserve"> </w:t>
      </w:r>
      <w:r>
        <w:t xml:space="preserve">grouping and Wilcoxon effect sizes, pooled archetype WAPE/sMAPE, replaced the</w:t>
      </w:r>
      <w:r>
        <w:t xml:space="preserve"> </w:t>
      </w:r>
      <w:r>
        <w:t xml:space="preserve">SARIMA subset with the full-500 run as the primary result, and repaired</w:t>
      </w:r>
      <w:r>
        <w:t xml:space="preserve"> </w:t>
      </w:r>
      <w:r>
        <w:t xml:space="preserve">identifiers. Pre-hardening originals are preserved untouched in</w:t>
      </w:r>
      <w:r>
        <w:t xml:space="preserve"> </w:t>
      </w:r>
      <w:r>
        <w:rPr>
          <w:rStyle w:val="VerbatimChar"/>
        </w:rPr>
        <w:t xml:space="preserve">06_results/_pre_hardening_backup/</w:t>
      </w:r>
      <w:r>
        <w:t xml:space="preserve"> </w:t>
      </w:r>
      <w:r>
        <w:t xml:space="preserve">and are not report sources.</w:t>
      </w:r>
      <w:r>
        <w:t xml:space="preserve"> </w:t>
      </w:r>
      <w:r>
        <w:t xml:space="preserve">The freeze (commits 53c8343 through edb42ad) generated the number sheet,</w:t>
      </w:r>
      <w:r>
        <w:t xml:space="preserve"> </w:t>
      </w:r>
      <w:r>
        <w:t xml:space="preserve">figure and table audits, and claim traceability programmatically; no headline</w:t>
      </w:r>
      <w:r>
        <w:t xml:space="preserve"> </w:t>
      </w:r>
      <w:r>
        <w:t xml:space="preserve">number in this report was entered by hand. Hardening is documented here to</w:t>
      </w:r>
      <w:r>
        <w:t xml:space="preserve"> </w:t>
      </w:r>
      <w:r>
        <w:t xml:space="preserve">establish the provenance of the evidence.</w:t>
      </w:r>
    </w:p>
    <w:bookmarkEnd w:id="72"/>
    <w:bookmarkEnd w:id="73"/>
    <w:bookmarkStart w:id="92" w:name="sec:models"/>
    <w:p>
      <w:pPr>
        <w:pStyle w:val="Heading1"/>
      </w:pPr>
      <w:r>
        <w:t xml:space="preserve">Models Used</w:t>
      </w:r>
    </w:p>
    <w:p>
      <w:pPr>
        <w:pStyle w:val="FirstParagraph"/>
      </w:pPr>
      <w:r>
        <w:t xml:space="preserve">Each subsection states what the method assumes, how it was configured in this</w:t>
      </w:r>
      <w:r>
        <w:t xml:space="preserve"> </w:t>
      </w:r>
      <w:r>
        <w:t xml:space="preserve">study, and what comparison it supports. Textbook derivations are omitted;</w:t>
      </w:r>
      <w:r>
        <w:t xml:space="preserve"> </w:t>
      </w:r>
      <w:r>
        <w:t xml:space="preserve">implementation truth is in appendix C.</w:t>
      </w:r>
    </w:p>
    <w:bookmarkStart w:id="74" w:name="sec:m-naive"/>
    <w:p>
      <w:pPr>
        <w:pStyle w:val="Heading2"/>
      </w:pPr>
      <w:r>
        <w:t xml:space="preserve">Naive</w:t>
      </w:r>
    </w:p>
    <w:p>
      <w:pPr>
        <w:pStyle w:val="FirstParagraph"/>
      </w:pPr>
      <w:r>
        <w:t xml:space="preserve">Naive repeats the last observed value across the 28-day horizon, using only</w:t>
      </w:r>
      <w:r>
        <w:t xml:space="preserve"> </w:t>
      </w:r>
      <w:r>
        <w:t xml:space="preserve">history preceding each origin. It is the reference floor: a method that cannot</w:t>
      </w:r>
      <w:r>
        <w:t xml:space="preserve"> </w:t>
      </w:r>
      <w:r>
        <w:t xml:space="preserve">improve on repeating yesterday adds no value. Its accuracy is modest (M5 MAE</w:t>
      </w:r>
      <w:r>
        <w:t xml:space="preserve"> </w:t>
      </w:r>
      <w:r>
        <w:t xml:space="preserve">1.18; Store 16.29), yet it wins 6 of 27 Store inventory policies, an early</w:t>
      </w:r>
      <w:r>
        <w:t xml:space="preserve"> </w:t>
      </w:r>
      <w:r>
        <w:t xml:space="preserve">indication that accuracy and cost can diverge.</w:t>
      </w:r>
    </w:p>
    <w:bookmarkEnd w:id="74"/>
    <w:bookmarkStart w:id="75" w:name="sec:m-snaive"/>
    <w:p>
      <w:pPr>
        <w:pStyle w:val="Heading2"/>
      </w:pPr>
      <w:r>
        <w:t xml:space="preserve">Seasonal Naive</w:t>
      </w:r>
    </w:p>
    <w:p>
      <w:pPr>
        <w:pStyle w:val="FirstParagraph"/>
      </w:pPr>
      <w:r>
        <w:t xml:space="preserve">Seasonal Naive repeats the same weekday from the preceding week, the cheapest</w:t>
      </w:r>
      <w:r>
        <w:t xml:space="preserve"> </w:t>
      </w:r>
      <w:r>
        <w:t xml:space="preserve">use of retail’s weekly rhythm (figure 7). The implementation repeats</w:t>
      </w:r>
      <w:r>
        <w:t xml:space="preserve"> </w:t>
      </w:r>
      <w:r>
        <w:t xml:space="preserve">only the last seven observed values; an earlier version that reached beyond</w:t>
      </w:r>
      <w:r>
        <w:t xml:space="preserve"> </w:t>
      </w:r>
      <w:r>
        <w:t xml:space="preserve">the seasonal window was identified and corrected during hardening. It serves</w:t>
      </w:r>
      <w:r>
        <w:t xml:space="preserve"> </w:t>
      </w:r>
      <w:r>
        <w:t xml:space="preserve">as the seasonal reference run in every phase. Despite middling accuracy, it is</w:t>
      </w:r>
      <w:r>
        <w:t xml:space="preserve"> </w:t>
      </w:r>
      <w:r>
        <w:t xml:space="preserve">the third-lowest-cost Store inventory input (2,128.14), which suggests weekly</w:t>
      </w:r>
      <w:r>
        <w:t xml:space="preserve"> </w:t>
      </w:r>
      <w:r>
        <w:t xml:space="preserve">structure stocks shelves effectively even when point accuracy is unremarkable.</w:t>
      </w:r>
    </w:p>
    <w:bookmarkEnd w:id="75"/>
    <w:bookmarkStart w:id="76" w:name="sec:m-ma"/>
    <w:p>
      <w:pPr>
        <w:pStyle w:val="Heading2"/>
      </w:pPr>
      <w:r>
        <w:t xml:space="preserve">Moving Average</w:t>
      </w:r>
    </w:p>
    <w:p>
      <w:pPr>
        <w:pStyle w:val="FirstParagraph"/>
      </w:pPr>
      <w:r>
        <w:t xml:space="preserve">The moving average forecasts the mean of the last</w:t>
      </w:r>
      <w:r>
        <w:t xml:space="preserve"> </w:t>
      </w:r>
      <m:oMath>
        <m:r>
          <m:t>w</m:t>
        </m:r>
      </m:oMath>
      <w:r>
        <w:t xml:space="preserve"> </w:t>
      </w:r>
      <w:r>
        <w:t xml:space="preserve">days, a low-pass filter</w:t>
      </w:r>
      <w:r>
        <w:t xml:space="preserve"> </w:t>
      </w:r>
      <w:r>
        <w:t xml:space="preserve">on noisy demand and the standard practitioner baseline: no estimated dynamics</w:t>
      </w:r>
      <w:r>
        <w:t xml:space="preserve"> </w:t>
      </w:r>
      <w:r>
        <w:t xml:space="preserve">to break. The global window was selected on validation (M5:</w:t>
      </w:r>
      <w:r>
        <w:t xml:space="preserve"> </w:t>
      </w:r>
      <m:oMath>
        <m:r>
          <m:t>w</m:t>
        </m:r>
        <m:r>
          <m:rPr>
            <m:sty m:val="p"/>
          </m:rPr>
          <m:t>=</m:t>
        </m:r>
        <m:r>
          <m:t>14</m:t>
        </m:r>
      </m:oMath>
      <w:r>
        <w:t xml:space="preserve"> </w:t>
      </w:r>
      <w:r>
        <w:t xml:space="preserve">at MAE</w:t>
      </w:r>
      <w:r>
        <w:t xml:space="preserve"> </w:t>
      </w:r>
      <w:r>
        <w:t xml:space="preserve">0.9206, against 0.9236 for</w:t>
      </w:r>
      <w:r>
        <w:t xml:space="preserve"> </w:t>
      </w:r>
      <m:oMath>
        <m:r>
          <m:t>w</m:t>
        </m:r>
        <m:r>
          <m:rPr>
            <m:sty m:val="p"/>
          </m:rPr>
          <m:t>=</m:t>
        </m:r>
        <m:r>
          <m:t>7</m:t>
        </m:r>
      </m:oMath>
      <w:r>
        <w:t xml:space="preserve"> </w:t>
      </w:r>
      <w:r>
        <w:t xml:space="preserve">and 0.9282 for</w:t>
      </w:r>
      <w:r>
        <w:t xml:space="preserve"> </w:t>
      </w:r>
      <m:oMath>
        <m:r>
          <m:t>w</m:t>
        </m:r>
        <m:r>
          <m:rPr>
            <m:sty m:val="p"/>
          </m:rPr>
          <m:t>=</m:t>
        </m:r>
        <m:r>
          <m:t>28</m:t>
        </m:r>
      </m:oMath>
      <w:r>
        <w:t xml:space="preserve">; Store:</w:t>
      </w:r>
      <w:r>
        <w:t xml:space="preserve"> </w:t>
      </w:r>
      <m:oMath>
        <m:r>
          <m:t>w</m:t>
        </m:r>
        <m:r>
          <m:rPr>
            <m:sty m:val="p"/>
          </m:rPr>
          <m:t>=</m:t>
        </m:r>
        <m:r>
          <m:t>7</m:t>
        </m:r>
      </m:oMath>
      <w:r>
        <w:t xml:space="preserve"> </w:t>
      </w:r>
      <w:r>
        <w:t xml:space="preserve">at 7.4057,</w:t>
      </w:r>
      <w:r>
        <w:t xml:space="preserve"> </w:t>
      </w:r>
      <w:r>
        <w:t xml:space="preserve">against 7.5113 and 7.9132), with seed 42. It is the simple method the</w:t>
      </w:r>
      <w:r>
        <w:t xml:space="preserve"> </w:t>
      </w:r>
      <w:r>
        <w:t xml:space="preserve">remaining rungs must justify themselves against. It nearly leads M5</w:t>
      </w:r>
      <w:r>
        <w:t xml:space="preserve"> </w:t>
      </w:r>
      <w:r>
        <w:t xml:space="preserve">forecasting (MASE 1.346 against LSTM’s 1.316) and records the lowest Store</w:t>
      </w:r>
      <w:r>
        <w:t xml:space="preserve"> </w:t>
      </w:r>
      <w:r>
        <w:t xml:space="preserve">inventory cost (2,084.50).</w:t>
      </w:r>
    </w:p>
    <w:bookmarkEnd w:id="76"/>
    <w:bookmarkStart w:id="77" w:name="sec:m-ses"/>
    <w:p>
      <w:pPr>
        <w:pStyle w:val="Heading2"/>
      </w:pPr>
      <w:r>
        <w:t xml:space="preserve">Simple Exponential Smoothing</w:t>
      </w:r>
    </w:p>
    <w:p>
      <w:pPr>
        <w:pStyle w:val="FirstParagraph"/>
      </w:pPr>
      <w:r>
        <w:t xml:space="preserve">SES tracks a slowly moving demand level with higher weight on recent days</w:t>
      </w:r>
      <w:r>
        <w:t xml:space="preserve"> </w:t>
      </w:r>
      <w:r>
        <w:t xml:space="preserve">(Hyndman and Athanasopoulos 2018)</w:t>
      </w:r>
      <w:r>
        <w:t xml:space="preserve">; it is the minimal model with memory, estimating level</w:t>
      </w:r>
      <w:r>
        <w:t xml:space="preserve"> </w:t>
      </w:r>
      <w:r>
        <w:t xml:space="preserve">without trend or seasonality. The transparent implementation uses</w:t>
      </w:r>
      <w:r>
        <w:t xml:space="preserve"> </w:t>
      </w:r>
      <w:r>
        <w:t xml:space="preserve">validation-selected</w:t>
      </w:r>
      <w:r>
        <w:t xml:space="preserve"> </w:t>
      </w:r>
      <m:oMath>
        <m:r>
          <m:t>α</m:t>
        </m:r>
        <m:r>
          <m:rPr>
            <m:sty m:val="p"/>
          </m:rPr>
          <m:t>=</m:t>
        </m:r>
        <m:r>
          <m:t>0.1</m:t>
        </m:r>
      </m:oMath>
      <w:r>
        <w:t xml:space="preserve">. SES performs consistently well without</w:t>
      </w:r>
      <w:r>
        <w:t xml:space="preserve"> </w:t>
      </w:r>
      <w:r>
        <w:t xml:space="preserve">leading any forecast board: second-lowest cost on M5 inventory (159.31) and</w:t>
      </w:r>
      <w:r>
        <w:t xml:space="preserve"> </w:t>
      </w:r>
      <w:r>
        <w:t xml:space="preserve">on Store inventory (2,113.82), and winner of 2 M5 sensitivity policies at</w:t>
      </w:r>
      <w:r>
        <w:t xml:space="preserve"> </w:t>
      </w:r>
      <w:r>
        <w:t xml:space="preserve">short lead with high stockout penalty.</w:t>
      </w:r>
    </w:p>
    <w:bookmarkEnd w:id="77"/>
    <w:bookmarkStart w:id="78" w:name="sec:m-des"/>
    <w:p>
      <w:pPr>
        <w:pStyle w:val="Heading2"/>
      </w:pPr>
      <w:r>
        <w:t xml:space="preserve">Double Exponential Smoothing</w:t>
      </w:r>
    </w:p>
    <w:p>
      <w:pPr>
        <w:pStyle w:val="FirstParagraph"/>
      </w:pPr>
      <w:r>
        <w:t xml:space="preserve">DES (Holt’s method) extends SES with a trend component</w:t>
      </w:r>
      <w:r>
        <w:t xml:space="preserve"> </w:t>
      </w:r>
      <w:r>
        <w:t xml:space="preserve">(</w:t>
      </w:r>
      <m:oMath>
        <m:r>
          <m:t>α</m:t>
        </m:r>
        <m:r>
          <m:rPr>
            <m:sty m:val="p"/>
          </m:rPr>
          <m:t>=</m:t>
        </m:r>
        <m:r>
          <m:t>β</m:t>
        </m:r>
        <m:r>
          <m:rPr>
            <m:sty m:val="p"/>
          </m:rPr>
          <m:t>=</m:t>
        </m:r>
        <m:r>
          <m:t>0.2</m:t>
        </m:r>
      </m:oMath>
      <w:r>
        <w:t xml:space="preserve">, grid-selected), testing whether explicit trend modeling</w:t>
      </w:r>
      <w:r>
        <w:t xml:space="preserve"> </w:t>
      </w:r>
      <w:r>
        <w:t xml:space="preserve">helps. It does not help here. DES carries roughly double the inventory of the</w:t>
      </w:r>
      <w:r>
        <w:t xml:space="preserve"> </w:t>
      </w:r>
      <w:r>
        <w:t xml:space="preserve">leading methods (average stock 8.41 on M5 and 76.07 on Store) while recording</w:t>
      </w:r>
      <w:r>
        <w:t xml:space="preserve"> </w:t>
      </w:r>
      <w:r>
        <w:t xml:space="preserve">mid-range or worse costs, indicating that trend extrapolation on noisy retail</w:t>
      </w:r>
      <w:r>
        <w:t xml:space="preserve"> </w:t>
      </w:r>
      <w:r>
        <w:t xml:space="preserve">data accumulates stock without commensurate accuracy. Its 5 Store sensitivity</w:t>
      </w:r>
      <w:r>
        <w:t xml:space="preserve"> </w:t>
      </w:r>
      <w:r>
        <w:t xml:space="preserve">wins reflect Store leadership fragmentation rather than DES strength.</w:t>
      </w:r>
    </w:p>
    <w:bookmarkEnd w:id="78"/>
    <w:bookmarkStart w:id="79" w:name="sec:m-tes"/>
    <w:p>
      <w:pPr>
        <w:pStyle w:val="Heading2"/>
      </w:pPr>
      <w:r>
        <w:t xml:space="preserve">Triple Exponential Smoothing</w:t>
      </w:r>
    </w:p>
    <w:p>
      <w:pPr>
        <w:pStyle w:val="FirstParagraph"/>
      </w:pPr>
      <w:r>
        <w:t xml:space="preserve">TES (additive Holt-Winters,</w:t>
      </w:r>
      <w:r>
        <w:t xml:space="preserve"> </w:t>
      </w:r>
      <m:oMath>
        <m:r>
          <m:t>0.3</m:t>
        </m:r>
        <m:r>
          <m:rPr>
            <m:sty m:val="p"/>
          </m:rPr>
          <m:t>/</m:t>
        </m:r>
        <m:r>
          <m:t>0.3</m:t>
        </m:r>
        <m:r>
          <m:rPr>
            <m:sty m:val="p"/>
          </m:rPr>
          <m:t>/</m:t>
        </m:r>
        <m:r>
          <m:t>0.3</m:t>
        </m:r>
      </m:oMath>
      <w:r>
        <w:t xml:space="preserve">) adds a weekly seasonal component to</w:t>
      </w:r>
      <w:r>
        <w:t xml:space="preserve"> </w:t>
      </w:r>
      <w:r>
        <w:t xml:space="preserve">DES, completing the classical toolkit in one model. It records the weakest</w:t>
      </w:r>
      <w:r>
        <w:t xml:space="preserve"> </w:t>
      </w:r>
      <w:r>
        <w:t xml:space="preserve">results in the study: M5 MASE 2.60 with cost 346.68, Store MASE 2.11 with cost</w:t>
      </w:r>
      <w:r>
        <w:t xml:space="preserve"> </w:t>
      </w:r>
      <w:r>
        <w:t xml:space="preserve">3,419.88, and the highest error in every archetype. The finding is that</w:t>
      </w:r>
      <w:r>
        <w:t xml:space="preserve"> </w:t>
      </w:r>
      <w:r>
        <w:t xml:space="preserve">combined trend-seasonality structure, as implemented here, overfits the</w:t>
      </w:r>
      <w:r>
        <w:t xml:space="preserve"> </w:t>
      </w:r>
      <w:r>
        <w:t xml:space="preserve">available signal.</w:t>
      </w:r>
    </w:p>
    <w:bookmarkEnd w:id="79"/>
    <w:bookmarkStart w:id="80" w:name="sec:m-arima"/>
    <w:p>
      <w:pPr>
        <w:pStyle w:val="Heading2"/>
      </w:pPr>
      <w:r>
        <w:t xml:space="preserve">ARIMA</w:t>
      </w:r>
    </w:p>
    <w:p>
      <w:pPr>
        <w:pStyle w:val="FirstParagraph"/>
      </w:pPr>
      <w:r>
        <w:t xml:space="preserve">ARIMA models the next value as a linear combination of recent values and</w:t>
      </w:r>
      <w:r>
        <w:t xml:space="preserve"> </w:t>
      </w:r>
      <w:r>
        <w:t xml:space="preserve">recent shocks after differencing toward stationarity</w:t>
      </w:r>
      <w:r>
        <w:t xml:space="preserve"> </w:t>
      </w:r>
      <w:r>
        <w:t xml:space="preserve">(Box and Jenkins 1970; Hyndman and Athanasopoulos 2018)</w:t>
      </w:r>
      <w:r>
        <w:t xml:space="preserve">, providing the statistical treatment of</w:t>
      </w:r>
      <w:r>
        <w:t xml:space="preserve"> </w:t>
      </w:r>
      <w:r>
        <w:t xml:space="preserve">autocorrelation that smoothing lacks. A fixed ARIMA(1,1,0) was adopted after</w:t>
      </w:r>
      <w:r>
        <w:t xml:space="preserve"> </w:t>
      </w:r>
      <w:r>
        <w:t xml:space="preserve">a validation sanity check; per-series order search was rejected as</w:t>
      </w:r>
      <w:r>
        <w:t xml:space="preserve"> </w:t>
      </w:r>
      <w:r>
        <w:t xml:space="preserve">overfitting-prone and computationally out of scope. Series with more than 85%</w:t>
      </w:r>
      <w:r>
        <w:t xml:space="preserve"> </w:t>
      </w:r>
      <w:r>
        <w:t xml:space="preserve">zeros skip estimation and fall back to Naive rather than fitting noise. ARIMA</w:t>
      </w:r>
      <w:r>
        <w:t xml:space="preserve"> </w:t>
      </w:r>
      <w:r>
        <w:t xml:space="preserve">is the linear-memory representative: mid-range accuracy on both datasets (M5</w:t>
      </w:r>
      <w:r>
        <w:t xml:space="preserve"> </w:t>
      </w:r>
      <w:r>
        <w:t xml:space="preserve">MASE 1.51; Store 1.45) with a marked feasibility asymmetry discussed in</w:t>
      </w:r>
      <w:r>
        <w:t xml:space="preserve"> </w:t>
      </w:r>
      <w:r>
        <w:t xml:space="preserve">section 4.13 (22.65% pre-check fallback on sparse M5 demand against</w:t>
      </w:r>
      <w:r>
        <w:t xml:space="preserve"> </w:t>
      </w:r>
      <w:r>
        <w:t xml:space="preserve">zero fallbacks on dense Store demand).</w:t>
      </w:r>
    </w:p>
    <w:bookmarkEnd w:id="80"/>
    <w:bookmarkStart w:id="81" w:name="sec:m-sarima"/>
    <w:p>
      <w:pPr>
        <w:pStyle w:val="Heading2"/>
      </w:pPr>
      <w:r>
        <w:t xml:space="preserve">SARIMA</w:t>
      </w:r>
    </w:p>
    <w:p>
      <w:pPr>
        <w:pStyle w:val="FirstParagraph"/>
      </w:pPr>
      <w:r>
        <w:t xml:space="preserve">SARIMA adds seasonal autoregression and moving-average terms, testing whether</w:t>
      </w:r>
      <w:r>
        <w:t xml:space="preserve"> </w:t>
      </w:r>
      <w:r>
        <w:t xml:space="preserve">explicit weekly autocorrelation improves on SES-style seasonality for dense</w:t>
      </w:r>
      <w:r>
        <w:t xml:space="preserve"> </w:t>
      </w:r>
      <w:r>
        <w:t xml:space="preserve">data. The configuration is SARIMA(1,1,0)(0,1,1)</w:t>
      </w:r>
      <m:oMath>
        <m:sSub>
          <m:e>
            <m:r>
              <m:t>​</m:t>
            </m:r>
          </m:e>
          <m:sub>
            <m:r>
              <m:t>7</m:t>
            </m:r>
          </m:sub>
        </m:sSub>
      </m:oMath>
      <w:r>
        <w:t xml:space="preserve">, Store-only, estimated on</w:t>
      </w:r>
      <w:r>
        <w:t xml:space="preserve"> </w:t>
      </w:r>
      <w:r>
        <w:t xml:space="preserve">the full 500 series by 8 origins (4,000 estimations, 4,000 successful, 2,382</w:t>
      </w:r>
      <w:r>
        <w:t xml:space="preserve"> </w:t>
      </w:r>
      <w:r>
        <w:t xml:space="preserve">seconds total). A prior 100-series subset is retained as an exploratory record</w:t>
      </w:r>
      <w:r>
        <w:t xml:space="preserve"> </w:t>
      </w:r>
      <w:r>
        <w:t xml:space="preserve">but is not the headline result. SARIMA was not estimated on M5: seasonal</w:t>
      </w:r>
      <w:r>
        <w:t xml:space="preserve"> </w:t>
      </w:r>
      <w:r>
        <w:t xml:space="preserve">differencing of predominantly zero series lacks justification, and the</w:t>
      </w:r>
      <w:r>
        <w:t xml:space="preserve"> </w:t>
      </w:r>
      <w:r>
        <w:t xml:space="preserve">Croston rung already addresses that setting. It is the second-ranked Store</w:t>
      </w:r>
      <w:r>
        <w:t xml:space="preserve"> </w:t>
      </w:r>
      <w:r>
        <w:t xml:space="preserve">forecaster (MASE 1.055) but ranks fifth on Store inventory cost (2,282.31).</w:t>
      </w:r>
    </w:p>
    <w:bookmarkEnd w:id="81"/>
    <w:bookmarkStart w:id="86" w:name="sec:m-lstm"/>
    <w:p>
      <w:pPr>
        <w:pStyle w:val="Heading2"/>
      </w:pPr>
      <w:r>
        <w:t xml:space="preserve">LSTM</w:t>
      </w:r>
    </w:p>
    <w:p>
      <w:pPr>
        <w:pStyle w:val="FirstParagraph"/>
      </w:pPr>
      <w:r>
        <w:t xml:space="preserve">The LSTM is a recurrent network with gating that carries signal across long,</w:t>
      </w:r>
      <w:r>
        <w:t xml:space="preserve"> </w:t>
      </w:r>
      <w:r>
        <w:t xml:space="preserve">noisy sequences</w:t>
      </w:r>
      <w:r>
        <w:t xml:space="preserve"> </w:t>
      </w:r>
      <w:r>
        <w:t xml:space="preserve">(Hochreiter and Schmidhuber 1997)</w:t>
      </w:r>
      <w:r>
        <w:t xml:space="preserve">. Estimated globally (one network per</w:t>
      </w:r>
      <w:r>
        <w:t xml:space="preserve"> </w:t>
      </w:r>
      <w:r>
        <w:t xml:space="preserve">dataset, 28-day lookback, per-series history-only scaling, chronological</w:t>
      </w:r>
      <w:r>
        <w:t xml:space="preserve"> </w:t>
      </w:r>
      <w:r>
        <w:t xml:space="preserve">per-series validation rebuilt during hardening to remove overlapping-window</w:t>
      </w:r>
      <w:r>
        <w:t xml:space="preserve"> </w:t>
      </w:r>
      <w:r>
        <w:t xml:space="preserve">leakage, seed 42), it tests whether pooled cross-series learning outperforms</w:t>
      </w:r>
      <w:r>
        <w:t xml:space="preserve"> </w:t>
      </w:r>
      <w:r>
        <w:t xml:space="preserve">per-series statistics. Within the evaluated model set it records the lowest</w:t>
      </w:r>
      <w:r>
        <w:t xml:space="preserve"> </w:t>
      </w:r>
      <w:r>
        <w:t xml:space="preserve">forecast error on both datasets and the lowest M5 inventory cost, but ranks</w:t>
      </w:r>
      <w:r>
        <w:t xml:space="preserve"> </w:t>
      </w:r>
      <w:r>
        <w:t xml:space="preserve">fourth on Store inventory cost; section 4.12 examines this split in</w:t>
      </w:r>
      <w:r>
        <w:t xml:space="preserve"> </w:t>
      </w:r>
      <w:r>
        <w:t xml:space="preserve">detail.</w:t>
      </w:r>
    </w:p>
    <w:bookmarkStart w:id="85" w:name="fig:lstmcell"/>
    <w:p>
      <w:pPr>
        <w:pStyle w:val="CaptionedFigure"/>
        <w:jc w:val="center"/>
      </w:pPr>
      <w:r>
        <w:drawing>
          <wp:inline>
            <wp:extent cx="4533900" cy="1172139"/>
            <wp:effectExtent b="0" l="0" r="0" t="0"/>
            <wp:docPr descr="" title="" id="83" name="Picture"/>
            <a:graphic>
              <a:graphicData uri="http://schemas.openxmlformats.org/drawingml/2006/picture">
                <pic:pic>
                  <pic:nvPicPr>
                    <pic:cNvPr descr="02_lstm_cell_gates.png" id="84" name="Picture"/>
                    <pic:cNvPicPr>
                      <a:picLocks noChangeArrowheads="1" noChangeAspect="1"/>
                    </pic:cNvPicPr>
                  </pic:nvPicPr>
                  <pic:blipFill>
                    <a:blip r:embed="rId82"/>
                    <a:stretch>
                      <a:fillRect/>
                    </a:stretch>
                  </pic:blipFill>
                  <pic:spPr bwMode="auto">
                    <a:xfrm>
                      <a:off x="0" y="0"/>
                      <a:ext cx="4533900" cy="1172139"/>
                    </a:xfrm>
                    <a:prstGeom prst="rect">
                      <a:avLst/>
                    </a:prstGeom>
                    <a:noFill/>
                    <a:ln w="9525">
                      <a:noFill/>
                      <a:headEnd/>
                      <a:tailEnd/>
                    </a:ln>
                  </pic:spPr>
                </pic:pic>
              </a:graphicData>
            </a:graphic>
          </wp:inline>
        </w:drawing>
      </w:r>
    </w:p>
    <w:p>
      <w:pPr>
        <w:pStyle w:val="ImageCaption"/>
      </w:pPr>
      <w:r>
        <w:t>Figure 10: The LSTM cell: gates control what is retained, discarded, and emitted at each step, allowing information to persist across weeks of noisy demand. Teaching figure from notebook 08.</w:t>
      </w:r>
    </w:p>
    <w:bookmarkEnd w:id="85"/>
    <w:bookmarkEnd w:id="86"/>
    <w:bookmarkStart w:id="87" w:name="sec:m-croston"/>
    <w:p>
      <w:pPr>
        <w:pStyle w:val="Heading2"/>
      </w:pPr>
      <w:r>
        <w:t xml:space="preserve">Croston</w:t>
      </w:r>
    </w:p>
    <w:p>
      <w:pPr>
        <w:pStyle w:val="FirstParagraph"/>
      </w:pPr>
      <w:r>
        <w:t xml:space="preserve">Croston’s method</w:t>
      </w:r>
      <w:r>
        <w:t xml:space="preserve"> </w:t>
      </w:r>
      <w:r>
        <w:t xml:space="preserve">(Croston 1972)</w:t>
      </w:r>
      <w:r>
        <w:t xml:space="preserve"> </w:t>
      </w:r>
      <w:r>
        <w:t xml:space="preserve">separates intermittent demand into two</w:t>
      </w:r>
      <w:r>
        <w:t xml:space="preserve"> </w:t>
      </w:r>
      <w:r>
        <w:t xml:space="preserve">sequences (nonzero demand size and interval between nonzero demands) and</w:t>
      </w:r>
      <w:r>
        <w:t xml:space="preserve"> </w:t>
      </w:r>
      <w:r>
        <w:t xml:space="preserve">smooths each independently, avoiding fitting zeros as signal. Estimated</w:t>
      </w:r>
      <w:r>
        <w:t xml:space="preserve"> </w:t>
      </w:r>
      <w:r>
        <w:t xml:space="preserve">M5-only with validation-selected</w:t>
      </w:r>
      <w:r>
        <w:t xml:space="preserve"> </w:t>
      </w:r>
      <m:oMath>
        <m:r>
          <m:t>α</m:t>
        </m:r>
        <m:r>
          <m:rPr>
            <m:sty m:val="p"/>
          </m:rPr>
          <m:t>=</m:t>
        </m:r>
        <m:r>
          <m:t>0.1</m:t>
        </m:r>
      </m:oMath>
      <w:r>
        <w:t xml:space="preserve">; the 28-day forecast is flat at</w:t>
      </w:r>
      <w:r>
        <w:t xml:space="preserve"> </w:t>
      </w:r>
      <w:r>
        <w:t xml:space="preserve">the estimated rate. Accuracy is respectable (MAE 1.08) and its M5 service</w:t>
      </w:r>
      <w:r>
        <w:t xml:space="preserve"> </w:t>
      </w:r>
      <w:r>
        <w:t xml:space="preserve">level is the highest recorded (93.9%), but its cost (174.81) exceeds its</w:t>
      </w:r>
      <w:r>
        <w:t xml:space="preserve"> </w:t>
      </w:r>
      <w:r>
        <w:t xml:space="preserve">bias-corrected variants below.</w:t>
      </w:r>
    </w:p>
    <w:bookmarkEnd w:id="87"/>
    <w:bookmarkStart w:id="88" w:name="sec:m-sba"/>
    <w:p>
      <w:pPr>
        <w:pStyle w:val="Heading2"/>
      </w:pPr>
      <w:r>
        <w:t xml:space="preserve">SBA</w:t>
      </w:r>
    </w:p>
    <w:p>
      <w:pPr>
        <w:pStyle w:val="FirstParagraph"/>
      </w:pPr>
      <w:r>
        <w:t xml:space="preserve">The Syntetos-Boylan approximation</w:t>
      </w:r>
      <w:r>
        <w:t xml:space="preserve"> </w:t>
      </w:r>
      <w:r>
        <w:t xml:space="preserve">(Syntetos and Boylan 2005)</w:t>
      </w:r>
      <w:r>
        <w:t xml:space="preserve"> </w:t>
      </w:r>
      <w:r>
        <w:t xml:space="preserve">multiplies the Croston</w:t>
      </w:r>
      <w:r>
        <w:t xml:space="preserve"> </w:t>
      </w:r>
      <w:r>
        <w:t xml:space="preserve">rate by</w:t>
      </w:r>
      <w:r>
        <w:t xml:space="preserve"> </w:t>
      </w:r>
      <m:oMath>
        <m:r>
          <m:rPr>
            <m:sty m:val="p"/>
          </m:rPr>
          <m:t>(</m:t>
        </m:r>
        <m:r>
          <m:t>1</m:t>
        </m:r>
        <m:r>
          <m:rPr>
            <m:sty m:val="p"/>
          </m:rPr>
          <m:t>−</m:t>
        </m:r>
        <m:r>
          <m:t>α</m:t>
        </m:r>
        <m:r>
          <m:rPr>
            <m:sty m:val="p"/>
          </m:rPr>
          <m:t>/</m:t>
        </m:r>
        <m:r>
          <m:t>2</m:t>
        </m:r>
        <m:r>
          <m:rPr>
            <m:sty m:val="p"/>
          </m:rPr>
          <m:t>)</m:t>
        </m:r>
      </m:oMath>
      <w:r>
        <w:t xml:space="preserve"> </w:t>
      </w:r>
      <w:r>
        <w:t xml:space="preserve">to correct its over-forecast bias. Estimated M5-only</w:t>
      </w:r>
      <w:r>
        <w:t xml:space="preserve"> </w:t>
      </w:r>
      <w:r>
        <w:t xml:space="preserve">with</w:t>
      </w:r>
      <w:r>
        <w:t xml:space="preserve"> </w:t>
      </w:r>
      <m:oMath>
        <m:r>
          <m:t>α</m:t>
        </m:r>
        <m:r>
          <m:rPr>
            <m:sty m:val="p"/>
          </m:rPr>
          <m:t>=</m:t>
        </m:r>
        <m:r>
          <m:t>0.5</m:t>
        </m:r>
      </m:oMath>
      <w:r>
        <w:t xml:space="preserve">. It is the lowest-cost member of the family (160.66): a</w:t>
      </w:r>
      <w:r>
        <w:t xml:space="preserve"> </w:t>
      </w:r>
      <w:r>
        <w:t xml:space="preserve">small algebraic correction with measurable inventory value.</w:t>
      </w:r>
    </w:p>
    <w:bookmarkEnd w:id="88"/>
    <w:bookmarkStart w:id="89" w:name="sec:m-tsb"/>
    <w:p>
      <w:pPr>
        <w:pStyle w:val="Heading2"/>
      </w:pPr>
      <w:r>
        <w:t xml:space="preserve">TSB</w:t>
      </w:r>
    </w:p>
    <w:p>
      <w:pPr>
        <w:pStyle w:val="FirstParagraph"/>
      </w:pPr>
      <w:r>
        <w:t xml:space="preserve">The Teunter-Syntetos-Babai method</w:t>
      </w:r>
      <w:r>
        <w:t xml:space="preserve"> </w:t>
      </w:r>
      <w:r>
        <w:t xml:space="preserve">(Teunter et al. 2011)</w:t>
      </w:r>
      <w:r>
        <w:t xml:space="preserve"> </w:t>
      </w:r>
      <w:r>
        <w:t xml:space="preserve">replaces Croston’s</w:t>
      </w:r>
      <w:r>
        <w:t xml:space="preserve"> </w:t>
      </w:r>
      <w:r>
        <w:t xml:space="preserve">interval smoothing with direct updating of demand-occurrence probability,</w:t>
      </w:r>
      <w:r>
        <w:t xml:space="preserve"> </w:t>
      </w:r>
      <w:r>
        <w:t xml:space="preserve">responding faster when demand patterns shift. Estimated M5-only at</w:t>
      </w:r>
      <w:r>
        <w:t xml:space="preserve"> </w:t>
      </w:r>
      <m:oMath>
        <m:r>
          <m:rPr>
            <m:sty m:val="p"/>
          </m:rPr>
          <m:t>(</m:t>
        </m:r>
        <m:r>
          <m:t>α</m:t>
        </m:r>
        <m:r>
          <m:rPr>
            <m:sty m:val="p"/>
          </m:rPr>
          <m:t>,</m:t>
        </m:r>
        <m:r>
          <m:t>β</m:t>
        </m:r>
        <m:r>
          <m:rPr>
            <m:sty m:val="p"/>
          </m:rPr>
          <m:t>)</m:t>
        </m:r>
        <m:r>
          <m:rPr>
            <m:sty m:val="p"/>
          </m:rPr>
          <m:t>=</m:t>
        </m:r>
        <m:r>
          <m:rPr>
            <m:sty m:val="p"/>
          </m:rPr>
          <m:t>(</m:t>
        </m:r>
        <m:r>
          <m:t>0.1</m:t>
        </m:r>
        <m:r>
          <m:rPr>
            <m:sty m:val="p"/>
          </m:rPr>
          <m:t>,</m:t>
        </m:r>
        <m:r>
          <m:t>0.3</m:t>
        </m:r>
        <m:r>
          <m:rPr>
            <m:sty m:val="p"/>
          </m:rPr>
          <m:t>)</m:t>
        </m:r>
      </m:oMath>
      <w:r>
        <w:t xml:space="preserve">. It records the family’s lowest forecast error</w:t>
      </w:r>
      <w:r>
        <w:t xml:space="preserve"> </w:t>
      </w:r>
      <w:r>
        <w:t xml:space="preserve">(MAE 1.010, MASE 1.369) but the family’s second-lowest cost (165.13): accuracy</w:t>
      </w:r>
      <w:r>
        <w:t xml:space="preserve"> </w:t>
      </w:r>
      <w:r>
        <w:t xml:space="preserve">and cost rank the family differently.</w:t>
      </w:r>
    </w:p>
    <w:bookmarkEnd w:id="89"/>
    <w:bookmarkStart w:id="91" w:name="sec:ladder-compare"/>
    <w:p>
      <w:pPr>
        <w:pStyle w:val="Heading2"/>
      </w:pPr>
      <w:r>
        <w:t xml:space="preserve">Model-ladder comparison</w:t>
      </w:r>
    </w:p>
    <w:p>
      <w:pPr>
        <w:pStyle w:val="FirstParagraph"/>
      </w:pPr>
      <w:hyperlink w:anchor="tab:taxonomy">
        <w:r>
          <w:rPr>
            <w:rStyle w:val="Hyperlink"/>
          </w:rPr>
          <w:t xml:space="preserve">2</w:t>
        </w:r>
      </w:hyperlink>
      <w:r>
        <w:t xml:space="preserve"> </w:t>
      </w:r>
      <w:r>
        <w:t xml:space="preserve">compresses the ladder: twelve methods on five rungs</w:t>
      </w:r>
      <w:r>
        <w:t xml:space="preserve"> </w:t>
      </w:r>
      <w:r>
        <w:t xml:space="preserve">across two datasets, with the two deliberate scope exceptions (SARIMA</w:t>
      </w:r>
      <w:r>
        <w:t xml:space="preserve"> </w:t>
      </w:r>
      <w:r>
        <w:t xml:space="preserve">Store-only, Croston family M5-only). The ladder orders complexity; whether</w:t>
      </w:r>
      <w:r>
        <w:t xml:space="preserve"> </w:t>
      </w:r>
      <w:r>
        <w:t xml:space="preserve">value follows is resolved empirically in section 4.</w:t>
      </w:r>
    </w:p>
    <w:bookmarkStart w:id="90" w:name="tab:taxonomy"/>
    <w:p>
      <w:pPr>
        <w:pStyle w:val="TableCaption"/>
      </w:pPr>
      <w:r>
        <w:t>Table 2: Model taxonomy: purpose, scope, and comparative role. Full configurations in appendix C.</w:t>
      </w:r>
    </w:p>
    <w:tbl>
      <w:tblPr>
        <w:tblStyle w:val="Table"/>
        <w:tblW w:type="auto" w:w="0"/>
        <w:jc w:val="center"/>
        <w:tblLook w:firstRow="1" w:lastRow="0" w:firstColumn="0" w:lastColumn="0" w:noHBand="0" w:noVBand="0" w:val="0020"/>
        <w:tblCaption w:val="Model taxonomy: purpose, scope, and comparative role. Full configurations in appendix C."/>
      </w:tblPr>
      <w:tblGrid>
        <w:gridCol w:w="1980"/>
        <w:gridCol w:w="1980"/>
        <w:gridCol w:w="1980"/>
        <w:gridCol w:w="1980"/>
      </w:tblGrid>
      <w:tr>
        <w:trPr>
          <w:tblHeader w:val="on"/>
        </w:trPr>
        <w:tc>
          <w:tcPr>
            <w:shd w:fill="EDEDED" w:val="clear"/>
          </w:tcPr>
          <w:p>
            <w:pPr>
              <w:pStyle w:val="Compact"/>
              <w:spacing w:after="40"/>
              <w:jc w:val="left"/>
            </w:pPr>
            <w:r>
              <w:rPr>
                <w:b/>
                <w:sz w:val="19"/>
              </w:rPr>
              <w:t xml:space="preserve">Model</w:t>
            </w:r>
          </w:p>
        </w:tc>
        <w:tc>
          <w:tcPr>
            <w:shd w:fill="EDEDED" w:val="clear"/>
          </w:tcPr>
          <w:p>
            <w:pPr>
              <w:pStyle w:val="Compact"/>
              <w:spacing w:after="40"/>
              <w:jc w:val="left"/>
            </w:pPr>
            <w:r>
              <w:rPr>
                <w:b/>
                <w:sz w:val="19"/>
              </w:rPr>
              <w:t xml:space="preserve">Rung</w:t>
            </w:r>
          </w:p>
        </w:tc>
        <w:tc>
          <w:tcPr>
            <w:shd w:fill="EDEDED" w:val="clear"/>
          </w:tcPr>
          <w:p>
            <w:pPr>
              <w:pStyle w:val="Compact"/>
              <w:spacing w:after="40"/>
              <w:jc w:val="left"/>
            </w:pPr>
            <w:r>
              <w:rPr>
                <w:b/>
                <w:sz w:val="19"/>
              </w:rPr>
              <w:t xml:space="preserve">Scope</w:t>
            </w:r>
          </w:p>
        </w:tc>
        <w:tc>
          <w:tcPr>
            <w:shd w:fill="EDEDED" w:val="clear"/>
          </w:tcPr>
          <w:p>
            <w:pPr>
              <w:pStyle w:val="Compact"/>
              <w:spacing w:after="40"/>
              <w:jc w:val="left"/>
            </w:pPr>
            <w:r>
              <w:rPr>
                <w:b/>
                <w:sz w:val="19"/>
              </w:rPr>
              <w:t xml:space="preserve">Comparative role</w:t>
            </w:r>
          </w:p>
        </w:tc>
      </w:tr>
      <w:tr>
        <w:tc>
          <w:tcPr/>
          <w:p>
            <w:pPr>
              <w:pStyle w:val="Compact"/>
              <w:spacing w:after="40"/>
              <w:jc w:val="left"/>
            </w:pPr>
            <w:r>
              <w:rPr>
                <w:sz w:val="19"/>
              </w:rPr>
              <w:t xml:space="preserve">Naive</w:t>
            </w:r>
          </w:p>
        </w:tc>
        <w:tc>
          <w:tcPr/>
          <w:p>
            <w:pPr>
              <w:pStyle w:val="Compact"/>
              <w:spacing w:after="40"/>
              <w:jc w:val="left"/>
            </w:pPr>
            <w:r>
              <w:rPr>
                <w:sz w:val="19"/>
              </w:rPr>
              <w:t xml:space="preserve">Baseline</w:t>
            </w:r>
          </w:p>
        </w:tc>
        <w:tc>
          <w:tcPr/>
          <w:p>
            <w:pPr>
              <w:pStyle w:val="Compact"/>
              <w:spacing w:after="40"/>
              <w:jc w:val="left"/>
            </w:pPr>
            <w:r>
              <w:rPr>
                <w:sz w:val="19"/>
              </w:rPr>
              <w:t xml:space="preserve">Both</w:t>
            </w:r>
          </w:p>
        </w:tc>
        <w:tc>
          <w:tcPr/>
          <w:p>
            <w:pPr>
              <w:pStyle w:val="Compact"/>
              <w:spacing w:after="40"/>
              <w:jc w:val="left"/>
            </w:pPr>
            <w:r>
              <w:rPr>
                <w:sz w:val="19"/>
              </w:rPr>
              <w:t xml:space="preserve">Reference floor</w:t>
            </w:r>
          </w:p>
        </w:tc>
      </w:tr>
      <w:tr>
        <w:tc>
          <w:tcPr/>
          <w:p>
            <w:pPr>
              <w:pStyle w:val="Compact"/>
              <w:spacing w:after="40"/>
              <w:jc w:val="left"/>
            </w:pPr>
            <w:r>
              <w:rPr>
                <w:sz w:val="19"/>
              </w:rPr>
              <w:t xml:space="preserve">Seasonal Naive</w:t>
            </w:r>
          </w:p>
        </w:tc>
        <w:tc>
          <w:tcPr/>
          <w:p>
            <w:pPr>
              <w:pStyle w:val="Compact"/>
              <w:spacing w:after="40"/>
              <w:jc w:val="left"/>
            </w:pPr>
            <w:r>
              <w:rPr>
                <w:sz w:val="19"/>
              </w:rPr>
              <w:t xml:space="preserve">Baseline</w:t>
            </w:r>
          </w:p>
        </w:tc>
        <w:tc>
          <w:tcPr/>
          <w:p>
            <w:pPr>
              <w:pStyle w:val="Compact"/>
              <w:spacing w:after="40"/>
              <w:jc w:val="left"/>
            </w:pPr>
            <w:r>
              <w:rPr>
                <w:sz w:val="19"/>
              </w:rPr>
              <w:t xml:space="preserve">Both</w:t>
            </w:r>
          </w:p>
        </w:tc>
        <w:tc>
          <w:tcPr/>
          <w:p>
            <w:pPr>
              <w:pStyle w:val="Compact"/>
              <w:spacing w:after="40"/>
              <w:jc w:val="left"/>
            </w:pPr>
            <w:r>
              <w:rPr>
                <w:sz w:val="19"/>
              </w:rPr>
              <w:t xml:space="preserve">Weekly-rhythm reference</w:t>
            </w:r>
          </w:p>
        </w:tc>
      </w:tr>
      <w:tr>
        <w:tc>
          <w:tcPr/>
          <w:p>
            <w:pPr>
              <w:pStyle w:val="Compact"/>
              <w:spacing w:after="40"/>
              <w:jc w:val="left"/>
            </w:pPr>
            <w:r>
              <w:rPr>
                <w:sz w:val="19"/>
              </w:rPr>
              <w:t xml:space="preserve">Moving Average</w:t>
            </w:r>
          </w:p>
        </w:tc>
        <w:tc>
          <w:tcPr/>
          <w:p>
            <w:pPr>
              <w:pStyle w:val="Compact"/>
              <w:spacing w:after="40"/>
              <w:jc w:val="left"/>
            </w:pPr>
            <w:r>
              <w:rPr>
                <w:sz w:val="19"/>
              </w:rPr>
              <w:t xml:space="preserve">Baseline</w:t>
            </w:r>
          </w:p>
        </w:tc>
        <w:tc>
          <w:tcPr/>
          <w:p>
            <w:pPr>
              <w:pStyle w:val="Compact"/>
              <w:spacing w:after="40"/>
              <w:jc w:val="left"/>
            </w:pPr>
            <w:r>
              <w:rPr>
                <w:sz w:val="19"/>
              </w:rPr>
              <w:t xml:space="preserve">Both</w:t>
            </w:r>
          </w:p>
        </w:tc>
        <w:tc>
          <w:tcPr/>
          <w:p>
            <w:pPr>
              <w:pStyle w:val="Compact"/>
              <w:spacing w:after="40"/>
              <w:jc w:val="left"/>
            </w:pPr>
            <w:r>
              <w:rPr>
                <w:sz w:val="19"/>
              </w:rPr>
              <w:t xml:space="preserve">Practitioner benchmark</w:t>
            </w:r>
          </w:p>
        </w:tc>
      </w:tr>
      <w:tr>
        <w:tc>
          <w:tcPr/>
          <w:p>
            <w:pPr>
              <w:pStyle w:val="Compact"/>
              <w:spacing w:after="40"/>
              <w:jc w:val="left"/>
            </w:pPr>
            <w:r>
              <w:rPr>
                <w:sz w:val="19"/>
              </w:rPr>
              <w:t xml:space="preserve">SES</w:t>
            </w:r>
          </w:p>
        </w:tc>
        <w:tc>
          <w:tcPr/>
          <w:p>
            <w:pPr>
              <w:pStyle w:val="Compact"/>
              <w:spacing w:after="40"/>
              <w:jc w:val="left"/>
            </w:pPr>
            <w:r>
              <w:rPr>
                <w:sz w:val="19"/>
              </w:rPr>
              <w:t xml:space="preserve">Smoothing</w:t>
            </w:r>
          </w:p>
        </w:tc>
        <w:tc>
          <w:tcPr/>
          <w:p>
            <w:pPr>
              <w:pStyle w:val="Compact"/>
              <w:spacing w:after="40"/>
              <w:jc w:val="left"/>
            </w:pPr>
            <w:r>
              <w:rPr>
                <w:sz w:val="19"/>
              </w:rPr>
              <w:t xml:space="preserve">Both</w:t>
            </w:r>
          </w:p>
        </w:tc>
        <w:tc>
          <w:tcPr/>
          <w:p>
            <w:pPr>
              <w:pStyle w:val="Compact"/>
              <w:spacing w:after="40"/>
              <w:jc w:val="left"/>
            </w:pPr>
            <w:r>
              <w:rPr>
                <w:sz w:val="19"/>
              </w:rPr>
              <w:t xml:space="preserve">Level memory</w:t>
            </w:r>
          </w:p>
        </w:tc>
      </w:tr>
      <w:tr>
        <w:tc>
          <w:tcPr/>
          <w:p>
            <w:pPr>
              <w:pStyle w:val="Compact"/>
              <w:spacing w:after="40"/>
              <w:jc w:val="left"/>
            </w:pPr>
            <w:r>
              <w:rPr>
                <w:sz w:val="19"/>
              </w:rPr>
              <w:t xml:space="preserve">DES</w:t>
            </w:r>
          </w:p>
        </w:tc>
        <w:tc>
          <w:tcPr/>
          <w:p>
            <w:pPr>
              <w:pStyle w:val="Compact"/>
              <w:spacing w:after="40"/>
              <w:jc w:val="left"/>
            </w:pPr>
            <w:r>
              <w:rPr>
                <w:sz w:val="19"/>
              </w:rPr>
              <w:t xml:space="preserve">Smoothing</w:t>
            </w:r>
          </w:p>
        </w:tc>
        <w:tc>
          <w:tcPr/>
          <w:p>
            <w:pPr>
              <w:pStyle w:val="Compact"/>
              <w:spacing w:after="40"/>
              <w:jc w:val="left"/>
            </w:pPr>
            <w:r>
              <w:rPr>
                <w:sz w:val="19"/>
              </w:rPr>
              <w:t xml:space="preserve">Both</w:t>
            </w:r>
          </w:p>
        </w:tc>
        <w:tc>
          <w:tcPr/>
          <w:p>
            <w:pPr>
              <w:pStyle w:val="Compact"/>
              <w:spacing w:after="40"/>
              <w:jc w:val="left"/>
            </w:pPr>
            <w:r>
              <w:rPr>
                <w:sz w:val="19"/>
              </w:rPr>
              <w:t xml:space="preserve">Trend specification (records overstocking)</w:t>
            </w:r>
          </w:p>
        </w:tc>
      </w:tr>
      <w:tr>
        <w:tc>
          <w:tcPr/>
          <w:p>
            <w:pPr>
              <w:pStyle w:val="Compact"/>
              <w:spacing w:after="40"/>
              <w:jc w:val="left"/>
            </w:pPr>
            <w:r>
              <w:rPr>
                <w:sz w:val="19"/>
              </w:rPr>
              <w:t xml:space="preserve">TES</w:t>
            </w:r>
          </w:p>
        </w:tc>
        <w:tc>
          <w:tcPr/>
          <w:p>
            <w:pPr>
              <w:pStyle w:val="Compact"/>
              <w:spacing w:after="40"/>
              <w:jc w:val="left"/>
            </w:pPr>
            <w:r>
              <w:rPr>
                <w:sz w:val="19"/>
              </w:rPr>
              <w:t xml:space="preserve">Smoothing</w:t>
            </w:r>
          </w:p>
        </w:tc>
        <w:tc>
          <w:tcPr/>
          <w:p>
            <w:pPr>
              <w:pStyle w:val="Compact"/>
              <w:spacing w:after="40"/>
              <w:jc w:val="left"/>
            </w:pPr>
            <w:r>
              <w:rPr>
                <w:sz w:val="19"/>
              </w:rPr>
              <w:t xml:space="preserve">Both</w:t>
            </w:r>
          </w:p>
        </w:tc>
        <w:tc>
          <w:tcPr/>
          <w:p>
            <w:pPr>
              <w:pStyle w:val="Compact"/>
              <w:spacing w:after="40"/>
              <w:jc w:val="left"/>
            </w:pPr>
            <w:r>
              <w:rPr>
                <w:sz w:val="19"/>
              </w:rPr>
              <w:t xml:space="preserve">Full classical specification (weakest results)</w:t>
            </w:r>
          </w:p>
        </w:tc>
      </w:tr>
      <w:tr>
        <w:tc>
          <w:tcPr/>
          <w:p>
            <w:pPr>
              <w:pStyle w:val="Compact"/>
              <w:spacing w:after="40"/>
              <w:jc w:val="left"/>
            </w:pPr>
            <w:r>
              <w:rPr>
                <w:sz w:val="19"/>
              </w:rPr>
              <w:t xml:space="preserve">ARIMA(1,1,0)</w:t>
            </w:r>
          </w:p>
        </w:tc>
        <w:tc>
          <w:tcPr/>
          <w:p>
            <w:pPr>
              <w:pStyle w:val="Compact"/>
              <w:spacing w:after="40"/>
              <w:jc w:val="left"/>
            </w:pPr>
            <w:r>
              <w:rPr>
                <w:sz w:val="19"/>
              </w:rPr>
              <w:t xml:space="preserve">Statistical</w:t>
            </w:r>
          </w:p>
        </w:tc>
        <w:tc>
          <w:tcPr/>
          <w:p>
            <w:pPr>
              <w:pStyle w:val="Compact"/>
              <w:spacing w:after="40"/>
              <w:jc w:val="left"/>
            </w:pPr>
            <w:r>
              <w:rPr>
                <w:sz w:val="19"/>
              </w:rPr>
              <w:t xml:space="preserve">Both</w:t>
            </w:r>
          </w:p>
        </w:tc>
        <w:tc>
          <w:tcPr/>
          <w:p>
            <w:pPr>
              <w:pStyle w:val="Compact"/>
              <w:spacing w:after="40"/>
              <w:jc w:val="left"/>
            </w:pPr>
            <w:r>
              <w:rPr>
                <w:sz w:val="19"/>
              </w:rPr>
              <w:t xml:space="preserve">Linear memory</w:t>
            </w:r>
          </w:p>
        </w:tc>
      </w:tr>
      <w:tr>
        <w:tc>
          <w:tcPr/>
          <w:p>
            <w:pPr>
              <w:pStyle w:val="Compact"/>
              <w:spacing w:after="40"/>
              <w:jc w:val="left"/>
            </w:pPr>
            <w:r>
              <w:rPr>
                <w:sz w:val="19"/>
              </w:rPr>
              <w:t xml:space="preserve">SARIMA(1,1,0)(0,1,1)</w:t>
            </w:r>
            <m:oMath>
              <m:sSub>
                <m:e>
                  <m:r>
                    <m:t>​</m:t>
                  </m:r>
                </m:e>
                <m:sub>
                  <m:r>
                    <m:t>7</m:t>
                  </m:r>
                </m:sub>
              </m:sSub>
            </m:oMath>
          </w:p>
        </w:tc>
        <w:tc>
          <w:tcPr/>
          <w:p>
            <w:pPr>
              <w:pStyle w:val="Compact"/>
              <w:spacing w:after="40"/>
              <w:jc w:val="left"/>
            </w:pPr>
            <w:r>
              <w:rPr>
                <w:sz w:val="19"/>
              </w:rPr>
              <w:t xml:space="preserve">Statistical</w:t>
            </w:r>
          </w:p>
        </w:tc>
        <w:tc>
          <w:tcPr/>
          <w:p>
            <w:pPr>
              <w:pStyle w:val="Compact"/>
              <w:spacing w:after="40"/>
              <w:jc w:val="left"/>
            </w:pPr>
            <w:r>
              <w:rPr>
                <w:sz w:val="19"/>
              </w:rPr>
              <w:t xml:space="preserve">Store only</w:t>
            </w:r>
          </w:p>
        </w:tc>
        <w:tc>
          <w:tcPr/>
          <w:p>
            <w:pPr>
              <w:pStyle w:val="Compact"/>
              <w:spacing w:after="40"/>
              <w:jc w:val="left"/>
            </w:pPr>
            <w:r>
              <w:rPr>
                <w:sz w:val="19"/>
              </w:rPr>
              <w:t xml:space="preserve">Seasonal challenger</w:t>
            </w:r>
          </w:p>
        </w:tc>
      </w:tr>
      <w:tr>
        <w:tc>
          <w:tcPr/>
          <w:p>
            <w:pPr>
              <w:pStyle w:val="Compact"/>
              <w:spacing w:after="40"/>
              <w:jc w:val="left"/>
            </w:pPr>
            <w:r>
              <w:rPr>
                <w:sz w:val="19"/>
              </w:rPr>
              <w:t xml:space="preserve">LSTM (global)</w:t>
            </w:r>
          </w:p>
        </w:tc>
        <w:tc>
          <w:tcPr/>
          <w:p>
            <w:pPr>
              <w:pStyle w:val="Compact"/>
              <w:spacing w:after="40"/>
              <w:jc w:val="left"/>
            </w:pPr>
            <w:r>
              <w:rPr>
                <w:sz w:val="19"/>
              </w:rPr>
              <w:t xml:space="preserve">Neural</w:t>
            </w:r>
          </w:p>
        </w:tc>
        <w:tc>
          <w:tcPr/>
          <w:p>
            <w:pPr>
              <w:pStyle w:val="Compact"/>
              <w:spacing w:after="40"/>
              <w:jc w:val="left"/>
            </w:pPr>
            <w:r>
              <w:rPr>
                <w:sz w:val="19"/>
              </w:rPr>
              <w:t xml:space="preserve">Both</w:t>
            </w:r>
          </w:p>
        </w:tc>
        <w:tc>
          <w:tcPr/>
          <w:p>
            <w:pPr>
              <w:pStyle w:val="Compact"/>
              <w:spacing w:after="40"/>
              <w:jc w:val="left"/>
            </w:pPr>
            <w:r>
              <w:rPr>
                <w:sz w:val="19"/>
              </w:rPr>
              <w:t xml:space="preserve">Pooled nonlinear learning</w:t>
            </w:r>
          </w:p>
        </w:tc>
      </w:tr>
      <w:tr>
        <w:tc>
          <w:tcPr/>
          <w:p>
            <w:pPr>
              <w:pStyle w:val="Compact"/>
              <w:spacing w:after="40"/>
              <w:jc w:val="left"/>
            </w:pPr>
            <w:r>
              <w:rPr>
                <w:sz w:val="19"/>
              </w:rPr>
              <w:t xml:space="preserve">Croston</w:t>
            </w:r>
          </w:p>
        </w:tc>
        <w:tc>
          <w:tcPr/>
          <w:p>
            <w:pPr>
              <w:pStyle w:val="Compact"/>
              <w:spacing w:after="40"/>
              <w:jc w:val="left"/>
            </w:pPr>
            <w:r>
              <w:rPr>
                <w:sz w:val="19"/>
              </w:rPr>
              <w:t xml:space="preserve">Intermittent</w:t>
            </w:r>
          </w:p>
        </w:tc>
        <w:tc>
          <w:tcPr/>
          <w:p>
            <w:pPr>
              <w:pStyle w:val="Compact"/>
              <w:spacing w:after="40"/>
              <w:jc w:val="left"/>
            </w:pPr>
            <w:r>
              <w:rPr>
                <w:sz w:val="19"/>
              </w:rPr>
              <w:t xml:space="preserve">M5 only</w:t>
            </w:r>
          </w:p>
        </w:tc>
        <w:tc>
          <w:tcPr/>
          <w:p>
            <w:pPr>
              <w:pStyle w:val="Compact"/>
              <w:spacing w:after="40"/>
              <w:jc w:val="left"/>
            </w:pPr>
            <w:r>
              <w:rPr>
                <w:sz w:val="19"/>
              </w:rPr>
              <w:t xml:space="preserve">Sparse-data specialist</w:t>
            </w:r>
          </w:p>
        </w:tc>
      </w:tr>
      <w:tr>
        <w:tc>
          <w:tcPr/>
          <w:p>
            <w:pPr>
              <w:pStyle w:val="Compact"/>
              <w:spacing w:after="40"/>
              <w:jc w:val="left"/>
            </w:pPr>
            <w:r>
              <w:rPr>
                <w:sz w:val="19"/>
              </w:rPr>
              <w:t xml:space="preserve">SBA</w:t>
            </w:r>
          </w:p>
        </w:tc>
        <w:tc>
          <w:tcPr/>
          <w:p>
            <w:pPr>
              <w:pStyle w:val="Compact"/>
              <w:spacing w:after="40"/>
              <w:jc w:val="left"/>
            </w:pPr>
            <w:r>
              <w:rPr>
                <w:sz w:val="19"/>
              </w:rPr>
              <w:t xml:space="preserve">Intermittent</w:t>
            </w:r>
          </w:p>
        </w:tc>
        <w:tc>
          <w:tcPr/>
          <w:p>
            <w:pPr>
              <w:pStyle w:val="Compact"/>
              <w:spacing w:after="40"/>
              <w:jc w:val="left"/>
            </w:pPr>
            <w:r>
              <w:rPr>
                <w:sz w:val="19"/>
              </w:rPr>
              <w:t xml:space="preserve">M5 only</w:t>
            </w:r>
          </w:p>
        </w:tc>
        <w:tc>
          <w:tcPr/>
          <w:p>
            <w:pPr>
              <w:pStyle w:val="Compact"/>
              <w:spacing w:after="40"/>
              <w:jc w:val="left"/>
            </w:pPr>
            <w:r>
              <w:rPr>
                <w:sz w:val="19"/>
              </w:rPr>
              <w:t xml:space="preserve">Debiased specialist</w:t>
            </w:r>
          </w:p>
        </w:tc>
      </w:tr>
      <w:tr>
        <w:tc>
          <w:tcPr/>
          <w:p>
            <w:pPr>
              <w:pStyle w:val="Compact"/>
              <w:spacing w:after="40"/>
              <w:jc w:val="left"/>
            </w:pPr>
            <w:r>
              <w:rPr>
                <w:sz w:val="19"/>
              </w:rPr>
              <w:t xml:space="preserve">TSB</w:t>
            </w:r>
          </w:p>
        </w:tc>
        <w:tc>
          <w:tcPr/>
          <w:p>
            <w:pPr>
              <w:pStyle w:val="Compact"/>
              <w:spacing w:after="40"/>
              <w:jc w:val="left"/>
            </w:pPr>
            <w:r>
              <w:rPr>
                <w:sz w:val="19"/>
              </w:rPr>
              <w:t xml:space="preserve">Intermittent</w:t>
            </w:r>
          </w:p>
        </w:tc>
        <w:tc>
          <w:tcPr/>
          <w:p>
            <w:pPr>
              <w:pStyle w:val="Compact"/>
              <w:spacing w:after="40"/>
              <w:jc w:val="left"/>
            </w:pPr>
            <w:r>
              <w:rPr>
                <w:sz w:val="19"/>
              </w:rPr>
              <w:t xml:space="preserve">M5 only</w:t>
            </w:r>
          </w:p>
        </w:tc>
        <w:tc>
          <w:tcPr/>
          <w:p>
            <w:pPr>
              <w:pStyle w:val="Compact"/>
              <w:spacing w:after="40"/>
              <w:jc w:val="left"/>
            </w:pPr>
            <w:r>
              <w:rPr>
                <w:sz w:val="19"/>
              </w:rPr>
              <w:t xml:space="preserve">Adaptive specialist</w:t>
            </w:r>
          </w:p>
        </w:tc>
      </w:tr>
    </w:tbl>
    <w:bookmarkEnd w:id="90"/>
    <w:bookmarkEnd w:id="91"/>
    <w:bookmarkEnd w:id="92"/>
    <w:bookmarkStart w:id="192" w:name="sec:findings"/>
    <w:p>
      <w:pPr>
        <w:pStyle w:val="Heading1"/>
      </w:pPr>
      <w:r>
        <w:t xml:space="preserve">Key Findings and Results</w:t>
      </w:r>
    </w:p>
    <w:bookmarkStart w:id="97" w:name="sec:overall-fc"/>
    <w:p>
      <w:pPr>
        <w:pStyle w:val="Heading2"/>
      </w:pPr>
      <w:r>
        <w:t xml:space="preserve">Overall forecasting results</w:t>
      </w:r>
    </w:p>
    <w:p>
      <w:pPr>
        <w:pStyle w:val="FirstParagraph"/>
      </w:pPr>
      <w:hyperlink w:anchor="fig:mase-board">
        <w:r>
          <w:rPr>
            <w:rStyle w:val="Hyperlink"/>
          </w:rPr>
          <w:t xml:space="preserve">11</w:t>
        </w:r>
      </w:hyperlink>
      <w:r>
        <w:t xml:space="preserve"> </w:t>
      </w:r>
      <w:r>
        <w:t xml:space="preserve">summarizes forecasting performance on one scale. On M5,</w:t>
      </w:r>
      <w:r>
        <w:t xml:space="preserve"> </w:t>
      </w:r>
      <w:r>
        <w:t xml:space="preserve">a lead cluster (LSTM at 1.316, Moving Average at 1.346, SES at 1.351, TSB at</w:t>
      </w:r>
      <w:r>
        <w:t xml:space="preserve"> </w:t>
      </w:r>
      <w:r>
        <w:t xml:space="preserve">1.369) separates from ARIMA (1.505), the Naive pair (approximately 1.53), and</w:t>
      </w:r>
      <w:r>
        <w:t xml:space="preserve"> </w:t>
      </w:r>
      <w:r>
        <w:t xml:space="preserve">the smoothing failures DES (1.987) and TES (2.599). On Store demand the spread</w:t>
      </w:r>
      <w:r>
        <w:t xml:space="preserve"> </w:t>
      </w:r>
      <w:r>
        <w:t xml:space="preserve">is wider: LSTM (0.978) is the only model below 1.0, followed by</w:t>
      </w:r>
      <w:r>
        <w:t xml:space="preserve"> </w:t>
      </w:r>
      <w:r>
        <w:t xml:space="preserve">SARIMA-full500 (1.055), Seasonal Naive (1.183), and Moving Average (1.191),</w:t>
      </w:r>
      <w:r>
        <w:t xml:space="preserve"> </w:t>
      </w:r>
      <w:r>
        <w:t xml:space="preserve">with Naive (1.971) and TES (2.111) at the upper end. MASE below 1.0 indicates</w:t>
      </w:r>
      <w:r>
        <w:t xml:space="preserve"> </w:t>
      </w:r>
      <w:r>
        <w:t xml:space="preserve">improvement over the training-period seasonal-naive benchmark, which only</w:t>
      </w:r>
      <w:r>
        <w:t xml:space="preserve"> </w:t>
      </w:r>
      <w:r>
        <w:t xml:space="preserve">Store LSTM achieves. The tight M5 cluster requires formal testing to rank</w:t>
      </w:r>
      <w:r>
        <w:t xml:space="preserve"> </w:t>
      </w:r>
      <w:r>
        <w:t xml:space="preserve">internally (section 4.5).</w:t>
      </w:r>
    </w:p>
    <w:bookmarkStart w:id="96" w:name="fig:mase-board"/>
    <w:p>
      <w:pPr>
        <w:pStyle w:val="CaptionedFigure"/>
        <w:jc w:val="center"/>
      </w:pPr>
      <w:r>
        <w:drawing>
          <wp:inline>
            <wp:extent cx="5334000" cy="1871526"/>
            <wp:effectExtent b="0" l="0" r="0" t="0"/>
            <wp:docPr descr="" title="" id="94" name="Picture"/>
            <a:graphic>
              <a:graphicData uri="http://schemas.openxmlformats.org/drawingml/2006/picture">
                <pic:pic>
                  <pic:nvPicPr>
                    <pic:cNvPr descr="F-NEW-01-combined-mase-leaderboard.png" id="95" name="Picture"/>
                    <pic:cNvPicPr>
                      <a:picLocks noChangeArrowheads="1" noChangeAspect="1"/>
                    </pic:cNvPicPr>
                  </pic:nvPicPr>
                  <pic:blipFill>
                    <a:blip r:embed="rId93"/>
                    <a:stretch>
                      <a:fillRect/>
                    </a:stretch>
                  </pic:blipFill>
                  <pic:spPr bwMode="auto">
                    <a:xfrm>
                      <a:off x="0" y="0"/>
                      <a:ext cx="5334000" cy="1871526"/>
                    </a:xfrm>
                    <a:prstGeom prst="rect">
                      <a:avLst/>
                    </a:prstGeom>
                    <a:noFill/>
                    <a:ln w="9525">
                      <a:noFill/>
                      <a:headEnd/>
                      <a:tailEnd/>
                    </a:ln>
                  </pic:spPr>
                </pic:pic>
              </a:graphicData>
            </a:graphic>
          </wp:inline>
        </w:drawing>
      </w:r>
    </w:p>
    <w:p>
      <w:pPr>
        <w:pStyle w:val="ImageCaption"/>
      </w:pPr>
      <w:r>
        <w:t>Figure 11: Forecast leaderboard (MASE, , lower is better). M5 shows a close LSTM, Moving Average, SES, and TSB cluster; Store shows LSTM below 1.0 with SARIMA-full500 second. Deterministic rebuild from final files (F-NEW-01).</w:t>
      </w:r>
    </w:p>
    <w:bookmarkEnd w:id="96"/>
    <w:bookmarkEnd w:id="97"/>
    <w:bookmarkStart w:id="107" w:name="sec:m5-fc"/>
    <w:p>
      <w:pPr>
        <w:pStyle w:val="Heading2"/>
      </w:pPr>
      <w:r>
        <w:t xml:space="preserve">M5 forecasting results</w:t>
      </w:r>
    </w:p>
    <w:p>
      <w:pPr>
        <w:pStyle w:val="FirstParagraph"/>
      </w:pPr>
      <w:hyperlink w:anchor="tab:m5fc">
        <w:r>
          <w:rPr>
            <w:rStyle w:val="Hyperlink"/>
          </w:rPr>
          <w:t xml:space="preserve">3</w:t>
        </w:r>
      </w:hyperlink>
      <w:r>
        <w:t xml:space="preserve"> </w:t>
      </w:r>
      <w:r>
        <w:t xml:space="preserve">reports the M5 board. LSTM leads on MAE (0.989) and MASE</w:t>
      </w:r>
      <w:r>
        <w:t xml:space="preserve"> </w:t>
      </w:r>
      <w:r>
        <w:t xml:space="preserve">(1.316); Moving Average (0.9997 / 1.346) and SES (0.998 / 1.351) are close</w:t>
      </w:r>
      <w:r>
        <w:t xml:space="preserve"> </w:t>
      </w:r>
      <w:r>
        <w:t xml:space="preserve">behind, with TSB (1.010 / 1.369) completing the lead group. SBA and Croston</w:t>
      </w:r>
      <w:r>
        <w:t xml:space="preserve"> </w:t>
      </w:r>
      <w:r>
        <w:t xml:space="preserve">follow; ARIMA (1.132 / 1.505) trails without reaching Naive-pair levels;</w:t>
      </w:r>
      <w:r>
        <w:t xml:space="preserve"> </w:t>
      </w:r>
      <w:r>
        <w:t xml:space="preserve">Naive (1.184) and Seasonal Naive (1.187) anchor the middle; DES (1.514) and</w:t>
      </w:r>
      <w:r>
        <w:t xml:space="preserve"> </w:t>
      </w:r>
      <w:r>
        <w:t xml:space="preserve">TES (1.922) record the highest errors. The RMSE column adds information:</w:t>
      </w:r>
      <w:r>
        <w:t xml:space="preserve"> </w:t>
      </w:r>
      <w:r>
        <w:t xml:space="preserve">Moving Average records the lowest RMSE by a wide margin (1.30), since</w:t>
      </w:r>
      <w:r>
        <w:t xml:space="preserve"> </w:t>
      </w:r>
      <w:r>
        <w:t xml:space="preserve">averaging suppresses the large errors RMSE penalizes quadratically, yet it</w:t>
      </w:r>
      <w:r>
        <w:t xml:space="preserve"> </w:t>
      </w:r>
      <w:r>
        <w:t xml:space="preserve">does not lead on MAE or MASE. Metric choice already affects rankings before</w:t>
      </w:r>
      <w:r>
        <w:t xml:space="preserve"> </w:t>
      </w:r>
      <w:r>
        <w:t xml:space="preserve">inventory enters the analysis. sMAPE (approximately 117–161%) confirms that</w:t>
      </w:r>
      <w:r>
        <w:t xml:space="preserve"> </w:t>
      </w:r>
      <w:r>
        <w:t xml:space="preserve">percentage errors on near-zero demand are large for all methods; per-series</w:t>
      </w:r>
      <w:r>
        <w:t xml:space="preserve"> </w:t>
      </w:r>
      <w:r>
        <w:t xml:space="preserve">mean WAPE ranks LSTM (0.77) first, consistent with MAE.</w:t>
      </w:r>
    </w:p>
    <w:bookmarkStart w:id="98" w:name="tab:m5fc"/>
    <w:p>
      <w:pPr>
        <w:pStyle w:val="TableCaption"/>
      </w:pPr>
      <w:r>
        <w:t>Table 3: M5 forecast leaderboard ( per model). Bold: column best.</w:t>
      </w:r>
    </w:p>
    <w:tbl>
      <w:tblPr>
        <w:tblStyle w:val="Table"/>
        <w:tblW w:type="auto" w:w="0"/>
        <w:jc w:val="center"/>
        <w:tblLook w:firstRow="1" w:lastRow="0" w:firstColumn="0" w:lastColumn="0" w:noHBand="0" w:noVBand="0" w:val="0020"/>
        <w:tblCaption w:val="M5 forecast leaderboard (n=112{,}000 per model). Bold: column best."/>
      </w:tblPr>
      <w:tblGrid>
        <w:gridCol w:w="1131"/>
        <w:gridCol w:w="1131"/>
        <w:gridCol w:w="1131"/>
        <w:gridCol w:w="1131"/>
        <w:gridCol w:w="1131"/>
        <w:gridCol w:w="1131"/>
        <w:gridCol w:w="1131"/>
      </w:tblGrid>
      <w:tr>
        <w:trPr>
          <w:tblHeader w:val="on"/>
        </w:trPr>
        <w:tc>
          <w:tcPr>
            <w:shd w:fill="EDEDED" w:val="clear"/>
          </w:tcPr>
          <w:p>
            <w:pPr>
              <w:pStyle w:val="Compact"/>
              <w:spacing w:after="40"/>
              <w:jc w:val="left"/>
            </w:pPr>
            <w:r>
              <w:rPr>
                <w:b/>
                <w:sz w:val="19"/>
              </w:rPr>
              <w:t xml:space="preserve">Model</w:t>
            </w:r>
          </w:p>
        </w:tc>
        <w:tc>
          <w:tcPr>
            <w:shd w:fill="EDEDED" w:val="clear"/>
          </w:tcPr>
          <w:p>
            <w:pPr>
              <w:pStyle w:val="Compact"/>
              <w:spacing w:after="40"/>
              <w:jc w:val="center"/>
            </w:pPr>
            <w:r>
              <w:rPr>
                <w:b/>
                <w:sz w:val="19"/>
              </w:rPr>
              <w:t xml:space="preserve">MAE</w:t>
            </w:r>
          </w:p>
        </w:tc>
        <w:tc>
          <w:tcPr>
            <w:shd w:fill="EDEDED" w:val="clear"/>
          </w:tcPr>
          <w:p>
            <w:pPr>
              <w:pStyle w:val="Compact"/>
              <w:spacing w:after="40"/>
              <w:jc w:val="center"/>
            </w:pPr>
            <w:r>
              <w:rPr>
                <w:b/>
                <w:sz w:val="19"/>
              </w:rPr>
              <w:t xml:space="preserve">RMSE</w:t>
            </w:r>
          </w:p>
        </w:tc>
        <w:tc>
          <w:tcPr>
            <w:shd w:fill="EDEDED" w:val="clear"/>
          </w:tcPr>
          <w:p>
            <w:pPr>
              <w:pStyle w:val="Compact"/>
              <w:spacing w:after="40"/>
              <w:jc w:val="center"/>
            </w:pPr>
            <w:r>
              <w:rPr>
                <w:b/>
                <w:sz w:val="19"/>
              </w:rPr>
              <w:t xml:space="preserve">MASE</w:t>
            </w:r>
          </w:p>
        </w:tc>
        <w:tc>
          <w:tcPr>
            <w:shd w:fill="EDEDED" w:val="clear"/>
          </w:tcPr>
          <w:p>
            <w:pPr>
              <w:pStyle w:val="Compact"/>
              <w:spacing w:after="40"/>
              <w:jc w:val="center"/>
            </w:pPr>
            <w:r>
              <w:rPr>
                <w:b/>
                <w:sz w:val="19"/>
              </w:rPr>
              <w:t xml:space="preserve">RMSSE</w:t>
            </w:r>
          </w:p>
        </w:tc>
        <w:tc>
          <w:tcPr>
            <w:shd w:fill="EDEDED" w:val="clear"/>
          </w:tcPr>
          <w:p>
            <w:pPr>
              <w:pStyle w:val="Compact"/>
              <w:spacing w:after="40"/>
              <w:jc w:val="center"/>
            </w:pPr>
            <w:r>
              <w:rPr>
                <w:b/>
                <w:sz w:val="19"/>
              </w:rPr>
              <w:t xml:space="preserve">WAPE</w:t>
            </w:r>
          </w:p>
        </w:tc>
        <w:tc>
          <w:tcPr>
            <w:shd w:fill="EDEDED" w:val="clear"/>
          </w:tcPr>
          <w:p>
            <w:pPr>
              <w:pStyle w:val="Compact"/>
              <w:spacing w:after="40"/>
              <w:jc w:val="center"/>
            </w:pPr>
            <w:r>
              <w:rPr>
                <w:b/>
                <w:sz w:val="19"/>
              </w:rPr>
              <w:t xml:space="preserve">sMAPE (%)</w:t>
            </w:r>
          </w:p>
        </w:tc>
      </w:tr>
      <w:tr>
        <w:tc>
          <w:tcPr/>
          <w:p>
            <w:pPr>
              <w:pStyle w:val="Compact"/>
              <w:spacing w:after="40"/>
              <w:jc w:val="left"/>
            </w:pPr>
            <w:r>
              <w:rPr>
                <w:b/>
                <w:bCs/>
                <w:sz w:val="19"/>
              </w:rPr>
              <w:t xml:space="preserve">LSTM</w:t>
            </w:r>
          </w:p>
        </w:tc>
        <w:tc>
          <w:tcPr/>
          <w:p>
            <w:pPr>
              <w:pStyle w:val="Compact"/>
              <w:spacing w:after="40"/>
              <w:jc w:val="center"/>
            </w:pPr>
            <w:r>
              <w:rPr>
                <w:b/>
                <w:bCs/>
                <w:sz w:val="19"/>
              </w:rPr>
              <w:t xml:space="preserve">0.99</w:t>
            </w:r>
          </w:p>
        </w:tc>
        <w:tc>
          <w:tcPr/>
          <w:p>
            <w:pPr>
              <w:pStyle w:val="Compact"/>
              <w:spacing w:after="40"/>
              <w:jc w:val="center"/>
            </w:pPr>
            <w:r>
              <w:rPr>
                <w:sz w:val="19"/>
              </w:rPr>
              <w:t xml:space="preserve">1.95</w:t>
            </w:r>
          </w:p>
        </w:tc>
        <w:tc>
          <w:tcPr/>
          <w:p>
            <w:pPr>
              <w:pStyle w:val="Compact"/>
              <w:spacing w:after="40"/>
              <w:jc w:val="center"/>
            </w:pPr>
            <w:r>
              <w:rPr>
                <w:b/>
                <w:bCs/>
                <w:sz w:val="19"/>
              </w:rPr>
              <w:t xml:space="preserve">1.32</w:t>
            </w:r>
          </w:p>
        </w:tc>
        <w:tc>
          <w:tcPr/>
          <w:p>
            <w:pPr>
              <w:pStyle w:val="Compact"/>
              <w:spacing w:after="40"/>
              <w:jc w:val="center"/>
            </w:pPr>
            <w:r>
              <w:rPr>
                <w:b/>
                <w:bCs/>
                <w:sz w:val="19"/>
              </w:rPr>
              <w:t xml:space="preserve">0.85</w:t>
            </w:r>
          </w:p>
        </w:tc>
        <w:tc>
          <w:tcPr/>
          <w:p>
            <w:pPr>
              <w:pStyle w:val="Compact"/>
              <w:spacing w:after="40"/>
              <w:jc w:val="center"/>
            </w:pPr>
            <w:r>
              <w:rPr>
                <w:b/>
                <w:bCs/>
                <w:sz w:val="19"/>
              </w:rPr>
              <w:t xml:space="preserve">0.77</w:t>
            </w:r>
          </w:p>
        </w:tc>
        <w:tc>
          <w:tcPr/>
          <w:p>
            <w:pPr>
              <w:pStyle w:val="Compact"/>
              <w:spacing w:after="40"/>
              <w:jc w:val="center"/>
            </w:pPr>
            <w:r>
              <w:rPr>
                <w:sz w:val="19"/>
              </w:rPr>
              <w:t xml:space="preserve">144.2</w:t>
            </w:r>
          </w:p>
        </w:tc>
      </w:tr>
      <w:tr>
        <w:tc>
          <w:tcPr/>
          <w:p>
            <w:pPr>
              <w:pStyle w:val="Compact"/>
              <w:spacing w:after="40"/>
              <w:jc w:val="left"/>
            </w:pPr>
            <w:r>
              <w:rPr>
                <w:sz w:val="19"/>
              </w:rPr>
              <w:t xml:space="preserve">Moving Average</w:t>
            </w:r>
          </w:p>
        </w:tc>
        <w:tc>
          <w:tcPr/>
          <w:p>
            <w:pPr>
              <w:pStyle w:val="Compact"/>
              <w:spacing w:after="40"/>
              <w:jc w:val="center"/>
            </w:pPr>
            <w:r>
              <w:rPr>
                <w:sz w:val="19"/>
              </w:rPr>
              <w:t xml:space="preserve">1.00</w:t>
            </w:r>
          </w:p>
        </w:tc>
        <w:tc>
          <w:tcPr/>
          <w:p>
            <w:pPr>
              <w:pStyle w:val="Compact"/>
              <w:spacing w:after="40"/>
              <w:jc w:val="center"/>
            </w:pPr>
            <w:r>
              <w:rPr>
                <w:b/>
                <w:bCs/>
                <w:sz w:val="19"/>
              </w:rPr>
              <w:t xml:space="preserve">1.30</w:t>
            </w:r>
          </w:p>
        </w:tc>
        <w:tc>
          <w:tcPr/>
          <w:p>
            <w:pPr>
              <w:pStyle w:val="Compact"/>
              <w:spacing w:after="40"/>
              <w:jc w:val="center"/>
            </w:pPr>
            <w:r>
              <w:rPr>
                <w:sz w:val="19"/>
              </w:rPr>
              <w:t xml:space="preserve">1.35</w:t>
            </w:r>
          </w:p>
        </w:tc>
        <w:tc>
          <w:tcPr/>
          <w:p>
            <w:pPr>
              <w:pStyle w:val="Compact"/>
              <w:spacing w:after="40"/>
              <w:jc w:val="center"/>
            </w:pPr>
            <w:r>
              <w:rPr>
                <w:sz w:val="19"/>
              </w:rPr>
              <w:t xml:space="preserve">0.86</w:t>
            </w:r>
          </w:p>
        </w:tc>
        <w:tc>
          <w:tcPr/>
          <w:p>
            <w:pPr>
              <w:pStyle w:val="Compact"/>
              <w:spacing w:after="40"/>
              <w:jc w:val="center"/>
            </w:pPr>
            <w:r>
              <w:rPr>
                <w:sz w:val="19"/>
              </w:rPr>
              <w:t xml:space="preserve">1.31</w:t>
            </w:r>
          </w:p>
        </w:tc>
        <w:tc>
          <w:tcPr/>
          <w:p>
            <w:pPr>
              <w:pStyle w:val="Compact"/>
              <w:spacing w:after="40"/>
              <w:jc w:val="center"/>
            </w:pPr>
            <w:r>
              <w:rPr>
                <w:sz w:val="19"/>
              </w:rPr>
              <w:t xml:space="preserve">143.5</w:t>
            </w:r>
          </w:p>
        </w:tc>
      </w:tr>
      <w:tr>
        <w:tc>
          <w:tcPr/>
          <w:p>
            <w:pPr>
              <w:pStyle w:val="Compact"/>
              <w:spacing w:after="40"/>
              <w:jc w:val="left"/>
            </w:pPr>
            <w:r>
              <w:rPr>
                <w:sz w:val="19"/>
              </w:rPr>
              <w:t xml:space="preserve">SES</w:t>
            </w:r>
          </w:p>
        </w:tc>
        <w:tc>
          <w:tcPr/>
          <w:p>
            <w:pPr>
              <w:pStyle w:val="Compact"/>
              <w:spacing w:after="40"/>
              <w:jc w:val="center"/>
            </w:pPr>
            <w:r>
              <w:rPr>
                <w:sz w:val="19"/>
              </w:rPr>
              <w:t xml:space="preserve">1.00</w:t>
            </w:r>
          </w:p>
        </w:tc>
        <w:tc>
          <w:tcPr/>
          <w:p>
            <w:pPr>
              <w:pStyle w:val="Compact"/>
              <w:spacing w:after="40"/>
              <w:jc w:val="center"/>
            </w:pPr>
            <w:r>
              <w:rPr>
                <w:sz w:val="19"/>
              </w:rPr>
              <w:t xml:space="preserve">2.00</w:t>
            </w:r>
          </w:p>
        </w:tc>
        <w:tc>
          <w:tcPr/>
          <w:p>
            <w:pPr>
              <w:pStyle w:val="Compact"/>
              <w:spacing w:after="40"/>
              <w:jc w:val="center"/>
            </w:pPr>
            <w:r>
              <w:rPr>
                <w:sz w:val="19"/>
              </w:rPr>
              <w:t xml:space="preserve">1.35</w:t>
            </w:r>
          </w:p>
        </w:tc>
        <w:tc>
          <w:tcPr/>
          <w:p>
            <w:pPr>
              <w:pStyle w:val="Compact"/>
              <w:spacing w:after="40"/>
              <w:jc w:val="center"/>
            </w:pPr>
            <w:r>
              <w:rPr>
                <w:sz w:val="19"/>
              </w:rPr>
              <w:t xml:space="preserve">0.86</w:t>
            </w:r>
          </w:p>
        </w:tc>
        <w:tc>
          <w:tcPr/>
          <w:p>
            <w:pPr>
              <w:pStyle w:val="Compact"/>
              <w:spacing w:after="40"/>
              <w:jc w:val="center"/>
            </w:pPr>
            <w:r>
              <w:rPr>
                <w:sz w:val="19"/>
              </w:rPr>
              <w:t xml:space="preserve">0.78</w:t>
            </w:r>
          </w:p>
        </w:tc>
        <w:tc>
          <w:tcPr/>
          <w:p>
            <w:pPr>
              <w:pStyle w:val="Compact"/>
              <w:spacing w:after="40"/>
              <w:jc w:val="center"/>
            </w:pPr>
            <w:r>
              <w:rPr>
                <w:sz w:val="19"/>
              </w:rPr>
              <w:t xml:space="preserve">145.1</w:t>
            </w:r>
          </w:p>
        </w:tc>
      </w:tr>
      <w:tr>
        <w:tc>
          <w:tcPr/>
          <w:p>
            <w:pPr>
              <w:pStyle w:val="Compact"/>
              <w:spacing w:after="40"/>
              <w:jc w:val="left"/>
            </w:pPr>
            <w:r>
              <w:rPr>
                <w:sz w:val="19"/>
              </w:rPr>
              <w:t xml:space="preserve">TSB</w:t>
            </w:r>
          </w:p>
        </w:tc>
        <w:tc>
          <w:tcPr/>
          <w:p>
            <w:pPr>
              <w:pStyle w:val="Compact"/>
              <w:spacing w:after="40"/>
              <w:jc w:val="center"/>
            </w:pPr>
            <w:r>
              <w:rPr>
                <w:sz w:val="19"/>
              </w:rPr>
              <w:t xml:space="preserve">1.01</w:t>
            </w:r>
          </w:p>
        </w:tc>
        <w:tc>
          <w:tcPr/>
          <w:p>
            <w:pPr>
              <w:pStyle w:val="Compact"/>
              <w:spacing w:after="40"/>
              <w:jc w:val="center"/>
            </w:pPr>
            <w:r>
              <w:rPr>
                <w:sz w:val="19"/>
              </w:rPr>
              <w:t xml:space="preserve">2.01</w:t>
            </w:r>
          </w:p>
        </w:tc>
        <w:tc>
          <w:tcPr/>
          <w:p>
            <w:pPr>
              <w:pStyle w:val="Compact"/>
              <w:spacing w:after="40"/>
              <w:jc w:val="center"/>
            </w:pPr>
            <w:r>
              <w:rPr>
                <w:sz w:val="19"/>
              </w:rPr>
              <w:t xml:space="preserve">1.37</w:t>
            </w:r>
          </w:p>
        </w:tc>
        <w:tc>
          <w:tcPr/>
          <w:p>
            <w:pPr>
              <w:pStyle w:val="Compact"/>
              <w:spacing w:after="40"/>
              <w:jc w:val="center"/>
            </w:pPr>
            <w:r>
              <w:rPr>
                <w:sz w:val="19"/>
              </w:rPr>
              <w:t xml:space="preserve">0.88</w:t>
            </w:r>
          </w:p>
        </w:tc>
        <w:tc>
          <w:tcPr/>
          <w:p>
            <w:pPr>
              <w:pStyle w:val="Compact"/>
              <w:spacing w:after="40"/>
              <w:jc w:val="center"/>
            </w:pPr>
            <w:r>
              <w:rPr>
                <w:sz w:val="19"/>
              </w:rPr>
              <w:t xml:space="preserve">0.79</w:t>
            </w:r>
          </w:p>
        </w:tc>
        <w:tc>
          <w:tcPr/>
          <w:p>
            <w:pPr>
              <w:pStyle w:val="Compact"/>
              <w:spacing w:after="40"/>
              <w:jc w:val="center"/>
            </w:pPr>
            <w:r>
              <w:rPr>
                <w:sz w:val="19"/>
              </w:rPr>
              <w:t xml:space="preserve">146.3</w:t>
            </w:r>
          </w:p>
        </w:tc>
      </w:tr>
      <w:tr>
        <w:tc>
          <w:tcPr/>
          <w:p>
            <w:pPr>
              <w:pStyle w:val="Compact"/>
              <w:spacing w:after="40"/>
              <w:jc w:val="left"/>
            </w:pPr>
            <w:r>
              <w:rPr>
                <w:sz w:val="19"/>
              </w:rPr>
              <w:t xml:space="preserve">SBA</w:t>
            </w:r>
          </w:p>
        </w:tc>
        <w:tc>
          <w:tcPr/>
          <w:p>
            <w:pPr>
              <w:pStyle w:val="Compact"/>
              <w:spacing w:after="40"/>
              <w:jc w:val="center"/>
            </w:pPr>
            <w:r>
              <w:rPr>
                <w:sz w:val="19"/>
              </w:rPr>
              <w:t xml:space="preserve">1.07</w:t>
            </w:r>
          </w:p>
        </w:tc>
        <w:tc>
          <w:tcPr/>
          <w:p>
            <w:pPr>
              <w:pStyle w:val="Compact"/>
              <w:spacing w:after="40"/>
              <w:jc w:val="center"/>
            </w:pPr>
            <w:r>
              <w:rPr>
                <w:sz w:val="19"/>
              </w:rPr>
              <w:t xml:space="preserve">2.12</w:t>
            </w:r>
          </w:p>
        </w:tc>
        <w:tc>
          <w:tcPr/>
          <w:p>
            <w:pPr>
              <w:pStyle w:val="Compact"/>
              <w:spacing w:after="40"/>
              <w:jc w:val="center"/>
            </w:pPr>
            <w:r>
              <w:rPr>
                <w:sz w:val="19"/>
              </w:rPr>
              <w:t xml:space="preserve">1.41</w:t>
            </w:r>
          </w:p>
        </w:tc>
        <w:tc>
          <w:tcPr/>
          <w:p>
            <w:pPr>
              <w:pStyle w:val="Compact"/>
              <w:spacing w:after="40"/>
              <w:jc w:val="center"/>
            </w:pPr>
            <w:r>
              <w:rPr>
                <w:sz w:val="19"/>
              </w:rPr>
              <w:t xml:space="preserve">0.89</w:t>
            </w:r>
          </w:p>
        </w:tc>
        <w:tc>
          <w:tcPr/>
          <w:p>
            <w:pPr>
              <w:pStyle w:val="Compact"/>
              <w:spacing w:after="40"/>
              <w:jc w:val="center"/>
            </w:pPr>
            <w:r>
              <w:rPr>
                <w:sz w:val="19"/>
              </w:rPr>
              <w:t xml:space="preserve">0.83</w:t>
            </w:r>
          </w:p>
        </w:tc>
        <w:tc>
          <w:tcPr/>
          <w:p>
            <w:pPr>
              <w:pStyle w:val="Compact"/>
              <w:spacing w:after="40"/>
              <w:jc w:val="center"/>
            </w:pPr>
            <w:r>
              <w:rPr>
                <w:sz w:val="19"/>
              </w:rPr>
              <w:t xml:space="preserve">148.1</w:t>
            </w:r>
          </w:p>
        </w:tc>
      </w:tr>
      <w:tr>
        <w:tc>
          <w:tcPr/>
          <w:p>
            <w:pPr>
              <w:pStyle w:val="Compact"/>
              <w:spacing w:after="40"/>
              <w:jc w:val="left"/>
            </w:pPr>
            <w:r>
              <w:rPr>
                <w:sz w:val="19"/>
              </w:rPr>
              <w:t xml:space="preserve">Croston</w:t>
            </w:r>
          </w:p>
        </w:tc>
        <w:tc>
          <w:tcPr/>
          <w:p>
            <w:pPr>
              <w:pStyle w:val="Compact"/>
              <w:spacing w:after="40"/>
              <w:jc w:val="center"/>
            </w:pPr>
            <w:r>
              <w:rPr>
                <w:sz w:val="19"/>
              </w:rPr>
              <w:t xml:space="preserve">1.08</w:t>
            </w:r>
          </w:p>
        </w:tc>
        <w:tc>
          <w:tcPr/>
          <w:p>
            <w:pPr>
              <w:pStyle w:val="Compact"/>
              <w:spacing w:after="40"/>
              <w:jc w:val="center"/>
            </w:pPr>
            <w:r>
              <w:rPr>
                <w:sz w:val="19"/>
              </w:rPr>
              <w:t xml:space="preserve">2.11</w:t>
            </w:r>
          </w:p>
        </w:tc>
        <w:tc>
          <w:tcPr/>
          <w:p>
            <w:pPr>
              <w:pStyle w:val="Compact"/>
              <w:spacing w:after="40"/>
              <w:jc w:val="center"/>
            </w:pPr>
            <w:r>
              <w:rPr>
                <w:sz w:val="19"/>
              </w:rPr>
              <w:t xml:space="preserve">1.42</w:t>
            </w:r>
          </w:p>
        </w:tc>
        <w:tc>
          <w:tcPr/>
          <w:p>
            <w:pPr>
              <w:pStyle w:val="Compact"/>
              <w:spacing w:after="40"/>
              <w:jc w:val="center"/>
            </w:pPr>
            <w:r>
              <w:rPr>
                <w:sz w:val="19"/>
              </w:rPr>
              <w:t xml:space="preserve">0.87</w:t>
            </w:r>
          </w:p>
        </w:tc>
        <w:tc>
          <w:tcPr/>
          <w:p>
            <w:pPr>
              <w:pStyle w:val="Compact"/>
              <w:spacing w:after="40"/>
              <w:jc w:val="center"/>
            </w:pPr>
            <w:r>
              <w:rPr>
                <w:sz w:val="19"/>
              </w:rPr>
              <w:t xml:space="preserve">0.85</w:t>
            </w:r>
          </w:p>
        </w:tc>
        <w:tc>
          <w:tcPr/>
          <w:p>
            <w:pPr>
              <w:pStyle w:val="Compact"/>
              <w:spacing w:after="40"/>
              <w:jc w:val="center"/>
            </w:pPr>
            <w:r>
              <w:rPr>
                <w:sz w:val="19"/>
              </w:rPr>
              <w:t xml:space="preserve">143.9</w:t>
            </w:r>
          </w:p>
        </w:tc>
      </w:tr>
      <w:tr>
        <w:tc>
          <w:tcPr/>
          <w:p>
            <w:pPr>
              <w:pStyle w:val="Compact"/>
              <w:spacing w:after="40"/>
              <w:jc w:val="left"/>
            </w:pPr>
            <w:r>
              <w:rPr>
                <w:sz w:val="19"/>
              </w:rPr>
              <w:t xml:space="preserve">ARIMA</w:t>
            </w:r>
          </w:p>
        </w:tc>
        <w:tc>
          <w:tcPr/>
          <w:p>
            <w:pPr>
              <w:pStyle w:val="Compact"/>
              <w:spacing w:after="40"/>
              <w:jc w:val="center"/>
            </w:pPr>
            <w:r>
              <w:rPr>
                <w:sz w:val="19"/>
              </w:rPr>
              <w:t xml:space="preserve">1.13</w:t>
            </w:r>
          </w:p>
        </w:tc>
        <w:tc>
          <w:tcPr/>
          <w:p>
            <w:pPr>
              <w:pStyle w:val="Compact"/>
              <w:spacing w:after="40"/>
              <w:jc w:val="center"/>
            </w:pPr>
            <w:r>
              <w:rPr>
                <w:sz w:val="19"/>
              </w:rPr>
              <w:t xml:space="preserve">2.32</w:t>
            </w:r>
          </w:p>
        </w:tc>
        <w:tc>
          <w:tcPr/>
          <w:p>
            <w:pPr>
              <w:pStyle w:val="Compact"/>
              <w:spacing w:after="40"/>
              <w:jc w:val="center"/>
            </w:pPr>
            <w:r>
              <w:rPr>
                <w:sz w:val="19"/>
              </w:rPr>
              <w:t xml:space="preserve">1.51</w:t>
            </w:r>
          </w:p>
        </w:tc>
        <w:tc>
          <w:tcPr/>
          <w:p>
            <w:pPr>
              <w:pStyle w:val="Compact"/>
              <w:spacing w:after="40"/>
              <w:jc w:val="center"/>
            </w:pPr>
            <w:r>
              <w:rPr>
                <w:sz w:val="19"/>
              </w:rPr>
              <w:t xml:space="preserve">1.05</w:t>
            </w:r>
          </w:p>
        </w:tc>
        <w:tc>
          <w:tcPr/>
          <w:p>
            <w:pPr>
              <w:pStyle w:val="Compact"/>
              <w:spacing w:after="40"/>
              <w:jc w:val="center"/>
            </w:pPr>
            <w:r>
              <w:rPr>
                <w:sz w:val="19"/>
              </w:rPr>
              <w:t xml:space="preserve">0.88</w:t>
            </w:r>
          </w:p>
        </w:tc>
        <w:tc>
          <w:tcPr/>
          <w:p>
            <w:pPr>
              <w:pStyle w:val="Compact"/>
              <w:spacing w:after="40"/>
              <w:jc w:val="center"/>
            </w:pPr>
            <w:r>
              <w:rPr>
                <w:sz w:val="19"/>
              </w:rPr>
              <w:t xml:space="preserve">139.0</w:t>
            </w:r>
          </w:p>
        </w:tc>
      </w:tr>
      <w:tr>
        <w:tc>
          <w:tcPr/>
          <w:p>
            <w:pPr>
              <w:pStyle w:val="Compact"/>
              <w:spacing w:after="40"/>
              <w:jc w:val="left"/>
            </w:pPr>
            <w:r>
              <w:rPr>
                <w:sz w:val="19"/>
              </w:rPr>
              <w:t xml:space="preserve">Naive</w:t>
            </w:r>
          </w:p>
        </w:tc>
        <w:tc>
          <w:tcPr/>
          <w:p>
            <w:pPr>
              <w:pStyle w:val="Compact"/>
              <w:spacing w:after="40"/>
              <w:jc w:val="center"/>
            </w:pPr>
            <w:r>
              <w:rPr>
                <w:sz w:val="19"/>
              </w:rPr>
              <w:t xml:space="preserve">1.18</w:t>
            </w:r>
          </w:p>
        </w:tc>
        <w:tc>
          <w:tcPr/>
          <w:p>
            <w:pPr>
              <w:pStyle w:val="Compact"/>
              <w:spacing w:after="40"/>
              <w:jc w:val="center"/>
            </w:pPr>
            <w:r>
              <w:rPr>
                <w:sz w:val="19"/>
              </w:rPr>
              <w:t xml:space="preserve">1.60</w:t>
            </w:r>
          </w:p>
        </w:tc>
        <w:tc>
          <w:tcPr/>
          <w:p>
            <w:pPr>
              <w:pStyle w:val="Compact"/>
              <w:spacing w:after="40"/>
              <w:jc w:val="center"/>
            </w:pPr>
            <w:r>
              <w:rPr>
                <w:sz w:val="19"/>
              </w:rPr>
              <w:t xml:space="preserve">1.55</w:t>
            </w:r>
          </w:p>
        </w:tc>
        <w:tc>
          <w:tcPr/>
          <w:p>
            <w:pPr>
              <w:pStyle w:val="Compact"/>
              <w:spacing w:after="40"/>
              <w:jc w:val="center"/>
            </w:pPr>
            <w:r>
              <w:rPr>
                <w:sz w:val="19"/>
              </w:rPr>
              <w:t xml:space="preserve">1.12</w:t>
            </w:r>
          </w:p>
        </w:tc>
        <w:tc>
          <w:tcPr/>
          <w:p>
            <w:pPr>
              <w:pStyle w:val="Compact"/>
              <w:spacing w:after="40"/>
              <w:jc w:val="center"/>
            </w:pPr>
            <w:r>
              <w:rPr>
                <w:sz w:val="19"/>
              </w:rPr>
              <w:t xml:space="preserve">1.43</w:t>
            </w:r>
          </w:p>
        </w:tc>
        <w:tc>
          <w:tcPr/>
          <w:p>
            <w:pPr>
              <w:pStyle w:val="Compact"/>
              <w:spacing w:after="40"/>
              <w:jc w:val="center"/>
            </w:pPr>
            <w:r>
              <w:rPr>
                <w:sz w:val="19"/>
              </w:rPr>
              <w:t xml:space="preserve">160.9</w:t>
            </w:r>
          </w:p>
        </w:tc>
      </w:tr>
      <w:tr>
        <w:tc>
          <w:tcPr/>
          <w:p>
            <w:pPr>
              <w:pStyle w:val="Compact"/>
              <w:spacing w:after="40"/>
              <w:jc w:val="left"/>
            </w:pPr>
            <w:r>
              <w:rPr>
                <w:sz w:val="19"/>
              </w:rPr>
              <w:t xml:space="preserve">Seasonal Naive</w:t>
            </w:r>
          </w:p>
        </w:tc>
        <w:tc>
          <w:tcPr/>
          <w:p>
            <w:pPr>
              <w:pStyle w:val="Compact"/>
              <w:spacing w:after="40"/>
              <w:jc w:val="center"/>
            </w:pPr>
            <w:r>
              <w:rPr>
                <w:sz w:val="19"/>
              </w:rPr>
              <w:t xml:space="preserve">1.19</w:t>
            </w:r>
          </w:p>
        </w:tc>
        <w:tc>
          <w:tcPr/>
          <w:p>
            <w:pPr>
              <w:pStyle w:val="Compact"/>
              <w:spacing w:after="40"/>
              <w:jc w:val="center"/>
            </w:pPr>
            <w:r>
              <w:rPr>
                <w:sz w:val="19"/>
              </w:rPr>
              <w:t xml:space="preserve">1.67</w:t>
            </w:r>
          </w:p>
        </w:tc>
        <w:tc>
          <w:tcPr/>
          <w:p>
            <w:pPr>
              <w:pStyle w:val="Compact"/>
              <w:spacing w:after="40"/>
              <w:jc w:val="center"/>
            </w:pPr>
            <w:r>
              <w:rPr>
                <w:sz w:val="19"/>
              </w:rPr>
              <w:t xml:space="preserve">1.53</w:t>
            </w:r>
          </w:p>
        </w:tc>
        <w:tc>
          <w:tcPr/>
          <w:p>
            <w:pPr>
              <w:pStyle w:val="Compact"/>
              <w:spacing w:after="40"/>
              <w:jc w:val="center"/>
            </w:pPr>
            <w:r>
              <w:rPr>
                <w:sz w:val="19"/>
              </w:rPr>
              <w:t xml:space="preserve">1.14</w:t>
            </w:r>
          </w:p>
        </w:tc>
        <w:tc>
          <w:tcPr/>
          <w:p>
            <w:pPr>
              <w:pStyle w:val="Compact"/>
              <w:spacing w:after="40"/>
              <w:jc w:val="center"/>
            </w:pPr>
            <w:r>
              <w:rPr>
                <w:sz w:val="19"/>
              </w:rPr>
              <w:t xml:space="preserve">1.45</w:t>
            </w:r>
          </w:p>
        </w:tc>
        <w:tc>
          <w:tcPr/>
          <w:p>
            <w:pPr>
              <w:pStyle w:val="Compact"/>
              <w:spacing w:after="40"/>
              <w:jc w:val="center"/>
            </w:pPr>
            <w:r>
              <w:rPr>
                <w:sz w:val="19"/>
              </w:rPr>
              <w:t xml:space="preserve">152.7</w:t>
            </w:r>
          </w:p>
        </w:tc>
      </w:tr>
      <w:tr>
        <w:tc>
          <w:tcPr/>
          <w:p>
            <w:pPr>
              <w:pStyle w:val="Compact"/>
              <w:spacing w:after="40"/>
              <w:jc w:val="left"/>
            </w:pPr>
            <w:r>
              <w:rPr>
                <w:sz w:val="19"/>
              </w:rPr>
              <w:t xml:space="preserve">DES</w:t>
            </w:r>
          </w:p>
        </w:tc>
        <w:tc>
          <w:tcPr/>
          <w:p>
            <w:pPr>
              <w:pStyle w:val="Compact"/>
              <w:spacing w:after="40"/>
              <w:jc w:val="center"/>
            </w:pPr>
            <w:r>
              <w:rPr>
                <w:sz w:val="19"/>
              </w:rPr>
              <w:t xml:space="preserve">1.51</w:t>
            </w:r>
          </w:p>
        </w:tc>
        <w:tc>
          <w:tcPr/>
          <w:p>
            <w:pPr>
              <w:pStyle w:val="Compact"/>
              <w:spacing w:after="40"/>
              <w:jc w:val="center"/>
            </w:pPr>
            <w:r>
              <w:rPr>
                <w:sz w:val="19"/>
              </w:rPr>
              <w:t xml:space="preserve">3.43</w:t>
            </w:r>
          </w:p>
        </w:tc>
        <w:tc>
          <w:tcPr/>
          <w:p>
            <w:pPr>
              <w:pStyle w:val="Compact"/>
              <w:spacing w:after="40"/>
              <w:jc w:val="center"/>
            </w:pPr>
            <w:r>
              <w:rPr>
                <w:sz w:val="19"/>
              </w:rPr>
              <w:t xml:space="preserve">1.99</w:t>
            </w:r>
          </w:p>
        </w:tc>
        <w:tc>
          <w:tcPr/>
          <w:p>
            <w:pPr>
              <w:pStyle w:val="Compact"/>
              <w:spacing w:after="40"/>
              <w:jc w:val="center"/>
            </w:pPr>
            <w:r>
              <w:rPr>
                <w:sz w:val="19"/>
              </w:rPr>
              <w:t xml:space="preserve">1.33</w:t>
            </w:r>
          </w:p>
        </w:tc>
        <w:tc>
          <w:tcPr/>
          <w:p>
            <w:pPr>
              <w:pStyle w:val="Compact"/>
              <w:spacing w:after="40"/>
              <w:jc w:val="center"/>
            </w:pPr>
            <w:r>
              <w:rPr>
                <w:sz w:val="19"/>
              </w:rPr>
              <w:t xml:space="preserve">1.18</w:t>
            </w:r>
          </w:p>
        </w:tc>
        <w:tc>
          <w:tcPr/>
          <w:p>
            <w:pPr>
              <w:pStyle w:val="Compact"/>
              <w:spacing w:after="40"/>
              <w:jc w:val="center"/>
            </w:pPr>
            <w:r>
              <w:rPr>
                <w:sz w:val="19"/>
              </w:rPr>
              <w:t xml:space="preserve">117.8</w:t>
            </w:r>
          </w:p>
        </w:tc>
      </w:tr>
      <w:tr>
        <w:tc>
          <w:tcPr/>
          <w:p>
            <w:pPr>
              <w:pStyle w:val="Compact"/>
              <w:spacing w:after="40"/>
              <w:jc w:val="left"/>
            </w:pPr>
            <w:r>
              <w:rPr>
                <w:sz w:val="19"/>
              </w:rPr>
              <w:t xml:space="preserve">TES</w:t>
            </w:r>
          </w:p>
        </w:tc>
        <w:tc>
          <w:tcPr/>
          <w:p>
            <w:pPr>
              <w:pStyle w:val="Compact"/>
              <w:spacing w:after="40"/>
              <w:jc w:val="center"/>
            </w:pPr>
            <w:r>
              <w:rPr>
                <w:sz w:val="19"/>
              </w:rPr>
              <w:t xml:space="preserve">1.92</w:t>
            </w:r>
          </w:p>
        </w:tc>
        <w:tc>
          <w:tcPr/>
          <w:p>
            <w:pPr>
              <w:pStyle w:val="Compact"/>
              <w:spacing w:after="40"/>
              <w:jc w:val="center"/>
            </w:pPr>
            <w:r>
              <w:rPr>
                <w:sz w:val="19"/>
              </w:rPr>
              <w:t xml:space="preserve">4.39</w:t>
            </w:r>
          </w:p>
        </w:tc>
        <w:tc>
          <w:tcPr/>
          <w:p>
            <w:pPr>
              <w:pStyle w:val="Compact"/>
              <w:spacing w:after="40"/>
              <w:jc w:val="center"/>
            </w:pPr>
            <w:r>
              <w:rPr>
                <w:sz w:val="19"/>
              </w:rPr>
              <w:t xml:space="preserve">2.60</w:t>
            </w:r>
          </w:p>
        </w:tc>
        <w:tc>
          <w:tcPr/>
          <w:p>
            <w:pPr>
              <w:pStyle w:val="Compact"/>
              <w:spacing w:after="40"/>
              <w:jc w:val="center"/>
            </w:pPr>
            <w:r>
              <w:rPr>
                <w:sz w:val="19"/>
              </w:rPr>
              <w:t xml:space="preserve">1.85</w:t>
            </w:r>
          </w:p>
        </w:tc>
        <w:tc>
          <w:tcPr/>
          <w:p>
            <w:pPr>
              <w:pStyle w:val="Compact"/>
              <w:spacing w:after="40"/>
              <w:jc w:val="center"/>
            </w:pPr>
            <w:r>
              <w:rPr>
                <w:sz w:val="19"/>
              </w:rPr>
              <w:t xml:space="preserve">1.50</w:t>
            </w:r>
          </w:p>
        </w:tc>
        <w:tc>
          <w:tcPr/>
          <w:p>
            <w:pPr>
              <w:pStyle w:val="Compact"/>
              <w:spacing w:after="40"/>
              <w:jc w:val="center"/>
            </w:pPr>
            <w:r>
              <w:rPr>
                <w:sz w:val="19"/>
              </w:rPr>
              <w:t xml:space="preserve">116.0</w:t>
            </w:r>
          </w:p>
        </w:tc>
      </w:tr>
    </w:tbl>
    <w:bookmarkEnd w:id="98"/>
    <w:p>
      <w:pPr>
        <w:pStyle w:val="BodyText"/>
      </w:pPr>
      <w:r>
        <w:rPr>
          <w:i/>
          <w:iCs/>
        </w:rPr>
        <w:t xml:space="preserve">Note:</w:t>
      </w:r>
      <w:r>
        <w:t xml:space="preserve"> </w:t>
      </w:r>
      <w:r>
        <w:t xml:space="preserve">the M5 ARIMA row is a hybrid evaluation combining 3,094 fitted ARIMA forecasts with 906 Naive fallback forecasts triggered by the documented greater-than-85%-zero-demand pre-check (see section 4.13).</w:t>
      </w:r>
    </w:p>
    <w:bookmarkStart w:id="102" w:name="fig:mae-ladder"/>
    <w:p>
      <w:pPr>
        <w:pStyle w:val="CaptionedFigure"/>
        <w:jc w:val="center"/>
      </w:pPr>
      <w:r>
        <w:drawing>
          <wp:inline>
            <wp:extent cx="5067300" cy="1766135"/>
            <wp:effectExtent b="0" l="0" r="0" t="0"/>
            <wp:docPr descr="" title="" id="100" name="Picture"/>
            <a:graphic>
              <a:graphicData uri="http://schemas.openxmlformats.org/drawingml/2006/picture">
                <pic:pic>
                  <pic:nvPicPr>
                    <pic:cNvPr descr="01_comparison_MAE.png" id="101" name="Picture"/>
                    <pic:cNvPicPr>
                      <a:picLocks noChangeArrowheads="1" noChangeAspect="1"/>
                    </pic:cNvPicPr>
                  </pic:nvPicPr>
                  <pic:blipFill>
                    <a:blip r:embed="rId99"/>
                    <a:stretch>
                      <a:fillRect/>
                    </a:stretch>
                  </pic:blipFill>
                  <pic:spPr bwMode="auto">
                    <a:xfrm>
                      <a:off x="0" y="0"/>
                      <a:ext cx="5067300" cy="1766135"/>
                    </a:xfrm>
                    <a:prstGeom prst="rect">
                      <a:avLst/>
                    </a:prstGeom>
                    <a:noFill/>
                    <a:ln w="9525">
                      <a:noFill/>
                      <a:headEnd/>
                      <a:tailEnd/>
                    </a:ln>
                  </pic:spPr>
                </pic:pic>
              </a:graphicData>
            </a:graphic>
          </wp:inline>
        </w:drawing>
      </w:r>
    </w:p>
    <w:p>
      <w:pPr>
        <w:pStyle w:val="ImageCaption"/>
      </w:pPr>
      <w:r>
        <w:t>Figure 12: Full-ladder MAE comparison including LSTM (hardened run). The M5 cluster near 1.0 and Store’s LSTM-led spread are both visible; exact boards are tables 3 and 4. Source: notebook 08.</w:t>
      </w:r>
    </w:p>
    <w:bookmarkEnd w:id="102"/>
    <w:bookmarkStart w:id="106" w:name="fig:wape-ladder"/>
    <w:p>
      <w:pPr>
        <w:pStyle w:val="CaptionedFigure"/>
        <w:jc w:val="center"/>
      </w:pPr>
      <w:r>
        <w:drawing>
          <wp:inline>
            <wp:extent cx="5067300" cy="1766135"/>
            <wp:effectExtent b="0" l="0" r="0" t="0"/>
            <wp:docPr descr="" title="" id="104" name="Picture"/>
            <a:graphic>
              <a:graphicData uri="http://schemas.openxmlformats.org/drawingml/2006/picture">
                <pic:pic>
                  <pic:nvPicPr>
                    <pic:cNvPr descr="01_comparison_WAPE.png" id="105" name="Picture"/>
                    <pic:cNvPicPr>
                      <a:picLocks noChangeArrowheads="1" noChangeAspect="1"/>
                    </pic:cNvPicPr>
                  </pic:nvPicPr>
                  <pic:blipFill>
                    <a:blip r:embed="rId103"/>
                    <a:stretch>
                      <a:fillRect/>
                    </a:stretch>
                  </pic:blipFill>
                  <pic:spPr bwMode="auto">
                    <a:xfrm>
                      <a:off x="0" y="0"/>
                      <a:ext cx="5067300" cy="1766135"/>
                    </a:xfrm>
                    <a:prstGeom prst="rect">
                      <a:avLst/>
                    </a:prstGeom>
                    <a:noFill/>
                    <a:ln w="9525">
                      <a:noFill/>
                      <a:headEnd/>
                      <a:tailEnd/>
                    </a:ln>
                  </pic:spPr>
                </pic:pic>
              </a:graphicData>
            </a:graphic>
          </wp:inline>
        </w:drawing>
      </w:r>
    </w:p>
    <w:p>
      <w:pPr>
        <w:pStyle w:val="ImageCaption"/>
      </w:pPr>
      <w:r>
        <w:t>Figure 13: Full-ladder WAPE comparison. Store WAPE levels are an order of magnitude smaller (dense demand raises the denominator), so cross-dataset WAPE levels are not comparable; ranks are. Source: notebook 08.</w:t>
      </w:r>
    </w:p>
    <w:bookmarkEnd w:id="106"/>
    <w:bookmarkEnd w:id="107"/>
    <w:bookmarkStart w:id="113" w:name="sec:store-fc"/>
    <w:p>
      <w:pPr>
        <w:pStyle w:val="Heading2"/>
      </w:pPr>
      <w:r>
        <w:t xml:space="preserve">Store forecasting results</w:t>
      </w:r>
    </w:p>
    <w:p>
      <w:pPr>
        <w:pStyle w:val="FirstParagraph"/>
      </w:pPr>
      <w:hyperlink w:anchor="tab:storefc">
        <w:r>
          <w:rPr>
            <w:rStyle w:val="Hyperlink"/>
          </w:rPr>
          <w:t xml:space="preserve">4</w:t>
        </w:r>
      </w:hyperlink>
      <w:r>
        <w:t xml:space="preserve"> </w:t>
      </w:r>
      <w:r>
        <w:t xml:space="preserve">reports the Store board, where ordering is less ambiguous.</w:t>
      </w:r>
      <w:r>
        <w:t xml:space="preserve"> </w:t>
      </w:r>
      <w:r>
        <w:t xml:space="preserve">LSTM leads on MAE (7.87), MASE (0.978), RMSSE (0.971), and WAPE (0.138);</w:t>
      </w:r>
      <w:r>
        <w:t xml:space="preserve"> </w:t>
      </w:r>
      <w:r>
        <w:t xml:space="preserve">SARIMA-full500 is second (8.45 / 1.055 / 1.040 / 0.148); Seasonal Naive</w:t>
      </w:r>
      <w:r>
        <w:t xml:space="preserve"> </w:t>
      </w:r>
      <w:r>
        <w:t xml:space="preserve">(9.45) and Moving Average (9.71) form the next tier, followed by SES (9.92);</w:t>
      </w:r>
      <w:r>
        <w:t xml:space="preserve"> </w:t>
      </w:r>
      <w:r>
        <w:t xml:space="preserve">ARIMA (11.90), DES (13.63), Naive (16.29), and TES (16.87) trail. Two</w:t>
      </w:r>
      <w:r>
        <w:t xml:space="preserve"> </w:t>
      </w:r>
      <w:r>
        <w:t xml:space="preserve">observations matter. First, seasonal structure is informative on Store</w:t>
      </w:r>
      <w:r>
        <w:t xml:space="preserve"> </w:t>
      </w:r>
      <w:r>
        <w:t xml:space="preserve">demand: SARIMA’s seasonal moving-average term reduces MAE from ARIMA’s 11.90</w:t>
      </w:r>
      <w:r>
        <w:t xml:space="preserve"> </w:t>
      </w:r>
      <w:r>
        <w:t xml:space="preserve">to 8.45, and Seasonal Naive outperforms SES. Second, full500 SARIMA (MAE</w:t>
      </w:r>
      <w:r>
        <w:t xml:space="preserve"> </w:t>
      </w:r>
      <w:r>
        <w:t xml:space="preserve">8.45, MASE 1.055) differs modestly from the exploratory 100-series subset</w:t>
      </w:r>
      <w:r>
        <w:t xml:space="preserve"> </w:t>
      </w:r>
      <w:r>
        <w:t xml:space="preserve">(8.31 and approximately 1.069): a population effect, documented rather than</w:t>
      </w:r>
      <w:r>
        <w:t xml:space="preserve"> </w:t>
      </w:r>
      <w:r>
        <w:t xml:space="preserve">adjusted, which is why subset results do not headline.</w:t>
      </w:r>
    </w:p>
    <w:bookmarkStart w:id="108" w:name="tab:storefc"/>
    <w:p>
      <w:pPr>
        <w:pStyle w:val="TableCaption"/>
      </w:pPr>
      <w:r>
        <w:t>Table 4: Store forecast leaderboard ( per model; SARIMA full500). Bold: column best.</w:t>
      </w:r>
    </w:p>
    <w:tbl>
      <w:tblPr>
        <w:tblStyle w:val="Table"/>
        <w:tblW w:type="auto" w:w="0"/>
        <w:jc w:val="center"/>
        <w:tblLook w:firstRow="1" w:lastRow="0" w:firstColumn="0" w:lastColumn="0" w:noHBand="0" w:noVBand="0" w:val="0020"/>
        <w:tblCaption w:val="Store forecast leaderboard (n=112{,}000 per model; SARIMA full500). Bold: column best."/>
      </w:tblPr>
      <w:tblGrid>
        <w:gridCol w:w="1131"/>
        <w:gridCol w:w="1131"/>
        <w:gridCol w:w="1131"/>
        <w:gridCol w:w="1131"/>
        <w:gridCol w:w="1131"/>
        <w:gridCol w:w="1131"/>
        <w:gridCol w:w="1131"/>
      </w:tblGrid>
      <w:tr>
        <w:trPr>
          <w:tblHeader w:val="on"/>
        </w:trPr>
        <w:tc>
          <w:tcPr>
            <w:shd w:fill="EDEDED" w:val="clear"/>
          </w:tcPr>
          <w:p>
            <w:pPr>
              <w:pStyle w:val="Compact"/>
              <w:spacing w:after="40"/>
              <w:jc w:val="left"/>
            </w:pPr>
            <w:r>
              <w:rPr>
                <w:b/>
                <w:sz w:val="19"/>
              </w:rPr>
              <w:t xml:space="preserve">Model</w:t>
            </w:r>
          </w:p>
        </w:tc>
        <w:tc>
          <w:tcPr>
            <w:shd w:fill="EDEDED" w:val="clear"/>
          </w:tcPr>
          <w:p>
            <w:pPr>
              <w:pStyle w:val="Compact"/>
              <w:spacing w:after="40"/>
              <w:jc w:val="center"/>
            </w:pPr>
            <w:r>
              <w:rPr>
                <w:b/>
                <w:sz w:val="19"/>
              </w:rPr>
              <w:t xml:space="preserve">MAE</w:t>
            </w:r>
          </w:p>
        </w:tc>
        <w:tc>
          <w:tcPr>
            <w:shd w:fill="EDEDED" w:val="clear"/>
          </w:tcPr>
          <w:p>
            <w:pPr>
              <w:pStyle w:val="Compact"/>
              <w:spacing w:after="40"/>
              <w:jc w:val="center"/>
            </w:pPr>
            <w:r>
              <w:rPr>
                <w:b/>
                <w:sz w:val="19"/>
              </w:rPr>
              <w:t xml:space="preserve">RMSE</w:t>
            </w:r>
          </w:p>
        </w:tc>
        <w:tc>
          <w:tcPr>
            <w:shd w:fill="EDEDED" w:val="clear"/>
          </w:tcPr>
          <w:p>
            <w:pPr>
              <w:pStyle w:val="Compact"/>
              <w:spacing w:after="40"/>
              <w:jc w:val="center"/>
            </w:pPr>
            <w:r>
              <w:rPr>
                <w:b/>
                <w:sz w:val="19"/>
              </w:rPr>
              <w:t xml:space="preserve">MASE</w:t>
            </w:r>
          </w:p>
        </w:tc>
        <w:tc>
          <w:tcPr>
            <w:shd w:fill="EDEDED" w:val="clear"/>
          </w:tcPr>
          <w:p>
            <w:pPr>
              <w:pStyle w:val="Compact"/>
              <w:spacing w:after="40"/>
              <w:jc w:val="center"/>
            </w:pPr>
            <w:r>
              <w:rPr>
                <w:b/>
                <w:sz w:val="19"/>
              </w:rPr>
              <w:t xml:space="preserve">RMSSE</w:t>
            </w:r>
          </w:p>
        </w:tc>
        <w:tc>
          <w:tcPr>
            <w:shd w:fill="EDEDED" w:val="clear"/>
          </w:tcPr>
          <w:p>
            <w:pPr>
              <w:pStyle w:val="Compact"/>
              <w:spacing w:after="40"/>
              <w:jc w:val="center"/>
            </w:pPr>
            <w:r>
              <w:rPr>
                <w:b/>
                <w:sz w:val="19"/>
              </w:rPr>
              <w:t xml:space="preserve">WAPE</w:t>
            </w:r>
          </w:p>
        </w:tc>
        <w:tc>
          <w:tcPr>
            <w:shd w:fill="EDEDED" w:val="clear"/>
          </w:tcPr>
          <w:p>
            <w:pPr>
              <w:pStyle w:val="Compact"/>
              <w:spacing w:after="40"/>
              <w:jc w:val="center"/>
            </w:pPr>
            <w:r>
              <w:rPr>
                <w:b/>
                <w:sz w:val="19"/>
              </w:rPr>
              <w:t xml:space="preserve">sMAPE (%)</w:t>
            </w:r>
          </w:p>
        </w:tc>
      </w:tr>
      <w:tr>
        <w:tc>
          <w:tcPr/>
          <w:p>
            <w:pPr>
              <w:pStyle w:val="Compact"/>
              <w:spacing w:after="40"/>
              <w:jc w:val="left"/>
            </w:pPr>
            <w:r>
              <w:rPr>
                <w:b/>
                <w:bCs/>
                <w:sz w:val="19"/>
              </w:rPr>
              <w:t xml:space="preserve">LSTM</w:t>
            </w:r>
          </w:p>
        </w:tc>
        <w:tc>
          <w:tcPr/>
          <w:p>
            <w:pPr>
              <w:pStyle w:val="Compact"/>
              <w:spacing w:after="40"/>
              <w:jc w:val="center"/>
            </w:pPr>
            <w:r>
              <w:rPr>
                <w:b/>
                <w:bCs/>
                <w:sz w:val="19"/>
              </w:rPr>
              <w:t xml:space="preserve">7.87</w:t>
            </w:r>
          </w:p>
        </w:tc>
        <w:tc>
          <w:tcPr/>
          <w:p>
            <w:pPr>
              <w:pStyle w:val="Compact"/>
              <w:spacing w:after="40"/>
              <w:jc w:val="center"/>
            </w:pPr>
            <w:r>
              <w:rPr>
                <w:b/>
                <w:bCs/>
                <w:sz w:val="19"/>
              </w:rPr>
              <w:t xml:space="preserve">10.42</w:t>
            </w:r>
          </w:p>
        </w:tc>
        <w:tc>
          <w:tcPr/>
          <w:p>
            <w:pPr>
              <w:pStyle w:val="Compact"/>
              <w:spacing w:after="40"/>
              <w:jc w:val="center"/>
            </w:pPr>
            <w:r>
              <w:rPr>
                <w:b/>
                <w:bCs/>
                <w:sz w:val="19"/>
              </w:rPr>
              <w:t xml:space="preserve">0.98</w:t>
            </w:r>
          </w:p>
        </w:tc>
        <w:tc>
          <w:tcPr/>
          <w:p>
            <w:pPr>
              <w:pStyle w:val="Compact"/>
              <w:spacing w:after="40"/>
              <w:jc w:val="center"/>
            </w:pPr>
            <w:r>
              <w:rPr>
                <w:b/>
                <w:bCs/>
                <w:sz w:val="19"/>
              </w:rPr>
              <w:t xml:space="preserve">0.97</w:t>
            </w:r>
          </w:p>
        </w:tc>
        <w:tc>
          <w:tcPr/>
          <w:p>
            <w:pPr>
              <w:pStyle w:val="Compact"/>
              <w:spacing w:after="40"/>
              <w:jc w:val="center"/>
            </w:pPr>
            <w:r>
              <w:rPr>
                <w:b/>
                <w:bCs/>
                <w:sz w:val="19"/>
              </w:rPr>
              <w:t xml:space="preserve">0.14</w:t>
            </w:r>
          </w:p>
        </w:tc>
        <w:tc>
          <w:tcPr/>
          <w:p>
            <w:pPr>
              <w:pStyle w:val="Compact"/>
              <w:spacing w:after="40"/>
              <w:jc w:val="center"/>
            </w:pPr>
            <w:r>
              <w:rPr>
                <w:b/>
                <w:bCs/>
                <w:sz w:val="19"/>
              </w:rPr>
              <w:t xml:space="preserve">15.3</w:t>
            </w:r>
          </w:p>
        </w:tc>
      </w:tr>
      <w:tr>
        <w:tc>
          <w:tcPr/>
          <w:p>
            <w:pPr>
              <w:pStyle w:val="Compact"/>
              <w:spacing w:after="40"/>
              <w:jc w:val="left"/>
            </w:pPr>
            <w:r>
              <w:rPr>
                <w:sz w:val="19"/>
              </w:rPr>
              <w:t xml:space="preserve">SARIMA</w:t>
            </w:r>
          </w:p>
        </w:tc>
        <w:tc>
          <w:tcPr/>
          <w:p>
            <w:pPr>
              <w:pStyle w:val="Compact"/>
              <w:spacing w:after="40"/>
              <w:jc w:val="center"/>
            </w:pPr>
            <w:r>
              <w:rPr>
                <w:sz w:val="19"/>
              </w:rPr>
              <w:t xml:space="preserve">8.45</w:t>
            </w:r>
          </w:p>
        </w:tc>
        <w:tc>
          <w:tcPr/>
          <w:p>
            <w:pPr>
              <w:pStyle w:val="Compact"/>
              <w:spacing w:after="40"/>
              <w:jc w:val="center"/>
            </w:pPr>
            <w:r>
              <w:rPr>
                <w:sz w:val="19"/>
              </w:rPr>
              <w:t xml:space="preserve">11.09</w:t>
            </w:r>
          </w:p>
        </w:tc>
        <w:tc>
          <w:tcPr/>
          <w:p>
            <w:pPr>
              <w:pStyle w:val="Compact"/>
              <w:spacing w:after="40"/>
              <w:jc w:val="center"/>
            </w:pPr>
            <w:r>
              <w:rPr>
                <w:sz w:val="19"/>
              </w:rPr>
              <w:t xml:space="preserve">1.05</w:t>
            </w:r>
          </w:p>
        </w:tc>
        <w:tc>
          <w:tcPr/>
          <w:p>
            <w:pPr>
              <w:pStyle w:val="Compact"/>
              <w:spacing w:after="40"/>
              <w:jc w:val="center"/>
            </w:pPr>
            <w:r>
              <w:rPr>
                <w:sz w:val="19"/>
              </w:rPr>
              <w:t xml:space="preserve">1.04</w:t>
            </w:r>
          </w:p>
        </w:tc>
        <w:tc>
          <w:tcPr/>
          <w:p>
            <w:pPr>
              <w:pStyle w:val="Compact"/>
              <w:spacing w:after="40"/>
              <w:jc w:val="center"/>
            </w:pPr>
            <w:r>
              <w:rPr>
                <w:sz w:val="19"/>
              </w:rPr>
              <w:t xml:space="preserve">0.15</w:t>
            </w:r>
          </w:p>
        </w:tc>
        <w:tc>
          <w:tcPr/>
          <w:p>
            <w:pPr>
              <w:pStyle w:val="Compact"/>
              <w:spacing w:after="40"/>
              <w:jc w:val="center"/>
            </w:pPr>
            <w:r>
              <w:rPr>
                <w:sz w:val="19"/>
              </w:rPr>
              <w:t xml:space="preserve">16.9</w:t>
            </w:r>
          </w:p>
        </w:tc>
      </w:tr>
      <w:tr>
        <w:tc>
          <w:tcPr/>
          <w:p>
            <w:pPr>
              <w:pStyle w:val="Compact"/>
              <w:spacing w:after="40"/>
              <w:jc w:val="left"/>
            </w:pPr>
            <w:r>
              <w:rPr>
                <w:sz w:val="19"/>
              </w:rPr>
              <w:t xml:space="preserve">Seasonal Naive</w:t>
            </w:r>
          </w:p>
        </w:tc>
        <w:tc>
          <w:tcPr/>
          <w:p>
            <w:pPr>
              <w:pStyle w:val="Compact"/>
              <w:spacing w:after="40"/>
              <w:jc w:val="center"/>
            </w:pPr>
            <w:r>
              <w:rPr>
                <w:sz w:val="19"/>
              </w:rPr>
              <w:t xml:space="preserve">9.45</w:t>
            </w:r>
          </w:p>
        </w:tc>
        <w:tc>
          <w:tcPr/>
          <w:p>
            <w:pPr>
              <w:pStyle w:val="Compact"/>
              <w:spacing w:after="40"/>
              <w:jc w:val="center"/>
            </w:pPr>
            <w:r>
              <w:rPr>
                <w:sz w:val="19"/>
              </w:rPr>
              <w:t xml:space="preserve">11.64</w:t>
            </w:r>
          </w:p>
        </w:tc>
        <w:tc>
          <w:tcPr/>
          <w:p>
            <w:pPr>
              <w:pStyle w:val="Compact"/>
              <w:spacing w:after="40"/>
              <w:jc w:val="center"/>
            </w:pPr>
            <w:r>
              <w:rPr>
                <w:sz w:val="19"/>
              </w:rPr>
              <w:t xml:space="preserve">1.18</w:t>
            </w:r>
          </w:p>
        </w:tc>
        <w:tc>
          <w:tcPr/>
          <w:p>
            <w:pPr>
              <w:pStyle w:val="Compact"/>
              <w:spacing w:after="40"/>
              <w:jc w:val="center"/>
            </w:pPr>
            <w:r>
              <w:rPr>
                <w:sz w:val="19"/>
              </w:rPr>
              <w:t xml:space="preserve">1.17</w:t>
            </w:r>
          </w:p>
        </w:tc>
        <w:tc>
          <w:tcPr/>
          <w:p>
            <w:pPr>
              <w:pStyle w:val="Compact"/>
              <w:spacing w:after="40"/>
              <w:jc w:val="center"/>
            </w:pPr>
            <w:r>
              <w:rPr>
                <w:sz w:val="19"/>
              </w:rPr>
              <w:t xml:space="preserve">0.18</w:t>
            </w:r>
          </w:p>
        </w:tc>
        <w:tc>
          <w:tcPr/>
          <w:p>
            <w:pPr>
              <w:pStyle w:val="Compact"/>
              <w:spacing w:after="40"/>
              <w:jc w:val="center"/>
            </w:pPr>
            <w:r>
              <w:rPr>
                <w:sz w:val="19"/>
              </w:rPr>
              <w:t xml:space="preserve">19.2</w:t>
            </w:r>
          </w:p>
        </w:tc>
      </w:tr>
      <w:tr>
        <w:tc>
          <w:tcPr/>
          <w:p>
            <w:pPr>
              <w:pStyle w:val="Compact"/>
              <w:spacing w:after="40"/>
              <w:jc w:val="left"/>
            </w:pPr>
            <w:r>
              <w:rPr>
                <w:sz w:val="19"/>
              </w:rPr>
              <w:t xml:space="preserve">Moving Average</w:t>
            </w:r>
          </w:p>
        </w:tc>
        <w:tc>
          <w:tcPr/>
          <w:p>
            <w:pPr>
              <w:pStyle w:val="Compact"/>
              <w:spacing w:after="40"/>
              <w:jc w:val="center"/>
            </w:pPr>
            <w:r>
              <w:rPr>
                <w:sz w:val="19"/>
              </w:rPr>
              <w:t xml:space="preserve">9.71</w:t>
            </w:r>
          </w:p>
        </w:tc>
        <w:tc>
          <w:tcPr/>
          <w:p>
            <w:pPr>
              <w:pStyle w:val="Compact"/>
              <w:spacing w:after="40"/>
              <w:jc w:val="center"/>
            </w:pPr>
            <w:r>
              <w:rPr>
                <w:sz w:val="19"/>
              </w:rPr>
              <w:t xml:space="preserve">12.08</w:t>
            </w:r>
          </w:p>
        </w:tc>
        <w:tc>
          <w:tcPr/>
          <w:p>
            <w:pPr>
              <w:pStyle w:val="Compact"/>
              <w:spacing w:after="40"/>
              <w:jc w:val="center"/>
            </w:pPr>
            <w:r>
              <w:rPr>
                <w:sz w:val="19"/>
              </w:rPr>
              <w:t xml:space="preserve">1.19</w:t>
            </w:r>
          </w:p>
        </w:tc>
        <w:tc>
          <w:tcPr/>
          <w:p>
            <w:pPr>
              <w:pStyle w:val="Compact"/>
              <w:spacing w:after="40"/>
              <w:jc w:val="center"/>
            </w:pPr>
            <w:r>
              <w:rPr>
                <w:sz w:val="19"/>
              </w:rPr>
              <w:t xml:space="preserve">1.18</w:t>
            </w:r>
          </w:p>
        </w:tc>
        <w:tc>
          <w:tcPr/>
          <w:p>
            <w:pPr>
              <w:pStyle w:val="Compact"/>
              <w:spacing w:after="40"/>
              <w:jc w:val="center"/>
            </w:pPr>
            <w:r>
              <w:rPr>
                <w:sz w:val="19"/>
              </w:rPr>
              <w:t xml:space="preserve">0.18</w:t>
            </w:r>
          </w:p>
        </w:tc>
        <w:tc>
          <w:tcPr/>
          <w:p>
            <w:pPr>
              <w:pStyle w:val="Compact"/>
              <w:spacing w:after="40"/>
              <w:jc w:val="center"/>
            </w:pPr>
            <w:r>
              <w:rPr>
                <w:sz w:val="19"/>
              </w:rPr>
              <w:t xml:space="preserve">18.3</w:t>
            </w:r>
          </w:p>
        </w:tc>
      </w:tr>
      <w:tr>
        <w:tc>
          <w:tcPr/>
          <w:p>
            <w:pPr>
              <w:pStyle w:val="Compact"/>
              <w:spacing w:after="40"/>
              <w:jc w:val="left"/>
            </w:pPr>
            <w:r>
              <w:rPr>
                <w:sz w:val="19"/>
              </w:rPr>
              <w:t xml:space="preserve">SES</w:t>
            </w:r>
          </w:p>
        </w:tc>
        <w:tc>
          <w:tcPr/>
          <w:p>
            <w:pPr>
              <w:pStyle w:val="Compact"/>
              <w:spacing w:after="40"/>
              <w:jc w:val="center"/>
            </w:pPr>
            <w:r>
              <w:rPr>
                <w:sz w:val="19"/>
              </w:rPr>
              <w:t xml:space="preserve">9.92</w:t>
            </w:r>
          </w:p>
        </w:tc>
        <w:tc>
          <w:tcPr/>
          <w:p>
            <w:pPr>
              <w:pStyle w:val="Compact"/>
              <w:spacing w:after="40"/>
              <w:jc w:val="center"/>
            </w:pPr>
            <w:r>
              <w:rPr>
                <w:sz w:val="19"/>
              </w:rPr>
              <w:t xml:space="preserve">13.41</w:t>
            </w:r>
          </w:p>
        </w:tc>
        <w:tc>
          <w:tcPr/>
          <w:p>
            <w:pPr>
              <w:pStyle w:val="Compact"/>
              <w:spacing w:after="40"/>
              <w:jc w:val="center"/>
            </w:pPr>
            <w:r>
              <w:rPr>
                <w:sz w:val="19"/>
              </w:rPr>
              <w:t xml:space="preserve">1.21</w:t>
            </w:r>
          </w:p>
        </w:tc>
        <w:tc>
          <w:tcPr/>
          <w:p>
            <w:pPr>
              <w:pStyle w:val="Compact"/>
              <w:spacing w:after="40"/>
              <w:jc w:val="center"/>
            </w:pPr>
            <w:r>
              <w:rPr>
                <w:sz w:val="19"/>
              </w:rPr>
              <w:t xml:space="preserve">1.21</w:t>
            </w:r>
          </w:p>
        </w:tc>
        <w:tc>
          <w:tcPr/>
          <w:p>
            <w:pPr>
              <w:pStyle w:val="Compact"/>
              <w:spacing w:after="40"/>
              <w:jc w:val="center"/>
            </w:pPr>
            <w:r>
              <w:rPr>
                <w:sz w:val="19"/>
              </w:rPr>
              <w:t xml:space="preserve">0.17</w:t>
            </w:r>
          </w:p>
        </w:tc>
        <w:tc>
          <w:tcPr/>
          <w:p>
            <w:pPr>
              <w:pStyle w:val="Compact"/>
              <w:spacing w:after="40"/>
              <w:jc w:val="center"/>
            </w:pPr>
            <w:r>
              <w:rPr>
                <w:sz w:val="19"/>
              </w:rPr>
              <w:t xml:space="preserve">18.6</w:t>
            </w:r>
          </w:p>
        </w:tc>
      </w:tr>
      <w:tr>
        <w:tc>
          <w:tcPr/>
          <w:p>
            <w:pPr>
              <w:pStyle w:val="Compact"/>
              <w:spacing w:after="40"/>
              <w:jc w:val="left"/>
            </w:pPr>
            <w:r>
              <w:rPr>
                <w:sz w:val="19"/>
              </w:rPr>
              <w:t xml:space="preserve">ARIMA</w:t>
            </w:r>
          </w:p>
        </w:tc>
        <w:tc>
          <w:tcPr/>
          <w:p>
            <w:pPr>
              <w:pStyle w:val="Compact"/>
              <w:spacing w:after="40"/>
              <w:jc w:val="center"/>
            </w:pPr>
            <w:r>
              <w:rPr>
                <w:sz w:val="19"/>
              </w:rPr>
              <w:t xml:space="preserve">11.90</w:t>
            </w:r>
          </w:p>
        </w:tc>
        <w:tc>
          <w:tcPr/>
          <w:p>
            <w:pPr>
              <w:pStyle w:val="Compact"/>
              <w:spacing w:after="40"/>
              <w:jc w:val="center"/>
            </w:pPr>
            <w:r>
              <w:rPr>
                <w:sz w:val="19"/>
              </w:rPr>
              <w:t xml:space="preserve">15.98</w:t>
            </w:r>
          </w:p>
        </w:tc>
        <w:tc>
          <w:tcPr/>
          <w:p>
            <w:pPr>
              <w:pStyle w:val="Compact"/>
              <w:spacing w:after="40"/>
              <w:jc w:val="center"/>
            </w:pPr>
            <w:r>
              <w:rPr>
                <w:sz w:val="19"/>
              </w:rPr>
              <w:t xml:space="preserve">1.45</w:t>
            </w:r>
          </w:p>
        </w:tc>
        <w:tc>
          <w:tcPr/>
          <w:p>
            <w:pPr>
              <w:pStyle w:val="Compact"/>
              <w:spacing w:after="40"/>
              <w:jc w:val="center"/>
            </w:pPr>
            <w:r>
              <w:rPr>
                <w:sz w:val="19"/>
              </w:rPr>
              <w:t xml:space="preserve">1.43</w:t>
            </w:r>
          </w:p>
        </w:tc>
        <w:tc>
          <w:tcPr/>
          <w:p>
            <w:pPr>
              <w:pStyle w:val="Compact"/>
              <w:spacing w:after="40"/>
              <w:jc w:val="center"/>
            </w:pPr>
            <w:r>
              <w:rPr>
                <w:sz w:val="19"/>
              </w:rPr>
              <w:t xml:space="preserve">0.21</w:t>
            </w:r>
          </w:p>
        </w:tc>
        <w:tc>
          <w:tcPr/>
          <w:p>
            <w:pPr>
              <w:pStyle w:val="Compact"/>
              <w:spacing w:after="40"/>
              <w:jc w:val="center"/>
            </w:pPr>
            <w:r>
              <w:rPr>
                <w:sz w:val="19"/>
              </w:rPr>
              <w:t xml:space="preserve">23.0</w:t>
            </w:r>
          </w:p>
        </w:tc>
      </w:tr>
      <w:tr>
        <w:tc>
          <w:tcPr/>
          <w:p>
            <w:pPr>
              <w:pStyle w:val="Compact"/>
              <w:spacing w:after="40"/>
              <w:jc w:val="left"/>
            </w:pPr>
            <w:r>
              <w:rPr>
                <w:sz w:val="19"/>
              </w:rPr>
              <w:t xml:space="preserve">DES</w:t>
            </w:r>
          </w:p>
        </w:tc>
        <w:tc>
          <w:tcPr/>
          <w:p>
            <w:pPr>
              <w:pStyle w:val="Compact"/>
              <w:spacing w:after="40"/>
              <w:jc w:val="center"/>
            </w:pPr>
            <w:r>
              <w:rPr>
                <w:sz w:val="19"/>
              </w:rPr>
              <w:t xml:space="preserve">13.63</w:t>
            </w:r>
          </w:p>
        </w:tc>
        <w:tc>
          <w:tcPr/>
          <w:p>
            <w:pPr>
              <w:pStyle w:val="Compact"/>
              <w:spacing w:after="40"/>
              <w:jc w:val="center"/>
            </w:pPr>
            <w:r>
              <w:rPr>
                <w:sz w:val="19"/>
              </w:rPr>
              <w:t xml:space="preserve">18.44</w:t>
            </w:r>
          </w:p>
        </w:tc>
        <w:tc>
          <w:tcPr/>
          <w:p>
            <w:pPr>
              <w:pStyle w:val="Compact"/>
              <w:spacing w:after="40"/>
              <w:jc w:val="center"/>
            </w:pPr>
            <w:r>
              <w:rPr>
                <w:sz w:val="19"/>
              </w:rPr>
              <w:t xml:space="preserve">1.68</w:t>
            </w:r>
          </w:p>
        </w:tc>
        <w:tc>
          <w:tcPr/>
          <w:p>
            <w:pPr>
              <w:pStyle w:val="Compact"/>
              <w:spacing w:after="40"/>
              <w:jc w:val="center"/>
            </w:pPr>
            <w:r>
              <w:rPr>
                <w:sz w:val="19"/>
              </w:rPr>
              <w:t xml:space="preserve">1.67</w:t>
            </w:r>
          </w:p>
        </w:tc>
        <w:tc>
          <w:tcPr/>
          <w:p>
            <w:pPr>
              <w:pStyle w:val="Compact"/>
              <w:spacing w:after="40"/>
              <w:jc w:val="center"/>
            </w:pPr>
            <w:r>
              <w:rPr>
                <w:sz w:val="19"/>
              </w:rPr>
              <w:t xml:space="preserve">0.24</w:t>
            </w:r>
          </w:p>
        </w:tc>
        <w:tc>
          <w:tcPr/>
          <w:p>
            <w:pPr>
              <w:pStyle w:val="Compact"/>
              <w:spacing w:after="40"/>
              <w:jc w:val="center"/>
            </w:pPr>
            <w:r>
              <w:rPr>
                <w:sz w:val="19"/>
              </w:rPr>
              <w:t xml:space="preserve">25.4</w:t>
            </w:r>
          </w:p>
        </w:tc>
      </w:tr>
      <w:tr>
        <w:tc>
          <w:tcPr/>
          <w:p>
            <w:pPr>
              <w:pStyle w:val="Compact"/>
              <w:spacing w:after="40"/>
              <w:jc w:val="left"/>
            </w:pPr>
            <w:r>
              <w:rPr>
                <w:sz w:val="19"/>
              </w:rPr>
              <w:t xml:space="preserve">Naive</w:t>
            </w:r>
          </w:p>
        </w:tc>
        <w:tc>
          <w:tcPr/>
          <w:p>
            <w:pPr>
              <w:pStyle w:val="Compact"/>
              <w:spacing w:after="40"/>
              <w:jc w:val="center"/>
            </w:pPr>
            <w:r>
              <w:rPr>
                <w:sz w:val="19"/>
              </w:rPr>
              <w:t xml:space="preserve">16.29</w:t>
            </w:r>
          </w:p>
        </w:tc>
        <w:tc>
          <w:tcPr/>
          <w:p>
            <w:pPr>
              <w:pStyle w:val="Compact"/>
              <w:spacing w:after="40"/>
              <w:jc w:val="center"/>
            </w:pPr>
            <w:r>
              <w:rPr>
                <w:sz w:val="19"/>
              </w:rPr>
              <w:t xml:space="preserve">18.95</w:t>
            </w:r>
          </w:p>
        </w:tc>
        <w:tc>
          <w:tcPr/>
          <w:p>
            <w:pPr>
              <w:pStyle w:val="Compact"/>
              <w:spacing w:after="40"/>
              <w:jc w:val="center"/>
            </w:pPr>
            <w:r>
              <w:rPr>
                <w:sz w:val="19"/>
              </w:rPr>
              <w:t xml:space="preserve">1.97</w:t>
            </w:r>
          </w:p>
        </w:tc>
        <w:tc>
          <w:tcPr/>
          <w:p>
            <w:pPr>
              <w:pStyle w:val="Compact"/>
              <w:spacing w:after="40"/>
              <w:jc w:val="center"/>
            </w:pPr>
            <w:r>
              <w:rPr>
                <w:sz w:val="19"/>
              </w:rPr>
              <w:t xml:space="preserve">1.87</w:t>
            </w:r>
          </w:p>
        </w:tc>
        <w:tc>
          <w:tcPr/>
          <w:p>
            <w:pPr>
              <w:pStyle w:val="Compact"/>
              <w:spacing w:after="40"/>
              <w:jc w:val="center"/>
            </w:pPr>
            <w:r>
              <w:rPr>
                <w:sz w:val="19"/>
              </w:rPr>
              <w:t xml:space="preserve">0.29</w:t>
            </w:r>
          </w:p>
        </w:tc>
        <w:tc>
          <w:tcPr/>
          <w:p>
            <w:pPr>
              <w:pStyle w:val="Compact"/>
              <w:spacing w:after="40"/>
              <w:jc w:val="center"/>
            </w:pPr>
            <w:r>
              <w:rPr>
                <w:sz w:val="19"/>
              </w:rPr>
              <w:t xml:space="preserve">33.2</w:t>
            </w:r>
          </w:p>
        </w:tc>
      </w:tr>
      <w:tr>
        <w:tc>
          <w:tcPr/>
          <w:p>
            <w:pPr>
              <w:pStyle w:val="Compact"/>
              <w:spacing w:after="40"/>
              <w:jc w:val="left"/>
            </w:pPr>
            <w:r>
              <w:rPr>
                <w:sz w:val="19"/>
              </w:rPr>
              <w:t xml:space="preserve">TES</w:t>
            </w:r>
          </w:p>
        </w:tc>
        <w:tc>
          <w:tcPr/>
          <w:p>
            <w:pPr>
              <w:pStyle w:val="Compact"/>
              <w:spacing w:after="40"/>
              <w:jc w:val="center"/>
            </w:pPr>
            <w:r>
              <w:rPr>
                <w:sz w:val="19"/>
              </w:rPr>
              <w:t xml:space="preserve">16.87</w:t>
            </w:r>
          </w:p>
        </w:tc>
        <w:tc>
          <w:tcPr/>
          <w:p>
            <w:pPr>
              <w:pStyle w:val="Compact"/>
              <w:spacing w:after="40"/>
              <w:jc w:val="center"/>
            </w:pPr>
            <w:r>
              <w:rPr>
                <w:sz w:val="19"/>
              </w:rPr>
              <w:t xml:space="preserve">23.39</w:t>
            </w:r>
          </w:p>
        </w:tc>
        <w:tc>
          <w:tcPr/>
          <w:p>
            <w:pPr>
              <w:pStyle w:val="Compact"/>
              <w:spacing w:after="40"/>
              <w:jc w:val="center"/>
            </w:pPr>
            <w:r>
              <w:rPr>
                <w:sz w:val="19"/>
              </w:rPr>
              <w:t xml:space="preserve">2.11</w:t>
            </w:r>
          </w:p>
        </w:tc>
        <w:tc>
          <w:tcPr/>
          <w:p>
            <w:pPr>
              <w:pStyle w:val="Compact"/>
              <w:spacing w:after="40"/>
              <w:jc w:val="center"/>
            </w:pPr>
            <w:r>
              <w:rPr>
                <w:sz w:val="19"/>
              </w:rPr>
              <w:t xml:space="preserve">2.16</w:t>
            </w:r>
          </w:p>
        </w:tc>
        <w:tc>
          <w:tcPr/>
          <w:p>
            <w:pPr>
              <w:pStyle w:val="Compact"/>
              <w:spacing w:after="40"/>
              <w:jc w:val="center"/>
            </w:pPr>
            <w:r>
              <w:rPr>
                <w:sz w:val="19"/>
              </w:rPr>
              <w:t xml:space="preserve">0.29</w:t>
            </w:r>
          </w:p>
        </w:tc>
        <w:tc>
          <w:tcPr/>
          <w:p>
            <w:pPr>
              <w:pStyle w:val="Compact"/>
              <w:spacing w:after="40"/>
              <w:jc w:val="center"/>
            </w:pPr>
            <w:r>
              <w:rPr>
                <w:sz w:val="19"/>
              </w:rPr>
              <w:t xml:space="preserve">33.7</w:t>
            </w:r>
          </w:p>
        </w:tc>
      </w:tr>
    </w:tbl>
    <w:bookmarkEnd w:id="108"/>
    <w:bookmarkStart w:id="112" w:name="fig:store-mae"/>
    <w:p>
      <w:pPr>
        <w:pStyle w:val="CaptionedFigure"/>
        <w:jc w:val="center"/>
      </w:pPr>
      <w:r>
        <w:drawing>
          <wp:inline>
            <wp:extent cx="4800600" cy="2505540"/>
            <wp:effectExtent b="0" l="0" r="0" t="0"/>
            <wp:docPr descr="" title="" id="110" name="Picture"/>
            <a:graphic>
              <a:graphicData uri="http://schemas.openxmlformats.org/drawingml/2006/picture">
                <pic:pic>
                  <pic:nvPicPr>
                    <pic:cNvPr descr="F-NEW-02-store-mae-full500-sarima.png" id="111" name="Picture"/>
                    <pic:cNvPicPr>
                      <a:picLocks noChangeArrowheads="1" noChangeAspect="1"/>
                    </pic:cNvPicPr>
                  </pic:nvPicPr>
                  <pic:blipFill>
                    <a:blip r:embed="rId109"/>
                    <a:stretch>
                      <a:fillRect/>
                    </a:stretch>
                  </pic:blipFill>
                  <pic:spPr bwMode="auto">
                    <a:xfrm>
                      <a:off x="0" y="0"/>
                      <a:ext cx="4800600" cy="2505540"/>
                    </a:xfrm>
                    <a:prstGeom prst="rect">
                      <a:avLst/>
                    </a:prstGeom>
                    <a:noFill/>
                    <a:ln w="9525">
                      <a:noFill/>
                      <a:headEnd/>
                      <a:tailEnd/>
                    </a:ln>
                  </pic:spPr>
                </pic:pic>
              </a:graphicData>
            </a:graphic>
          </wp:inline>
        </w:drawing>
      </w:r>
    </w:p>
    <w:p>
      <w:pPr>
        <w:pStyle w:val="ImageCaption"/>
      </w:pPr>
      <w:r>
        <w:t>Figure 14: Store MAE with full-population SARIMA (8.45, ), replacing the subset-based panels. Deterministic rebuild (F-NEW-02).</w:t>
      </w:r>
    </w:p>
    <w:bookmarkEnd w:id="112"/>
    <w:bookmarkEnd w:id="113"/>
    <w:bookmarkStart w:id="115" w:name="sec:sig-vs-pract"/>
    <w:p>
      <w:pPr>
        <w:pStyle w:val="Heading2"/>
      </w:pPr>
      <w:r>
        <w:t xml:space="preserve">Statistical significance vs. practical significance</w:t>
      </w:r>
    </w:p>
    <w:p>
      <w:pPr>
        <w:pStyle w:val="FirstParagraph"/>
      </w:pPr>
      <w:r>
        <w:t xml:space="preserve">With 112,000 paired errors per comparison, tests have high power to detect</w:t>
      </w:r>
      <w:r>
        <w:t xml:space="preserve"> </w:t>
      </w:r>
      <w:r>
        <w:t xml:space="preserve">small differences, so table 5 reports effect sizes alongside</w:t>
      </w:r>
      <w:r>
        <w:t xml:space="preserve"> </w:t>
      </w:r>
      <m:oMath>
        <m:r>
          <m:t>p</m:t>
        </m:r>
      </m:oMath>
      <w:r>
        <w:t xml:space="preserve">-values. Two rows illustrate why. M5 LSTM versus TSB:</w:t>
      </w:r>
      <w:r>
        <w:t xml:space="preserve"> </w:t>
      </w:r>
      <m:oMath>
        <m:sSub>
          <m:e>
            <m:r>
              <m:t>d</m:t>
            </m:r>
          </m:e>
          <m:sub>
            <m:r>
              <m:t>z</m:t>
            </m:r>
          </m:sub>
        </m:sSub>
        <m:r>
          <m:rPr>
            <m:sty m:val="p"/>
          </m:rPr>
          <m:t>≈</m:t>
        </m:r>
        <m:r>
          <m:rPr>
            <m:sty m:val="p"/>
          </m:rPr>
          <m:t>−</m:t>
        </m:r>
        <m:r>
          <m:t>0.031</m:t>
        </m:r>
      </m:oMath>
      <w:r>
        <w:t xml:space="preserve"> </w:t>
      </w:r>
      <w:r>
        <w:t xml:space="preserve">with Holm-adjusted</w:t>
      </w:r>
      <w:r>
        <w:t xml:space="preserve"> </w:t>
      </w:r>
      <m:oMath>
        <m:r>
          <m:t>p</m:t>
        </m:r>
        <m:r>
          <m:rPr>
            <m:sty m:val="p"/>
          </m:rPr>
          <m:t>≈</m:t>
        </m:r>
        <m:r>
          <m:t>2</m:t>
        </m:r>
        <m:r>
          <m:rPr>
            <m:sty m:val="p"/>
          </m:rPr>
          <m:t>×</m:t>
        </m:r>
        <m:sSup>
          <m:e>
            <m:r>
              <m:t>10</m:t>
            </m:r>
          </m:e>
          <m:sup>
            <m:r>
              <m:rPr>
                <m:sty m:val="p"/>
              </m:rPr>
              <m:t>−</m:t>
            </m:r>
            <m:r>
              <m:t>10</m:t>
            </m:r>
          </m:sup>
        </m:sSup>
      </m:oMath>
      <w:r>
        <w:t xml:space="preserve">. The difference is significant</w:t>
      </w:r>
      <w:r>
        <w:t xml:space="preserve"> </w:t>
      </w:r>
      <w:r>
        <w:t xml:space="preserve">in the formal sense and negligible in absolute terms (two hundredths of an</w:t>
      </w:r>
      <w:r>
        <w:t xml:space="preserve"> </w:t>
      </w:r>
      <w:r>
        <w:t xml:space="preserve">MAE unit). Store LSTM versus Moving Average:</w:t>
      </w:r>
      <w:r>
        <w:t xml:space="preserve"> </w:t>
      </w:r>
      <m:oMath>
        <m:sSub>
          <m:e>
            <m:r>
              <m:t>d</m:t>
            </m:r>
          </m:e>
          <m:sub>
            <m:r>
              <m:t>z</m:t>
            </m:r>
          </m:sub>
        </m:sSub>
        <m:r>
          <m:rPr>
            <m:sty m:val="p"/>
          </m:rPr>
          <m:t>≈</m:t>
        </m:r>
        <m:r>
          <m:rPr>
            <m:sty m:val="p"/>
          </m:rPr>
          <m:t>−</m:t>
        </m:r>
        <m:r>
          <m:t>0.29</m:t>
        </m:r>
      </m:oMath>
      <w:r>
        <w:t xml:space="preserve"> </w:t>
      </w:r>
      <w:r>
        <w:t xml:space="preserve">with</w:t>
      </w:r>
      <w:r>
        <w:t xml:space="preserve"> </w:t>
      </w:r>
      <m:oMath>
        <m:r>
          <m:t>p</m:t>
        </m:r>
        <m:r>
          <m:rPr>
            <m:sty m:val="p"/>
          </m:rPr>
          <m:t>≈</m:t>
        </m:r>
        <m:r>
          <m:t>0</m:t>
        </m:r>
      </m:oMath>
      <w:r>
        <w:t xml:space="preserve">, a difference that is both significant and material at nearly</w:t>
      </w:r>
      <w:r>
        <w:t xml:space="preserve"> </w:t>
      </w:r>
      <w:r>
        <w:t xml:space="preserve">two MAE units. The same significance label covers a tenfold difference in</w:t>
      </w:r>
      <w:r>
        <w:t xml:space="preserve"> </w:t>
      </w:r>
      <w:r>
        <w:t xml:space="preserve">magnitude. A</w:t>
      </w:r>
      <w:r>
        <w:t xml:space="preserve"> </w:t>
      </w:r>
      <m:oMath>
        <m:r>
          <m:t>p</m:t>
        </m:r>
      </m:oMath>
      <w:r>
        <w:t xml:space="preserve">-value addresses whether models differ;</w:t>
      </w:r>
      <w:r>
        <w:t xml:space="preserve"> </w:t>
      </w:r>
      <m:oMath>
        <m:sSub>
          <m:e>
            <m:r>
              <m:t>d</m:t>
            </m:r>
          </m:e>
          <m:sub>
            <m:r>
              <m:t>z</m:t>
            </m:r>
          </m:sub>
        </m:sSub>
      </m:oMath>
      <w:r>
        <w:t xml:space="preserve">, the</w:t>
      </w:r>
      <w:r>
        <w:t xml:space="preserve"> </w:t>
      </w:r>
      <w:r>
        <w:t xml:space="preserve">rank-biserial</w:t>
      </w:r>
      <w:r>
        <w:t xml:space="preserve"> </w:t>
      </w:r>
      <m:oMath>
        <m:r>
          <m:t>r</m:t>
        </m:r>
      </m:oMath>
      <w:r>
        <w:t xml:space="preserve">, and the bootstrap interval address whether the difference</w:t>
      </w:r>
      <w:r>
        <w:t xml:space="preserve"> </w:t>
      </w:r>
      <w:r>
        <w:t xml:space="preserve">matters. The full 91-pair table is appendix F; formal methodology is in</w:t>
      </w:r>
      <w:r>
        <w:t xml:space="preserve"> </w:t>
      </w:r>
      <w:r>
        <w:t xml:space="preserve">appendix B.</w:t>
      </w:r>
    </w:p>
    <w:bookmarkStart w:id="114" w:name="tab:spotlight"/>
    <w:p>
      <w:pPr>
        <w:pStyle w:val="TableCaption"/>
      </w:pPr>
      <w:r>
        <w:t>Table 5: Spotlight pairwise comparisons (paired-error  = A minus B; negative favors A).</w:t>
      </w:r>
    </w:p>
    <w:tbl>
      <w:tblPr>
        <w:tblStyle w:val="Table"/>
        <w:tblW w:type="auto" w:w="0"/>
        <w:jc w:val="center"/>
        <w:tblLook w:firstRow="1" w:lastRow="0" w:firstColumn="0" w:lastColumn="0" w:noHBand="0" w:noVBand="0" w:val="0020"/>
        <w:tblCaption w:val="Spotlight pairwise comparisons (paired-error d = A minus B; negative favors A)."/>
      </w:tblPr>
      <w:tblGrid>
        <w:gridCol w:w="1320"/>
        <w:gridCol w:w="1320"/>
        <w:gridCol w:w="1320"/>
        <w:gridCol w:w="1320"/>
        <w:gridCol w:w="1320"/>
        <w:gridCol w:w="1320"/>
      </w:tblGrid>
      <w:tr>
        <w:trPr>
          <w:tblHeader w:val="on"/>
        </w:trPr>
        <w:tc>
          <w:tcPr>
            <w:shd w:fill="EDEDED" w:val="clear"/>
          </w:tcPr>
          <w:p>
            <w:pPr>
              <w:pStyle w:val="Compact"/>
              <w:spacing w:after="40"/>
              <w:jc w:val="left"/>
            </w:pPr>
            <w:r>
              <w:rPr>
                <w:b/>
                <w:sz w:val="19"/>
              </w:rPr>
              <w:t xml:space="preserve">Dataset</w:t>
            </w:r>
          </w:p>
        </w:tc>
        <w:tc>
          <w:tcPr>
            <w:shd w:fill="EDEDED" w:val="clear"/>
          </w:tcPr>
          <w:p>
            <w:pPr>
              <w:pStyle w:val="Compact"/>
              <w:spacing w:after="40"/>
              <w:jc w:val="left"/>
            </w:pPr>
            <w:r>
              <w:rPr>
                <w:b/>
                <w:sz w:val="19"/>
              </w:rPr>
              <w:t xml:space="preserve">A vs. B</w:t>
            </w:r>
          </w:p>
        </w:tc>
        <w:tc>
          <w:tcPr>
            <w:shd w:fill="EDEDED" w:val="clear"/>
          </w:tcPr>
          <w:p>
            <w:pPr>
              <w:pStyle w:val="Compact"/>
              <w:spacing w:after="40"/>
              <w:jc w:val="left"/>
            </w:pPr>
            <m:oMath>
              <m:sSub>
                <m:e>
                  <m:r>
                    <m:t>d</m:t>
                  </m:r>
                </m:e>
                <m:sub>
                  <m:r>
                    <m:t>z</m:t>
                  </m:r>
                </m:sub>
              </m:sSub>
            </m:oMath>
            <w:r>
              <w:rPr>
                <w:b/>
                <w:sz w:val="19"/>
              </w:rPr>
              <w:t xml:space="preserve">​</w:t>
            </w:r>
          </w:p>
        </w:tc>
        <w:tc>
          <w:tcPr>
            <w:shd w:fill="EDEDED" w:val="clear"/>
          </w:tcPr>
          <w:p>
            <w:pPr>
              <w:pStyle w:val="Compact"/>
              <w:spacing w:after="40"/>
              <w:jc w:val="center"/>
            </w:pPr>
            <w:r>
              <w:rPr>
                <w:b/>
                <w:sz w:val="19"/>
              </w:rPr>
              <w:t xml:space="preserve">Holm</w:t>
            </w:r>
            <w:r>
              <w:rPr>
                <w:b/>
                <w:sz w:val="19"/>
              </w:rPr>
              <w:t xml:space="preserve"> </w:t>
            </w:r>
            <m:oMath>
              <m:r>
                <m:t>p</m:t>
              </m:r>
            </m:oMath>
          </w:p>
        </w:tc>
        <w:tc>
          <w:tcPr>
            <w:shd w:fill="EDEDED" w:val="clear"/>
          </w:tcPr>
          <w:p>
            <w:pPr>
              <w:pStyle w:val="Compact"/>
              <w:spacing w:after="40"/>
              <w:jc w:val="center"/>
            </w:pPr>
            <m:oMath>
              <m:r>
                <m:t>r</m:t>
              </m:r>
            </m:oMath>
            <w:r>
              <w:rPr>
                <w:b/>
                <w:sz w:val="19"/>
              </w:rPr>
              <w:t xml:space="preserve">​</w:t>
            </w:r>
          </w:p>
        </w:tc>
        <w:tc>
          <w:tcPr>
            <w:shd w:fill="EDEDED" w:val="clear"/>
          </w:tcPr>
          <w:p>
            <w:pPr>
              <w:pStyle w:val="Compact"/>
              <w:spacing w:after="40"/>
              <w:jc w:val="center"/>
            </w:pPr>
            <w:r>
              <w:rPr>
                <w:b/>
                <w:sz w:val="19"/>
              </w:rPr>
              <w:t xml:space="preserve">95% CI</w:t>
            </w:r>
          </w:p>
        </w:tc>
      </w:tr>
      <w:tr>
        <w:tc>
          <w:tcPr/>
          <w:p>
            <w:pPr>
              <w:pStyle w:val="Compact"/>
              <w:spacing w:after="40"/>
              <w:jc w:val="left"/>
            </w:pPr>
            <w:r>
              <w:rPr>
                <w:sz w:val="19"/>
              </w:rPr>
              <w:t xml:space="preserve">M5</w:t>
            </w:r>
          </w:p>
        </w:tc>
        <w:tc>
          <w:tcPr/>
          <w:p>
            <w:pPr>
              <w:pStyle w:val="Compact"/>
              <w:spacing w:after="40"/>
              <w:jc w:val="left"/>
            </w:pPr>
            <w:r>
              <w:rPr>
                <w:sz w:val="19"/>
              </w:rPr>
              <w:t xml:space="preserve">LSTM vs. TSB</w:t>
            </w:r>
          </w:p>
        </w:tc>
        <w:tc>
          <w:tcPr/>
          <w:p>
            <w:pPr>
              <w:pStyle w:val="Compact"/>
              <w:spacing w:after="40"/>
              <w:jc w:val="left"/>
            </w:pPr>
            <m:oMath>
              <m:r>
                <m:rPr>
                  <m:sty m:val="p"/>
                </m:rPr>
                <m:t>−</m:t>
              </m:r>
              <m:r>
                <m:t>0.031</m:t>
              </m:r>
            </m:oMath>
            <w:r>
              <w:rPr>
                <w:sz w:val="19"/>
              </w:rPr>
              <w:t xml:space="preserve">​</w:t>
            </w:r>
          </w:p>
        </w:tc>
        <w:tc>
          <w:tcPr/>
          <w:p>
            <w:pPr>
              <w:pStyle w:val="Compact"/>
              <w:spacing w:after="40"/>
              <w:jc w:val="center"/>
            </w:pPr>
            <m:oMath>
              <m:r>
                <m:t>2.0</m:t>
              </m:r>
              <m:r>
                <m:rPr>
                  <m:sty m:val="p"/>
                </m:rPr>
                <m:t>×</m:t>
              </m:r>
              <m:sSup>
                <m:e>
                  <m:r>
                    <m:t>10</m:t>
                  </m:r>
                </m:e>
                <m:sup>
                  <m:r>
                    <m:rPr>
                      <m:sty m:val="p"/>
                    </m:rPr>
                    <m:t>−</m:t>
                  </m:r>
                  <m:r>
                    <m:t>10</m:t>
                  </m:r>
                </m:sup>
              </m:sSup>
            </m:oMath>
            <w:r>
              <w:rPr>
                <w:sz w:val="19"/>
              </w:rPr>
              <w:t xml:space="preserve">​</w:t>
            </w:r>
          </w:p>
        </w:tc>
        <w:tc>
          <w:tcPr/>
          <w:p>
            <w:pPr>
              <w:pStyle w:val="Compact"/>
              <w:spacing w:after="40"/>
              <w:jc w:val="center"/>
            </w:pPr>
            <m:oMath>
              <m:r>
                <m:rPr>
                  <m:sty m:val="p"/>
                </m:rPr>
                <m:t>−</m:t>
              </m:r>
              <m:r>
                <m:t>0.020</m:t>
              </m:r>
            </m:oMath>
            <w:r>
              <w:rPr>
                <w:sz w:val="19"/>
              </w:rPr>
              <w:t xml:space="preserve">​</w:t>
            </w:r>
          </w:p>
        </w:tc>
        <w:tc>
          <w:tcPr/>
          <w:p>
            <w:pPr>
              <w:pStyle w:val="Compact"/>
              <w:spacing w:after="40"/>
              <w:jc w:val="center"/>
            </w:pPr>
            <m:oMath>
              <m:r>
                <m:rPr>
                  <m:sty m:val="p"/>
                </m:rPr>
                <m:t>[</m:t>
              </m:r>
              <m:r>
                <m:rPr>
                  <m:sty m:val="p"/>
                </m:rPr>
                <m:t>−</m:t>
              </m:r>
              <m:r>
                <m:t>0.024</m:t>
              </m:r>
              <m:r>
                <m:rPr>
                  <m:sty m:val="p"/>
                </m:rPr>
                <m:t>,</m:t>
              </m:r>
              <m:r>
                <m:rPr>
                  <m:sty m:val="p"/>
                </m:rPr>
                <m:t>−</m:t>
              </m:r>
              <m:r>
                <m:t>0.017</m:t>
              </m:r>
              <m:r>
                <m:rPr>
                  <m:sty m:val="p"/>
                </m:rPr>
                <m:t>]</m:t>
              </m:r>
            </m:oMath>
            <w:r>
              <w:rPr>
                <w:sz w:val="19"/>
              </w:rPr>
              <w:t xml:space="preserve">​</w:t>
            </w:r>
          </w:p>
        </w:tc>
      </w:tr>
      <w:tr>
        <w:tc>
          <w:tcPr/>
          <w:p>
            <w:pPr>
              <w:pStyle w:val="Compact"/>
              <w:spacing w:after="40"/>
              <w:jc w:val="left"/>
            </w:pPr>
            <w:r>
              <w:rPr>
                <w:sz w:val="19"/>
              </w:rPr>
              <w:t xml:space="preserve">M5</w:t>
            </w:r>
          </w:p>
        </w:tc>
        <w:tc>
          <w:tcPr/>
          <w:p>
            <w:pPr>
              <w:pStyle w:val="Compact"/>
              <w:spacing w:after="40"/>
              <w:jc w:val="left"/>
            </w:pPr>
            <w:r>
              <w:rPr>
                <w:sz w:val="19"/>
              </w:rPr>
              <w:t xml:space="preserve">LSTM vs. MA</w:t>
            </w:r>
          </w:p>
        </w:tc>
        <w:tc>
          <w:tcPr/>
          <w:p>
            <w:pPr>
              <w:pStyle w:val="Compact"/>
              <w:spacing w:after="40"/>
              <w:jc w:val="left"/>
            </w:pPr>
            <m:oMath>
              <m:r>
                <m:rPr>
                  <m:sty m:val="p"/>
                </m:rPr>
                <m:t>−</m:t>
              </m:r>
              <m:r>
                <m:t>0.015</m:t>
              </m:r>
            </m:oMath>
            <w:r>
              <w:rPr>
                <w:sz w:val="19"/>
              </w:rPr>
              <w:t xml:space="preserve">​</w:t>
            </w:r>
          </w:p>
        </w:tc>
        <w:tc>
          <w:tcPr/>
          <w:p>
            <w:pPr>
              <w:pStyle w:val="Compact"/>
              <w:spacing w:after="40"/>
              <w:jc w:val="center"/>
            </w:pPr>
            <m:oMath>
              <m:r>
                <m:t>1.8</m:t>
              </m:r>
              <m:r>
                <m:rPr>
                  <m:sty m:val="p"/>
                </m:rPr>
                <m:t>×</m:t>
              </m:r>
              <m:sSup>
                <m:e>
                  <m:r>
                    <m:t>10</m:t>
                  </m:r>
                </m:e>
                <m:sup>
                  <m:r>
                    <m:rPr>
                      <m:sty m:val="p"/>
                    </m:rPr>
                    <m:t>−</m:t>
                  </m:r>
                  <m:r>
                    <m:t>3</m:t>
                  </m:r>
                </m:sup>
              </m:sSup>
            </m:oMath>
            <w:r>
              <w:rPr>
                <w:sz w:val="19"/>
              </w:rPr>
              <w:t xml:space="preserve">​</w:t>
            </w:r>
          </w:p>
        </w:tc>
        <w:tc>
          <w:tcPr/>
          <w:p>
            <w:pPr>
              <w:pStyle w:val="Compact"/>
              <w:spacing w:after="40"/>
              <w:jc w:val="center"/>
            </w:pPr>
            <m:oMath>
              <m:r>
                <m:rPr>
                  <m:sty m:val="p"/>
                </m:rPr>
                <m:t>−</m:t>
              </m:r>
              <m:r>
                <m:t>0.010</m:t>
              </m:r>
            </m:oMath>
            <w:r>
              <w:rPr>
                <w:sz w:val="19"/>
              </w:rPr>
              <w:t xml:space="preserve">​</w:t>
            </w:r>
          </w:p>
        </w:tc>
        <w:tc>
          <w:tcPr/>
          <w:p>
            <w:pPr>
              <w:pStyle w:val="Compact"/>
              <w:spacing w:after="40"/>
              <w:jc w:val="center"/>
            </w:pPr>
            <m:oMath>
              <m:r>
                <m:rPr>
                  <m:sty m:val="p"/>
                </m:rPr>
                <m:t>[</m:t>
              </m:r>
              <m:r>
                <m:rPr>
                  <m:sty m:val="p"/>
                </m:rPr>
                <m:t>−</m:t>
              </m:r>
              <m:r>
                <m:t>0.014</m:t>
              </m:r>
              <m:r>
                <m:rPr>
                  <m:sty m:val="p"/>
                </m:rPr>
                <m:t>,</m:t>
              </m:r>
              <m:r>
                <m:rPr>
                  <m:sty m:val="p"/>
                </m:rPr>
                <m:t>−</m:t>
              </m:r>
              <m:r>
                <m:t>0.007</m:t>
              </m:r>
              <m:r>
                <m:rPr>
                  <m:sty m:val="p"/>
                </m:rPr>
                <m:t>]</m:t>
              </m:r>
            </m:oMath>
            <w:r>
              <w:rPr>
                <w:sz w:val="19"/>
              </w:rPr>
              <w:t xml:space="preserve">​</w:t>
            </w:r>
          </w:p>
        </w:tc>
      </w:tr>
      <w:tr>
        <w:tc>
          <w:tcPr/>
          <w:p>
            <w:pPr>
              <w:pStyle w:val="Compact"/>
              <w:spacing w:after="40"/>
              <w:jc w:val="left"/>
            </w:pPr>
            <w:r>
              <w:rPr>
                <w:sz w:val="19"/>
              </w:rPr>
              <w:t xml:space="preserve">M5</w:t>
            </w:r>
          </w:p>
        </w:tc>
        <w:tc>
          <w:tcPr/>
          <w:p>
            <w:pPr>
              <w:pStyle w:val="Compact"/>
              <w:spacing w:after="40"/>
              <w:jc w:val="left"/>
            </w:pPr>
            <w:r>
              <w:rPr>
                <w:sz w:val="19"/>
              </w:rPr>
              <w:t xml:space="preserve">LSTM vs. SES</w:t>
            </w:r>
          </w:p>
        </w:tc>
        <w:tc>
          <w:tcPr/>
          <w:p>
            <w:pPr>
              <w:pStyle w:val="Compact"/>
              <w:spacing w:after="40"/>
              <w:jc w:val="left"/>
            </w:pPr>
            <m:oMath>
              <m:r>
                <m:rPr>
                  <m:sty m:val="p"/>
                </m:rPr>
                <m:t>−</m:t>
              </m:r>
              <m:r>
                <m:t>0.014</m:t>
              </m:r>
            </m:oMath>
            <w:r>
              <w:rPr>
                <w:sz w:val="19"/>
              </w:rPr>
              <w:t xml:space="preserve">​</w:t>
            </w:r>
          </w:p>
        </w:tc>
        <w:tc>
          <w:tcPr/>
          <w:p>
            <w:pPr>
              <w:pStyle w:val="Compact"/>
              <w:spacing w:after="40"/>
              <w:jc w:val="center"/>
            </w:pPr>
            <m:oMath>
              <m:r>
                <m:t>5.1</m:t>
              </m:r>
              <m:r>
                <m:rPr>
                  <m:sty m:val="p"/>
                </m:rPr>
                <m:t>×</m:t>
              </m:r>
              <m:sSup>
                <m:e>
                  <m:r>
                    <m:t>10</m:t>
                  </m:r>
                </m:e>
                <m:sup>
                  <m:r>
                    <m:rPr>
                      <m:sty m:val="p"/>
                    </m:rPr>
                    <m:t>−</m:t>
                  </m:r>
                  <m:r>
                    <m:t>4</m:t>
                  </m:r>
                </m:sup>
              </m:sSup>
            </m:oMath>
            <w:r>
              <w:rPr>
                <w:sz w:val="19"/>
              </w:rPr>
              <w:t xml:space="preserve">​</w:t>
            </w:r>
          </w:p>
        </w:tc>
        <w:tc>
          <w:tcPr/>
          <w:p>
            <w:pPr>
              <w:pStyle w:val="Compact"/>
              <w:spacing w:after="40"/>
              <w:jc w:val="center"/>
            </w:pPr>
            <m:oMath>
              <m:r>
                <m:rPr>
                  <m:sty m:val="p"/>
                </m:rPr>
                <m:t>−</m:t>
              </m:r>
              <m:r>
                <m:t>0.011</m:t>
              </m:r>
            </m:oMath>
            <w:r>
              <w:rPr>
                <w:sz w:val="19"/>
              </w:rPr>
              <w:t xml:space="preserve">​</w:t>
            </w:r>
          </w:p>
        </w:tc>
        <w:tc>
          <w:tcPr/>
          <w:p>
            <w:pPr>
              <w:pStyle w:val="Compact"/>
              <w:spacing w:after="40"/>
              <w:jc w:val="center"/>
            </w:pPr>
            <m:oMath>
              <m:r>
                <m:rPr>
                  <m:sty m:val="p"/>
                </m:rPr>
                <m:t>[</m:t>
              </m:r>
              <m:r>
                <m:rPr>
                  <m:sty m:val="p"/>
                </m:rPr>
                <m:t>−</m:t>
              </m:r>
              <m:r>
                <m:t>0.013</m:t>
              </m:r>
              <m:r>
                <m:rPr>
                  <m:sty m:val="p"/>
                </m:rPr>
                <m:t>,</m:t>
              </m:r>
              <m:r>
                <m:rPr>
                  <m:sty m:val="p"/>
                </m:rPr>
                <m:t>−</m:t>
              </m:r>
              <m:r>
                <m:t>0.005</m:t>
              </m:r>
              <m:r>
                <m:rPr>
                  <m:sty m:val="p"/>
                </m:rPr>
                <m:t>]</m:t>
              </m:r>
            </m:oMath>
            <w:r>
              <w:rPr>
                <w:sz w:val="19"/>
              </w:rPr>
              <w:t xml:space="preserve">​</w:t>
            </w:r>
          </w:p>
        </w:tc>
      </w:tr>
      <w:tr>
        <w:tc>
          <w:tcPr/>
          <w:p>
            <w:pPr>
              <w:pStyle w:val="Compact"/>
              <w:spacing w:after="40"/>
              <w:jc w:val="left"/>
            </w:pPr>
            <w:r>
              <w:rPr>
                <w:sz w:val="19"/>
              </w:rPr>
              <w:t xml:space="preserve">M5</w:t>
            </w:r>
          </w:p>
        </w:tc>
        <w:tc>
          <w:tcPr/>
          <w:p>
            <w:pPr>
              <w:pStyle w:val="Compact"/>
              <w:spacing w:after="40"/>
              <w:jc w:val="left"/>
            </w:pPr>
            <w:r>
              <w:rPr>
                <w:sz w:val="19"/>
              </w:rPr>
              <w:t xml:space="preserve">MA vs. SES</w:t>
            </w:r>
          </w:p>
        </w:tc>
        <w:tc>
          <w:tcPr/>
          <w:p>
            <w:pPr>
              <w:pStyle w:val="Compact"/>
              <w:spacing w:after="40"/>
              <w:jc w:val="left"/>
            </w:pPr>
            <m:oMath>
              <m:r>
                <m:rPr>
                  <m:sty m:val="p"/>
                </m:rPr>
                <m:t>+</m:t>
              </m:r>
              <m:r>
                <m:t>0.006</m:t>
              </m:r>
            </m:oMath>
            <w:r>
              <w:rPr>
                <w:sz w:val="19"/>
              </w:rPr>
              <w:t xml:space="preserve">​</w:t>
            </w:r>
          </w:p>
        </w:tc>
        <w:tc>
          <w:tcPr/>
          <w:p>
            <w:pPr>
              <w:pStyle w:val="Compact"/>
              <w:spacing w:after="40"/>
              <w:jc w:val="center"/>
            </w:pPr>
            <m:oMath>
              <m:r>
                <m:t>1.7</m:t>
              </m:r>
              <m:r>
                <m:rPr>
                  <m:sty m:val="p"/>
                </m:rPr>
                <m:t>×</m:t>
              </m:r>
              <m:sSup>
                <m:e>
                  <m:r>
                    <m:t>10</m:t>
                  </m:r>
                </m:e>
                <m:sup>
                  <m:r>
                    <m:rPr>
                      <m:sty m:val="p"/>
                    </m:rPr>
                    <m:t>−</m:t>
                  </m:r>
                  <m:r>
                    <m:t>12</m:t>
                  </m:r>
                </m:sup>
              </m:sSup>
            </m:oMath>
            <w:r>
              <w:rPr>
                <w:sz w:val="19"/>
              </w:rPr>
              <w:t xml:space="preserve">​</w:t>
            </w:r>
          </w:p>
        </w:tc>
        <w:tc>
          <w:tcPr/>
          <w:p>
            <w:pPr>
              <w:pStyle w:val="Compact"/>
              <w:spacing w:after="40"/>
              <w:jc w:val="center"/>
            </w:pPr>
            <m:oMath>
              <m:r>
                <m:rPr>
                  <m:sty m:val="p"/>
                </m:rPr>
                <m:t>−</m:t>
              </m:r>
              <m:r>
                <m:t>0.022</m:t>
              </m:r>
            </m:oMath>
            <w:r>
              <w:rPr>
                <w:sz w:val="19"/>
              </w:rPr>
              <w:t xml:space="preserve">​</w:t>
            </w:r>
          </w:p>
        </w:tc>
        <w:tc>
          <w:tcPr/>
          <w:p>
            <w:pPr>
              <w:pStyle w:val="Compact"/>
              <w:spacing w:after="40"/>
              <w:jc w:val="center"/>
            </w:pPr>
            <m:oMath>
              <m:r>
                <m:rPr>
                  <m:sty m:val="p"/>
                </m:rPr>
                <m:t>[</m:t>
              </m:r>
              <m:r>
                <m:t>0.000</m:t>
              </m:r>
              <m:r>
                <m:rPr>
                  <m:sty m:val="p"/>
                </m:rPr>
                <m:t>,</m:t>
              </m:r>
              <m:r>
                <m:t>0.003</m:t>
              </m:r>
              <m:r>
                <m:rPr>
                  <m:sty m:val="p"/>
                </m:rPr>
                <m:t>]</m:t>
              </m:r>
            </m:oMath>
            <w:r>
              <w:rPr>
                <w:sz w:val="19"/>
              </w:rPr>
              <w:t xml:space="preserve">​</w:t>
            </w:r>
          </w:p>
        </w:tc>
      </w:tr>
      <w:tr>
        <w:tc>
          <w:tcPr/>
          <w:p>
            <w:pPr>
              <w:pStyle w:val="Compact"/>
              <w:spacing w:after="40"/>
              <w:jc w:val="left"/>
            </w:pPr>
            <w:r>
              <w:rPr>
                <w:sz w:val="19"/>
              </w:rPr>
              <w:t xml:space="preserve">Store</w:t>
            </w:r>
          </w:p>
        </w:tc>
        <w:tc>
          <w:tcPr/>
          <w:p>
            <w:pPr>
              <w:pStyle w:val="Compact"/>
              <w:spacing w:after="40"/>
              <w:jc w:val="left"/>
            </w:pPr>
            <w:r>
              <w:rPr>
                <w:sz w:val="19"/>
              </w:rPr>
              <w:t xml:space="preserve">LSTM vs. MA</w:t>
            </w:r>
          </w:p>
        </w:tc>
        <w:tc>
          <w:tcPr/>
          <w:p>
            <w:pPr>
              <w:pStyle w:val="Compact"/>
              <w:spacing w:after="40"/>
              <w:jc w:val="left"/>
            </w:pPr>
            <m:oMath>
              <m:r>
                <m:rPr>
                  <m:sty m:val="p"/>
                </m:rPr>
                <m:t>−</m:t>
              </m:r>
              <m:r>
                <m:t>0.295</m:t>
              </m:r>
            </m:oMath>
            <w:r>
              <w:rPr>
                <w:sz w:val="19"/>
              </w:rPr>
              <w:t xml:space="preserve">​</w:t>
            </w:r>
          </w:p>
        </w:tc>
        <w:tc>
          <w:tcPr/>
          <w:p>
            <w:pPr>
              <w:pStyle w:val="Compact"/>
              <w:spacing w:after="40"/>
              <w:jc w:val="center"/>
            </w:pPr>
            <m:oMath>
              <m:r>
                <m:rPr>
                  <m:sty m:val="p"/>
                </m:rPr>
                <m:t>≈</m:t>
              </m:r>
            </m:oMath>
            <w:r>
              <w:rPr>
                <w:sz w:val="19"/>
              </w:rPr>
              <w:t xml:space="preserve">0</w:t>
            </w:r>
          </w:p>
        </w:tc>
        <w:tc>
          <w:tcPr/>
          <w:p>
            <w:pPr>
              <w:pStyle w:val="Compact"/>
              <w:spacing w:after="40"/>
              <w:jc w:val="center"/>
            </w:pPr>
            <m:oMath>
              <m:r>
                <m:rPr>
                  <m:sty m:val="p"/>
                </m:rPr>
                <m:t>−</m:t>
              </m:r>
              <m:r>
                <m:t>0.282</m:t>
              </m:r>
            </m:oMath>
            <w:r>
              <w:rPr>
                <w:sz w:val="19"/>
              </w:rPr>
              <w:t xml:space="preserve">​</w:t>
            </w:r>
          </w:p>
        </w:tc>
        <w:tc>
          <w:tcPr/>
          <w:p>
            <w:pPr>
              <w:pStyle w:val="Compact"/>
              <w:spacing w:after="40"/>
              <w:jc w:val="center"/>
            </w:pPr>
            <m:oMath>
              <m:r>
                <m:rPr>
                  <m:sty m:val="p"/>
                </m:rPr>
                <m:t>[</m:t>
              </m:r>
              <m:r>
                <m:rPr>
                  <m:sty m:val="p"/>
                </m:rPr>
                <m:t>−</m:t>
              </m:r>
              <m:r>
                <m:t>1.868</m:t>
              </m:r>
              <m:r>
                <m:rPr>
                  <m:sty m:val="p"/>
                </m:rPr>
                <m:t>,</m:t>
              </m:r>
              <m:r>
                <m:rPr>
                  <m:sty m:val="p"/>
                </m:rPr>
                <m:t>−</m:t>
              </m:r>
              <m:r>
                <m:t>1.800</m:t>
              </m:r>
              <m:r>
                <m:rPr>
                  <m:sty m:val="p"/>
                </m:rPr>
                <m:t>]</m:t>
              </m:r>
            </m:oMath>
            <w:r>
              <w:rPr>
                <w:sz w:val="19"/>
              </w:rPr>
              <w:t xml:space="preserve">​</w:t>
            </w:r>
          </w:p>
        </w:tc>
      </w:tr>
      <w:tr>
        <w:tc>
          <w:tcPr/>
          <w:p>
            <w:pPr>
              <w:pStyle w:val="Compact"/>
              <w:spacing w:after="40"/>
              <w:jc w:val="left"/>
            </w:pPr>
            <w:r>
              <w:rPr>
                <w:sz w:val="19"/>
              </w:rPr>
              <w:t xml:space="preserve">Store</w:t>
            </w:r>
          </w:p>
        </w:tc>
        <w:tc>
          <w:tcPr/>
          <w:p>
            <w:pPr>
              <w:pStyle w:val="Compact"/>
              <w:spacing w:after="40"/>
              <w:jc w:val="left"/>
            </w:pPr>
            <w:r>
              <w:rPr>
                <w:sz w:val="19"/>
              </w:rPr>
              <w:t xml:space="preserve">LSTM vs. SARIMA</w:t>
            </w:r>
          </w:p>
        </w:tc>
        <w:tc>
          <w:tcPr/>
          <w:p>
            <w:pPr>
              <w:pStyle w:val="Compact"/>
              <w:spacing w:after="40"/>
              <w:jc w:val="left"/>
            </w:pPr>
            <m:oMath>
              <m:r>
                <m:rPr>
                  <m:sty m:val="p"/>
                </m:rPr>
                <m:t>−</m:t>
              </m:r>
              <m:r>
                <m:t>0.118</m:t>
              </m:r>
            </m:oMath>
            <w:r>
              <w:rPr>
                <w:sz w:val="19"/>
              </w:rPr>
              <w:t xml:space="preserve">​</w:t>
            </w:r>
          </w:p>
        </w:tc>
        <w:tc>
          <w:tcPr/>
          <w:p>
            <w:pPr>
              <w:pStyle w:val="Compact"/>
              <w:spacing w:after="40"/>
              <w:jc w:val="center"/>
            </w:pPr>
            <m:oMath>
              <m:r>
                <m:rPr>
                  <m:sty m:val="p"/>
                </m:rPr>
                <m:t>≈</m:t>
              </m:r>
            </m:oMath>
            <w:r>
              <w:rPr>
                <w:sz w:val="19"/>
              </w:rPr>
              <w:t xml:space="preserve">0</w:t>
            </w:r>
          </w:p>
        </w:tc>
        <w:tc>
          <w:tcPr/>
          <w:p>
            <w:pPr>
              <w:pStyle w:val="Compact"/>
              <w:spacing w:after="40"/>
              <w:jc w:val="center"/>
            </w:pPr>
            <m:oMath>
              <m:r>
                <m:rPr>
                  <m:sty m:val="p"/>
                </m:rPr>
                <m:t>−</m:t>
              </m:r>
              <m:r>
                <m:t>0.128</m:t>
              </m:r>
            </m:oMath>
            <w:r>
              <w:rPr>
                <w:sz w:val="19"/>
              </w:rPr>
              <w:t xml:space="preserve">​</w:t>
            </w:r>
          </w:p>
        </w:tc>
        <w:tc>
          <w:tcPr/>
          <w:p>
            <w:pPr>
              <w:pStyle w:val="Compact"/>
              <w:spacing w:after="40"/>
              <w:jc w:val="center"/>
            </w:pPr>
            <m:oMath>
              <m:r>
                <m:rPr>
                  <m:sty m:val="p"/>
                </m:rPr>
                <m:t>[</m:t>
              </m:r>
              <m:r>
                <m:rPr>
                  <m:sty m:val="p"/>
                </m:rPr>
                <m:t>−</m:t>
              </m:r>
              <m:r>
                <m:t>0.599</m:t>
              </m:r>
              <m:r>
                <m:rPr>
                  <m:sty m:val="p"/>
                </m:rPr>
                <m:t>,</m:t>
              </m:r>
              <m:r>
                <m:rPr>
                  <m:sty m:val="p"/>
                </m:rPr>
                <m:t>−</m:t>
              </m:r>
              <m:r>
                <m:t>0.548</m:t>
              </m:r>
              <m:r>
                <m:rPr>
                  <m:sty m:val="p"/>
                </m:rPr>
                <m:t>]</m:t>
              </m:r>
            </m:oMath>
            <w:r>
              <w:rPr>
                <w:sz w:val="19"/>
              </w:rPr>
              <w:t xml:space="preserve">​</w:t>
            </w:r>
          </w:p>
        </w:tc>
      </w:tr>
      <w:tr>
        <w:tc>
          <w:tcPr/>
          <w:p>
            <w:pPr>
              <w:pStyle w:val="Compact"/>
              <w:spacing w:after="40"/>
              <w:jc w:val="left"/>
            </w:pPr>
            <w:r>
              <w:rPr>
                <w:sz w:val="19"/>
              </w:rPr>
              <w:t xml:space="preserve">Store</w:t>
            </w:r>
          </w:p>
        </w:tc>
        <w:tc>
          <w:tcPr/>
          <w:p>
            <w:pPr>
              <w:pStyle w:val="Compact"/>
              <w:spacing w:after="40"/>
              <w:jc w:val="left"/>
            </w:pPr>
            <w:r>
              <w:rPr>
                <w:sz w:val="19"/>
              </w:rPr>
              <w:t xml:space="preserve">LSTM vs. SES</w:t>
            </w:r>
          </w:p>
        </w:tc>
        <w:tc>
          <w:tcPr/>
          <w:p>
            <w:pPr>
              <w:pStyle w:val="Compact"/>
              <w:spacing w:after="40"/>
              <w:jc w:val="left"/>
            </w:pPr>
            <m:oMath>
              <m:r>
                <m:rPr>
                  <m:sty m:val="p"/>
                </m:rPr>
                <m:t>−</m:t>
              </m:r>
              <m:r>
                <m:t>0.336</m:t>
              </m:r>
            </m:oMath>
            <w:r>
              <w:rPr>
                <w:sz w:val="19"/>
              </w:rPr>
              <w:t xml:space="preserve">​</w:t>
            </w:r>
          </w:p>
        </w:tc>
        <w:tc>
          <w:tcPr/>
          <w:p>
            <w:pPr>
              <w:pStyle w:val="Compact"/>
              <w:spacing w:after="40"/>
              <w:jc w:val="center"/>
            </w:pPr>
            <m:oMath>
              <m:r>
                <m:rPr>
                  <m:sty m:val="p"/>
                </m:rPr>
                <m:t>≈</m:t>
              </m:r>
            </m:oMath>
            <w:r>
              <w:rPr>
                <w:sz w:val="19"/>
              </w:rPr>
              <w:t xml:space="preserve">0</w:t>
            </w:r>
          </w:p>
        </w:tc>
        <w:tc>
          <w:tcPr/>
          <w:p>
            <w:pPr>
              <w:pStyle w:val="Compact"/>
              <w:spacing w:after="40"/>
              <w:jc w:val="center"/>
            </w:pPr>
            <m:oMath>
              <m:r>
                <m:rPr>
                  <m:sty m:val="p"/>
                </m:rPr>
                <m:t>−</m:t>
              </m:r>
              <m:r>
                <m:t>0.311</m:t>
              </m:r>
            </m:oMath>
            <w:r>
              <w:rPr>
                <w:sz w:val="19"/>
              </w:rPr>
              <w:t xml:space="preserve">​</w:t>
            </w:r>
          </w:p>
        </w:tc>
        <w:tc>
          <w:tcPr/>
          <w:p>
            <w:pPr>
              <w:pStyle w:val="Compact"/>
              <w:spacing w:after="40"/>
              <w:jc w:val="center"/>
            </w:pPr>
            <m:oMath>
              <m:r>
                <m:rPr>
                  <m:sty m:val="p"/>
                </m:rPr>
                <m:t>[</m:t>
              </m:r>
              <m:r>
                <m:rPr>
                  <m:sty m:val="p"/>
                </m:rPr>
                <m:t>−</m:t>
              </m:r>
              <m:r>
                <m:t>2.085</m:t>
              </m:r>
              <m:r>
                <m:rPr>
                  <m:sty m:val="p"/>
                </m:rPr>
                <m:t>,</m:t>
              </m:r>
              <m:r>
                <m:rPr>
                  <m:sty m:val="p"/>
                </m:rPr>
                <m:t>−</m:t>
              </m:r>
              <m:r>
                <m:t>2.014</m:t>
              </m:r>
              <m:r>
                <m:rPr>
                  <m:sty m:val="p"/>
                </m:rPr>
                <m:t>]</m:t>
              </m:r>
            </m:oMath>
            <w:r>
              <w:rPr>
                <w:sz w:val="19"/>
              </w:rPr>
              <w:t xml:space="preserve">​</w:t>
            </w:r>
          </w:p>
        </w:tc>
      </w:tr>
    </w:tbl>
    <w:bookmarkEnd w:id="114"/>
    <w:p>
      <w:pPr>
        <w:pStyle w:val="BodyText"/>
      </w:pPr>
      <w:r>
        <w:rPr>
          <w:vertAlign w:val="superscript"/>
        </w:rPr>
        <w:t xml:space="preserve">*</w:t>
      </w:r>
      <w:r>
        <w:t xml:space="preserve">Wilcoxon significant but Diebold-Mariano</w:t>
      </w:r>
      <w:r>
        <w:t xml:space="preserve"> </w:t>
      </w:r>
      <m:oMath>
        <m:r>
          <m:t>p</m:t>
        </m:r>
        <m:r>
          <m:rPr>
            <m:sty m:val="p"/>
          </m:rPr>
          <m:t>=</m:t>
        </m:r>
        <m:r>
          <m:t>0.056</m:t>
        </m:r>
      </m:oMath>
      <w:r>
        <w:t xml:space="preserve"> </w:t>
      </w:r>
      <w:r>
        <w:t xml:space="preserve">(raw) and</w:t>
      </w:r>
      <w:r>
        <w:t xml:space="preserve"> </w:t>
      </w:r>
      <m:oMath>
        <m:r>
          <m:t>0.113</m:t>
        </m:r>
      </m:oMath>
      <w:r>
        <w:t xml:space="preserve"> </w:t>
      </w:r>
      <w:r>
        <w:t xml:space="preserve">(Holm): the tests disagree on MA versus SES, and the pair</w:t>
      </w:r>
      <w:r>
        <w:t xml:space="preserve"> </w:t>
      </w:r>
      <w:r>
        <w:t xml:space="preserve">is reported as indistinguishable for practical purposes.</w:t>
      </w:r>
    </w:p>
    <w:bookmarkEnd w:id="115"/>
    <w:bookmarkStart w:id="116" w:name="sec:spotlight"/>
    <w:p>
      <w:pPr>
        <w:pStyle w:val="Heading2"/>
      </w:pPr>
      <w:r>
        <w:t xml:space="preserve">Pairwise statistical comparisons</w:t>
      </w:r>
    </w:p>
    <w:p>
      <w:pPr>
        <w:pStyle w:val="FirstParagraph"/>
      </w:pPr>
      <w:r>
        <w:t xml:space="preserve">Three patterns hold across all 91 pairs. First, the M5 lead cluster is</w:t>
      </w:r>
      <w:r>
        <w:t xml:space="preserve"> </w:t>
      </w:r>
      <w:r>
        <w:t xml:space="preserve">genuinely ordered (LSTM ahead of Moving Average, SES, and TSB, each pairwise</w:t>
      </w:r>
      <w:r>
        <w:t xml:space="preserve"> </w:t>
      </w:r>
      <w:r>
        <w:t xml:space="preserve">significant) but the gaps are operationally negligible; the cluster spans</w:t>
      </w:r>
      <w:r>
        <w:t xml:space="preserve"> </w:t>
      </w:r>
      <w:r>
        <w:t xml:space="preserve">0.05 MASE. Second, Store gaps are an order of magnitude larger, and every</w:t>
      </w:r>
      <w:r>
        <w:t xml:space="preserve"> </w:t>
      </w:r>
      <w:r>
        <w:t xml:space="preserve">LSTM pairing is significant and material. Third, MA versus SES on M5 is the</w:t>
      </w:r>
      <w:r>
        <w:t xml:space="preserve"> </w:t>
      </w:r>
      <w:r>
        <w:t xml:space="preserve">study’s reference null case: significant by Wilcoxon, not significant by</w:t>
      </w:r>
      <w:r>
        <w:t xml:space="preserve"> </w:t>
      </w:r>
      <w:r>
        <w:t xml:space="preserve">Diebold-Mariano (Holm</w:t>
      </w:r>
      <w:r>
        <w:t xml:space="preserve"> </w:t>
      </w:r>
      <m:oMath>
        <m:r>
          <m:t>p</m:t>
        </m:r>
        <m:r>
          <m:rPr>
            <m:sty m:val="p"/>
          </m:rPr>
          <m:t>=</m:t>
        </m:r>
        <m:r>
          <m:t>0.113</m:t>
        </m:r>
      </m:oMath>
      <w:r>
        <w:t xml:space="preserve">), with an interval spanning zero. Two strong</w:t>
      </w:r>
      <w:r>
        <w:t xml:space="preserve"> </w:t>
      </w:r>
      <w:r>
        <w:t xml:space="preserve">simple methods with nothing substantive between them, recorded as such even</w:t>
      </w:r>
      <w:r>
        <w:t xml:space="preserve"> </w:t>
      </w:r>
      <w:r>
        <w:t xml:space="preserve">at</w:t>
      </w:r>
      <w:r>
        <w:t xml:space="preserve"> </w:t>
      </w:r>
      <m:oMath>
        <m:r>
          <m:t>n</m:t>
        </m:r>
        <m:r>
          <m:rPr>
            <m:sty m:val="p"/>
          </m:rPr>
          <m:t>=</m:t>
        </m:r>
        <m:r>
          <m:t>112</m:t>
        </m:r>
        <m:r>
          <m:rPr>
            <m:sty m:val="p"/>
          </m:rPr>
          <m:t>,</m:t>
        </m:r>
        <m:r>
          <m:t>000</m:t>
        </m:r>
      </m:oMath>
      <w:r>
        <w:t xml:space="preserve">.</w:t>
      </w:r>
    </w:p>
    <w:bookmarkEnd w:id="116"/>
    <w:bookmarkStart w:id="117" w:name="sec:inv-frame"/>
    <w:p>
      <w:pPr>
        <w:pStyle w:val="Heading2"/>
      </w:pPr>
      <w:r>
        <w:t xml:space="preserve">Inventory evaluation framework</w:t>
      </w:r>
    </w:p>
    <w:p>
      <w:pPr>
        <w:pStyle w:val="FirstParagraph"/>
      </w:pPr>
      <w:r>
        <w:t xml:space="preserve">The shared engine from section 2.10 supplies the decision treatment:</w:t>
      </w:r>
      <w:r>
        <w:t xml:space="preserve"> </w:t>
      </w:r>
      <w:r>
        <w:t xml:space="preserve">every forecast drives the same daily-review order-up-to policy (</w:t>
      </w:r>
      <m:oMath>
        <m:r>
          <m:t>L</m:t>
        </m:r>
        <m:r>
          <m:rPr>
            <m:sty m:val="p"/>
          </m:rPr>
          <m:t>=</m:t>
        </m:r>
        <m:r>
          <m:t>7</m:t>
        </m:r>
      </m:oMath>
      <w:r>
        <w:t xml:space="preserve">, 95%</w:t>
      </w:r>
      <w:r>
        <w:t xml:space="preserve"> </w:t>
      </w:r>
      <w:r>
        <w:t xml:space="preserve">target,</w:t>
      </w:r>
      <w:r>
        <w:t xml:space="preserve"> </w:t>
      </w:r>
      <m:oMath>
        <m:r>
          <m:t>H</m:t>
        </m:r>
        <m:r>
          <m:rPr>
            <m:sty m:val="p"/>
          </m:rPr>
          <m:t>=</m:t>
        </m:r>
        <m:r>
          <m:t>1</m:t>
        </m:r>
      </m:oMath>
      <w:r>
        <w:t xml:space="preserve">,</w:t>
      </w:r>
      <w:r>
        <w:t xml:space="preserve"> </w:t>
      </w:r>
      <m:oMath>
        <m:r>
          <m:t>P</m:t>
        </m:r>
        <m:r>
          <m:rPr>
            <m:sty m:val="p"/>
          </m:rPr>
          <m:t>=</m:t>
        </m:r>
        <m:r>
          <m:t>5</m:t>
        </m:r>
      </m:oMath>
      <w:r>
        <w:t xml:space="preserve">) with lost sales, where total cost equals holding plus</w:t>
      </w:r>
      <w:r>
        <w:t xml:space="preserve"> </w:t>
      </w:r>
      <w:r>
        <w:t xml:space="preserve">stockout cost. Rankings below are total cost under that policy; service</w:t>
      </w:r>
      <w:r>
        <w:t xml:space="preserve"> </w:t>
      </w:r>
      <w:r>
        <w:t xml:space="preserve">level, average inventory, and reorder frequency record how each cost was</w:t>
      </w:r>
      <w:r>
        <w:t xml:space="preserve"> </w:t>
      </w:r>
      <w:r>
        <w:t xml:space="preserve">composed. Sensitivity of rankings to the policy itself is tested separately</w:t>
      </w:r>
      <w:r>
        <w:t xml:space="preserve"> </w:t>
      </w:r>
      <w:r>
        <w:t xml:space="preserve">in sections 4.16 and 4.17.</w:t>
      </w:r>
    </w:p>
    <w:bookmarkEnd w:id="117"/>
    <w:bookmarkStart w:id="119" w:name="sec:m5-inv"/>
    <w:p>
      <w:pPr>
        <w:pStyle w:val="Heading2"/>
      </w:pPr>
      <w:r>
        <w:t xml:space="preserve">M5 inventory results</w:t>
      </w:r>
    </w:p>
    <w:p>
      <w:pPr>
        <w:pStyle w:val="FirstParagraph"/>
      </w:pPr>
      <w:hyperlink w:anchor="tab:m5inv">
        <w:r>
          <w:rPr>
            <w:rStyle w:val="Hyperlink"/>
          </w:rPr>
          <w:t xml:space="preserve">6</w:t>
        </w:r>
      </w:hyperlink>
      <w:r>
        <w:t xml:space="preserve"> </w:t>
      </w:r>
      <w:r>
        <w:t xml:space="preserve">ranks M5 decision cost. LSTM is lowest (152.83), followed by</w:t>
      </w:r>
      <w:r>
        <w:t xml:space="preserve"> </w:t>
      </w:r>
      <w:r>
        <w:t xml:space="preserve">Moving Average (158.83) and SES (159.31); SBA (160.66), TSB (165.13), and</w:t>
      </w:r>
      <w:r>
        <w:t xml:space="preserve"> </w:t>
      </w:r>
      <w:r>
        <w:t xml:space="preserve">Croston (174.81) follow; Seasonal Naive (192.55), ARIMA (194.60), and Naive</w:t>
      </w:r>
      <w:r>
        <w:t xml:space="preserve"> </w:t>
      </w:r>
      <w:r>
        <w:t xml:space="preserve">(200.75) form the middle group; DES (268.80) and TES (346.67) record</w:t>
      </w:r>
      <w:r>
        <w:t xml:space="preserve"> </w:t>
      </w:r>
      <w:r>
        <w:t xml:space="preserve">substantially higher costs. Cost composition varies instructively: SBA’s low</w:t>
      </w:r>
      <w:r>
        <w:t xml:space="preserve"> </w:t>
      </w:r>
      <w:r>
        <w:t xml:space="preserve">holding cost (128.39) is offset by stockouts (32.27); SES records the second-lowest</w:t>
      </w:r>
      <w:r>
        <w:t xml:space="preserve"> </w:t>
      </w:r>
      <w:r>
        <w:t xml:space="preserve">stockout component (21.00, after Croston at 20.28) with the third-highest service level (93.6%), after Croston and Seasonal Naive;</w:t>
      </w:r>
      <w:r>
        <w:t xml:space="preserve"> </w:t>
      </w:r>
      <w:r>
        <w:t xml:space="preserve">Croston records the highest service level (93.9%) at intermediate cost.</w:t>
      </w:r>
      <w:r>
        <w:t xml:space="preserve"> </w:t>
      </w:r>
      <w:r>
        <w:t xml:space="preserve">LSTM’s cost margin over Moving Average (approximately 6 units) indicates that the inventory policy can amplify relatively small forecast differences into larger cost differences when demand is sparse.</w:t>
      </w:r>
    </w:p>
    <w:bookmarkStart w:id="118" w:name="tab:m5inv"/>
    <w:p>
      <w:pPr>
        <w:pStyle w:val="TableCaption"/>
      </w:pPr>
      <w:r>
        <w:t>Table 6: M5 inventory ranking under the shared policy (cost units; lower better). Bold: best.</w:t>
      </w:r>
    </w:p>
    <w:tbl>
      <w:tblPr>
        <w:tblStyle w:val="Table"/>
        <w:tblW w:type="auto" w:w="0"/>
        <w:jc w:val="center"/>
        <w:tblLook w:firstRow="1" w:lastRow="0" w:firstColumn="0" w:lastColumn="0" w:noHBand="0" w:noVBand="0" w:val="0020"/>
        <w:tblCaption w:val="M5 inventory ranking under the shared policy (cost units; lower better). Bold: best."/>
      </w:tblPr>
      <w:tblGrid>
        <w:gridCol w:w="1320"/>
        <w:gridCol w:w="1320"/>
        <w:gridCol w:w="1320"/>
        <w:gridCol w:w="1320"/>
        <w:gridCol w:w="1320"/>
        <w:gridCol w:w="1320"/>
      </w:tblGrid>
      <w:tr>
        <w:trPr>
          <w:tblHeader w:val="on"/>
        </w:trPr>
        <w:tc>
          <w:tcPr>
            <w:shd w:fill="EDEDED" w:val="clear"/>
          </w:tcPr>
          <w:p>
            <w:pPr>
              <w:pStyle w:val="Compact"/>
              <w:spacing w:after="40"/>
              <w:jc w:val="left"/>
            </w:pPr>
            <w:r>
              <w:rPr>
                <w:b/>
                <w:sz w:val="19"/>
              </w:rPr>
              <w:t xml:space="preserve">Model</w:t>
            </w:r>
          </w:p>
        </w:tc>
        <w:tc>
          <w:tcPr>
            <w:shd w:fill="EDEDED" w:val="clear"/>
          </w:tcPr>
          <w:p>
            <w:pPr>
              <w:pStyle w:val="Compact"/>
              <w:spacing w:after="40"/>
              <w:jc w:val="center"/>
            </w:pPr>
            <w:r>
              <w:rPr>
                <w:b/>
                <w:sz w:val="19"/>
              </w:rPr>
              <w:t xml:space="preserve">Total</w:t>
            </w:r>
          </w:p>
        </w:tc>
        <w:tc>
          <w:tcPr>
            <w:shd w:fill="EDEDED" w:val="clear"/>
          </w:tcPr>
          <w:p>
            <w:pPr>
              <w:pStyle w:val="Compact"/>
              <w:spacing w:after="40"/>
              <w:jc w:val="center"/>
            </w:pPr>
            <w:r>
              <w:rPr>
                <w:b/>
                <w:sz w:val="19"/>
              </w:rPr>
              <w:t xml:space="preserve">Holding</w:t>
            </w:r>
          </w:p>
        </w:tc>
        <w:tc>
          <w:tcPr>
            <w:shd w:fill="EDEDED" w:val="clear"/>
          </w:tcPr>
          <w:p>
            <w:pPr>
              <w:pStyle w:val="Compact"/>
              <w:spacing w:after="40"/>
              <w:jc w:val="center"/>
            </w:pPr>
            <w:r>
              <w:rPr>
                <w:b/>
                <w:sz w:val="19"/>
              </w:rPr>
              <w:t xml:space="preserve">Stockout</w:t>
            </w:r>
          </w:p>
        </w:tc>
        <w:tc>
          <w:tcPr>
            <w:shd w:fill="EDEDED" w:val="clear"/>
          </w:tcPr>
          <w:p>
            <w:pPr>
              <w:pStyle w:val="Compact"/>
              <w:spacing w:after="40"/>
              <w:jc w:val="center"/>
            </w:pPr>
            <w:r>
              <w:rPr>
                <w:b/>
                <w:sz w:val="19"/>
              </w:rPr>
              <w:t xml:space="preserve">Service (%)</w:t>
            </w:r>
          </w:p>
        </w:tc>
        <w:tc>
          <w:tcPr>
            <w:shd w:fill="EDEDED" w:val="clear"/>
          </w:tcPr>
          <w:p>
            <w:pPr>
              <w:pStyle w:val="Compact"/>
              <w:spacing w:after="40"/>
              <w:jc w:val="center"/>
            </w:pPr>
            <w:r>
              <w:rPr>
                <w:b/>
                <w:sz w:val="19"/>
              </w:rPr>
              <w:t xml:space="preserve">Avg. inv. </w:t>
            </w:r>
          </w:p>
        </w:tc>
      </w:tr>
      <w:tr>
        <w:tc>
          <w:tcPr/>
          <w:p>
            <w:pPr>
              <w:pStyle w:val="Compact"/>
              <w:spacing w:after="40"/>
              <w:jc w:val="left"/>
            </w:pPr>
            <w:r>
              <w:rPr>
                <w:b/>
                <w:bCs/>
                <w:sz w:val="19"/>
              </w:rPr>
              <w:t xml:space="preserve">LSTM</w:t>
            </w:r>
          </w:p>
        </w:tc>
        <w:tc>
          <w:tcPr/>
          <w:p>
            <w:pPr>
              <w:pStyle w:val="Compact"/>
              <w:spacing w:after="40"/>
              <w:jc w:val="center"/>
            </w:pPr>
            <w:r>
              <w:rPr>
                <w:b/>
                <w:bCs/>
                <w:sz w:val="19"/>
              </w:rPr>
              <w:t xml:space="preserve">152.83</w:t>
            </w:r>
          </w:p>
        </w:tc>
        <w:tc>
          <w:tcPr/>
          <w:p>
            <w:pPr>
              <w:pStyle w:val="Compact"/>
              <w:spacing w:after="40"/>
              <w:jc w:val="center"/>
            </w:pPr>
            <w:r>
              <w:rPr>
                <w:sz w:val="19"/>
              </w:rPr>
              <w:t xml:space="preserve">130.04</w:t>
            </w:r>
          </w:p>
        </w:tc>
        <w:tc>
          <w:tcPr/>
          <w:p>
            <w:pPr>
              <w:pStyle w:val="Compact"/>
              <w:spacing w:after="40"/>
              <w:jc w:val="center"/>
            </w:pPr>
            <w:r>
              <w:rPr>
                <w:sz w:val="19"/>
              </w:rPr>
              <w:t xml:space="preserve">22.80</w:t>
            </w:r>
          </w:p>
        </w:tc>
        <w:tc>
          <w:tcPr/>
          <w:p>
            <w:pPr>
              <w:pStyle w:val="Compact"/>
              <w:spacing w:after="40"/>
              <w:jc w:val="center"/>
            </w:pPr>
            <w:r>
              <w:rPr>
                <w:sz w:val="19"/>
              </w:rPr>
              <w:t xml:space="preserve">92.8</w:t>
            </w:r>
          </w:p>
        </w:tc>
        <w:tc>
          <w:tcPr/>
          <w:p>
            <w:pPr>
              <w:pStyle w:val="Compact"/>
              <w:spacing w:after="40"/>
              <w:jc w:val="center"/>
            </w:pPr>
            <w:r>
              <w:rPr>
                <w:sz w:val="19"/>
              </w:rPr>
              <w:t xml:space="preserve">4.64</w:t>
            </w:r>
          </w:p>
        </w:tc>
      </w:tr>
      <w:tr>
        <w:tc>
          <w:tcPr/>
          <w:p>
            <w:pPr>
              <w:pStyle w:val="Compact"/>
              <w:spacing w:after="40"/>
              <w:jc w:val="left"/>
            </w:pPr>
            <w:r>
              <w:rPr>
                <w:sz w:val="19"/>
              </w:rPr>
              <w:t xml:space="preserve">Moving Average</w:t>
            </w:r>
          </w:p>
        </w:tc>
        <w:tc>
          <w:tcPr/>
          <w:p>
            <w:pPr>
              <w:pStyle w:val="Compact"/>
              <w:spacing w:after="40"/>
              <w:jc w:val="center"/>
            </w:pPr>
            <w:r>
              <w:rPr>
                <w:sz w:val="19"/>
              </w:rPr>
              <w:t xml:space="preserve">158.83</w:t>
            </w:r>
          </w:p>
        </w:tc>
        <w:tc>
          <w:tcPr/>
          <w:p>
            <w:pPr>
              <w:pStyle w:val="Compact"/>
              <w:spacing w:after="40"/>
              <w:jc w:val="center"/>
            </w:pPr>
            <w:r>
              <w:rPr>
                <w:sz w:val="19"/>
              </w:rPr>
              <w:t xml:space="preserve">136.30</w:t>
            </w:r>
          </w:p>
        </w:tc>
        <w:tc>
          <w:tcPr/>
          <w:p>
            <w:pPr>
              <w:pStyle w:val="Compact"/>
              <w:spacing w:after="40"/>
              <w:jc w:val="center"/>
            </w:pPr>
            <w:r>
              <w:rPr>
                <w:sz w:val="19"/>
              </w:rPr>
              <w:t xml:space="preserve">22.52</w:t>
            </w:r>
          </w:p>
        </w:tc>
        <w:tc>
          <w:tcPr/>
          <w:p>
            <w:pPr>
              <w:pStyle w:val="Compact"/>
              <w:spacing w:after="40"/>
              <w:jc w:val="center"/>
            </w:pPr>
            <w:r>
              <w:rPr>
                <w:sz w:val="19"/>
              </w:rPr>
              <w:t xml:space="preserve">93.0</w:t>
            </w:r>
          </w:p>
        </w:tc>
        <w:tc>
          <w:tcPr/>
          <w:p>
            <w:pPr>
              <w:pStyle w:val="Compact"/>
              <w:spacing w:after="40"/>
              <w:jc w:val="center"/>
            </w:pPr>
            <w:r>
              <w:rPr>
                <w:sz w:val="19"/>
              </w:rPr>
              <w:t xml:space="preserve">4.87</w:t>
            </w:r>
          </w:p>
        </w:tc>
      </w:tr>
      <w:tr>
        <w:tc>
          <w:tcPr/>
          <w:p>
            <w:pPr>
              <w:pStyle w:val="Compact"/>
              <w:spacing w:after="40"/>
              <w:jc w:val="left"/>
            </w:pPr>
            <w:r>
              <w:rPr>
                <w:sz w:val="19"/>
              </w:rPr>
              <w:t xml:space="preserve">SES</w:t>
            </w:r>
          </w:p>
        </w:tc>
        <w:tc>
          <w:tcPr/>
          <w:p>
            <w:pPr>
              <w:pStyle w:val="Compact"/>
              <w:spacing w:after="40"/>
              <w:jc w:val="center"/>
            </w:pPr>
            <w:r>
              <w:rPr>
                <w:sz w:val="19"/>
              </w:rPr>
              <w:t xml:space="preserve">159.31</w:t>
            </w:r>
          </w:p>
        </w:tc>
        <w:tc>
          <w:tcPr/>
          <w:p>
            <w:pPr>
              <w:pStyle w:val="Compact"/>
              <w:spacing w:after="40"/>
              <w:jc w:val="center"/>
            </w:pPr>
            <w:r>
              <w:rPr>
                <w:sz w:val="19"/>
              </w:rPr>
              <w:t xml:space="preserve">138.32</w:t>
            </w:r>
          </w:p>
        </w:tc>
        <w:tc>
          <w:tcPr/>
          <w:p>
            <w:pPr>
              <w:pStyle w:val="Compact"/>
              <w:spacing w:after="40"/>
              <w:jc w:val="center"/>
            </w:pPr>
            <w:r>
              <w:rPr>
                <w:sz w:val="19"/>
              </w:rPr>
              <w:t xml:space="preserve">21.00</w:t>
            </w:r>
          </w:p>
        </w:tc>
        <w:tc>
          <w:tcPr/>
          <w:p>
            <w:pPr>
              <w:pStyle w:val="Compact"/>
              <w:spacing w:after="40"/>
              <w:jc w:val="center"/>
            </w:pPr>
            <w:r>
              <w:rPr>
                <w:sz w:val="19"/>
              </w:rPr>
              <w:t xml:space="preserve">93.6</w:t>
            </w:r>
          </w:p>
        </w:tc>
        <w:tc>
          <w:tcPr/>
          <w:p>
            <w:pPr>
              <w:pStyle w:val="Compact"/>
              <w:spacing w:after="40"/>
              <w:jc w:val="center"/>
            </w:pPr>
            <w:r>
              <w:rPr>
                <w:sz w:val="19"/>
              </w:rPr>
              <w:t xml:space="preserve">4.94</w:t>
            </w:r>
          </w:p>
        </w:tc>
      </w:tr>
      <w:tr>
        <w:tc>
          <w:tcPr/>
          <w:p>
            <w:pPr>
              <w:pStyle w:val="Compact"/>
              <w:spacing w:after="40"/>
              <w:jc w:val="left"/>
            </w:pPr>
            <w:r>
              <w:rPr>
                <w:sz w:val="19"/>
              </w:rPr>
              <w:t xml:space="preserve">SBA</w:t>
            </w:r>
          </w:p>
        </w:tc>
        <w:tc>
          <w:tcPr/>
          <w:p>
            <w:pPr>
              <w:pStyle w:val="Compact"/>
              <w:spacing w:after="40"/>
              <w:jc w:val="center"/>
            </w:pPr>
            <w:r>
              <w:rPr>
                <w:sz w:val="19"/>
              </w:rPr>
              <w:t xml:space="preserve">160.66</w:t>
            </w:r>
          </w:p>
        </w:tc>
        <w:tc>
          <w:tcPr/>
          <w:p>
            <w:pPr>
              <w:pStyle w:val="Compact"/>
              <w:spacing w:after="40"/>
              <w:jc w:val="center"/>
            </w:pPr>
            <w:r>
              <w:rPr>
                <w:sz w:val="19"/>
              </w:rPr>
              <w:t xml:space="preserve">128.39</w:t>
            </w:r>
          </w:p>
        </w:tc>
        <w:tc>
          <w:tcPr/>
          <w:p>
            <w:pPr>
              <w:pStyle w:val="Compact"/>
              <w:spacing w:after="40"/>
              <w:jc w:val="center"/>
            </w:pPr>
            <w:r>
              <w:rPr>
                <w:sz w:val="19"/>
              </w:rPr>
              <w:t xml:space="preserve">32.27</w:t>
            </w:r>
          </w:p>
        </w:tc>
        <w:tc>
          <w:tcPr/>
          <w:p>
            <w:pPr>
              <w:pStyle w:val="Compact"/>
              <w:spacing w:after="40"/>
              <w:jc w:val="center"/>
            </w:pPr>
            <w:r>
              <w:rPr>
                <w:sz w:val="19"/>
              </w:rPr>
              <w:t xml:space="preserve">90.9</w:t>
            </w:r>
          </w:p>
        </w:tc>
        <w:tc>
          <w:tcPr/>
          <w:p>
            <w:pPr>
              <w:pStyle w:val="Compact"/>
              <w:spacing w:after="40"/>
              <w:jc w:val="center"/>
            </w:pPr>
            <w:r>
              <w:rPr>
                <w:sz w:val="19"/>
              </w:rPr>
              <w:t xml:space="preserve">4.59</w:t>
            </w:r>
          </w:p>
        </w:tc>
      </w:tr>
      <w:tr>
        <w:tc>
          <w:tcPr/>
          <w:p>
            <w:pPr>
              <w:pStyle w:val="Compact"/>
              <w:spacing w:after="40"/>
              <w:jc w:val="left"/>
            </w:pPr>
            <w:r>
              <w:rPr>
                <w:sz w:val="19"/>
              </w:rPr>
              <w:t xml:space="preserve">TSB</w:t>
            </w:r>
          </w:p>
        </w:tc>
        <w:tc>
          <w:tcPr/>
          <w:p>
            <w:pPr>
              <w:pStyle w:val="Compact"/>
              <w:spacing w:after="40"/>
              <w:jc w:val="center"/>
            </w:pPr>
            <w:r>
              <w:rPr>
                <w:sz w:val="19"/>
              </w:rPr>
              <w:t xml:space="preserve">165.13</w:t>
            </w:r>
          </w:p>
        </w:tc>
        <w:tc>
          <w:tcPr/>
          <w:p>
            <w:pPr>
              <w:pStyle w:val="Compact"/>
              <w:spacing w:after="40"/>
              <w:jc w:val="center"/>
            </w:pPr>
            <w:r>
              <w:rPr>
                <w:sz w:val="19"/>
              </w:rPr>
              <w:t xml:space="preserve">143.54</w:t>
            </w:r>
          </w:p>
        </w:tc>
        <w:tc>
          <w:tcPr/>
          <w:p>
            <w:pPr>
              <w:pStyle w:val="Compact"/>
              <w:spacing w:after="40"/>
              <w:jc w:val="center"/>
            </w:pPr>
            <w:r>
              <w:rPr>
                <w:sz w:val="19"/>
              </w:rPr>
              <w:t xml:space="preserve">21.59</w:t>
            </w:r>
          </w:p>
        </w:tc>
        <w:tc>
          <w:tcPr/>
          <w:p>
            <w:pPr>
              <w:pStyle w:val="Compact"/>
              <w:spacing w:after="40"/>
              <w:jc w:val="center"/>
            </w:pPr>
            <w:r>
              <w:rPr>
                <w:sz w:val="19"/>
              </w:rPr>
              <w:t xml:space="preserve">93.2</w:t>
            </w:r>
          </w:p>
        </w:tc>
        <w:tc>
          <w:tcPr/>
          <w:p>
            <w:pPr>
              <w:pStyle w:val="Compact"/>
              <w:spacing w:after="40"/>
              <w:jc w:val="center"/>
            </w:pPr>
            <w:r>
              <w:rPr>
                <w:sz w:val="19"/>
              </w:rPr>
              <w:t xml:space="preserve">5.13</w:t>
            </w:r>
          </w:p>
        </w:tc>
      </w:tr>
      <w:tr>
        <w:tc>
          <w:tcPr/>
          <w:p>
            <w:pPr>
              <w:pStyle w:val="Compact"/>
              <w:spacing w:after="40"/>
              <w:jc w:val="left"/>
            </w:pPr>
            <w:r>
              <w:rPr>
                <w:sz w:val="19"/>
              </w:rPr>
              <w:t xml:space="preserve">Croston</w:t>
            </w:r>
          </w:p>
        </w:tc>
        <w:tc>
          <w:tcPr/>
          <w:p>
            <w:pPr>
              <w:pStyle w:val="Compact"/>
              <w:spacing w:after="40"/>
              <w:jc w:val="center"/>
            </w:pPr>
            <w:r>
              <w:rPr>
                <w:sz w:val="19"/>
              </w:rPr>
              <w:t xml:space="preserve">174.81</w:t>
            </w:r>
          </w:p>
        </w:tc>
        <w:tc>
          <w:tcPr/>
          <w:p>
            <w:pPr>
              <w:pStyle w:val="Compact"/>
              <w:spacing w:after="40"/>
              <w:jc w:val="center"/>
            </w:pPr>
            <w:r>
              <w:rPr>
                <w:sz w:val="19"/>
              </w:rPr>
              <w:t xml:space="preserve">154.54</w:t>
            </w:r>
          </w:p>
        </w:tc>
        <w:tc>
          <w:tcPr/>
          <w:p>
            <w:pPr>
              <w:pStyle w:val="Compact"/>
              <w:spacing w:after="40"/>
              <w:jc w:val="center"/>
            </w:pPr>
            <w:r>
              <w:rPr>
                <w:sz w:val="19"/>
              </w:rPr>
              <w:t xml:space="preserve">20.28</w:t>
            </w:r>
          </w:p>
        </w:tc>
        <w:tc>
          <w:tcPr/>
          <w:p>
            <w:pPr>
              <w:pStyle w:val="Compact"/>
              <w:spacing w:after="40"/>
              <w:jc w:val="center"/>
            </w:pPr>
            <w:r>
              <w:rPr>
                <w:sz w:val="19"/>
              </w:rPr>
              <w:t xml:space="preserve">93.9</w:t>
            </w:r>
          </w:p>
        </w:tc>
        <w:tc>
          <w:tcPr/>
          <w:p>
            <w:pPr>
              <w:pStyle w:val="Compact"/>
              <w:spacing w:after="40"/>
              <w:jc w:val="center"/>
            </w:pPr>
            <w:r>
              <w:rPr>
                <w:sz w:val="19"/>
              </w:rPr>
              <w:t xml:space="preserve">5.52</w:t>
            </w:r>
          </w:p>
        </w:tc>
      </w:tr>
      <w:tr>
        <w:tc>
          <w:tcPr/>
          <w:p>
            <w:pPr>
              <w:pStyle w:val="Compact"/>
              <w:spacing w:after="40"/>
              <w:jc w:val="left"/>
            </w:pPr>
            <w:r>
              <w:rPr>
                <w:sz w:val="19"/>
              </w:rPr>
              <w:t xml:space="preserve">Seasonal Naive</w:t>
            </w:r>
          </w:p>
        </w:tc>
        <w:tc>
          <w:tcPr/>
          <w:p>
            <w:pPr>
              <w:pStyle w:val="Compact"/>
              <w:spacing w:after="40"/>
              <w:jc w:val="center"/>
            </w:pPr>
            <w:r>
              <w:rPr>
                <w:sz w:val="19"/>
              </w:rPr>
              <w:t xml:space="preserve">192.55</w:t>
            </w:r>
          </w:p>
        </w:tc>
        <w:tc>
          <w:tcPr/>
          <w:p>
            <w:pPr>
              <w:pStyle w:val="Compact"/>
              <w:spacing w:after="40"/>
              <w:jc w:val="center"/>
            </w:pPr>
            <w:r>
              <w:rPr>
                <w:sz w:val="19"/>
              </w:rPr>
              <w:t xml:space="preserve">170.73</w:t>
            </w:r>
          </w:p>
        </w:tc>
        <w:tc>
          <w:tcPr/>
          <w:p>
            <w:pPr>
              <w:pStyle w:val="Compact"/>
              <w:spacing w:after="40"/>
              <w:jc w:val="center"/>
            </w:pPr>
            <w:r>
              <w:rPr>
                <w:sz w:val="19"/>
              </w:rPr>
              <w:t xml:space="preserve">21.82</w:t>
            </w:r>
          </w:p>
        </w:tc>
        <w:tc>
          <w:tcPr/>
          <w:p>
            <w:pPr>
              <w:pStyle w:val="Compact"/>
              <w:spacing w:after="40"/>
              <w:jc w:val="center"/>
            </w:pPr>
            <w:r>
              <w:rPr>
                <w:sz w:val="19"/>
              </w:rPr>
              <w:t xml:space="preserve">93.8</w:t>
            </w:r>
          </w:p>
        </w:tc>
        <w:tc>
          <w:tcPr/>
          <w:p>
            <w:pPr>
              <w:pStyle w:val="Compact"/>
              <w:spacing w:after="40"/>
              <w:jc w:val="center"/>
            </w:pPr>
            <w:r>
              <w:rPr>
                <w:sz w:val="19"/>
              </w:rPr>
              <w:t xml:space="preserve">6.10</w:t>
            </w:r>
          </w:p>
        </w:tc>
      </w:tr>
      <w:tr>
        <w:tc>
          <w:tcPr/>
          <w:p>
            <w:pPr>
              <w:pStyle w:val="Compact"/>
              <w:spacing w:after="40"/>
              <w:jc w:val="left"/>
            </w:pPr>
            <w:r>
              <w:rPr>
                <w:sz w:val="19"/>
              </w:rPr>
              <w:t xml:space="preserve">ARIMA</w:t>
            </w:r>
          </w:p>
        </w:tc>
        <w:tc>
          <w:tcPr/>
          <w:p>
            <w:pPr>
              <w:pStyle w:val="Compact"/>
              <w:spacing w:after="40"/>
              <w:jc w:val="center"/>
            </w:pPr>
            <w:r>
              <w:rPr>
                <w:sz w:val="19"/>
              </w:rPr>
              <w:t xml:space="preserve">194.60</w:t>
            </w:r>
          </w:p>
        </w:tc>
        <w:tc>
          <w:tcPr/>
          <w:p>
            <w:pPr>
              <w:pStyle w:val="Compact"/>
              <w:spacing w:after="40"/>
              <w:jc w:val="center"/>
            </w:pPr>
            <w:r>
              <w:rPr>
                <w:sz w:val="19"/>
              </w:rPr>
              <w:t xml:space="preserve">162.62</w:t>
            </w:r>
          </w:p>
        </w:tc>
        <w:tc>
          <w:tcPr/>
          <w:p>
            <w:pPr>
              <w:pStyle w:val="Compact"/>
              <w:spacing w:after="40"/>
              <w:jc w:val="center"/>
            </w:pPr>
            <w:r>
              <w:rPr>
                <w:sz w:val="19"/>
              </w:rPr>
              <w:t xml:space="preserve">31.98</w:t>
            </w:r>
          </w:p>
        </w:tc>
        <w:tc>
          <w:tcPr/>
          <w:p>
            <w:pPr>
              <w:pStyle w:val="Compact"/>
              <w:spacing w:after="40"/>
              <w:jc w:val="center"/>
            </w:pPr>
            <w:r>
              <w:rPr>
                <w:sz w:val="19"/>
              </w:rPr>
              <w:t xml:space="preserve">89.6</w:t>
            </w:r>
          </w:p>
        </w:tc>
        <w:tc>
          <w:tcPr/>
          <w:p>
            <w:pPr>
              <w:pStyle w:val="Compact"/>
              <w:spacing w:after="40"/>
              <w:jc w:val="center"/>
            </w:pPr>
            <w:r>
              <w:rPr>
                <w:sz w:val="19"/>
              </w:rPr>
              <w:t xml:space="preserve">5.81</w:t>
            </w:r>
          </w:p>
        </w:tc>
      </w:tr>
      <w:tr>
        <w:tc>
          <w:tcPr/>
          <w:p>
            <w:pPr>
              <w:pStyle w:val="Compact"/>
              <w:spacing w:after="40"/>
              <w:jc w:val="left"/>
            </w:pPr>
            <w:r>
              <w:rPr>
                <w:sz w:val="19"/>
              </w:rPr>
              <w:t xml:space="preserve">Naive</w:t>
            </w:r>
          </w:p>
        </w:tc>
        <w:tc>
          <w:tcPr/>
          <w:p>
            <w:pPr>
              <w:pStyle w:val="Compact"/>
              <w:spacing w:after="40"/>
              <w:jc w:val="center"/>
            </w:pPr>
            <w:r>
              <w:rPr>
                <w:sz w:val="19"/>
              </w:rPr>
              <w:t xml:space="preserve">200.75</w:t>
            </w:r>
          </w:p>
        </w:tc>
        <w:tc>
          <w:tcPr/>
          <w:p>
            <w:pPr>
              <w:pStyle w:val="Compact"/>
              <w:spacing w:after="40"/>
              <w:jc w:val="center"/>
            </w:pPr>
            <w:r>
              <w:rPr>
                <w:sz w:val="19"/>
              </w:rPr>
              <w:t xml:space="preserve">158.25</w:t>
            </w:r>
          </w:p>
        </w:tc>
        <w:tc>
          <w:tcPr/>
          <w:p>
            <w:pPr>
              <w:pStyle w:val="Compact"/>
              <w:spacing w:after="40"/>
              <w:jc w:val="center"/>
            </w:pPr>
            <w:r>
              <w:rPr>
                <w:sz w:val="19"/>
              </w:rPr>
              <w:t xml:space="preserve">42.50</w:t>
            </w:r>
          </w:p>
        </w:tc>
        <w:tc>
          <w:tcPr/>
          <w:p>
            <w:pPr>
              <w:pStyle w:val="Compact"/>
              <w:spacing w:after="40"/>
              <w:jc w:val="center"/>
            </w:pPr>
            <w:r>
              <w:rPr>
                <w:sz w:val="19"/>
              </w:rPr>
              <w:t xml:space="preserve">87.2</w:t>
            </w:r>
          </w:p>
        </w:tc>
        <w:tc>
          <w:tcPr/>
          <w:p>
            <w:pPr>
              <w:pStyle w:val="Compact"/>
              <w:spacing w:after="40"/>
              <w:jc w:val="center"/>
            </w:pPr>
            <w:r>
              <w:rPr>
                <w:sz w:val="19"/>
              </w:rPr>
              <w:t xml:space="preserve">5.65</w:t>
            </w:r>
          </w:p>
        </w:tc>
      </w:tr>
      <w:tr>
        <w:tc>
          <w:tcPr/>
          <w:p>
            <w:pPr>
              <w:pStyle w:val="Compact"/>
              <w:spacing w:after="40"/>
              <w:jc w:val="left"/>
            </w:pPr>
            <w:r>
              <w:rPr>
                <w:sz w:val="19"/>
              </w:rPr>
              <w:t xml:space="preserve">DES</w:t>
            </w:r>
          </w:p>
        </w:tc>
        <w:tc>
          <w:tcPr/>
          <w:p>
            <w:pPr>
              <w:pStyle w:val="Compact"/>
              <w:spacing w:after="40"/>
              <w:jc w:val="center"/>
            </w:pPr>
            <w:r>
              <w:rPr>
                <w:sz w:val="19"/>
              </w:rPr>
              <w:t xml:space="preserve">268.80</w:t>
            </w:r>
          </w:p>
        </w:tc>
        <w:tc>
          <w:tcPr/>
          <w:p>
            <w:pPr>
              <w:pStyle w:val="Compact"/>
              <w:spacing w:after="40"/>
              <w:jc w:val="center"/>
            </w:pPr>
            <w:r>
              <w:rPr>
                <w:sz w:val="19"/>
              </w:rPr>
              <w:t xml:space="preserve">235.35</w:t>
            </w:r>
          </w:p>
        </w:tc>
        <w:tc>
          <w:tcPr/>
          <w:p>
            <w:pPr>
              <w:pStyle w:val="Compact"/>
              <w:spacing w:after="40"/>
              <w:jc w:val="center"/>
            </w:pPr>
            <w:r>
              <w:rPr>
                <w:sz w:val="19"/>
              </w:rPr>
              <w:t xml:space="preserve">33.46</w:t>
            </w:r>
          </w:p>
        </w:tc>
        <w:tc>
          <w:tcPr/>
          <w:p>
            <w:pPr>
              <w:pStyle w:val="Compact"/>
              <w:spacing w:after="40"/>
              <w:jc w:val="center"/>
            </w:pPr>
            <w:r>
              <w:rPr>
                <w:sz w:val="19"/>
              </w:rPr>
              <w:t xml:space="preserve">89.9</w:t>
            </w:r>
          </w:p>
        </w:tc>
        <w:tc>
          <w:tcPr/>
          <w:p>
            <w:pPr>
              <w:pStyle w:val="Compact"/>
              <w:spacing w:after="40"/>
              <w:jc w:val="center"/>
            </w:pPr>
            <w:r>
              <w:rPr>
                <w:sz w:val="19"/>
              </w:rPr>
              <w:t xml:space="preserve">8.41</w:t>
            </w:r>
          </w:p>
        </w:tc>
      </w:tr>
      <w:tr>
        <w:tc>
          <w:tcPr/>
          <w:p>
            <w:pPr>
              <w:pStyle w:val="Compact"/>
              <w:spacing w:after="40"/>
              <w:jc w:val="left"/>
            </w:pPr>
            <w:r>
              <w:rPr>
                <w:sz w:val="19"/>
              </w:rPr>
              <w:t xml:space="preserve">TES</w:t>
            </w:r>
          </w:p>
        </w:tc>
        <w:tc>
          <w:tcPr/>
          <w:p>
            <w:pPr>
              <w:pStyle w:val="Compact"/>
              <w:spacing w:after="40"/>
              <w:jc w:val="center"/>
            </w:pPr>
            <w:r>
              <w:rPr>
                <w:sz w:val="19"/>
              </w:rPr>
              <w:t xml:space="preserve">346.67</w:t>
            </w:r>
          </w:p>
        </w:tc>
        <w:tc>
          <w:tcPr/>
          <w:p>
            <w:pPr>
              <w:pStyle w:val="Compact"/>
              <w:spacing w:after="40"/>
              <w:jc w:val="center"/>
            </w:pPr>
            <w:r>
              <w:rPr>
                <w:sz w:val="19"/>
              </w:rPr>
              <w:t xml:space="preserve">304.28</w:t>
            </w:r>
          </w:p>
        </w:tc>
        <w:tc>
          <w:tcPr/>
          <w:p>
            <w:pPr>
              <w:pStyle w:val="Compact"/>
              <w:spacing w:after="40"/>
              <w:jc w:val="center"/>
            </w:pPr>
            <w:r>
              <w:rPr>
                <w:sz w:val="19"/>
              </w:rPr>
              <w:t xml:space="preserve">42.40</w:t>
            </w:r>
          </w:p>
        </w:tc>
        <w:tc>
          <w:tcPr/>
          <w:p>
            <w:pPr>
              <w:pStyle w:val="Compact"/>
              <w:spacing w:after="40"/>
              <w:jc w:val="center"/>
            </w:pPr>
            <w:r>
              <w:rPr>
                <w:sz w:val="19"/>
              </w:rPr>
              <w:t xml:space="preserve">88.0</w:t>
            </w:r>
          </w:p>
        </w:tc>
        <w:tc>
          <w:tcPr/>
          <w:p>
            <w:pPr>
              <w:pStyle w:val="Compact"/>
              <w:spacing w:after="40"/>
              <w:jc w:val="center"/>
            </w:pPr>
            <w:r>
              <w:rPr>
                <w:sz w:val="19"/>
              </w:rPr>
              <w:t xml:space="preserve">10.87</w:t>
            </w:r>
          </w:p>
        </w:tc>
      </w:tr>
    </w:tbl>
    <w:bookmarkEnd w:id="118"/>
    <w:bookmarkEnd w:id="119"/>
    <w:bookmarkStart w:id="137" w:name="sec:store-inv"/>
    <w:p>
      <w:pPr>
        <w:pStyle w:val="Heading2"/>
      </w:pPr>
      <w:r>
        <w:t xml:space="preserve">Store inventory results</w:t>
      </w:r>
    </w:p>
    <w:p>
      <w:pPr>
        <w:pStyle w:val="FirstParagraph"/>
      </w:pPr>
      <w:hyperlink w:anchor="tab:storeinv">
        <w:r>
          <w:rPr>
            <w:rStyle w:val="Hyperlink"/>
          </w:rPr>
          <w:t xml:space="preserve">7</w:t>
        </w:r>
      </w:hyperlink>
      <w:r>
        <w:t xml:space="preserve"> </w:t>
      </w:r>
      <w:r>
        <w:t xml:space="preserve">ranks Store decision cost and differs from the forecast</w:t>
      </w:r>
      <w:r>
        <w:t xml:space="preserve"> </w:t>
      </w:r>
      <w:r>
        <w:t xml:space="preserve">board. Moving Average is lowest (2,084.50); SES (2,113.83) and Seasonal Naive</w:t>
      </w:r>
      <w:r>
        <w:t xml:space="preserve"> </w:t>
      </w:r>
      <w:r>
        <w:t xml:space="preserve">(2,128.15) complete the lowest three with no LSTM among them; LSTM (2,247.46)</w:t>
      </w:r>
      <w:r>
        <w:t xml:space="preserve"> </w:t>
      </w:r>
      <w:r>
        <w:t xml:space="preserve">ranks fourth, SARIMA (2,282.31) fifth, ARIMA (2,320.87) sixth; Naive</w:t>
      </w:r>
      <w:r>
        <w:t xml:space="preserve"> </w:t>
      </w:r>
      <w:r>
        <w:t xml:space="preserve">(2,700.37), DES (2,779.64), and TES (3,419.88) follow. Cost composition</w:t>
      </w:r>
      <w:r>
        <w:t xml:space="preserve"> </w:t>
      </w:r>
      <w:r>
        <w:t xml:space="preserve">reverses the M5 pattern: Naive holds the least stock (28.38) but incurs the</w:t>
      </w:r>
      <w:r>
        <w:t xml:space="preserve"> </w:t>
      </w:r>
      <w:r>
        <w:t xml:space="preserve">highest stockout component (1,905.74) at 43.2% service; DES and TES carry</w:t>
      </w:r>
      <w:r>
        <w:t xml:space="preserve"> </w:t>
      </w:r>
      <w:r>
        <w:t xml:space="preserve">high inventory (76.07 and 88.77) while still incurring mid-range stockouts.</w:t>
      </w:r>
      <w:r>
        <w:t xml:space="preserve"> </w:t>
      </w:r>
      <w:r>
        <w:t xml:space="preserve">Moving Average is comparatively balanced: moderate stock (45.58), a low</w:t>
      </w:r>
      <w:r>
        <w:t xml:space="preserve"> </w:t>
      </w:r>
      <w:r>
        <w:t xml:space="preserve">stockout frequency (10.72, fourth-lowest), and no extreme in either column. This ranking</w:t>
      </w:r>
      <w:r>
        <w:t xml:space="preserve"> </w:t>
      </w:r>
      <w:r>
        <w:t xml:space="preserve">holds under the default policy and is conditional on it; section 4.16</w:t>
      </w:r>
      <w:r>
        <w:t xml:space="preserve"> </w:t>
      </w:r>
      <w:r>
        <w:t xml:space="preserve">tests its stability and must be read alongside any citation of this table.</w:t>
      </w:r>
    </w:p>
    <w:bookmarkStart w:id="120" w:name="tab:storeinv"/>
    <w:p>
      <w:pPr>
        <w:pStyle w:val="TableCaption"/>
      </w:pPr>
      <w:r>
        <w:t>Table 7: Store inventory ranking under the shared policy. Bold: best. Stability across policies is tested in section 4.16.</w:t>
      </w:r>
    </w:p>
    <w:tbl>
      <w:tblPr>
        <w:tblStyle w:val="Table"/>
        <w:tblW w:type="auto" w:w="0"/>
        <w:jc w:val="center"/>
        <w:tblLook w:firstRow="1" w:lastRow="0" w:firstColumn="0" w:lastColumn="0" w:noHBand="0" w:noVBand="0" w:val="0020"/>
        <w:tblCaption w:val="Store inventory ranking under the shared policy. Bold: best. Stability across policies is tested in section 4.16."/>
      </w:tblPr>
      <w:tblGrid>
        <w:gridCol w:w="1320"/>
        <w:gridCol w:w="1320"/>
        <w:gridCol w:w="1320"/>
        <w:gridCol w:w="1320"/>
        <w:gridCol w:w="1320"/>
        <w:gridCol w:w="1320"/>
      </w:tblGrid>
      <w:tr>
        <w:trPr>
          <w:tblHeader w:val="on"/>
        </w:trPr>
        <w:tc>
          <w:tcPr>
            <w:shd w:fill="EDEDED" w:val="clear"/>
          </w:tcPr>
          <w:p>
            <w:pPr>
              <w:pStyle w:val="Compact"/>
              <w:spacing w:after="40"/>
              <w:jc w:val="left"/>
            </w:pPr>
            <w:r>
              <w:rPr>
                <w:b/>
                <w:sz w:val="19"/>
              </w:rPr>
              <w:t xml:space="preserve">Model</w:t>
            </w:r>
          </w:p>
        </w:tc>
        <w:tc>
          <w:tcPr>
            <w:shd w:fill="EDEDED" w:val="clear"/>
          </w:tcPr>
          <w:p>
            <w:pPr>
              <w:pStyle w:val="Compact"/>
              <w:spacing w:after="40"/>
              <w:jc w:val="center"/>
            </w:pPr>
            <w:r>
              <w:rPr>
                <w:b/>
                <w:sz w:val="19"/>
              </w:rPr>
              <w:t xml:space="preserve">Total</w:t>
            </w:r>
          </w:p>
        </w:tc>
        <w:tc>
          <w:tcPr>
            <w:shd w:fill="EDEDED" w:val="clear"/>
          </w:tcPr>
          <w:p>
            <w:pPr>
              <w:pStyle w:val="Compact"/>
              <w:spacing w:after="40"/>
              <w:jc w:val="center"/>
            </w:pPr>
            <w:r>
              <w:rPr>
                <w:b/>
                <w:sz w:val="19"/>
              </w:rPr>
              <w:t xml:space="preserve">Holding</w:t>
            </w:r>
          </w:p>
        </w:tc>
        <w:tc>
          <w:tcPr>
            <w:shd w:fill="EDEDED" w:val="clear"/>
          </w:tcPr>
          <w:p>
            <w:pPr>
              <w:pStyle w:val="Compact"/>
              <w:spacing w:after="40"/>
              <w:jc w:val="center"/>
            </w:pPr>
            <w:r>
              <w:rPr>
                <w:b/>
                <w:sz w:val="19"/>
              </w:rPr>
              <w:t xml:space="preserve">Stockout</w:t>
            </w:r>
          </w:p>
        </w:tc>
        <w:tc>
          <w:tcPr>
            <w:shd w:fill="EDEDED" w:val="clear"/>
          </w:tcPr>
          <w:p>
            <w:pPr>
              <w:pStyle w:val="Compact"/>
              <w:spacing w:after="40"/>
              <w:jc w:val="center"/>
            </w:pPr>
            <w:r>
              <w:rPr>
                <w:b/>
                <w:sz w:val="19"/>
              </w:rPr>
              <w:t xml:space="preserve">Service (%)</w:t>
            </w:r>
          </w:p>
        </w:tc>
        <w:tc>
          <w:tcPr>
            <w:shd w:fill="EDEDED" w:val="clear"/>
          </w:tcPr>
          <w:p>
            <w:pPr>
              <w:pStyle w:val="Compact"/>
              <w:spacing w:after="40"/>
              <w:jc w:val="center"/>
            </w:pPr>
            <w:r>
              <w:rPr>
                <w:b/>
                <w:sz w:val="19"/>
              </w:rPr>
              <w:t xml:space="preserve">Avg. inv. </w:t>
            </w:r>
          </w:p>
        </w:tc>
      </w:tr>
      <w:tr>
        <w:tc>
          <w:tcPr/>
          <w:p>
            <w:pPr>
              <w:pStyle w:val="Compact"/>
              <w:spacing w:after="40"/>
              <w:jc w:val="left"/>
            </w:pPr>
            <w:r>
              <w:rPr>
                <w:b/>
                <w:bCs/>
                <w:sz w:val="19"/>
              </w:rPr>
              <w:t xml:space="preserve">Moving Average</w:t>
            </w:r>
          </w:p>
        </w:tc>
        <w:tc>
          <w:tcPr/>
          <w:p>
            <w:pPr>
              <w:pStyle w:val="Compact"/>
              <w:spacing w:after="40"/>
              <w:jc w:val="center"/>
            </w:pPr>
            <w:r>
              <w:rPr>
                <w:b/>
                <w:bCs/>
                <w:sz w:val="19"/>
              </w:rPr>
              <w:t xml:space="preserve">2,084.50</w:t>
            </w:r>
          </w:p>
        </w:tc>
        <w:tc>
          <w:tcPr/>
          <w:p>
            <w:pPr>
              <w:pStyle w:val="Compact"/>
              <w:spacing w:after="40"/>
              <w:jc w:val="center"/>
            </w:pPr>
            <w:r>
              <w:rPr>
                <w:sz w:val="19"/>
              </w:rPr>
              <w:t xml:space="preserve">1,276.10</w:t>
            </w:r>
          </w:p>
        </w:tc>
        <w:tc>
          <w:tcPr/>
          <w:p>
            <w:pPr>
              <w:pStyle w:val="Compact"/>
              <w:spacing w:after="40"/>
              <w:jc w:val="center"/>
            </w:pPr>
            <w:r>
              <w:rPr>
                <w:sz w:val="19"/>
              </w:rPr>
              <w:t xml:space="preserve">808.40</w:t>
            </w:r>
          </w:p>
        </w:tc>
        <w:tc>
          <w:tcPr/>
          <w:p>
            <w:pPr>
              <w:pStyle w:val="Compact"/>
              <w:spacing w:after="40"/>
              <w:jc w:val="center"/>
            </w:pPr>
            <w:r>
              <w:rPr>
                <w:sz w:val="19"/>
              </w:rPr>
              <w:t xml:space="preserve">61.7</w:t>
            </w:r>
          </w:p>
        </w:tc>
        <w:tc>
          <w:tcPr/>
          <w:p>
            <w:pPr>
              <w:pStyle w:val="Compact"/>
              <w:spacing w:after="40"/>
              <w:jc w:val="center"/>
            </w:pPr>
            <w:r>
              <w:rPr>
                <w:sz w:val="19"/>
              </w:rPr>
              <w:t xml:space="preserve">45.58</w:t>
            </w:r>
          </w:p>
        </w:tc>
      </w:tr>
      <w:tr>
        <w:tc>
          <w:tcPr/>
          <w:p>
            <w:pPr>
              <w:pStyle w:val="Compact"/>
              <w:spacing w:after="40"/>
              <w:jc w:val="left"/>
            </w:pPr>
            <w:r>
              <w:rPr>
                <w:sz w:val="19"/>
              </w:rPr>
              <w:t xml:space="preserve">SES</w:t>
            </w:r>
          </w:p>
        </w:tc>
        <w:tc>
          <w:tcPr/>
          <w:p>
            <w:pPr>
              <w:pStyle w:val="Compact"/>
              <w:spacing w:after="40"/>
              <w:jc w:val="center"/>
            </w:pPr>
            <w:r>
              <w:rPr>
                <w:sz w:val="19"/>
              </w:rPr>
              <w:t xml:space="preserve">2,113.83</w:t>
            </w:r>
          </w:p>
        </w:tc>
        <w:tc>
          <w:tcPr/>
          <w:p>
            <w:pPr>
              <w:pStyle w:val="Compact"/>
              <w:spacing w:after="40"/>
              <w:jc w:val="center"/>
            </w:pPr>
            <w:r>
              <w:rPr>
                <w:sz w:val="19"/>
              </w:rPr>
              <w:t xml:space="preserve">1,155.60</w:t>
            </w:r>
          </w:p>
        </w:tc>
        <w:tc>
          <w:tcPr/>
          <w:p>
            <w:pPr>
              <w:pStyle w:val="Compact"/>
              <w:spacing w:after="40"/>
              <w:jc w:val="center"/>
            </w:pPr>
            <w:r>
              <w:rPr>
                <w:sz w:val="19"/>
              </w:rPr>
              <w:t xml:space="preserve">958.24</w:t>
            </w:r>
          </w:p>
        </w:tc>
        <w:tc>
          <w:tcPr/>
          <w:p>
            <w:pPr>
              <w:pStyle w:val="Compact"/>
              <w:spacing w:after="40"/>
              <w:jc w:val="center"/>
            </w:pPr>
            <w:r>
              <w:rPr>
                <w:sz w:val="19"/>
              </w:rPr>
              <w:t xml:space="preserve">56.1</w:t>
            </w:r>
          </w:p>
        </w:tc>
        <w:tc>
          <w:tcPr/>
          <w:p>
            <w:pPr>
              <w:pStyle w:val="Compact"/>
              <w:spacing w:after="40"/>
              <w:jc w:val="center"/>
            </w:pPr>
            <w:r>
              <w:rPr>
                <w:sz w:val="19"/>
              </w:rPr>
              <w:t xml:space="preserve">41.27</w:t>
            </w:r>
          </w:p>
        </w:tc>
      </w:tr>
      <w:tr>
        <w:tc>
          <w:tcPr/>
          <w:p>
            <w:pPr>
              <w:pStyle w:val="Compact"/>
              <w:spacing w:after="40"/>
              <w:jc w:val="left"/>
            </w:pPr>
            <w:r>
              <w:rPr>
                <w:sz w:val="19"/>
              </w:rPr>
              <w:t xml:space="preserve">Seasonal Naive</w:t>
            </w:r>
          </w:p>
        </w:tc>
        <w:tc>
          <w:tcPr/>
          <w:p>
            <w:pPr>
              <w:pStyle w:val="Compact"/>
              <w:spacing w:after="40"/>
              <w:jc w:val="center"/>
            </w:pPr>
            <w:r>
              <w:rPr>
                <w:sz w:val="19"/>
              </w:rPr>
              <w:t xml:space="preserve">2,128.15</w:t>
            </w:r>
          </w:p>
        </w:tc>
        <w:tc>
          <w:tcPr/>
          <w:p>
            <w:pPr>
              <w:pStyle w:val="Compact"/>
              <w:spacing w:after="40"/>
              <w:jc w:val="center"/>
            </w:pPr>
            <w:r>
              <w:rPr>
                <w:sz w:val="19"/>
              </w:rPr>
              <w:t xml:space="preserve">1,281.05</w:t>
            </w:r>
          </w:p>
        </w:tc>
        <w:tc>
          <w:tcPr/>
          <w:p>
            <w:pPr>
              <w:pStyle w:val="Compact"/>
              <w:spacing w:after="40"/>
              <w:jc w:val="center"/>
            </w:pPr>
            <w:r>
              <w:rPr>
                <w:sz w:val="19"/>
              </w:rPr>
              <w:t xml:space="preserve">847.10</w:t>
            </w:r>
          </w:p>
        </w:tc>
        <w:tc>
          <w:tcPr/>
          <w:p>
            <w:pPr>
              <w:pStyle w:val="Compact"/>
              <w:spacing w:after="40"/>
              <w:jc w:val="center"/>
            </w:pPr>
            <w:r>
              <w:rPr>
                <w:sz w:val="19"/>
              </w:rPr>
              <w:t xml:space="preserve">62.0</w:t>
            </w:r>
          </w:p>
        </w:tc>
        <w:tc>
          <w:tcPr/>
          <w:p>
            <w:pPr>
              <w:pStyle w:val="Compact"/>
              <w:spacing w:after="40"/>
              <w:jc w:val="center"/>
            </w:pPr>
            <w:r>
              <w:rPr>
                <w:sz w:val="19"/>
              </w:rPr>
              <w:t xml:space="preserve">45.75</w:t>
            </w:r>
          </w:p>
        </w:tc>
      </w:tr>
      <w:tr>
        <w:tc>
          <w:tcPr/>
          <w:p>
            <w:pPr>
              <w:pStyle w:val="Compact"/>
              <w:spacing w:after="40"/>
              <w:jc w:val="left"/>
            </w:pPr>
            <w:r>
              <w:rPr>
                <w:sz w:val="19"/>
              </w:rPr>
              <w:t xml:space="preserve">LSTM</w:t>
            </w:r>
          </w:p>
        </w:tc>
        <w:tc>
          <w:tcPr/>
          <w:p>
            <w:pPr>
              <w:pStyle w:val="Compact"/>
              <w:spacing w:after="40"/>
              <w:jc w:val="center"/>
            </w:pPr>
            <w:r>
              <w:rPr>
                <w:sz w:val="19"/>
              </w:rPr>
              <w:t xml:space="preserve">2,247.46</w:t>
            </w:r>
          </w:p>
        </w:tc>
        <w:tc>
          <w:tcPr/>
          <w:p>
            <w:pPr>
              <w:pStyle w:val="Compact"/>
              <w:spacing w:after="40"/>
              <w:jc w:val="center"/>
            </w:pPr>
            <w:r>
              <w:rPr>
                <w:sz w:val="19"/>
              </w:rPr>
              <w:t xml:space="preserve">1,157.70</w:t>
            </w:r>
          </w:p>
        </w:tc>
        <w:tc>
          <w:tcPr/>
          <w:p>
            <w:pPr>
              <w:pStyle w:val="Compact"/>
              <w:spacing w:after="40"/>
              <w:jc w:val="center"/>
            </w:pPr>
            <w:r>
              <w:rPr>
                <w:sz w:val="19"/>
              </w:rPr>
              <w:t xml:space="preserve">1,089.76</w:t>
            </w:r>
          </w:p>
        </w:tc>
        <w:tc>
          <w:tcPr/>
          <w:p>
            <w:pPr>
              <w:pStyle w:val="Compact"/>
              <w:spacing w:after="40"/>
              <w:jc w:val="center"/>
            </w:pPr>
            <w:r>
              <w:rPr>
                <w:sz w:val="19"/>
              </w:rPr>
              <w:t xml:space="preserve">53.1</w:t>
            </w:r>
          </w:p>
        </w:tc>
        <w:tc>
          <w:tcPr/>
          <w:p>
            <w:pPr>
              <w:pStyle w:val="Compact"/>
              <w:spacing w:after="40"/>
              <w:jc w:val="center"/>
            </w:pPr>
            <w:r>
              <w:rPr>
                <w:sz w:val="19"/>
              </w:rPr>
              <w:t xml:space="preserve">41.35</w:t>
            </w:r>
          </w:p>
        </w:tc>
      </w:tr>
      <w:tr>
        <w:tc>
          <w:tcPr/>
          <w:p>
            <w:pPr>
              <w:pStyle w:val="Compact"/>
              <w:spacing w:after="40"/>
              <w:jc w:val="left"/>
            </w:pPr>
            <w:r>
              <w:rPr>
                <w:sz w:val="19"/>
              </w:rPr>
              <w:t xml:space="preserve">SARIMA</w:t>
            </w:r>
          </w:p>
        </w:tc>
        <w:tc>
          <w:tcPr/>
          <w:p>
            <w:pPr>
              <w:pStyle w:val="Compact"/>
              <w:spacing w:after="40"/>
              <w:jc w:val="center"/>
            </w:pPr>
            <w:r>
              <w:rPr>
                <w:sz w:val="19"/>
              </w:rPr>
              <w:t xml:space="preserve">2,282.31</w:t>
            </w:r>
          </w:p>
        </w:tc>
        <w:tc>
          <w:tcPr/>
          <w:p>
            <w:pPr>
              <w:pStyle w:val="Compact"/>
              <w:spacing w:after="40"/>
              <w:jc w:val="center"/>
            </w:pPr>
            <w:r>
              <w:rPr>
                <w:sz w:val="19"/>
              </w:rPr>
              <w:t xml:space="preserve">1,307.78</w:t>
            </w:r>
          </w:p>
        </w:tc>
        <w:tc>
          <w:tcPr/>
          <w:p>
            <w:pPr>
              <w:pStyle w:val="Compact"/>
              <w:spacing w:after="40"/>
              <w:jc w:val="center"/>
            </w:pPr>
            <w:r>
              <w:rPr>
                <w:sz w:val="19"/>
              </w:rPr>
              <w:t xml:space="preserve">974.53</w:t>
            </w:r>
          </w:p>
        </w:tc>
        <w:tc>
          <w:tcPr/>
          <w:p>
            <w:pPr>
              <w:pStyle w:val="Compact"/>
              <w:spacing w:after="40"/>
              <w:jc w:val="center"/>
            </w:pPr>
            <w:r>
              <w:rPr>
                <w:sz w:val="19"/>
              </w:rPr>
              <w:t xml:space="preserve">59.2</w:t>
            </w:r>
          </w:p>
        </w:tc>
        <w:tc>
          <w:tcPr/>
          <w:p>
            <w:pPr>
              <w:pStyle w:val="Compact"/>
              <w:spacing w:after="40"/>
              <w:jc w:val="center"/>
            </w:pPr>
            <w:r>
              <w:rPr>
                <w:sz w:val="19"/>
              </w:rPr>
              <w:t xml:space="preserve">46.71</w:t>
            </w:r>
          </w:p>
        </w:tc>
      </w:tr>
      <w:tr>
        <w:tc>
          <w:tcPr/>
          <w:p>
            <w:pPr>
              <w:pStyle w:val="Compact"/>
              <w:spacing w:after="40"/>
              <w:jc w:val="left"/>
            </w:pPr>
            <w:r>
              <w:rPr>
                <w:sz w:val="19"/>
              </w:rPr>
              <w:t xml:space="preserve">ARIMA</w:t>
            </w:r>
          </w:p>
        </w:tc>
        <w:tc>
          <w:tcPr/>
          <w:p>
            <w:pPr>
              <w:pStyle w:val="Compact"/>
              <w:spacing w:after="40"/>
              <w:jc w:val="center"/>
            </w:pPr>
            <w:r>
              <w:rPr>
                <w:sz w:val="19"/>
              </w:rPr>
              <w:t xml:space="preserve">2,320.87</w:t>
            </w:r>
          </w:p>
        </w:tc>
        <w:tc>
          <w:tcPr/>
          <w:p>
            <w:pPr>
              <w:pStyle w:val="Compact"/>
              <w:spacing w:after="40"/>
              <w:jc w:val="center"/>
            </w:pPr>
            <w:r>
              <w:rPr>
                <w:sz w:val="19"/>
              </w:rPr>
              <w:t xml:space="preserve">1,076.48</w:t>
            </w:r>
          </w:p>
        </w:tc>
        <w:tc>
          <w:tcPr/>
          <w:p>
            <w:pPr>
              <w:pStyle w:val="Compact"/>
              <w:spacing w:after="40"/>
              <w:jc w:val="center"/>
            </w:pPr>
            <w:r>
              <w:rPr>
                <w:sz w:val="19"/>
              </w:rPr>
              <w:t xml:space="preserve">1,244.40</w:t>
            </w:r>
          </w:p>
        </w:tc>
        <w:tc>
          <w:tcPr/>
          <w:p>
            <w:pPr>
              <w:pStyle w:val="Compact"/>
              <w:spacing w:after="40"/>
              <w:jc w:val="center"/>
            </w:pPr>
            <w:r>
              <w:rPr>
                <w:sz w:val="19"/>
              </w:rPr>
              <w:t xml:space="preserve">52.4</w:t>
            </w:r>
          </w:p>
        </w:tc>
        <w:tc>
          <w:tcPr/>
          <w:p>
            <w:pPr>
              <w:pStyle w:val="Compact"/>
              <w:spacing w:after="40"/>
              <w:jc w:val="center"/>
            </w:pPr>
            <w:r>
              <w:rPr>
                <w:sz w:val="19"/>
              </w:rPr>
              <w:t xml:space="preserve">38.45</w:t>
            </w:r>
          </w:p>
        </w:tc>
      </w:tr>
      <w:tr>
        <w:tc>
          <w:tcPr/>
          <w:p>
            <w:pPr>
              <w:pStyle w:val="Compact"/>
              <w:spacing w:after="40"/>
              <w:jc w:val="left"/>
            </w:pPr>
            <w:r>
              <w:rPr>
                <w:sz w:val="19"/>
              </w:rPr>
              <w:t xml:space="preserve">Naive</w:t>
            </w:r>
          </w:p>
        </w:tc>
        <w:tc>
          <w:tcPr/>
          <w:p>
            <w:pPr>
              <w:pStyle w:val="Compact"/>
              <w:spacing w:after="40"/>
              <w:jc w:val="center"/>
            </w:pPr>
            <w:r>
              <w:rPr>
                <w:sz w:val="19"/>
              </w:rPr>
              <w:t xml:space="preserve">2,700.37</w:t>
            </w:r>
          </w:p>
        </w:tc>
        <w:tc>
          <w:tcPr/>
          <w:p>
            <w:pPr>
              <w:pStyle w:val="Compact"/>
              <w:spacing w:after="40"/>
              <w:jc w:val="center"/>
            </w:pPr>
            <w:r>
              <w:rPr>
                <w:sz w:val="19"/>
              </w:rPr>
              <w:t xml:space="preserve">794.63</w:t>
            </w:r>
          </w:p>
        </w:tc>
        <w:tc>
          <w:tcPr/>
          <w:p>
            <w:pPr>
              <w:pStyle w:val="Compact"/>
              <w:spacing w:after="40"/>
              <w:jc w:val="center"/>
            </w:pPr>
            <w:r>
              <w:rPr>
                <w:sz w:val="19"/>
              </w:rPr>
              <w:t xml:space="preserve">1,905.74</w:t>
            </w:r>
          </w:p>
        </w:tc>
        <w:tc>
          <w:tcPr/>
          <w:p>
            <w:pPr>
              <w:pStyle w:val="Compact"/>
              <w:spacing w:after="40"/>
              <w:jc w:val="center"/>
            </w:pPr>
            <w:r>
              <w:rPr>
                <w:sz w:val="19"/>
              </w:rPr>
              <w:t xml:space="preserve">43.2</w:t>
            </w:r>
          </w:p>
        </w:tc>
        <w:tc>
          <w:tcPr/>
          <w:p>
            <w:pPr>
              <w:pStyle w:val="Compact"/>
              <w:spacing w:after="40"/>
              <w:jc w:val="center"/>
            </w:pPr>
            <w:r>
              <w:rPr>
                <w:sz w:val="19"/>
              </w:rPr>
              <w:t xml:space="preserve">28.38</w:t>
            </w:r>
          </w:p>
        </w:tc>
      </w:tr>
      <w:tr>
        <w:tc>
          <w:tcPr/>
          <w:p>
            <w:pPr>
              <w:pStyle w:val="Compact"/>
              <w:spacing w:after="40"/>
              <w:jc w:val="left"/>
            </w:pPr>
            <w:r>
              <w:rPr>
                <w:sz w:val="19"/>
              </w:rPr>
              <w:t xml:space="preserve">DES</w:t>
            </w:r>
          </w:p>
        </w:tc>
        <w:tc>
          <w:tcPr/>
          <w:p>
            <w:pPr>
              <w:pStyle w:val="Compact"/>
              <w:spacing w:after="40"/>
              <w:jc w:val="center"/>
            </w:pPr>
            <w:r>
              <w:rPr>
                <w:sz w:val="19"/>
              </w:rPr>
              <w:t xml:space="preserve">2,779.64</w:t>
            </w:r>
          </w:p>
        </w:tc>
        <w:tc>
          <w:tcPr/>
          <w:p>
            <w:pPr>
              <w:pStyle w:val="Compact"/>
              <w:spacing w:after="40"/>
              <w:jc w:val="center"/>
            </w:pPr>
            <w:r>
              <w:rPr>
                <w:sz w:val="19"/>
              </w:rPr>
              <w:t xml:space="preserve">2,130.09</w:t>
            </w:r>
          </w:p>
        </w:tc>
        <w:tc>
          <w:tcPr/>
          <w:p>
            <w:pPr>
              <w:pStyle w:val="Compact"/>
              <w:spacing w:after="40"/>
              <w:jc w:val="center"/>
            </w:pPr>
            <w:r>
              <w:rPr>
                <w:sz w:val="19"/>
              </w:rPr>
              <w:t xml:space="preserve">649.55</w:t>
            </w:r>
          </w:p>
        </w:tc>
        <w:tc>
          <w:tcPr/>
          <w:p>
            <w:pPr>
              <w:pStyle w:val="Compact"/>
              <w:spacing w:after="40"/>
              <w:jc w:val="center"/>
            </w:pPr>
            <w:r>
              <w:rPr>
                <w:sz w:val="19"/>
              </w:rPr>
              <w:t xml:space="preserve">73.5</w:t>
            </w:r>
          </w:p>
        </w:tc>
        <w:tc>
          <w:tcPr/>
          <w:p>
            <w:pPr>
              <w:pStyle w:val="Compact"/>
              <w:spacing w:after="40"/>
              <w:jc w:val="center"/>
            </w:pPr>
            <w:r>
              <w:rPr>
                <w:sz w:val="19"/>
              </w:rPr>
              <w:t xml:space="preserve">76.07</w:t>
            </w:r>
          </w:p>
        </w:tc>
      </w:tr>
      <w:tr>
        <w:tc>
          <w:tcPr/>
          <w:p>
            <w:pPr>
              <w:pStyle w:val="Compact"/>
              <w:spacing w:after="40"/>
              <w:jc w:val="left"/>
            </w:pPr>
            <w:r>
              <w:rPr>
                <w:sz w:val="19"/>
              </w:rPr>
              <w:t xml:space="preserve">TES</w:t>
            </w:r>
          </w:p>
        </w:tc>
        <w:tc>
          <w:tcPr/>
          <w:p>
            <w:pPr>
              <w:pStyle w:val="Compact"/>
              <w:spacing w:after="40"/>
              <w:jc w:val="center"/>
            </w:pPr>
            <w:r>
              <w:rPr>
                <w:sz w:val="19"/>
              </w:rPr>
              <w:t xml:space="preserve">3,419.88</w:t>
            </w:r>
          </w:p>
        </w:tc>
        <w:tc>
          <w:tcPr/>
          <w:p>
            <w:pPr>
              <w:pStyle w:val="Compact"/>
              <w:spacing w:after="40"/>
              <w:jc w:val="center"/>
            </w:pPr>
            <w:r>
              <w:rPr>
                <w:sz w:val="19"/>
              </w:rPr>
              <w:t xml:space="preserve">2,485.65</w:t>
            </w:r>
          </w:p>
        </w:tc>
        <w:tc>
          <w:tcPr/>
          <w:p>
            <w:pPr>
              <w:pStyle w:val="Compact"/>
              <w:spacing w:after="40"/>
              <w:jc w:val="center"/>
            </w:pPr>
            <w:r>
              <w:rPr>
                <w:sz w:val="19"/>
              </w:rPr>
              <w:t xml:space="preserve">934.23</w:t>
            </w:r>
          </w:p>
        </w:tc>
        <w:tc>
          <w:tcPr/>
          <w:p>
            <w:pPr>
              <w:pStyle w:val="Compact"/>
              <w:spacing w:after="40"/>
              <w:jc w:val="center"/>
            </w:pPr>
            <w:r>
              <w:rPr>
                <w:sz w:val="19"/>
              </w:rPr>
              <w:t xml:space="preserve">69.1</w:t>
            </w:r>
          </w:p>
        </w:tc>
        <w:tc>
          <w:tcPr/>
          <w:p>
            <w:pPr>
              <w:pStyle w:val="Compact"/>
              <w:spacing w:after="40"/>
              <w:jc w:val="center"/>
            </w:pPr>
            <w:r>
              <w:rPr>
                <w:sz w:val="19"/>
              </w:rPr>
              <w:t xml:space="preserve">88.77</w:t>
            </w:r>
          </w:p>
        </w:tc>
      </w:tr>
    </w:tbl>
    <w:bookmarkEnd w:id="120"/>
    <w:bookmarkStart w:id="124" w:name="fig:totalcost"/>
    <w:p>
      <w:pPr>
        <w:pStyle w:val="CaptionedFigure"/>
        <w:jc w:val="center"/>
      </w:pPr>
      <w:r>
        <w:drawing>
          <wp:inline>
            <wp:extent cx="5067300" cy="1764026"/>
            <wp:effectExtent b="0" l="0" r="0" t="0"/>
            <wp:docPr descr="" title="" id="122" name="Picture"/>
            <a:graphic>
              <a:graphicData uri="http://schemas.openxmlformats.org/drawingml/2006/picture">
                <pic:pic>
                  <pic:nvPicPr>
                    <pic:cNvPr descr="01_total_cost_comparison.png" id="123" name="Picture"/>
                    <pic:cNvPicPr>
                      <a:picLocks noChangeArrowheads="1" noChangeAspect="1"/>
                    </pic:cNvPicPr>
                  </pic:nvPicPr>
                  <pic:blipFill>
                    <a:blip r:embed="rId121"/>
                    <a:stretch>
                      <a:fillRect/>
                    </a:stretch>
                  </pic:blipFill>
                  <pic:spPr bwMode="auto">
                    <a:xfrm>
                      <a:off x="0" y="0"/>
                      <a:ext cx="5067300" cy="1764026"/>
                    </a:xfrm>
                    <a:prstGeom prst="rect">
                      <a:avLst/>
                    </a:prstGeom>
                    <a:noFill/>
                    <a:ln w="9525">
                      <a:noFill/>
                      <a:headEnd/>
                      <a:tailEnd/>
                    </a:ln>
                  </pic:spPr>
                </pic:pic>
              </a:graphicData>
            </a:graphic>
          </wp:inline>
        </w:drawing>
      </w:r>
    </w:p>
    <w:p>
      <w:pPr>
        <w:pStyle w:val="ImageCaption"/>
      </w:pPr>
      <w:r>
        <w:t>Figure 15: Total inventory cost by model and dataset under the shared policy. M5: LSTM lowest. Store: Moving Average lowest, LSTM fourth. Source: unified simulation (notebook inventory layer).</w:t>
      </w:r>
    </w:p>
    <w:bookmarkEnd w:id="124"/>
    <w:bookmarkStart w:id="128" w:name="fig:service"/>
    <w:p>
      <w:pPr>
        <w:pStyle w:val="CaptionedFigure"/>
        <w:jc w:val="center"/>
      </w:pPr>
      <w:r>
        <w:drawing>
          <wp:inline>
            <wp:extent cx="5067300" cy="1762326"/>
            <wp:effectExtent b="0" l="0" r="0" t="0"/>
            <wp:docPr descr="" title="" id="126" name="Picture"/>
            <a:graphic>
              <a:graphicData uri="http://schemas.openxmlformats.org/drawingml/2006/picture">
                <pic:pic>
                  <pic:nvPicPr>
                    <pic:cNvPr descr="02_service_level_comparison.png" id="127" name="Picture"/>
                    <pic:cNvPicPr>
                      <a:picLocks noChangeArrowheads="1" noChangeAspect="1"/>
                    </pic:cNvPicPr>
                  </pic:nvPicPr>
                  <pic:blipFill>
                    <a:blip r:embed="rId125"/>
                    <a:stretch>
                      <a:fillRect/>
                    </a:stretch>
                  </pic:blipFill>
                  <pic:spPr bwMode="auto">
                    <a:xfrm>
                      <a:off x="0" y="0"/>
                      <a:ext cx="5067300" cy="1762326"/>
                    </a:xfrm>
                    <a:prstGeom prst="rect">
                      <a:avLst/>
                    </a:prstGeom>
                    <a:noFill/>
                    <a:ln w="9525">
                      <a:noFill/>
                      <a:headEnd/>
                      <a:tailEnd/>
                    </a:ln>
                  </pic:spPr>
                </pic:pic>
              </a:graphicData>
            </a:graphic>
          </wp:inline>
        </w:drawing>
      </w:r>
    </w:p>
    <w:p>
      <w:pPr>
        <w:pStyle w:val="ImageCaption"/>
      </w:pPr>
      <w:r>
        <w:t>Figure 16: Service level by model: Croston highest on M5 (93.9%); all models record lower service on Store demand (43–74%), reflecting denser, higher-volume exposure. Same source as figure 15.</w:t>
      </w:r>
    </w:p>
    <w:bookmarkEnd w:id="128"/>
    <w:bookmarkStart w:id="132" w:name="fig:costsplit"/>
    <w:p>
      <w:pPr>
        <w:pStyle w:val="CaptionedFigure"/>
        <w:jc w:val="center"/>
      </w:pPr>
      <w:r>
        <w:drawing>
          <wp:inline>
            <wp:extent cx="5067300" cy="1764026"/>
            <wp:effectExtent b="0" l="0" r="0" t="0"/>
            <wp:docPr descr="" title="" id="130" name="Picture"/>
            <a:graphic>
              <a:graphicData uri="http://schemas.openxmlformats.org/drawingml/2006/picture">
                <pic:pic>
                  <pic:nvPicPr>
                    <pic:cNvPr descr="03_cost_breakdown_stacked.png" id="131" name="Picture"/>
                    <pic:cNvPicPr>
                      <a:picLocks noChangeArrowheads="1" noChangeAspect="1"/>
                    </pic:cNvPicPr>
                  </pic:nvPicPr>
                  <pic:blipFill>
                    <a:blip r:embed="rId129"/>
                    <a:stretch>
                      <a:fillRect/>
                    </a:stretch>
                  </pic:blipFill>
                  <pic:spPr bwMode="auto">
                    <a:xfrm>
                      <a:off x="0" y="0"/>
                      <a:ext cx="5067300" cy="1764026"/>
                    </a:xfrm>
                    <a:prstGeom prst="rect">
                      <a:avLst/>
                    </a:prstGeom>
                    <a:noFill/>
                    <a:ln w="9525">
                      <a:noFill/>
                      <a:headEnd/>
                      <a:tailEnd/>
                    </a:ln>
                  </pic:spPr>
                </pic:pic>
              </a:graphicData>
            </a:graphic>
          </wp:inline>
        </w:drawing>
      </w:r>
    </w:p>
    <w:p>
      <w:pPr>
        <w:pStyle w:val="ImageCaption"/>
      </w:pPr>
      <w:r>
        <w:t>Figure 17: Holding versus stockout composition. Naive’s Store cost is almost entirely stockout; DES and TES costs are holding-heavy on both datasets. Same source as figure 15.</w:t>
      </w:r>
    </w:p>
    <w:bookmarkEnd w:id="132"/>
    <w:bookmarkStart w:id="136" w:name="fig:invlevels"/>
    <w:p>
      <w:pPr>
        <w:pStyle w:val="CaptionedFigure"/>
        <w:jc w:val="center"/>
      </w:pPr>
      <w:r>
        <w:drawing>
          <wp:inline>
            <wp:extent cx="5067300" cy="1762326"/>
            <wp:effectExtent b="0" l="0" r="0" t="0"/>
            <wp:docPr descr="" title="" id="134" name="Picture"/>
            <a:graphic>
              <a:graphicData uri="http://schemas.openxmlformats.org/drawingml/2006/picture">
                <pic:pic>
                  <pic:nvPicPr>
                    <pic:cNvPr descr="04_inventory_levels_by_model.png" id="135" name="Picture"/>
                    <pic:cNvPicPr>
                      <a:picLocks noChangeArrowheads="1" noChangeAspect="1"/>
                    </pic:cNvPicPr>
                  </pic:nvPicPr>
                  <pic:blipFill>
                    <a:blip r:embed="rId133"/>
                    <a:stretch>
                      <a:fillRect/>
                    </a:stretch>
                  </pic:blipFill>
                  <pic:spPr bwMode="auto">
                    <a:xfrm>
                      <a:off x="0" y="0"/>
                      <a:ext cx="5067300" cy="1762326"/>
                    </a:xfrm>
                    <a:prstGeom prst="rect">
                      <a:avLst/>
                    </a:prstGeom>
                    <a:noFill/>
                    <a:ln w="9525">
                      <a:noFill/>
                      <a:headEnd/>
                      <a:tailEnd/>
                    </a:ln>
                  </pic:spPr>
                </pic:pic>
              </a:graphicData>
            </a:graphic>
          </wp:inline>
        </w:drawing>
      </w:r>
    </w:p>
    <w:p>
      <w:pPr>
        <w:pStyle w:val="ImageCaption"/>
      </w:pPr>
      <w:r>
        <w:t>Figure 18: Average inventory and reorder frequency: DES and TES carry roughly double the stock of the leading methods. Same source as figure 15.</w:t>
      </w:r>
    </w:p>
    <w:bookmarkEnd w:id="136"/>
    <w:bookmarkEnd w:id="137"/>
    <w:bookmarkStart w:id="142" w:name="sec:paradox"/>
    <w:p>
      <w:pPr>
        <w:pStyle w:val="Heading2"/>
      </w:pPr>
      <w:r>
        <w:t xml:space="preserve">Forecast accuracy vs. inventory decision quality</w:t>
      </w:r>
    </w:p>
    <w:p>
      <w:pPr>
        <w:pStyle w:val="FirstParagraph"/>
      </w:pPr>
      <w:hyperlink w:anchor="fig:scatter">
        <w:r>
          <w:rPr>
            <w:rStyle w:val="Hyperlink"/>
          </w:rPr>
          <w:t xml:space="preserve">19</w:t>
        </w:r>
      </w:hyperlink>
      <w:r>
        <w:t xml:space="preserve"> </w:t>
      </w:r>
      <w:r>
        <w:t xml:space="preserve">plots forecast error against inventory cost per model. On</w:t>
      </w:r>
      <w:r>
        <w:t xml:space="preserve"> </w:t>
      </w:r>
      <w:r>
        <w:t xml:space="preserve">M5 the association runs in the expected direction: lower error accompanies</w:t>
      </w:r>
      <w:r>
        <w:t xml:space="preserve"> </w:t>
      </w:r>
      <w:r>
        <w:t xml:space="preserve">lower cost, with LSTM at the favorable corner. On Store demand it does not:</w:t>
      </w:r>
      <w:r>
        <w:t xml:space="preserve"> </w:t>
      </w:r>
      <w:r>
        <w:t xml:space="preserve">LSTM is leftmost (lowest error) but mid-ranked vertically, while Moving</w:t>
      </w:r>
      <w:r>
        <w:t xml:space="preserve"> </w:t>
      </w:r>
      <w:r>
        <w:t xml:space="preserve">Average, SES, and Seasonal Naive sit to its right and below it. The</w:t>
      </w:r>
      <w:r>
        <w:t xml:space="preserve"> </w:t>
      </w:r>
      <w:r>
        <w:t xml:space="preserve">mechanism is cost asymmetry. The policy charges under-prediction (lost sales</w:t>
      </w:r>
      <w:r>
        <w:t xml:space="preserve"> </w:t>
      </w:r>
      <w:r>
        <w:t xml:space="preserve">at</w:t>
      </w:r>
      <w:r>
        <w:t xml:space="preserve"> </w:t>
      </w:r>
      <m:oMath>
        <m:r>
          <m:t>P</m:t>
        </m:r>
        <m:r>
          <m:rPr>
            <m:sty m:val="p"/>
          </m:rPr>
          <m:t>=</m:t>
        </m:r>
        <m:r>
          <m:t>5</m:t>
        </m:r>
      </m:oMath>
      <w:r>
        <w:t xml:space="preserve">) five times the rate of over-prediction (holding at</w:t>
      </w:r>
      <w:r>
        <w:t xml:space="preserve"> </w:t>
      </w:r>
      <m:oMath>
        <m:r>
          <m:t>H</m:t>
        </m:r>
        <m:r>
          <m:rPr>
            <m:sty m:val="p"/>
          </m:rPr>
          <m:t>=</m:t>
        </m:r>
        <m:r>
          <m:t>1</m:t>
        </m:r>
      </m:oMath>
      <w:r>
        <w:t xml:space="preserve">), and</w:t>
      </w:r>
      <w:r>
        <w:t xml:space="preserve"> </w:t>
      </w:r>
      <w:r>
        <w:t xml:space="preserve">safety stock scales with each model’s own error volatility. A forecaster that</w:t>
      </w:r>
      <w:r>
        <w:t xml:space="preserve"> </w:t>
      </w:r>
      <w:r>
        <w:t xml:space="preserve">averages toward the middle and rarely under-shoots can therefore record lower</w:t>
      </w:r>
      <w:r>
        <w:t xml:space="preserve"> </w:t>
      </w:r>
      <w:r>
        <w:t xml:space="preserve">cost than a sharper forecaster with occasional shortfalls. Accuracy is a</w:t>
      </w:r>
      <w:r>
        <w:t xml:space="preserve"> </w:t>
      </w:r>
      <w:r>
        <w:t xml:space="preserve">symmetric criterion; the inventory objective is not.</w:t>
      </w:r>
    </w:p>
    <w:bookmarkStart w:id="141" w:name="fig:scatter"/>
    <w:p>
      <w:pPr>
        <w:pStyle w:val="CaptionedFigure"/>
        <w:jc w:val="center"/>
      </w:pPr>
      <w:r>
        <w:drawing>
          <wp:inline>
            <wp:extent cx="4800600" cy="1671989"/>
            <wp:effectExtent b="0" l="0" r="0" t="0"/>
            <wp:docPr descr="" title="" id="139" name="Picture"/>
            <a:graphic>
              <a:graphicData uri="http://schemas.openxmlformats.org/drawingml/2006/picture">
                <pic:pic>
                  <pic:nvPicPr>
                    <pic:cNvPr descr="05_forecast_vs_inventory_scatter.png" id="140" name="Picture"/>
                    <pic:cNvPicPr>
                      <a:picLocks noChangeArrowheads="1" noChangeAspect="1"/>
                    </pic:cNvPicPr>
                  </pic:nvPicPr>
                  <pic:blipFill>
                    <a:blip r:embed="rId138"/>
                    <a:stretch>
                      <a:fillRect/>
                    </a:stretch>
                  </pic:blipFill>
                  <pic:spPr bwMode="auto">
                    <a:xfrm>
                      <a:off x="0" y="0"/>
                      <a:ext cx="4800600" cy="1671989"/>
                    </a:xfrm>
                    <a:prstGeom prst="rect">
                      <a:avLst/>
                    </a:prstGeom>
                    <a:noFill/>
                    <a:ln w="9525">
                      <a:noFill/>
                      <a:headEnd/>
                      <a:tailEnd/>
                    </a:ln>
                  </pic:spPr>
                </pic:pic>
              </a:graphicData>
            </a:graphic>
          </wp:inline>
        </w:drawing>
      </w:r>
    </w:p>
    <w:p>
      <w:pPr>
        <w:pStyle w:val="ImageCaption"/>
      </w:pPr>
      <w:r>
        <w:t>Figure 19: Forecast error versus inventory cost per model. M5: lower error accompanies lower cost. Store: LSTM records the lowest error but mid-ranking cost. Same source as figure 15.</w:t>
      </w:r>
    </w:p>
    <w:bookmarkEnd w:id="141"/>
    <w:bookmarkEnd w:id="142"/>
    <w:bookmarkStart w:id="151" w:name="sec:croston-find"/>
    <w:p>
      <w:pPr>
        <w:pStyle w:val="Heading2"/>
      </w:pPr>
      <w:r>
        <w:t xml:space="preserve">Croston-family findings</w:t>
      </w:r>
    </w:p>
    <w:p>
      <w:pPr>
        <w:pStyle w:val="FirstParagraph"/>
      </w:pPr>
      <w:r>
        <w:t xml:space="preserve">The specialists support their inclusion. On M5, TSB records the family’s</w:t>
      </w:r>
      <w:r>
        <w:t xml:space="preserve"> </w:t>
      </w:r>
      <w:r>
        <w:t xml:space="preserve">lowest forecast error (MAE 1.010, MASE 1.369; fourth overall), followed by SBA</w:t>
      </w:r>
      <w:r>
        <w:t xml:space="preserve"> </w:t>
      </w:r>
      <w:r>
        <w:t xml:space="preserve">(1.066) and Croston (1.082): adaptivity ranks ahead of bias correction, which</w:t>
      </w:r>
      <w:r>
        <w:t xml:space="preserve"> </w:t>
      </w:r>
      <w:r>
        <w:t xml:space="preserve">ranks ahead of the original, on accuracy. On cost the order differs: SBA</w:t>
      </w:r>
      <w:r>
        <w:t xml:space="preserve"> </w:t>
      </w:r>
      <w:r>
        <w:t xml:space="preserve">(160.66), TSB (165.13), Croston (174.81). SBA’s debiasing trims the</w:t>
      </w:r>
      <w:r>
        <w:t xml:space="preserve"> </w:t>
      </w:r>
      <w:r>
        <w:t xml:space="preserve">over-forecast that holding cost penalizes, while TSB’s responsiveness carries</w:t>
      </w:r>
      <w:r>
        <w:t xml:space="preserve"> </w:t>
      </w:r>
      <w:r>
        <w:t xml:space="preserve">somewhat higher stock. Within a single family, then, accuracy and cost</w:t>
      </w:r>
      <w:r>
        <w:t xml:space="preserve"> </w:t>
      </w:r>
      <w:r>
        <w:t xml:space="preserve">already rank methods differently. Substantively, the family validates the</w:t>
      </w:r>
      <w:r>
        <w:t xml:space="preserve"> </w:t>
      </w:r>
      <w:r>
        <w:t xml:space="preserve">design choice: on intermittent demand, methods that decline to fit zeros</w:t>
      </w:r>
      <w:r>
        <w:t xml:space="preserve"> </w:t>
      </w:r>
      <w:r>
        <w:t xml:space="preserve">belong in the comparison.</w:t>
      </w:r>
    </w:p>
    <w:bookmarkStart w:id="146" w:name="fig:croston-intuition"/>
    <w:p>
      <w:pPr>
        <w:pStyle w:val="CaptionedFigure"/>
        <w:jc w:val="center"/>
      </w:pPr>
      <w:r>
        <w:drawing>
          <wp:inline>
            <wp:extent cx="4800600" cy="1678014"/>
            <wp:effectExtent b="0" l="0" r="0" t="0"/>
            <wp:docPr descr="" title="" id="144" name="Picture"/>
            <a:graphic>
              <a:graphicData uri="http://schemas.openxmlformats.org/drawingml/2006/picture">
                <pic:pic>
                  <pic:nvPicPr>
                    <pic:cNvPr descr="01_croston_intuition.png" id="145" name="Picture"/>
                    <pic:cNvPicPr>
                      <a:picLocks noChangeArrowheads="1" noChangeAspect="1"/>
                    </pic:cNvPicPr>
                  </pic:nvPicPr>
                  <pic:blipFill>
                    <a:blip r:embed="rId143"/>
                    <a:stretch>
                      <a:fillRect/>
                    </a:stretch>
                  </pic:blipFill>
                  <pic:spPr bwMode="auto">
                    <a:xfrm>
                      <a:off x="0" y="0"/>
                      <a:ext cx="4800600" cy="1678014"/>
                    </a:xfrm>
                    <a:prstGeom prst="rect">
                      <a:avLst/>
                    </a:prstGeom>
                    <a:noFill/>
                    <a:ln w="9525">
                      <a:noFill/>
                      <a:headEnd/>
                      <a:tailEnd/>
                    </a:ln>
                  </pic:spPr>
                </pic:pic>
              </a:graphicData>
            </a:graphic>
          </wp:inline>
        </w:drawing>
      </w:r>
    </w:p>
    <w:p>
      <w:pPr>
        <w:pStyle w:val="ImageCaption"/>
      </w:pPr>
      <w:r>
        <w:t>Figure 20: Croston intuition: sparse demand is separated into nonzero demand size and interval between nonzero demands, each smoothed independently. Teaching figure from notebook 06c.</w:t>
      </w:r>
    </w:p>
    <w:bookmarkEnd w:id="146"/>
    <w:bookmarkStart w:id="150" w:name="fig:croston-mae"/>
    <w:p>
      <w:pPr>
        <w:pStyle w:val="CaptionedFigure"/>
        <w:jc w:val="center"/>
      </w:pPr>
      <w:r>
        <w:drawing>
          <wp:inline>
            <wp:extent cx="5067300" cy="2480687"/>
            <wp:effectExtent b="0" l="0" r="0" t="0"/>
            <wp:docPr descr="" title="" id="148" name="Picture"/>
            <a:graphic>
              <a:graphicData uri="http://schemas.openxmlformats.org/drawingml/2006/picture">
                <pic:pic>
                  <pic:nvPicPr>
                    <pic:cNvPr descr="01_comparison_MAE_with_croston.png" id="149" name="Picture"/>
                    <pic:cNvPicPr>
                      <a:picLocks noChangeArrowheads="1" noChangeAspect="1"/>
                    </pic:cNvPicPr>
                  </pic:nvPicPr>
                  <pic:blipFill>
                    <a:blip r:embed="rId147"/>
                    <a:stretch>
                      <a:fillRect/>
                    </a:stretch>
                  </pic:blipFill>
                  <pic:spPr bwMode="auto">
                    <a:xfrm>
                      <a:off x="0" y="0"/>
                      <a:ext cx="5067300" cy="2480687"/>
                    </a:xfrm>
                    <a:prstGeom prst="rect">
                      <a:avLst/>
                    </a:prstGeom>
                    <a:noFill/>
                    <a:ln w="9525">
                      <a:noFill/>
                      <a:headEnd/>
                      <a:tailEnd/>
                    </a:ln>
                  </pic:spPr>
                </pic:pic>
              </a:graphicData>
            </a:graphic>
          </wp:inline>
        </w:drawing>
      </w:r>
    </w:p>
    <w:p>
      <w:pPr>
        <w:pStyle w:val="ImageCaption"/>
      </w:pPr>
      <w:r>
        <w:t>Figure 21: M5 MAE with the Croston family: TSB lowest in the family at 1.010. Source: notebook 06c.</w:t>
      </w:r>
    </w:p>
    <w:bookmarkEnd w:id="150"/>
    <w:bookmarkEnd w:id="151"/>
    <w:bookmarkStart w:id="168" w:name="sec:arch-find"/>
    <w:p>
      <w:pPr>
        <w:pStyle w:val="Heading2"/>
      </w:pPr>
      <w:r>
        <w:t xml:space="preserve">Demand-archetype findings</w:t>
      </w:r>
    </w:p>
    <w:p>
      <w:pPr>
        <w:pStyle w:val="FirstParagraph"/>
      </w:pPr>
      <w:hyperlink w:anchor="fig:arch-mae,fig:arch-wape">
        <w:r>
          <w:rPr>
            <w:rStyle w:val="Hyperlink"/>
          </w:rPr>
          <w:t xml:space="preserve">[fig:arch-mae,fig:arch-wape]</w:t>
        </w:r>
      </w:hyperlink>
      <w:r>
        <w:t xml:space="preserve"> </w:t>
      </w:r>
      <w:r>
        <w:t xml:space="preserve">disaggregate M5 accuracy by demand shape</w:t>
      </w:r>
      <w:r>
        <w:t xml:space="preserve"> </w:t>
      </w:r>
      <w:r>
        <w:t xml:space="preserve">using pooled WAPE/sMAPE, since per-series ratios would let near-zero series</w:t>
      </w:r>
      <w:r>
        <w:t xml:space="preserve"> </w:t>
      </w:r>
      <w:r>
        <w:t xml:space="preserve">dominate the mean. LSTM records the lowest MAE in Highly Intermittent (0.416)</w:t>
      </w:r>
      <w:r>
        <w:t xml:space="preserve"> </w:t>
      </w:r>
      <w:r>
        <w:t xml:space="preserve">and Intermittent (0.989) demand. In Variable demand the top three (SES at</w:t>
      </w:r>
      <w:r>
        <w:t xml:space="preserve"> </w:t>
      </w:r>
      <w:r>
        <w:t xml:space="preserve">1.799, Moving Average at 1.804, LSTM at 1.806) lie within 0.007 of each</w:t>
      </w:r>
      <w:r>
        <w:t xml:space="preserve"> </w:t>
      </w:r>
      <w:r>
        <w:t xml:space="preserve">other, a difference without practical content. SES records the lowest MAE in</w:t>
      </w:r>
      <w:r>
        <w:t xml:space="preserve"> </w:t>
      </w:r>
      <w:r>
        <w:t xml:space="preserve">Moderate demand (2.634). TES records the highest error in every archetype,</w:t>
      </w:r>
      <w:r>
        <w:t xml:space="preserve"> </w:t>
      </w:r>
      <w:r>
        <w:t xml:space="preserve">including the smoother shapes its trend-seasonality specification might be</w:t>
      </w:r>
      <w:r>
        <w:t xml:space="preserve"> </w:t>
      </w:r>
      <w:r>
        <w:t xml:space="preserve">expected to fit. The Smooth column rests on a single series (LSTM nominally</w:t>
      </w:r>
      <w:r>
        <w:t xml:space="preserve"> </w:t>
      </w:r>
      <w:r>
        <w:t xml:space="preserve">lowest at forecast MAE 2.358) and is shown for completeness without</w:t>
      </w:r>
      <w:r>
        <w:t xml:space="preserve"> </w:t>
      </w:r>
      <w:r>
        <w:t xml:space="preserve">supporting conclusions. Inventory cost by archetype (figure 25)</w:t>
      </w:r>
      <w:r>
        <w:t xml:space="preserve"> </w:t>
      </w:r>
      <w:r>
        <w:t xml:space="preserve">distributes the lowest cost across methods: LSTM in Highly Intermittent</w:t>
      </w:r>
      <w:r>
        <w:t xml:space="preserve"> </w:t>
      </w:r>
      <w:r>
        <w:t xml:space="preserve">(64.52) and Intermittent (147.94), Moving Average in Variable (285.93), and</w:t>
      </w:r>
      <w:r>
        <w:t xml:space="preserve"> </w:t>
      </w:r>
      <w:r>
        <w:t xml:space="preserve">SBA in Moderate (383.59). No single method records the lowest cost in every</w:t>
      </w:r>
      <w:r>
        <w:t xml:space="preserve"> </w:t>
      </w:r>
      <w:r>
        <w:t xml:space="preserve">demand shape.</w:t>
      </w:r>
    </w:p>
    <w:bookmarkStart w:id="155" w:name="fig:arch-mae"/>
    <w:p>
      <w:pPr>
        <w:pStyle w:val="CaptionedFigure"/>
        <w:jc w:val="center"/>
      </w:pPr>
      <w:r>
        <w:drawing>
          <wp:inline>
            <wp:extent cx="5067300" cy="2749648"/>
            <wp:effectExtent b="0" l="0" r="0" t="0"/>
            <wp:docPr descr="" title="" id="153" name="Picture"/>
            <a:graphic>
              <a:graphicData uri="http://schemas.openxmlformats.org/drawingml/2006/picture">
                <pic:pic>
                  <pic:nvPicPr>
                    <pic:cNvPr descr="mae_by_archetype.png" id="154" name="Picture"/>
                    <pic:cNvPicPr>
                      <a:picLocks noChangeArrowheads="1" noChangeAspect="1"/>
                    </pic:cNvPicPr>
                  </pic:nvPicPr>
                  <pic:blipFill>
                    <a:blip r:embed="rId152"/>
                    <a:stretch>
                      <a:fillRect/>
                    </a:stretch>
                  </pic:blipFill>
                  <pic:spPr bwMode="auto">
                    <a:xfrm>
                      <a:off x="0" y="0"/>
                      <a:ext cx="5067300" cy="2749648"/>
                    </a:xfrm>
                    <a:prstGeom prst="rect">
                      <a:avLst/>
                    </a:prstGeom>
                    <a:noFill/>
                    <a:ln w="9525">
                      <a:noFill/>
                      <a:headEnd/>
                      <a:tailEnd/>
                    </a:ln>
                  </pic:spPr>
                </pic:pic>
              </a:graphicData>
            </a:graphic>
          </wp:inline>
        </w:drawing>
      </w:r>
    </w:p>
    <w:p>
      <w:pPr>
        <w:pStyle w:val="ImageCaption"/>
      </w:pPr>
      <w:r>
        <w:t>Figure 22: M5 MAE by archetype: LSTM lowest on sparse shapes; Variable is effectively tied; TES highest throughout. Pooled-metric figure (notebook archetype layer).</w:t>
      </w:r>
    </w:p>
    <w:bookmarkEnd w:id="155"/>
    <w:bookmarkStart w:id="159" w:name="fig:arch-wape"/>
    <w:p>
      <w:pPr>
        <w:pStyle w:val="CaptionedFigure"/>
        <w:jc w:val="center"/>
      </w:pPr>
      <w:r>
        <w:drawing>
          <wp:inline>
            <wp:extent cx="5067300" cy="2705869"/>
            <wp:effectExtent b="0" l="0" r="0" t="0"/>
            <wp:docPr descr="" title="" id="157" name="Picture"/>
            <a:graphic>
              <a:graphicData uri="http://schemas.openxmlformats.org/drawingml/2006/picture">
                <pic:pic>
                  <pic:nvPicPr>
                    <pic:cNvPr descr="wape_by_archetype.png" id="158" name="Picture"/>
                    <pic:cNvPicPr>
                      <a:picLocks noChangeArrowheads="1" noChangeAspect="1"/>
                    </pic:cNvPicPr>
                  </pic:nvPicPr>
                  <pic:blipFill>
                    <a:blip r:embed="rId156"/>
                    <a:stretch>
                      <a:fillRect/>
                    </a:stretch>
                  </pic:blipFill>
                  <pic:spPr bwMode="auto">
                    <a:xfrm>
                      <a:off x="0" y="0"/>
                      <a:ext cx="5067300" cy="2705869"/>
                    </a:xfrm>
                    <a:prstGeom prst="rect">
                      <a:avLst/>
                    </a:prstGeom>
                    <a:noFill/>
                    <a:ln w="9525">
                      <a:noFill/>
                      <a:headEnd/>
                      <a:tailEnd/>
                    </a:ln>
                  </pic:spPr>
                </pic:pic>
              </a:graphicData>
            </a:graphic>
          </wp:inline>
        </w:drawing>
      </w:r>
    </w:p>
    <w:p>
      <w:pPr>
        <w:pStyle w:val="ImageCaption"/>
      </w:pPr>
      <w:r>
        <w:t>Figure 23: M5 pooled WAPE by archetype: the ratio-of-sums construction prevents near-zero series from dominating the mean. Same source as figure 22.</w:t>
      </w:r>
    </w:p>
    <w:bookmarkEnd w:id="159"/>
    <w:bookmarkStart w:id="163" w:name="fig:arima-arch"/>
    <w:p>
      <w:pPr>
        <w:pStyle w:val="CaptionedFigure"/>
        <w:jc w:val="center"/>
      </w:pPr>
      <w:r>
        <w:drawing>
          <wp:inline>
            <wp:extent cx="4800600" cy="1874117"/>
            <wp:effectExtent b="0" l="0" r="0" t="0"/>
            <wp:docPr descr="" title="" id="161" name="Picture"/>
            <a:graphic>
              <a:graphicData uri="http://schemas.openxmlformats.org/drawingml/2006/picture">
                <pic:pic>
                  <pic:nvPicPr>
                    <pic:cNvPr descr="03_arima_by_archetype_m5.png" id="162" name="Picture"/>
                    <pic:cNvPicPr>
                      <a:picLocks noChangeArrowheads="1" noChangeAspect="1"/>
                    </pic:cNvPicPr>
                  </pic:nvPicPr>
                  <pic:blipFill>
                    <a:blip r:embed="rId160"/>
                    <a:stretch>
                      <a:fillRect/>
                    </a:stretch>
                  </pic:blipFill>
                  <pic:spPr bwMode="auto">
                    <a:xfrm>
                      <a:off x="0" y="0"/>
                      <a:ext cx="4800600" cy="1874117"/>
                    </a:xfrm>
                    <a:prstGeom prst="rect">
                      <a:avLst/>
                    </a:prstGeom>
                    <a:noFill/>
                    <a:ln w="9525">
                      <a:noFill/>
                      <a:headEnd/>
                      <a:tailEnd/>
                    </a:ln>
                  </pic:spPr>
                </pic:pic>
              </a:graphicData>
            </a:graphic>
          </wp:inline>
        </w:drawing>
      </w:r>
    </w:p>
    <w:p>
      <w:pPr>
        <w:pStyle w:val="ImageCaption"/>
      </w:pPr>
      <w:r>
        <w:t>Figure 24: ARIMA error by M5 archetype: error increases where demand is sparsest, consistent with the 22.65% fallback rate. Source: notebook 07.</w:t>
      </w:r>
    </w:p>
    <w:bookmarkEnd w:id="163"/>
    <w:bookmarkStart w:id="167" w:name="fig:arch-cost"/>
    <w:p>
      <w:pPr>
        <w:pStyle w:val="CaptionedFigure"/>
        <w:jc w:val="center"/>
      </w:pPr>
      <w:r>
        <w:drawing>
          <wp:inline>
            <wp:extent cx="4800600" cy="2356302"/>
            <wp:effectExtent b="0" l="0" r="0" t="0"/>
            <wp:docPr descr="" title="" id="165" name="Picture"/>
            <a:graphic>
              <a:graphicData uri="http://schemas.openxmlformats.org/drawingml/2006/picture">
                <pic:pic>
                  <pic:nvPicPr>
                    <pic:cNvPr descr="06_cost_by_archetype_m5.png" id="166" name="Picture"/>
                    <pic:cNvPicPr>
                      <a:picLocks noChangeArrowheads="1" noChangeAspect="1"/>
                    </pic:cNvPicPr>
                  </pic:nvPicPr>
                  <pic:blipFill>
                    <a:blip r:embed="rId164"/>
                    <a:stretch>
                      <a:fillRect/>
                    </a:stretch>
                  </pic:blipFill>
                  <pic:spPr bwMode="auto">
                    <a:xfrm>
                      <a:off x="0" y="0"/>
                      <a:ext cx="4800600" cy="2356302"/>
                    </a:xfrm>
                    <a:prstGeom prst="rect">
                      <a:avLst/>
                    </a:prstGeom>
                    <a:noFill/>
                    <a:ln w="9525">
                      <a:noFill/>
                      <a:headEnd/>
                      <a:tailEnd/>
                    </a:ln>
                  </pic:spPr>
                </pic:pic>
              </a:graphicData>
            </a:graphic>
          </wp:inline>
        </w:drawing>
      </w:r>
    </w:p>
    <w:p>
      <w:pPr>
        <w:pStyle w:val="ImageCaption"/>
      </w:pPr>
      <w:r>
        <w:t>Figure 25: M5 inventory cost by archetype: lowest cost by method and shape (LSTM on sparse shapes; Moving Average on Variable; SBA on Moderate). Same source as figure 15.</w:t>
      </w:r>
    </w:p>
    <w:bookmarkEnd w:id="167"/>
    <w:bookmarkEnd w:id="168"/>
    <w:bookmarkStart w:id="169" w:name="sec:lstm-find"/>
    <w:p>
      <w:pPr>
        <w:pStyle w:val="Heading2"/>
      </w:pPr>
      <w:r>
        <w:t xml:space="preserve">LSTM findings</w:t>
      </w:r>
    </w:p>
    <w:p>
      <w:pPr>
        <w:pStyle w:val="FirstParagraph"/>
      </w:pPr>
      <w:r>
        <w:t xml:space="preserve">The neural rung partly confirms its premise. As a forecaster, the global LSTM</w:t>
      </w:r>
      <w:r>
        <w:t xml:space="preserve"> </w:t>
      </w:r>
      <w:r>
        <w:t xml:space="preserve">records the lowest MAE and MASE on both datasets, the lowest archetype MAE on</w:t>
      </w:r>
      <w:r>
        <w:t xml:space="preserve"> </w:t>
      </w:r>
      <w:r>
        <w:t xml:space="preserve">sparse shapes, and the only sub-1.0 MASE on Store demand. As an inventory</w:t>
      </w:r>
      <w:r>
        <w:t xml:space="preserve"> </w:t>
      </w:r>
      <w:r>
        <w:t xml:space="preserve">input it is split: lowest cost on M5 (152.83, first in 25 of 27 policies) but</w:t>
      </w:r>
      <w:r>
        <w:t xml:space="preserve"> </w:t>
      </w:r>
      <w:r>
        <w:t xml:space="preserve">fourth on Store (2,247.46), where its sharper forecasts include</w:t>
      </w:r>
      <w:r>
        <w:t xml:space="preserve"> </w:t>
      </w:r>
      <w:r>
        <w:t xml:space="preserve">under-predictions that the</w:t>
      </w:r>
      <w:r>
        <w:t xml:space="preserve"> </w:t>
      </w:r>
      <m:oMath>
        <m:r>
          <m:t>P</m:t>
        </m:r>
        <m:r>
          <m:rPr>
            <m:sty m:val="p"/>
          </m:rPr>
          <m:t>/</m:t>
        </m:r>
        <m:r>
          <m:t>H</m:t>
        </m:r>
        <m:r>
          <m:rPr>
            <m:sty m:val="p"/>
          </m:rPr>
          <m:t>=</m:t>
        </m:r>
        <m:r>
          <m:t>5</m:t>
        </m:r>
      </m:oMath>
      <w:r>
        <w:t xml:space="preserve"> </w:t>
      </w:r>
      <w:r>
        <w:t xml:space="preserve">cost ratio penalizes heavily. On</w:t>
      </w:r>
      <w:r>
        <w:t xml:space="preserve"> </w:t>
      </w:r>
      <w:r>
        <w:t xml:space="preserve">provenance: the LSTM was revalidated on chronological per-series splits after</w:t>
      </w:r>
      <w:r>
        <w:t xml:space="preserve"> </w:t>
      </w:r>
      <w:r>
        <w:t xml:space="preserve">overlapping-window leakage was identified in the first validation design, so</w:t>
      </w:r>
      <w:r>
        <w:t xml:space="preserve"> </w:t>
      </w:r>
      <w:r>
        <w:t xml:space="preserve">these figures reflect generalization under the corrected protocol rather than</w:t>
      </w:r>
      <w:r>
        <w:t xml:space="preserve"> </w:t>
      </w:r>
      <w:r>
        <w:t xml:space="preserve">validation leakage. For practice, the implication is conditional: forecast</w:t>
      </w:r>
      <w:r>
        <w:t xml:space="preserve"> </w:t>
      </w:r>
      <w:r>
        <w:t xml:space="preserve">quality is established across both environments, while inventory value should</w:t>
      </w:r>
      <w:r>
        <w:t xml:space="preserve"> </w:t>
      </w:r>
      <w:r>
        <w:t xml:space="preserve">be assessed against the applicable cost ratio.</w:t>
      </w:r>
    </w:p>
    <w:bookmarkEnd w:id="169"/>
    <w:bookmarkStart w:id="170" w:name="sec:arima-find"/>
    <w:p>
      <w:pPr>
        <w:pStyle w:val="Heading2"/>
      </w:pPr>
      <w:r>
        <w:t xml:space="preserve">ARIMA findings</w:t>
      </w:r>
    </w:p>
    <w:p>
      <w:pPr>
        <w:pStyle w:val="FirstParagraph"/>
      </w:pPr>
      <w:r>
        <w:t xml:space="preserve">ARIMA occupies an unstable middle position. On dense Store data it estimates</w:t>
      </w:r>
      <w:r>
        <w:t xml:space="preserve"> </w:t>
      </w:r>
      <w:r>
        <w:t xml:space="preserve">cleanly (4,000 of 4,000 fits, zero fallbacks) yet ranks sixth on both boards</w:t>
      </w:r>
      <w:r>
        <w:t xml:space="preserve"> </w:t>
      </w:r>
      <w:r>
        <w:t xml:space="preserve">(MASE 1.452; cost 2,320.87), indicating that linear memory contributes little</w:t>
      </w:r>
      <w:r>
        <w:t xml:space="preserve"> </w:t>
      </w:r>
      <w:r>
        <w:t xml:space="preserve">where weekly structure dominates. On sparse M5 data, 906 of 4,000 estimations</w:t>
      </w:r>
      <w:r>
        <w:t xml:space="preserve"> </w:t>
      </w:r>
      <w:r>
        <w:t xml:space="preserve">(22.65%) trigger the greater-than-85%-zero pre-check and defer to Naive,</w:t>
      </w:r>
      <w:r>
        <w:t xml:space="preserve"> </w:t>
      </w:r>
      <w:r>
        <w:t xml:space="preserve">concentrated in Highly Intermittent series (figure 24); there are</w:t>
      </w:r>
      <w:r>
        <w:t xml:space="preserve"> </w:t>
      </w:r>
      <w:r>
        <w:t xml:space="preserve">zero optimizer failures, so every non-skipped estimation converges. The</w:t>
      </w:r>
      <w:r>
        <w:t xml:space="preserve"> </w:t>
      </w:r>
      <w:r>
        <w:t xml:space="preserve">pre-check is a specified guardrail rather than an estimation failure, and its</w:t>
      </w:r>
      <w:r>
        <w:t xml:space="preserve"> </w:t>
      </w:r>
      <w:r>
        <w:t xml:space="preserve">asymmetry (22.65% against 0%) measures how demand structure conditions</w:t>
      </w:r>
      <w:r>
        <w:t xml:space="preserve"> </w:t>
      </w:r>
      <w:r>
        <w:t xml:space="preserve">statistical feasibility.</w:t>
      </w:r>
    </w:p>
    <w:bookmarkEnd w:id="170"/>
    <w:bookmarkStart w:id="171" w:name="sec:sarima-find"/>
    <w:p>
      <w:pPr>
        <w:pStyle w:val="Heading2"/>
      </w:pPr>
      <w:r>
        <w:t xml:space="preserve">SARIMA full-population findings</w:t>
      </w:r>
    </w:p>
    <w:p>
      <w:pPr>
        <w:pStyle w:val="FirstParagraph"/>
      </w:pPr>
      <w:r>
        <w:t xml:space="preserve">The seasonal challenger performs as specified. All 4,000 Store estimations</w:t>
      </w:r>
      <w:r>
        <w:t xml:space="preserve"> </w:t>
      </w:r>
      <w:r>
        <w:t xml:space="preserve">succeed with zero fallbacks in 2,382 seconds (approximately 0.6 seconds per</w:t>
      </w:r>
      <w:r>
        <w:t xml:space="preserve"> </w:t>
      </w:r>
      <w:r>
        <w:t xml:space="preserve">fit): seasonal differencing at</w:t>
      </w:r>
      <w:r>
        <w:t xml:space="preserve"> </w:t>
      </w:r>
      <m:oMath>
        <m:r>
          <m:t>m</m:t>
        </m:r>
        <m:r>
          <m:rPr>
            <m:sty m:val="p"/>
          </m:rPr>
          <m:t>=</m:t>
        </m:r>
        <m:r>
          <m:t>7</m:t>
        </m:r>
      </m:oMath>
      <w:r>
        <w:t xml:space="preserve"> </w:t>
      </w:r>
      <w:r>
        <w:t xml:space="preserve">is feasible at full population, not only</w:t>
      </w:r>
      <w:r>
        <w:t xml:space="preserve"> </w:t>
      </w:r>
      <w:r>
        <w:t xml:space="preserve">on the exploratory 100-series subset (MAE 8.31) that preceded it. Final</w:t>
      </w:r>
      <w:r>
        <w:t xml:space="preserve"> </w:t>
      </w:r>
      <w:r>
        <w:t xml:space="preserve">full-500 accuracy (MAE 8.45, MASE 1.055, RMSSE 1.040) differs slightly from</w:t>
      </w:r>
      <w:r>
        <w:t xml:space="preserve"> </w:t>
      </w:r>
      <w:r>
        <w:t xml:space="preserve">the subset, a population effect recorded without adjustment. Decision quality</w:t>
      </w:r>
      <w:r>
        <w:t xml:space="preserve"> </w:t>
      </w:r>
      <w:r>
        <w:t xml:space="preserve">(2,282.31, fifth) lags accuracy (second): improved weekly tracking still</w:t>
      </w:r>
      <w:r>
        <w:t xml:space="preserve"> </w:t>
      </w:r>
      <w:r>
        <w:t xml:space="preserve">under-protects against stockouts at</w:t>
      </w:r>
      <w:r>
        <w:t xml:space="preserve"> </w:t>
      </w:r>
      <m:oMath>
        <m:r>
          <m:t>P</m:t>
        </m:r>
        <m:r>
          <m:rPr>
            <m:sty m:val="p"/>
          </m:rPr>
          <m:t>/</m:t>
        </m:r>
        <m:r>
          <m:t>H</m:t>
        </m:r>
        <m:r>
          <m:rPr>
            <m:sty m:val="p"/>
          </m:rPr>
          <m:t>=</m:t>
        </m:r>
        <m:r>
          <m:t>5</m:t>
        </m:r>
      </m:oMath>
      <w:r>
        <w:t xml:space="preserve">. SARIMA was not estimated on M5,</w:t>
      </w:r>
      <w:r>
        <w:t xml:space="preserve"> </w:t>
      </w:r>
      <w:r>
        <w:t xml:space="preserve">deliberately: seasonal differencing of predominantly zero series lacks</w:t>
      </w:r>
      <w:r>
        <w:t xml:space="preserve"> </w:t>
      </w:r>
      <w:r>
        <w:t xml:space="preserve">methodological justification, and the Croston rung already addresses that</w:t>
      </w:r>
      <w:r>
        <w:t xml:space="preserve"> </w:t>
      </w:r>
      <w:r>
        <w:t xml:space="preserve">setting.</w:t>
      </w:r>
    </w:p>
    <w:bookmarkEnd w:id="171"/>
    <w:bookmarkStart w:id="172" w:name="sec:complexity"/>
    <w:p>
      <w:pPr>
        <w:pStyle w:val="Heading2"/>
      </w:pPr>
      <w:r>
        <w:t xml:space="preserve">Model complexity findings</w:t>
      </w:r>
    </w:p>
    <w:p>
      <w:pPr>
        <w:pStyle w:val="FirstParagraph"/>
      </w:pPr>
      <w:r>
        <w:t xml:space="preserve">H3 in monotone form is rejected. The most complex classical specifications</w:t>
      </w:r>
      <w:r>
        <w:t xml:space="preserve"> </w:t>
      </w:r>
      <w:r>
        <w:t xml:space="preserve">record the weakest results (TES last on all boards; DES an overstocking</w:t>
      </w:r>
      <w:r>
        <w:t xml:space="preserve"> </w:t>
      </w:r>
      <w:r>
        <w:t xml:space="preserve">liability), the mid-complexity linear model sits mid-table, and only the</w:t>
      </w:r>
      <w:r>
        <w:t xml:space="preserve"> </w:t>
      </w:r>
      <w:r>
        <w:t xml:space="preserve">neural model converts complexity into accuracy, and then into inventory value</w:t>
      </w:r>
      <w:r>
        <w:t xml:space="preserve"> </w:t>
      </w:r>
      <w:r>
        <w:t xml:space="preserve">on one of two datasets. The simplest rung (Moving Average, SES) wins or</w:t>
      </w:r>
      <w:r>
        <w:t xml:space="preserve"> </w:t>
      </w:r>
      <w:r>
        <w:t xml:space="preserve">nearly wins three of the four boards. Complexity purchases capability (the</w:t>
      </w:r>
      <w:r>
        <w:t xml:space="preserve"> </w:t>
      </w:r>
      <w:r>
        <w:t xml:space="preserve">LSTM’s cross-series learning is measurable), but value is determined jointly</w:t>
      </w:r>
      <w:r>
        <w:t xml:space="preserve"> </w:t>
      </w:r>
      <w:r>
        <w:t xml:space="preserve">with demand structure and cost asymmetry.</w:t>
      </w:r>
    </w:p>
    <w:bookmarkEnd w:id="172"/>
    <w:bookmarkStart w:id="186" w:name="sec:robust"/>
    <w:p>
      <w:pPr>
        <w:pStyle w:val="Heading2"/>
      </w:pPr>
      <w:r>
        <w:t xml:space="preserve">Robustness across inventory policies</w:t>
      </w:r>
    </w:p>
    <w:p>
      <w:pPr>
        <w:pStyle w:val="FirstParagraph"/>
      </w:pPr>
      <w:hyperlink w:anchor="tab:robust">
        <w:r>
          <w:rPr>
            <w:rStyle w:val="Hyperlink"/>
          </w:rPr>
          <w:t xml:space="preserve">8</w:t>
        </w:r>
      </w:hyperlink>
      <w:r>
        <w:t xml:space="preserve"> </w:t>
      </w:r>
      <w:r>
        <w:t xml:space="preserve">with figures 26 and 27 summarizes</w:t>
      </w:r>
      <w:r>
        <w:t xml:space="preserve"> </w:t>
      </w:r>
      <w:r>
        <w:t xml:space="preserve">stability. M5: LSTM ranks first in 25 of 27 policies. Its two defeats, both</w:t>
      </w:r>
      <w:r>
        <w:t xml:space="preserve"> </w:t>
      </w:r>
      <w:r>
        <w:t xml:space="preserve">to SES, occur in one region: short lead time (</w:t>
      </w:r>
      <m:oMath>
        <m:r>
          <m:t>L</m:t>
        </m:r>
        <m:r>
          <m:rPr>
            <m:sty m:val="p"/>
          </m:rPr>
          <m:t>=</m:t>
        </m:r>
        <m:r>
          <m:t>3</m:t>
        </m:r>
      </m:oMath>
      <w:r>
        <w:t xml:space="preserve">) with high stockout</w:t>
      </w:r>
      <w:r>
        <w:t xml:space="preserve"> </w:t>
      </w:r>
      <w:r>
        <w:t xml:space="preserve">penalty (</w:t>
      </w:r>
      <m:oMath>
        <m:r>
          <m:t>P</m:t>
        </m:r>
        <m:r>
          <m:rPr>
            <m:sty m:val="p"/>
          </m:rPr>
          <m:t>=</m:t>
        </m:r>
        <m:r>
          <m:t>10</m:t>
        </m:r>
      </m:oMath>
      <w:r>
        <w:t xml:space="preserve">), where SES’s conservative level-tracking incurs less</w:t>
      </w:r>
      <w:r>
        <w:t xml:space="preserve"> </w:t>
      </w:r>
      <w:r>
        <w:t xml:space="preserve">emergency cover. Store: Moving Average 9, SES 7, Naive 6, DES 5. No model</w:t>
      </w:r>
      <w:r>
        <w:t xml:space="preserve"> </w:t>
      </w:r>
      <w:r>
        <w:t xml:space="preserve">reaches half the grid; the lowest-cost model is a function of the policy, not</w:t>
      </w:r>
      <w:r>
        <w:t xml:space="preserve"> </w:t>
      </w:r>
      <w:r>
        <w:t xml:space="preserve">a property of any model. M5 conclusions therefore support deployment under</w:t>
      </w:r>
      <w:r>
        <w:t xml:space="preserve"> </w:t>
      </w:r>
      <w:r>
        <w:t xml:space="preserve">stated conditions; Store conclusions support policy-conditional selection.</w:t>
      </w:r>
    </w:p>
    <w:bookmarkStart w:id="173" w:name="tab:robust"/>
    <w:p>
      <w:pPr>
        <w:pStyle w:val="TableCaption"/>
      </w:pPr>
      <w:r>
        <w:t>Table 8: Robustness summary: policy wins across the 27-policy grid. M5 stable; Store policy-sensitive.</w:t>
      </w:r>
    </w:p>
    <w:tbl>
      <w:tblPr>
        <w:tblStyle w:val="Table"/>
        <w:tblW w:type="auto" w:w="0"/>
        <w:jc w:val="center"/>
        <w:tblLook w:firstRow="1" w:lastRow="0" w:firstColumn="0" w:lastColumn="0" w:noHBand="0" w:noVBand="0" w:val="0020"/>
        <w:tblCaption w:val="Robustness summary: policy wins across the 27-policy grid. M5 stable; Store policy-sensitive."/>
      </w:tblPr>
      <w:tblGrid>
        <w:gridCol w:w="2640"/>
        <w:gridCol w:w="2640"/>
        <w:gridCol w:w="2640"/>
      </w:tblGrid>
      <w:tr>
        <w:trPr>
          <w:tblHeader w:val="on"/>
        </w:trPr>
        <w:tc>
          <w:tcPr>
            <w:shd w:fill="EDEDED" w:val="clear"/>
          </w:tcPr>
          <w:p>
            <w:pPr>
              <w:pStyle w:val="Compact"/>
              <w:spacing w:after="40"/>
              <w:jc w:val="left"/>
            </w:pPr>
            <w:r>
              <w:rPr>
                <w:b/>
                <w:sz w:val="19"/>
              </w:rPr>
              <w:t xml:space="preserve">Dataset</w:t>
            </w:r>
          </w:p>
        </w:tc>
        <w:tc>
          <w:tcPr>
            <w:shd w:fill="EDEDED" w:val="clear"/>
          </w:tcPr>
          <w:p>
            <w:pPr>
              <w:pStyle w:val="Compact"/>
              <w:spacing w:after="40"/>
              <w:jc w:val="left"/>
            </w:pPr>
            <w:r>
              <w:rPr>
                <w:b/>
                <w:sz w:val="19"/>
              </w:rPr>
              <w:t xml:space="preserve">Wins (of 27)</w:t>
            </w:r>
          </w:p>
        </w:tc>
        <w:tc>
          <w:tcPr>
            <w:shd w:fill="EDEDED" w:val="clear"/>
          </w:tcPr>
          <w:p>
            <w:pPr>
              <w:pStyle w:val="Compact"/>
              <w:spacing w:after="40"/>
              <w:jc w:val="left"/>
            </w:pPr>
            <w:r>
              <w:rPr>
                <w:b/>
                <w:sz w:val="19"/>
              </w:rPr>
              <w:t xml:space="preserve">Assessment</w:t>
            </w:r>
          </w:p>
        </w:tc>
      </w:tr>
      <w:tr>
        <w:tc>
          <w:tcPr/>
          <w:p>
            <w:pPr>
              <w:pStyle w:val="Compact"/>
              <w:spacing w:after="40"/>
              <w:jc w:val="left"/>
            </w:pPr>
            <w:r>
              <w:rPr>
                <w:sz w:val="19"/>
              </w:rPr>
              <w:t xml:space="preserve">M5</w:t>
            </w:r>
          </w:p>
        </w:tc>
        <w:tc>
          <w:tcPr/>
          <w:p>
            <w:pPr>
              <w:pStyle w:val="Compact"/>
              <w:spacing w:after="40"/>
              <w:jc w:val="left"/>
            </w:pPr>
            <w:r>
              <w:rPr>
                <w:sz w:val="19"/>
              </w:rPr>
              <w:t xml:space="preserve">LSTM 25, SES 2 (both at</w:t>
            </w:r>
            <w:r>
              <w:rPr>
                <w:sz w:val="19"/>
              </w:rPr>
              <w:t xml:space="preserve"> </w:t>
            </w:r>
            <m:oMath>
              <m:r>
                <m:t>L</m:t>
              </m:r>
              <m:r>
                <m:rPr>
                  <m:sty m:val="p"/>
                </m:rPr>
                <m:t>=</m:t>
              </m:r>
              <m:r>
                <m:t>3</m:t>
              </m:r>
            </m:oMath>
            <w:r>
              <w:rPr>
                <w:sz w:val="19"/>
              </w:rPr>
              <w:t xml:space="preserve">,</w:t>
            </w:r>
            <w:r>
              <w:rPr>
                <w:sz w:val="19"/>
              </w:rPr>
              <w:t xml:space="preserve"> </w:t>
            </w:r>
            <m:oMath>
              <m:r>
                <m:t>P</m:t>
              </m:r>
              <m:r>
                <m:rPr>
                  <m:sty m:val="p"/>
                </m:rPr>
                <m:t>=</m:t>
              </m:r>
              <m:r>
                <m:t>10</m:t>
              </m:r>
            </m:oMath>
            <w:r>
              <w:rPr>
                <w:sz w:val="19"/>
              </w:rPr>
              <w:t xml:space="preserve">)</w:t>
            </w:r>
          </w:p>
        </w:tc>
        <w:tc>
          <w:tcPr/>
          <w:p>
            <w:pPr>
              <w:pStyle w:val="Compact"/>
              <w:spacing w:after="40"/>
              <w:jc w:val="left"/>
            </w:pPr>
            <w:r>
              <w:rPr>
                <w:b/>
                <w:bCs/>
                <w:sz w:val="19"/>
              </w:rPr>
              <w:t xml:space="preserve">Stable</w:t>
            </w:r>
          </w:p>
        </w:tc>
      </w:tr>
      <w:tr>
        <w:tc>
          <w:tcPr/>
          <w:p>
            <w:pPr>
              <w:pStyle w:val="Compact"/>
              <w:spacing w:after="40"/>
              <w:jc w:val="left"/>
            </w:pPr>
            <w:r>
              <w:rPr>
                <w:sz w:val="19"/>
              </w:rPr>
              <w:t xml:space="preserve">Store</w:t>
            </w:r>
          </w:p>
        </w:tc>
        <w:tc>
          <w:tcPr/>
          <w:p>
            <w:pPr>
              <w:pStyle w:val="Compact"/>
              <w:spacing w:after="40"/>
              <w:jc w:val="left"/>
            </w:pPr>
            <w:r>
              <w:rPr>
                <w:sz w:val="19"/>
              </w:rPr>
              <w:t xml:space="preserve">MA 9, SES 7, Naive 6, DES 5</w:t>
            </w:r>
          </w:p>
        </w:tc>
        <w:tc>
          <w:tcPr/>
          <w:p>
            <w:pPr>
              <w:pStyle w:val="Compact"/>
              <w:spacing w:after="40"/>
              <w:jc w:val="left"/>
            </w:pPr>
            <w:r>
              <w:rPr>
                <w:b/>
                <w:bCs/>
                <w:sz w:val="19"/>
              </w:rPr>
              <w:t xml:space="preserve">Policy-sensitive</w:t>
            </w:r>
          </w:p>
        </w:tc>
      </w:tr>
    </w:tbl>
    <w:bookmarkEnd w:id="173"/>
    <w:bookmarkStart w:id="177" w:name="fig:heat-m5"/>
    <w:p>
      <w:pPr>
        <w:pStyle w:val="CaptionedFigure"/>
        <w:jc w:val="center"/>
      </w:pPr>
      <w:r>
        <w:drawing>
          <wp:inline>
            <wp:extent cx="4800600" cy="2207870"/>
            <wp:effectExtent b="0" l="0" r="0" t="0"/>
            <wp:docPr descr="" title="" id="175" name="Picture"/>
            <a:graphic>
              <a:graphicData uri="http://schemas.openxmlformats.org/drawingml/2006/picture">
                <pic:pic>
                  <pic:nvPicPr>
                    <pic:cNvPr descr="rank_heatmap_m5.png" id="176" name="Picture"/>
                    <pic:cNvPicPr>
                      <a:picLocks noChangeArrowheads="1" noChangeAspect="1"/>
                    </pic:cNvPicPr>
                  </pic:nvPicPr>
                  <pic:blipFill>
                    <a:blip r:embed="rId174"/>
                    <a:stretch>
                      <a:fillRect/>
                    </a:stretch>
                  </pic:blipFill>
                  <pic:spPr bwMode="auto">
                    <a:xfrm>
                      <a:off x="0" y="0"/>
                      <a:ext cx="4800600" cy="2207870"/>
                    </a:xfrm>
                    <a:prstGeom prst="rect">
                      <a:avLst/>
                    </a:prstGeom>
                    <a:noFill/>
                    <a:ln w="9525">
                      <a:noFill/>
                      <a:headEnd/>
                      <a:tailEnd/>
                    </a:ln>
                  </pic:spPr>
                </pic:pic>
              </a:graphicData>
            </a:graphic>
          </wp:inline>
        </w:drawing>
      </w:r>
    </w:p>
    <w:p>
      <w:pPr>
        <w:pStyle w:val="ImageCaption"/>
      </w:pPr>
      <w:r>
        <w:t>Figure 26: M5 rank heatmap across 27 policies: LSTM first throughout except two SES cells in the short-lead, high-penalty corner. Source: sensitivity layer.</w:t>
      </w:r>
    </w:p>
    <w:bookmarkEnd w:id="177"/>
    <w:bookmarkStart w:id="181" w:name="fig:heat-store"/>
    <w:p>
      <w:pPr>
        <w:pStyle w:val="CaptionedFigure"/>
        <w:jc w:val="center"/>
      </w:pPr>
      <w:r>
        <w:drawing>
          <wp:inline>
            <wp:extent cx="4800600" cy="2220755"/>
            <wp:effectExtent b="0" l="0" r="0" t="0"/>
            <wp:docPr descr="" title="" id="179" name="Picture"/>
            <a:graphic>
              <a:graphicData uri="http://schemas.openxmlformats.org/drawingml/2006/picture">
                <pic:pic>
                  <pic:nvPicPr>
                    <pic:cNvPr descr="rank_heatmap_store_item_demand.png" id="180" name="Picture"/>
                    <pic:cNvPicPr>
                      <a:picLocks noChangeArrowheads="1" noChangeAspect="1"/>
                    </pic:cNvPicPr>
                  </pic:nvPicPr>
                  <pic:blipFill>
                    <a:blip r:embed="rId178"/>
                    <a:stretch>
                      <a:fillRect/>
                    </a:stretch>
                  </pic:blipFill>
                  <pic:spPr bwMode="auto">
                    <a:xfrm>
                      <a:off x="0" y="0"/>
                      <a:ext cx="4800600" cy="2220755"/>
                    </a:xfrm>
                    <a:prstGeom prst="rect">
                      <a:avLst/>
                    </a:prstGeom>
                    <a:noFill/>
                    <a:ln w="9525">
                      <a:noFill/>
                      <a:headEnd/>
                      <a:tailEnd/>
                    </a:ln>
                  </pic:spPr>
                </pic:pic>
              </a:graphicData>
            </a:graphic>
          </wp:inline>
        </w:drawing>
      </w:r>
    </w:p>
    <w:p>
      <w:pPr>
        <w:pStyle w:val="ImageCaption"/>
      </w:pPr>
      <w:r>
        <w:t>Figure 27: Store rank heatmap: lowest cost moves across four models as the policy varies. Same source as figure 26.</w:t>
      </w:r>
    </w:p>
    <w:bookmarkEnd w:id="181"/>
    <w:bookmarkStart w:id="185" w:name="fig:winnershare"/>
    <w:p>
      <w:pPr>
        <w:pStyle w:val="CaptionedFigure"/>
        <w:jc w:val="center"/>
      </w:pPr>
      <w:r>
        <w:drawing>
          <wp:inline>
            <wp:extent cx="4800600" cy="1813039"/>
            <wp:effectExtent b="0" l="0" r="0" t="0"/>
            <wp:docPr descr="" title="" id="183" name="Picture"/>
            <a:graphic>
              <a:graphicData uri="http://schemas.openxmlformats.org/drawingml/2006/picture">
                <pic:pic>
                  <pic:nvPicPr>
                    <pic:cNvPr descr="F-NEW-03-sensitivity-winner-share.png" id="184" name="Picture"/>
                    <pic:cNvPicPr>
                      <a:picLocks noChangeArrowheads="1" noChangeAspect="1"/>
                    </pic:cNvPicPr>
                  </pic:nvPicPr>
                  <pic:blipFill>
                    <a:blip r:embed="rId182"/>
                    <a:stretch>
                      <a:fillRect/>
                    </a:stretch>
                  </pic:blipFill>
                  <pic:spPr bwMode="auto">
                    <a:xfrm>
                      <a:off x="0" y="0"/>
                      <a:ext cx="4800600" cy="1813039"/>
                    </a:xfrm>
                    <a:prstGeom prst="rect">
                      <a:avLst/>
                    </a:prstGeom>
                    <a:noFill/>
                    <a:ln w="9525">
                      <a:noFill/>
                      <a:headEnd/>
                      <a:tailEnd/>
                    </a:ln>
                  </pic:spPr>
                </pic:pic>
              </a:graphicData>
            </a:graphic>
          </wp:inline>
        </w:drawing>
      </w:r>
    </w:p>
    <w:p>
      <w:pPr>
        <w:pStyle w:val="ImageCaption"/>
      </w:pPr>
      <w:r>
        <w:t>Figure 28: Winner shares across the 27-policy grid: M5 concentration against Store fragmentation. Deterministic rebuild (F-NEW-03).</w:t>
      </w:r>
    </w:p>
    <w:bookmarkEnd w:id="185"/>
    <w:bookmarkEnd w:id="186"/>
    <w:bookmarkStart w:id="187" w:name="sec:sens"/>
    <w:p>
      <w:pPr>
        <w:pStyle w:val="Heading2"/>
      </w:pPr>
      <w:r>
        <w:t xml:space="preserve">Sensitivity analysis</w:t>
      </w:r>
    </w:p>
    <w:p>
      <w:pPr>
        <w:pStyle w:val="FirstParagraph"/>
      </w:pPr>
      <w:r>
        <w:t xml:space="preserve">The grid interior indicates where leadership changes. Longer lead times</w:t>
      </w:r>
      <w:r>
        <w:t xml:space="preserve"> </w:t>
      </w:r>
      <w:r>
        <w:t xml:space="preserve">amplify safety-stock differences, disadvantaging volatility-sensitive models;</w:t>
      </w:r>
      <w:r>
        <w:t xml:space="preserve"> </w:t>
      </w:r>
      <w:r>
        <w:t xml:space="preserve">higher</w:t>
      </w:r>
      <w:r>
        <w:t xml:space="preserve"> </w:t>
      </w:r>
      <m:oMath>
        <m:r>
          <m:t>P</m:t>
        </m:r>
        <m:r>
          <m:rPr>
            <m:sty m:val="p"/>
          </m:rPr>
          <m:t>/</m:t>
        </m:r>
        <m:r>
          <m:t>H</m:t>
        </m:r>
      </m:oMath>
      <w:r>
        <w:t xml:space="preserve"> </w:t>
      </w:r>
      <w:r>
        <w:t xml:space="preserve">penalizes under-predictors (Naive deteriorates except in</w:t>
      </w:r>
      <w:r>
        <w:t xml:space="preserve"> </w:t>
      </w:r>
      <w:r>
        <w:t xml:space="preserve">short-lead Store cells where its leanness helps); higher service targets</w:t>
      </w:r>
      <w:r>
        <w:t xml:space="preserve"> </w:t>
      </w:r>
      <w:r>
        <w:t xml:space="preserve">favor conservative levels (SES gains). Per-archetype M5 costing (55 rows,</w:t>
      </w:r>
      <w:r>
        <w:t xml:space="preserve"> </w:t>
      </w:r>
      <w:r>
        <w:rPr>
          <w:rStyle w:val="VerbatimChar"/>
        </w:rPr>
        <w:t xml:space="preserve">sensitivity_by_archetype_m5.csv</w:t>
      </w:r>
      <w:r>
        <w:t xml:space="preserve">) confirms the structural pattern:</w:t>
      </w:r>
      <w:r>
        <w:t xml:space="preserve"> </w:t>
      </w:r>
      <w:r>
        <w:t xml:space="preserve">sparse archetypes magnify each policy effect. Full matrices are appendix G.</w:t>
      </w:r>
    </w:p>
    <w:bookmarkEnd w:id="187"/>
    <w:bookmarkStart w:id="189" w:name="sec:conv"/>
    <w:p>
      <w:pPr>
        <w:pStyle w:val="Heading2"/>
      </w:pPr>
      <w:r>
        <w:t xml:space="preserve">Convergence and feasibility</w:t>
      </w:r>
    </w:p>
    <w:p>
      <w:pPr>
        <w:pStyle w:val="FirstParagraph"/>
      </w:pPr>
      <w:hyperlink w:anchor="tab:conv">
        <w:r>
          <w:rPr>
            <w:rStyle w:val="Hyperlink"/>
          </w:rPr>
          <w:t xml:space="preserve">9</w:t>
        </w:r>
      </w:hyperlink>
      <w:r>
        <w:t xml:space="preserve"> </w:t>
      </w:r>
      <w:r>
        <w:t xml:space="preserve">accounts for every estimation. M5 ARIMA: 3,094 fits, 906</w:t>
      </w:r>
      <w:r>
        <w:t xml:space="preserve"> </w:t>
      </w:r>
      <w:r>
        <w:t xml:space="preserve">pre-check deferrals (22.65%), 0 optimizer failures. Store ARIMA: 4,000 of</w:t>
      </w:r>
      <w:r>
        <w:t xml:space="preserve"> </w:t>
      </w:r>
      <w:r>
        <w:t xml:space="preserve">4,000. SARIMA subset (exploratory): 800 of 800. SARIMA full500 (primary):</w:t>
      </w:r>
      <w:r>
        <w:t xml:space="preserve"> </w:t>
      </w:r>
      <w:r>
        <w:t xml:space="preserve">4,000 of 4,000 in 2,382 seconds. The feasibility gradient (dense settings</w:t>
      </w:r>
      <w:r>
        <w:t xml:space="preserve"> </w:t>
      </w:r>
      <w:r>
        <w:t xml:space="preserve">estimate throughout; sparse settings estimate selectively) describes the</w:t>
      </w:r>
      <w:r>
        <w:t xml:space="preserve"> </w:t>
      </w:r>
      <w:r>
        <w:t xml:space="preserve">data, not the software.</w:t>
      </w:r>
    </w:p>
    <w:bookmarkStart w:id="188" w:name="tab:conv"/>
    <w:p>
      <w:pPr>
        <w:pStyle w:val="TableCaption"/>
      </w:pPr>
      <w:r>
        <w:t>Table 9: Convergence accounting. Pre-check deferrals are specified guards, not failures.</w:t>
      </w:r>
    </w:p>
    <w:tbl>
      <w:tblPr>
        <w:tblStyle w:val="Table"/>
        <w:tblW w:type="auto" w:w="0"/>
        <w:jc w:val="center"/>
        <w:tblLook w:firstRow="1" w:lastRow="0" w:firstColumn="0" w:lastColumn="0" w:noHBand="0" w:noVBand="0" w:val="0020"/>
        <w:tblCaption w:val="Convergence accounting. Pre-check deferrals are specified guards, not failures."/>
      </w:tblPr>
      <w:tblGrid>
        <w:gridCol w:w="1320"/>
        <w:gridCol w:w="1320"/>
        <w:gridCol w:w="1320"/>
        <w:gridCol w:w="1320"/>
        <w:gridCol w:w="1320"/>
        <w:gridCol w:w="1320"/>
      </w:tblGrid>
      <w:tr>
        <w:trPr>
          <w:tblHeader w:val="on"/>
        </w:trPr>
        <w:tc>
          <w:tcPr>
            <w:shd w:fill="EDEDED" w:val="clear"/>
          </w:tcPr>
          <w:p>
            <w:pPr>
              <w:pStyle w:val="Compact"/>
              <w:spacing w:after="40"/>
              <w:jc w:val="left"/>
            </w:pPr>
            <w:r>
              <w:rPr>
                <w:b/>
                <w:sz w:val="19"/>
              </w:rPr>
              <w:t xml:space="preserve">Scope</w:t>
            </w:r>
          </w:p>
        </w:tc>
        <w:tc>
          <w:tcPr>
            <w:shd w:fill="EDEDED" w:val="clear"/>
          </w:tcPr>
          <w:p>
            <w:pPr>
              <w:pStyle w:val="Compact"/>
              <w:spacing w:after="40"/>
              <w:jc w:val="left"/>
            </w:pPr>
            <w:r>
              <w:rPr>
                <w:b/>
                <w:sz w:val="19"/>
              </w:rPr>
              <w:t xml:space="preserve">Model</w:t>
            </w:r>
          </w:p>
        </w:tc>
        <w:tc>
          <w:tcPr>
            <w:shd w:fill="EDEDED" w:val="clear"/>
          </w:tcPr>
          <w:p>
            <w:pPr>
              <w:pStyle w:val="Compact"/>
              <w:spacing w:after="40"/>
              <w:jc w:val="right"/>
            </w:pPr>
            <w:r>
              <w:rPr>
                <w:b/>
                <w:sz w:val="19"/>
              </w:rPr>
              <w:t xml:space="preserve">Attempted</w:t>
            </w:r>
          </w:p>
        </w:tc>
        <w:tc>
          <w:tcPr>
            <w:shd w:fill="EDEDED" w:val="clear"/>
          </w:tcPr>
          <w:p>
            <w:pPr>
              <w:pStyle w:val="Compact"/>
              <w:spacing w:after="40"/>
              <w:jc w:val="right"/>
            </w:pPr>
            <w:r>
              <w:rPr>
                <w:b/>
                <w:sz w:val="19"/>
              </w:rPr>
              <w:t xml:space="preserve">Failed</w:t>
            </w:r>
          </w:p>
        </w:tc>
        <w:tc>
          <w:tcPr>
            <w:shd w:fill="EDEDED" w:val="clear"/>
          </w:tcPr>
          <w:p>
            <w:pPr>
              <w:pStyle w:val="Compact"/>
              <w:spacing w:after="40"/>
              <w:jc w:val="right"/>
            </w:pPr>
            <w:r>
              <w:rPr>
                <w:b/>
                <w:sz w:val="19"/>
              </w:rPr>
              <w:t xml:space="preserve">Naive fallback</w:t>
            </w:r>
          </w:p>
        </w:tc>
        <w:tc>
          <w:tcPr>
            <w:shd w:fill="EDEDED" w:val="clear"/>
          </w:tcPr>
          <w:p>
            <w:pPr>
              <w:pStyle w:val="Compact"/>
              <w:spacing w:after="40"/>
              <w:jc w:val="right"/>
            </w:pPr>
            <w:r>
              <w:rPr>
                <w:b/>
                <w:sz w:val="19"/>
              </w:rPr>
              <w:t xml:space="preserve">Fallback %</w:t>
            </w:r>
          </w:p>
        </w:tc>
      </w:tr>
      <w:tr>
        <w:tc>
          <w:tcPr/>
          <w:p>
            <w:pPr>
              <w:pStyle w:val="Compact"/>
              <w:spacing w:after="40"/>
              <w:jc w:val="left"/>
            </w:pPr>
            <w:r>
              <w:rPr>
                <w:sz w:val="19"/>
              </w:rPr>
              <w:t xml:space="preserve">M5 full500</w:t>
            </w:r>
          </w:p>
        </w:tc>
        <w:tc>
          <w:tcPr/>
          <w:p>
            <w:pPr>
              <w:pStyle w:val="Compact"/>
              <w:spacing w:after="40"/>
              <w:jc w:val="left"/>
            </w:pPr>
            <w:r>
              <w:rPr>
                <w:sz w:val="19"/>
              </w:rPr>
              <w:t xml:space="preserve">ARIMA</w:t>
            </w:r>
          </w:p>
        </w:tc>
        <w:tc>
          <w:tcPr/>
          <w:p>
            <w:pPr>
              <w:pStyle w:val="Compact"/>
              <w:spacing w:after="40"/>
              <w:jc w:val="right"/>
            </w:pPr>
            <w:r>
              <w:rPr>
                <w:sz w:val="19"/>
              </w:rPr>
              <w:t xml:space="preserve">4,000</w:t>
            </w:r>
          </w:p>
        </w:tc>
        <w:tc>
          <w:tcPr/>
          <w:p>
            <w:pPr>
              <w:pStyle w:val="Compact"/>
              <w:spacing w:after="40"/>
              <w:jc w:val="right"/>
            </w:pPr>
            <w:r>
              <w:rPr>
                <w:sz w:val="19"/>
              </w:rPr>
              <w:t xml:space="preserve">0</w:t>
            </w:r>
          </w:p>
        </w:tc>
        <w:tc>
          <w:tcPr/>
          <w:p>
            <w:pPr>
              <w:pStyle w:val="Compact"/>
              <w:spacing w:after="40"/>
              <w:jc w:val="right"/>
            </w:pPr>
            <w:r>
              <w:rPr>
                <w:sz w:val="19"/>
              </w:rPr>
              <w:t xml:space="preserve">906</w:t>
            </w:r>
          </w:p>
        </w:tc>
        <w:tc>
          <w:tcPr/>
          <w:p>
            <w:pPr>
              <w:pStyle w:val="Compact"/>
              <w:spacing w:after="40"/>
              <w:jc w:val="right"/>
            </w:pPr>
            <w:r>
              <w:rPr>
                <w:sz w:val="19"/>
              </w:rPr>
              <w:t xml:space="preserve">22.65</w:t>
            </w:r>
          </w:p>
        </w:tc>
      </w:tr>
      <w:tr>
        <w:tc>
          <w:tcPr/>
          <w:p>
            <w:pPr>
              <w:pStyle w:val="Compact"/>
              <w:spacing w:after="40"/>
              <w:jc w:val="left"/>
            </w:pPr>
            <w:r>
              <w:rPr>
                <w:sz w:val="19"/>
              </w:rPr>
              <w:t xml:space="preserve">Store full500</w:t>
            </w:r>
          </w:p>
        </w:tc>
        <w:tc>
          <w:tcPr/>
          <w:p>
            <w:pPr>
              <w:pStyle w:val="Compact"/>
              <w:spacing w:after="40"/>
              <w:jc w:val="left"/>
            </w:pPr>
            <w:r>
              <w:rPr>
                <w:sz w:val="19"/>
              </w:rPr>
              <w:t xml:space="preserve">ARIMA</w:t>
            </w:r>
          </w:p>
        </w:tc>
        <w:tc>
          <w:tcPr/>
          <w:p>
            <w:pPr>
              <w:pStyle w:val="Compact"/>
              <w:spacing w:after="40"/>
              <w:jc w:val="right"/>
            </w:pPr>
            <w:r>
              <w:rPr>
                <w:sz w:val="19"/>
              </w:rPr>
              <w:t xml:space="preserve">4,000</w:t>
            </w:r>
          </w:p>
        </w:tc>
        <w:tc>
          <w:tcPr/>
          <w:p>
            <w:pPr>
              <w:pStyle w:val="Compact"/>
              <w:spacing w:after="40"/>
              <w:jc w:val="right"/>
            </w:pPr>
            <w:r>
              <w:rPr>
                <w:sz w:val="19"/>
              </w:rPr>
              <w:t xml:space="preserve">0</w:t>
            </w:r>
          </w:p>
        </w:tc>
        <w:tc>
          <w:tcPr/>
          <w:p>
            <w:pPr>
              <w:pStyle w:val="Compact"/>
              <w:spacing w:after="40"/>
              <w:jc w:val="right"/>
            </w:pPr>
            <w:r>
              <w:rPr>
                <w:sz w:val="19"/>
              </w:rPr>
              <w:t xml:space="preserve">0</w:t>
            </w:r>
          </w:p>
        </w:tc>
        <w:tc>
          <w:tcPr/>
          <w:p>
            <w:pPr>
              <w:pStyle w:val="Compact"/>
              <w:spacing w:after="40"/>
              <w:jc w:val="right"/>
            </w:pPr>
            <w:r>
              <w:rPr>
                <w:sz w:val="19"/>
              </w:rPr>
              <w:t xml:space="preserve">0.00</w:t>
            </w:r>
          </w:p>
        </w:tc>
      </w:tr>
      <w:tr>
        <w:tc>
          <w:tcPr/>
          <w:p>
            <w:pPr>
              <w:pStyle w:val="Compact"/>
              <w:spacing w:after="40"/>
              <w:jc w:val="left"/>
            </w:pPr>
            <w:r>
              <w:rPr>
                <w:sz w:val="19"/>
              </w:rPr>
              <w:t xml:space="preserve">Store subset (explor.)</w:t>
            </w:r>
          </w:p>
        </w:tc>
        <w:tc>
          <w:tcPr/>
          <w:p>
            <w:pPr>
              <w:pStyle w:val="Compact"/>
              <w:spacing w:after="40"/>
              <w:jc w:val="left"/>
            </w:pPr>
            <w:r>
              <w:rPr>
                <w:sz w:val="19"/>
              </w:rPr>
              <w:t xml:space="preserve">SARIMA</w:t>
            </w:r>
          </w:p>
        </w:tc>
        <w:tc>
          <w:tcPr/>
          <w:p>
            <w:pPr>
              <w:pStyle w:val="Compact"/>
              <w:spacing w:after="40"/>
              <w:jc w:val="right"/>
            </w:pPr>
            <w:r>
              <w:rPr>
                <w:sz w:val="19"/>
              </w:rPr>
              <w:t xml:space="preserve">800</w:t>
            </w:r>
          </w:p>
        </w:tc>
        <w:tc>
          <w:tcPr/>
          <w:p>
            <w:pPr>
              <w:pStyle w:val="Compact"/>
              <w:spacing w:after="40"/>
              <w:jc w:val="right"/>
            </w:pPr>
            <w:r>
              <w:rPr>
                <w:sz w:val="19"/>
              </w:rPr>
              <w:t xml:space="preserve">0</w:t>
            </w:r>
          </w:p>
        </w:tc>
        <w:tc>
          <w:tcPr/>
          <w:p>
            <w:pPr>
              <w:pStyle w:val="Compact"/>
              <w:spacing w:after="40"/>
              <w:jc w:val="right"/>
            </w:pPr>
            <w:r>
              <w:rPr>
                <w:sz w:val="19"/>
              </w:rPr>
              <w:t xml:space="preserve">0</w:t>
            </w:r>
          </w:p>
        </w:tc>
        <w:tc>
          <w:tcPr/>
          <w:p>
            <w:pPr>
              <w:pStyle w:val="Compact"/>
              <w:spacing w:after="40"/>
              <w:jc w:val="right"/>
            </w:pPr>
            <w:r>
              <w:rPr>
                <w:sz w:val="19"/>
              </w:rPr>
              <w:t xml:space="preserve">0.00</w:t>
            </w:r>
          </w:p>
        </w:tc>
      </w:tr>
      <w:tr>
        <w:tc>
          <w:tcPr/>
          <w:p>
            <w:pPr>
              <w:pStyle w:val="Compact"/>
              <w:spacing w:after="40"/>
              <w:jc w:val="left"/>
            </w:pPr>
            <w:r>
              <w:rPr>
                <w:sz w:val="19"/>
              </w:rPr>
              <w:t xml:space="preserve">Store full500 (primary)</w:t>
            </w:r>
          </w:p>
        </w:tc>
        <w:tc>
          <w:tcPr/>
          <w:p>
            <w:pPr>
              <w:pStyle w:val="Compact"/>
              <w:spacing w:after="40"/>
              <w:jc w:val="left"/>
            </w:pPr>
            <w:r>
              <w:rPr>
                <w:sz w:val="19"/>
              </w:rPr>
              <w:t xml:space="preserve">SARIMA</w:t>
            </w:r>
          </w:p>
        </w:tc>
        <w:tc>
          <w:tcPr/>
          <w:p>
            <w:pPr>
              <w:pStyle w:val="Compact"/>
              <w:spacing w:after="40"/>
              <w:jc w:val="right"/>
            </w:pPr>
            <w:r>
              <w:rPr>
                <w:sz w:val="19"/>
              </w:rPr>
              <w:t xml:space="preserve">4,000</w:t>
            </w:r>
          </w:p>
        </w:tc>
        <w:tc>
          <w:tcPr/>
          <w:p>
            <w:pPr>
              <w:pStyle w:val="Compact"/>
              <w:spacing w:after="40"/>
              <w:jc w:val="right"/>
            </w:pPr>
            <w:r>
              <w:rPr>
                <w:sz w:val="19"/>
              </w:rPr>
              <w:t xml:space="preserve">0</w:t>
            </w:r>
          </w:p>
        </w:tc>
        <w:tc>
          <w:tcPr/>
          <w:p>
            <w:pPr>
              <w:pStyle w:val="Compact"/>
              <w:spacing w:after="40"/>
              <w:jc w:val="right"/>
            </w:pPr>
            <w:r>
              <w:rPr>
                <w:sz w:val="19"/>
              </w:rPr>
              <w:t xml:space="preserve">0</w:t>
            </w:r>
          </w:p>
        </w:tc>
        <w:tc>
          <w:tcPr/>
          <w:p>
            <w:pPr>
              <w:pStyle w:val="Compact"/>
              <w:spacing w:after="40"/>
              <w:jc w:val="right"/>
            </w:pPr>
            <w:r>
              <w:rPr>
                <w:sz w:val="19"/>
              </w:rPr>
              <w:t xml:space="preserve">0.00</w:t>
            </w:r>
          </w:p>
        </w:tc>
      </w:tr>
    </w:tbl>
    <w:bookmarkEnd w:id="188"/>
    <w:bookmarkEnd w:id="189"/>
    <w:bookmarkStart w:id="190" w:name="sec:negative"/>
    <w:p>
      <w:pPr>
        <w:pStyle w:val="Heading2"/>
      </w:pPr>
      <w:r>
        <w:t xml:space="preserve">Negative and surprising findings</w:t>
      </w:r>
    </w:p>
    <w:p>
      <w:pPr>
        <w:pStyle w:val="FirstParagraph"/>
      </w:pPr>
      <w:r>
        <w:t xml:space="preserve">Null and negative results are reported explicitly. (1) TES ranks last on all</w:t>
      </w:r>
      <w:r>
        <w:t xml:space="preserve"> </w:t>
      </w:r>
      <w:r>
        <w:t xml:space="preserve">(2) DES and TES carry roughly double the</w:t>
      </w:r>
      <w:r>
        <w:t xml:space="preserve"> </w:t>
      </w:r>
      <w:r>
        <w:t xml:space="preserve">inventory of the leading methods (1.7</w:t>
      </w:r>
      <m:oMath>
        <m:r>
          <m:rPr>
            <m:sty m:val="p"/>
          </m:rPr>
          <m:t>×</m:t>
        </m:r>
      </m:oMath>
      <w:r>
        <w:t xml:space="preserve"> </w:t>
      </w:r>
      <w:r>
        <w:t xml:space="preserve">and 2.2</w:t>
      </w:r>
      <m:oMath>
        <m:r>
          <m:rPr>
            <m:sty m:val="p"/>
          </m:rPr>
          <m:t>×</m:t>
        </m:r>
      </m:oMath>
      <w:r>
        <w:t xml:space="preserve">, respectively) at lower service than SES. (3) Naive, the</w:t>
      </w:r>
      <w:r>
        <w:t xml:space="preserve"> </w:t>
      </w:r>
      <w:r>
        <w:t xml:space="preserve">simplest benchmark, wins 6 Store policies. (4) Seasonal Naive is the</w:t>
      </w:r>
      <w:r>
        <w:t xml:space="preserve"> </w:t>
      </w:r>
      <w:r>
        <w:t xml:space="preserve">third-lowest-cost Store inventory input. (5) The LSTM trails a moving average</w:t>
      </w:r>
      <w:r>
        <w:t xml:space="preserve"> </w:t>
      </w:r>
      <w:r>
        <w:t xml:space="preserve">on Store inventory cost. (6) Archetype-level WAPE and sMAPE required pooled</w:t>
      </w:r>
      <w:r>
        <w:t xml:space="preserve"> </w:t>
      </w:r>
      <w:r>
        <w:t xml:space="preserve">construction because per-series averaging is unstable on near-zero-demand</w:t>
      </w:r>
      <w:r>
        <w:t xml:space="preserve"> </w:t>
      </w:r>
      <w:r>
        <w:t xml:space="preserve">series; see section 2.8 for the correction and its rationale. (7) MA</w:t>
      </w:r>
      <w:r>
        <w:t xml:space="preserve"> </w:t>
      </w:r>
      <w:r>
        <w:t xml:space="preserve">versus SES on M5 is indistinguishable for practical purposes despite</w:t>
      </w:r>
      <w:r>
        <w:t xml:space="preserve"> </w:t>
      </w:r>
      <m:oMath>
        <m:r>
          <m:t>n</m:t>
        </m:r>
        <m:r>
          <m:rPr>
            <m:sty m:val="p"/>
          </m:rPr>
          <m:t>=</m:t>
        </m:r>
        <m:r>
          <m:t>112</m:t>
        </m:r>
        <m:r>
          <m:rPr>
            <m:sty m:val="p"/>
          </m:rPr>
          <m:t>,</m:t>
        </m:r>
        <m:r>
          <m:t>000</m:t>
        </m:r>
      </m:oMath>
      <w:r>
        <w:t xml:space="preserve"> </w:t>
      </w:r>
      <w:r>
        <w:t xml:space="preserve">paired errors (subject to the dependence qualification in</w:t>
      </w:r>
      <w:r>
        <w:t xml:space="preserve"> </w:t>
      </w:r>
      <w:r>
        <w:t xml:space="preserve">section 2.9).</w:t>
      </w:r>
    </w:p>
    <w:bookmarkEnd w:id="190"/>
    <w:bookmarkStart w:id="191" w:name="sec:verdicts"/>
    <w:p>
      <w:pPr>
        <w:pStyle w:val="Heading2"/>
      </w:pPr>
      <w:r>
        <w:t xml:space="preserve">Consolidated findings and hypothesis verdicts</w:t>
      </w:r>
    </w:p>
    <w:p>
      <w:pPr>
        <w:pStyle w:val="FirstParagraph"/>
      </w:pPr>
      <w:r>
        <w:rPr>
          <w:b/>
          <w:bCs/>
        </w:rPr>
        <w:t xml:space="preserve">H1 (accuracy differs): confirmed;</w:t>
      </w:r>
      <w:r>
        <w:t xml:space="preserve"> </w:t>
      </w:r>
      <w:r>
        <w:t xml:space="preserve">91 paired tests, nearly all</w:t>
      </w:r>
      <w:r>
        <w:t xml:space="preserve"> </w:t>
      </w:r>
      <w:r>
        <w:t xml:space="preserve">significant under Holm control.</w:t>
      </w:r>
      <w:r>
        <w:t xml:space="preserve"> </w:t>
      </w:r>
      <w:r>
        <w:rPr>
          <w:b/>
          <w:bCs/>
        </w:rPr>
        <w:t xml:space="preserve">H2 (accuracy moves inventory):</w:t>
      </w:r>
      <w:r>
        <w:rPr>
          <w:b/>
          <w:bCs/>
        </w:rPr>
        <w:t xml:space="preserve"> </w:t>
      </w:r>
      <w:r>
        <w:rPr>
          <w:b/>
          <w:bCs/>
        </w:rPr>
        <w:t xml:space="preserve">confirmed with qualification;</w:t>
      </w:r>
      <w:r>
        <w:t xml:space="preserve"> </w:t>
      </w:r>
      <w:r>
        <w:t xml:space="preserve">accuracy moves inventory cost but not</w:t>
      </w:r>
      <w:r>
        <w:t xml:space="preserve"> </w:t>
      </w:r>
      <w:r>
        <w:t xml:space="preserve">monotonically and not in the same direction on both datasets.</w:t>
      </w:r>
      <w:r>
        <w:t xml:space="preserve"> </w:t>
      </w:r>
      <w:r>
        <w:rPr>
          <w:b/>
          <w:bCs/>
        </w:rPr>
        <w:t xml:space="preserve">H3</w:t>
      </w:r>
      <w:r>
        <w:rPr>
          <w:b/>
          <w:bCs/>
        </w:rPr>
        <w:t xml:space="preserve"> </w:t>
      </w:r>
      <w:r>
        <w:rPr>
          <w:b/>
          <w:bCs/>
        </w:rPr>
        <w:t xml:space="preserve">(monotone sophistication): rejected;</w:t>
      </w:r>
      <w:r>
        <w:t xml:space="preserve"> </w:t>
      </w:r>
      <w:r>
        <w:t xml:space="preserve">TES, DES, and ARIMA trail simpler</w:t>
      </w:r>
      <w:r>
        <w:t xml:space="preserve"> </w:t>
      </w:r>
      <w:r>
        <w:t xml:space="preserve">methods, and only LSTM complexity pays, partially.</w:t>
      </w:r>
      <w:r>
        <w:t xml:space="preserve"> </w:t>
      </w:r>
      <w:r>
        <w:rPr>
          <w:b/>
          <w:bCs/>
        </w:rPr>
        <w:t xml:space="preserve">H4</w:t>
      </w:r>
      <w:r>
        <w:rPr>
          <w:b/>
          <w:bCs/>
        </w:rPr>
        <w:t xml:space="preserve"> </w:t>
      </w:r>
      <w:r>
        <w:rPr>
          <w:b/>
          <w:bCs/>
        </w:rPr>
        <w:t xml:space="preserve">(cross-dataset consistency): rejected in strong form;</w:t>
      </w:r>
      <w:r>
        <w:t xml:space="preserve"> </w:t>
      </w:r>
      <w:r>
        <w:t xml:space="preserve">forecasting leadership</w:t>
      </w:r>
      <w:r>
        <w:t xml:space="preserve"> </w:t>
      </w:r>
      <w:r>
        <w:t xml:space="preserve">transfers (LSTM on both), decision leadership does not (LSTM against Moving</w:t>
      </w:r>
      <w:r>
        <w:t xml:space="preserve"> </w:t>
      </w:r>
      <w:r>
        <w:t xml:space="preserve">Average), and policy-stability does not transfer at all (stable against</w:t>
      </w:r>
      <w:r>
        <w:t xml:space="preserve"> </w:t>
      </w:r>
      <w:r>
        <w:t xml:space="preserve">fragmented). The qualified verdict is the contribution: which properties</w:t>
      </w:r>
      <w:r>
        <w:t xml:space="preserve"> </w:t>
      </w:r>
      <w:r>
        <w:t xml:space="preserve">transfer (forecast skill) and which do not (decision superiority,</w:t>
      </w:r>
      <w:r>
        <w:t xml:space="preserve"> </w:t>
      </w:r>
      <w:r>
        <w:t xml:space="preserve">policy-stability) are now mapped.</w:t>
      </w:r>
    </w:p>
    <w:bookmarkEnd w:id="191"/>
    <w:bookmarkEnd w:id="192"/>
    <w:bookmarkStart w:id="202" w:name="sec:discussion"/>
    <w:p>
      <w:pPr>
        <w:pStyle w:val="Heading1"/>
      </w:pPr>
      <w:r>
        <w:t xml:space="preserve">Discussion</w:t>
      </w:r>
    </w:p>
    <w:bookmarkStart w:id="193" w:name="sec:d-acc-dec"/>
    <w:p>
      <w:pPr>
        <w:pStyle w:val="Heading2"/>
      </w:pPr>
      <w:r>
        <w:t xml:space="preserve">Forecast accuracy is not decision quality</w:t>
      </w:r>
    </w:p>
    <w:p>
      <w:pPr>
        <w:pStyle w:val="FirstParagraph"/>
      </w:pPr>
      <w:r>
        <w:t xml:space="preserve">Accuracy metrics are symmetric, per-unit, and policy-free; inventory costs</w:t>
      </w:r>
      <w:r>
        <w:t xml:space="preserve"> </w:t>
      </w:r>
      <w:r>
        <w:t xml:space="preserve">are asymmetric, thresholded, and policy-defined. Safety stock converts error</w:t>
      </w:r>
      <w:r>
        <w:t xml:space="preserve"> </w:t>
      </w:r>
      <w:r>
        <w:t xml:space="preserve">volatility into money; the order-up-to rule converts error bias into money;</w:t>
      </w:r>
      <w:r>
        <w:t xml:space="preserve"> </w:t>
      </w:r>
      <w:r>
        <w:t xml:space="preserve">and the</w:t>
      </w:r>
      <w:r>
        <w:t xml:space="preserve"> </w:t>
      </w:r>
      <m:oMath>
        <m:r>
          <m:t>P</m:t>
        </m:r>
        <m:r>
          <m:rPr>
            <m:sty m:val="p"/>
          </m:rPr>
          <m:t>/</m:t>
        </m:r>
        <m:r>
          <m:t>H</m:t>
        </m:r>
      </m:oMath>
      <w:r>
        <w:t xml:space="preserve"> </w:t>
      </w:r>
      <w:r>
        <w:t xml:space="preserve">ratio sets the exchange rate. An evaluation that stops at the</w:t>
      </w:r>
      <w:r>
        <w:t xml:space="preserve"> </w:t>
      </w:r>
      <w:r>
        <w:t xml:space="preserve">forecast therefore measures only part of a model’s economic effect.</w:t>
      </w:r>
    </w:p>
    <w:bookmarkEnd w:id="193"/>
    <w:bookmarkStart w:id="194" w:name="sec:d-lstm"/>
    <w:p>
      <w:pPr>
        <w:pStyle w:val="Heading2"/>
      </w:pPr>
      <w:r>
        <w:t xml:space="preserve">Why LSTM wins forecasting but not always inventory</w:t>
      </w:r>
    </w:p>
    <w:p>
      <w:pPr>
        <w:pStyle w:val="FirstParagraph"/>
      </w:pPr>
      <w:r>
        <w:t xml:space="preserve">The global LSTM captures patterns unavailable to per-series linear models:</w:t>
      </w:r>
      <w:r>
        <w:t xml:space="preserve"> </w:t>
      </w:r>
      <w:r>
        <w:t xml:space="preserve">zero-inflated regimes, cross-item weekly structure, and nonlinear rebounds.</w:t>
      </w:r>
      <w:r>
        <w:t xml:space="preserve"> </w:t>
      </w:r>
      <w:r>
        <w:t xml:space="preserve">That accounts for its forecast lead on both datasets. Inventory, however,</w:t>
      </w:r>
      <w:r>
        <w:t xml:space="preserve"> </w:t>
      </w:r>
      <w:r>
        <w:t xml:space="preserve">purchases neither point forecasts nor patterns directly. It purchases a</w:t>
      </w:r>
      <w:r>
        <w:t xml:space="preserve"> </w:t>
      </w:r>
      <w:r>
        <w:t xml:space="preserve">dispersion summary (error volatility, via safety stock) and a level (the</w:t>
      </w:r>
      <w:r>
        <w:t xml:space="preserve"> </w:t>
      </w:r>
      <w:r>
        <w:t xml:space="preserve">next-</w:t>
      </w:r>
      <m:oMath>
        <m:r>
          <m:t>L</m:t>
        </m:r>
      </m:oMath>
      <w:r>
        <w:t xml:space="preserve"> </w:t>
      </w:r>
      <w:r>
        <w:t xml:space="preserve">sum). On dense Store demand, the LSTM’s sharpness includes</w:t>
      </w:r>
      <w:r>
        <w:t xml:space="preserve"> </w:t>
      </w:r>
      <w:r>
        <w:t xml:space="preserve">occasional confident under-predictions: inexpensive under MAE, expensive at</w:t>
      </w:r>
      <w:r>
        <w:t xml:space="preserve"> </w:t>
      </w:r>
      <m:oMath>
        <m:r>
          <m:t>P</m:t>
        </m:r>
        <m:r>
          <m:rPr>
            <m:sty m:val="p"/>
          </m:rPr>
          <m:t>=</m:t>
        </m:r>
        <m:r>
          <m:t>5</m:t>
        </m:r>
      </m:oMath>
      <w:r>
        <w:t xml:space="preserve">. The moving average, by construction, rarely under-shoots by large</w:t>
      </w:r>
      <w:r>
        <w:t xml:space="preserve"> </w:t>
      </w:r>
      <w:r>
        <w:t xml:space="preserve">amounts. The relevant distinction is therefore between precision and caution</w:t>
      </w:r>
      <w:r>
        <w:t xml:space="preserve"> </w:t>
      </w:r>
      <w:r>
        <w:t xml:space="preserve">under asymmetric cost, not between intelligence and simplicity.</w:t>
      </w:r>
    </w:p>
    <w:bookmarkEnd w:id="194"/>
    <w:bookmarkStart w:id="195" w:name="sec:d-simple"/>
    <w:p>
      <w:pPr>
        <w:pStyle w:val="Heading2"/>
      </w:pPr>
      <w:r>
        <w:t xml:space="preserve">Why simple models remain competitive</w:t>
      </w:r>
    </w:p>
    <w:p>
      <w:pPr>
        <w:pStyle w:val="FirstParagraph"/>
      </w:pPr>
      <w:r>
        <w:t xml:space="preserve">Moving Average and SES satisfy two conditions the policy rewards. First,</w:t>
      </w:r>
      <w:r>
        <w:t xml:space="preserve"> </w:t>
      </w:r>
      <w:r>
        <w:t xml:space="preserve">averaging is close to optimal when most daily variation is unpredictable</w:t>
      </w:r>
      <w:r>
        <w:t xml:space="preserve"> </w:t>
      </w:r>
      <w:r>
        <w:t xml:space="preserve">noise; the recent mean is then a minimum-variance guess. Second, their</w:t>
      </w:r>
      <w:r>
        <w:t xml:space="preserve"> </w:t>
      </w:r>
      <w:r>
        <w:t xml:space="preserve">errors are approximately symmetric and stable, which is what safety-stock</w:t>
      </w:r>
      <w:r>
        <w:t xml:space="preserve"> </w:t>
      </w:r>
      <w:r>
        <w:t xml:space="preserve">formulas assume. Simplicity aligns with the policy’s assumptions.</w:t>
      </w:r>
      <w:r>
        <w:t xml:space="preserve"> </w:t>
      </w:r>
      <w:r>
        <w:t xml:space="preserve">Sophistication improves on it only where the demand signal is strong enough</w:t>
      </w:r>
      <w:r>
        <w:t xml:space="preserve"> </w:t>
      </w:r>
      <w:r>
        <w:t xml:space="preserve">to repay the departure, which holds on sparse M5 demand but not on dense</w:t>
      </w:r>
      <w:r>
        <w:t xml:space="preserve"> </w:t>
      </w:r>
      <w:r>
        <w:t xml:space="preserve">Store demand under the default cost ratio.</w:t>
      </w:r>
    </w:p>
    <w:bookmarkEnd w:id="195"/>
    <w:bookmarkStart w:id="196" w:name="sec:d-structure"/>
    <w:p>
      <w:pPr>
        <w:pStyle w:val="Heading2"/>
      </w:pPr>
      <w:r>
        <w:t xml:space="preserve">Demand structure and model suitability</w:t>
      </w:r>
    </w:p>
    <w:p>
      <w:pPr>
        <w:pStyle w:val="FirstParagraph"/>
      </w:pPr>
      <w:r>
        <w:t xml:space="preserve">Intermittency determines which machinery is legitimate. Where zeros</w:t>
      </w:r>
      <w:r>
        <w:t xml:space="preserve"> </w:t>
      </w:r>
      <w:r>
        <w:t xml:space="preserve">dominate, methods that decline to fit them (the Croston family, the</w:t>
      </w:r>
      <w:r>
        <w:t xml:space="preserve"> </w:t>
      </w:r>
      <w:r>
        <w:t xml:space="preserve">Naive-fallback ARIMA guardrail) and learners that pool across series (the</w:t>
      </w:r>
      <w:r>
        <w:t xml:space="preserve"> </w:t>
      </w:r>
      <w:r>
        <w:t xml:space="preserve">LSTM) perform best, while linear autoregression lacks estimable structure.</w:t>
      </w:r>
      <w:r>
        <w:t xml:space="preserve"> </w:t>
      </w:r>
      <w:r>
        <w:t xml:space="preserve">Where demand is dense and weekly, seasonal specifications (SARIMA, Seasonal</w:t>
      </w:r>
      <w:r>
        <w:t xml:space="preserve"> </w:t>
      </w:r>
      <w:r>
        <w:t xml:space="preserve">Naive) contribute and trend specifications (DES, TES) overfit noise into</w:t>
      </w:r>
      <w:r>
        <w:t xml:space="preserve"> </w:t>
      </w:r>
      <w:r>
        <w:t xml:space="preserve">stock. The archetype tables constitute the suitability map; the Store-M5</w:t>
      </w:r>
      <w:r>
        <w:t xml:space="preserve"> </w:t>
      </w:r>
      <w:r>
        <w:t xml:space="preserve">contrast corroborates it.</w:t>
      </w:r>
    </w:p>
    <w:bookmarkEnd w:id="196"/>
    <w:bookmarkStart w:id="197" w:name="sec:d-policy-loss"/>
    <w:p>
      <w:pPr>
        <w:pStyle w:val="Heading2"/>
      </w:pPr>
      <w:r>
        <w:t xml:space="preserve">Inventory policy as the effective loss function</w:t>
      </w:r>
    </w:p>
    <w:p>
      <w:pPr>
        <w:pStyle w:val="FirstParagraph"/>
      </w:pPr>
      <w:r>
        <w:t xml:space="preserve">The policy parameters</w:t>
      </w:r>
      <w:r>
        <w:t xml:space="preserve"> </w:t>
      </w:r>
      <m:oMath>
        <m:r>
          <m:rPr>
            <m:sty m:val="p"/>
          </m:rPr>
          <m:t>(</m:t>
        </m:r>
        <m:r>
          <m:t>L</m:t>
        </m:r>
        <m:r>
          <m:rPr>
            <m:sty m:val="p"/>
          </m:rPr>
          <m:t>,</m:t>
        </m:r>
        <m:r>
          <m:t>z</m:t>
        </m:r>
        <m:r>
          <m:rPr>
            <m:sty m:val="p"/>
          </m:rPr>
          <m:t>,</m:t>
        </m:r>
        <m:r>
          <m:t>P</m:t>
        </m:r>
        <m:r>
          <m:rPr>
            <m:sty m:val="p"/>
          </m:rPr>
          <m:t>/</m:t>
        </m:r>
        <m:r>
          <m:t>H</m:t>
        </m:r>
        <m:r>
          <m:rPr>
            <m:sty m:val="p"/>
          </m:rPr>
          <m:t>)</m:t>
        </m:r>
      </m:oMath>
      <w:r>
        <w:t xml:space="preserve"> </w:t>
      </w:r>
      <w:r>
        <w:t xml:space="preserve">function as the effective loss: forecasters</w:t>
      </w:r>
      <w:r>
        <w:t xml:space="preserve"> </w:t>
      </w:r>
      <w:r>
        <w:t xml:space="preserve">are implicitly optimized for symmetric error but scored on asymmetric cost.</w:t>
      </w:r>
      <w:r>
        <w:t xml:space="preserve"> </w:t>
      </w:r>
      <w:r>
        <w:t xml:space="preserve">The sensitivity grid makes this visible, with the lowest-cost model changing</w:t>
      </w:r>
      <w:r>
        <w:t xml:space="preserve"> </w:t>
      </w:r>
      <w:r>
        <w:t xml:space="preserve">as</w:t>
      </w:r>
      <w:r>
        <w:t xml:space="preserve"> </w:t>
      </w:r>
      <m:oMath>
        <m:r>
          <m:t>P</m:t>
        </m:r>
      </m:oMath>
      <w:r>
        <w:t xml:space="preserve"> </w:t>
      </w:r>
      <w:r>
        <w:t xml:space="preserve">moves from 3 to 10. Model selection should therefore be conditional on</w:t>
      </w:r>
      <w:r>
        <w:t xml:space="preserve"> </w:t>
      </w:r>
      <w:r>
        <w:t xml:space="preserve">the policy, and accuracy-only leaderboards should be read with that</w:t>
      </w:r>
      <w:r>
        <w:t xml:space="preserve"> </w:t>
      </w:r>
      <w:r>
        <w:t xml:space="preserve">conditionality stated.</w:t>
      </w:r>
    </w:p>
    <w:bookmarkEnd w:id="197"/>
    <w:bookmarkStart w:id="198" w:name="sec:d-sig"/>
    <w:p>
      <w:pPr>
        <w:pStyle w:val="Heading2"/>
      </w:pPr>
      <w:r>
        <w:t xml:space="preserve">Statistical significance vs. practical importance</w:t>
      </w:r>
    </w:p>
    <w:p>
      <w:pPr>
        <w:pStyle w:val="FirstParagraph"/>
      </w:pPr>
      <w:r>
        <w:t xml:space="preserve">At</w:t>
      </w:r>
      <w:r>
        <w:t xml:space="preserve"> </w:t>
      </w:r>
      <m:oMath>
        <m:r>
          <m:t>n</m:t>
        </m:r>
        <m:r>
          <m:rPr>
            <m:sty m:val="p"/>
          </m:rPr>
          <m:t>=</m:t>
        </m:r>
        <m:r>
          <m:t>112</m:t>
        </m:r>
        <m:r>
          <m:rPr>
            <m:sty m:val="p"/>
          </m:rPr>
          <m:t>,</m:t>
        </m:r>
        <m:r>
          <m:t>000</m:t>
        </m:r>
      </m:oMath>
      <w:r>
        <w:t xml:space="preserve"> </w:t>
      </w:r>
      <w:r>
        <w:t xml:space="preserve">paired errors, significance is inexpensive and consequently</w:t>
      </w:r>
      <w:r>
        <w:t xml:space="preserve"> </w:t>
      </w:r>
      <w:r>
        <w:t xml:space="preserve">uninformative on its own. The M5 LSTM-TSB pair (</w:t>
      </w:r>
      <m:oMath>
        <m:r>
          <m:t>p</m:t>
        </m:r>
        <m:r>
          <m:rPr>
            <m:sty m:val="p"/>
          </m:rPr>
          <m:t>≈</m:t>
        </m:r>
        <m:r>
          <m:t>2</m:t>
        </m:r>
        <m:r>
          <m:rPr>
            <m:sty m:val="p"/>
          </m:rPr>
          <m:t>×</m:t>
        </m:r>
        <m:sSup>
          <m:e>
            <m:r>
              <m:t>10</m:t>
            </m:r>
          </m:e>
          <m:sup>
            <m:r>
              <m:rPr>
                <m:sty m:val="p"/>
              </m:rPr>
              <m:t>−</m:t>
            </m:r>
            <m:r>
              <m:t>10</m:t>
            </m:r>
          </m:sup>
        </m:sSup>
      </m:oMath>
      <w:r>
        <w:t xml:space="preserve">,</w:t>
      </w:r>
      <w:r>
        <w:t xml:space="preserve"> </w:t>
      </w:r>
      <m:oMath>
        <m:sSub>
          <m:e>
            <m:r>
              <m:t>d</m:t>
            </m:r>
          </m:e>
          <m:sub>
            <m:r>
              <m:t>z</m:t>
            </m:r>
          </m:sub>
        </m:sSub>
        <m:r>
          <m:rPr>
            <m:sty m:val="p"/>
          </m:rPr>
          <m:t>=</m:t>
        </m:r>
        <m:r>
          <m:rPr>
            <m:sty m:val="p"/>
          </m:rPr>
          <m:t>−</m:t>
        </m:r>
        <m:r>
          <m:t>0.031</m:t>
        </m:r>
      </m:oMath>
      <w:r>
        <w:t xml:space="preserve">) is significant in the formal sense and negligible for any</w:t>
      </w:r>
      <w:r>
        <w:t xml:space="preserve"> </w:t>
      </w:r>
      <w:r>
        <w:t xml:space="preserve">business purpose. Effect sizes, intervals, and the MA-SES test disagreement</w:t>
      </w:r>
      <w:r>
        <w:t xml:space="preserve"> </w:t>
      </w:r>
      <w:r>
        <w:t xml:space="preserve">are what prevent overinterpretation. This qualification is strengthened, not</w:t>
      </w:r>
      <w:r>
        <w:t xml:space="preserve"> </w:t>
      </w:r>
      <w:r>
        <w:t xml:space="preserve">weakened, by the dependence structure noted in section 2.9:</w:t>
      </w:r>
      <w:r>
        <w:t xml:space="preserve"> </w:t>
      </w:r>
      <w:r>
        <w:t xml:space="preserve">correlated observations inflate nominal precision further, which is an</w:t>
      </w:r>
      <w:r>
        <w:t xml:space="preserve"> </w:t>
      </w:r>
      <w:r>
        <w:t xml:space="preserve">additional reason to weight</w:t>
      </w:r>
      <w:r>
        <w:t xml:space="preserve"> </w:t>
      </w:r>
      <m:oMath>
        <m:sSub>
          <m:e>
            <m:r>
              <m:t>d</m:t>
            </m:r>
          </m:e>
          <m:sub>
            <m:r>
              <m:t>z</m:t>
            </m:r>
          </m:sub>
        </m:sSub>
      </m:oMath>
      <w:r>
        <w:t xml:space="preserve"> </w:t>
      </w:r>
      <w:r>
        <w:t xml:space="preserve">over</w:t>
      </w:r>
      <w:r>
        <w:t xml:space="preserve"> </w:t>
      </w:r>
      <m:oMath>
        <m:r>
          <m:t>p</m:t>
        </m:r>
      </m:oMath>
      <w:r>
        <w:t xml:space="preserve">.</w:t>
      </w:r>
    </w:p>
    <w:bookmarkEnd w:id="198"/>
    <w:bookmarkStart w:id="199" w:name="sec:d-complex"/>
    <w:p>
      <w:pPr>
        <w:pStyle w:val="Heading2"/>
      </w:pPr>
      <w:r>
        <w:t xml:space="preserve">Complexity vs. value</w:t>
      </w:r>
    </w:p>
    <w:p>
      <w:pPr>
        <w:pStyle w:val="FirstParagraph"/>
      </w:pPr>
      <w:r>
        <w:t xml:space="preserve">The ladder’s complexity order predicts neither the accuracy order nor the</w:t>
      </w:r>
      <w:r>
        <w:t xml:space="preserve"> </w:t>
      </w:r>
      <w:r>
        <w:t xml:space="preserve">cost order. The only complexity that pays is the neural kind, and only in</w:t>
      </w:r>
      <w:r>
        <w:t xml:space="preserve"> </w:t>
      </w:r>
      <w:r>
        <w:t xml:space="preserve">accuracy everywhere and in cost in one environment. The practical reading is</w:t>
      </w:r>
      <w:r>
        <w:t xml:space="preserve"> </w:t>
      </w:r>
      <w:r>
        <w:t xml:space="preserve">budgetary: a moving average costs nothing to operate and nearly leads; an</w:t>
      </w:r>
      <w:r>
        <w:t xml:space="preserve"> </w:t>
      </w:r>
      <w:r>
        <w:t xml:space="preserve">LSTM costs substantial engineering and leads conditionally.</w:t>
      </w:r>
    </w:p>
    <w:bookmarkEnd w:id="199"/>
    <w:bookmarkStart w:id="200" w:name="sec:d-robust"/>
    <w:p>
      <w:pPr>
        <w:pStyle w:val="Heading2"/>
      </w:pPr>
      <w:r>
        <w:t xml:space="preserve">Robust vs. fragile conclusions</w:t>
      </w:r>
    </w:p>
    <w:p>
      <w:pPr>
        <w:pStyle w:val="FirstParagraph"/>
      </w:pPr>
      <w:r>
        <w:t xml:space="preserve">Stability is a property of conclusions under policy variation, not of</w:t>
      </w:r>
      <w:r>
        <w:t xml:space="preserve"> </w:t>
      </w:r>
      <w:r>
        <w:t xml:space="preserve">models. M5-LSTM is stable (25 of 27, with losses confined to one explicable</w:t>
      </w:r>
      <w:r>
        <w:t xml:space="preserve"> </w:t>
      </w:r>
      <w:r>
        <w:t xml:space="preserve">region). Store-MA is policy-sensitive (9 of 27), as is every Store</w:t>
      </w:r>
      <w:r>
        <w:t xml:space="preserve"> </w:t>
      </w:r>
      <w:r>
        <w:t xml:space="preserve">alternative. Policy-sensitivity does not invalidate the default-policy</w:t>
      </w:r>
      <w:r>
        <w:t xml:space="preserve"> </w:t>
      </w:r>
      <w:r>
        <w:t xml:space="preserve">result: under the stated policy, Moving Average genuinely records the lowest</w:t>
      </w:r>
      <w:r>
        <w:t xml:space="preserve"> </w:t>
      </w:r>
      <w:r>
        <w:t xml:space="preserve">cost. It conditions the result: changing lead time or cost ratio requires</w:t>
      </w:r>
      <w:r>
        <w:t xml:space="preserve"> </w:t>
      </w:r>
      <w:r>
        <w:t xml:space="preserve">re-running the comparison before acting on it.</w:t>
      </w:r>
    </w:p>
    <w:bookmarkEnd w:id="200"/>
    <w:bookmarkStart w:id="201" w:name="sec:d-general"/>
    <w:p>
      <w:pPr>
        <w:pStyle w:val="Heading2"/>
      </w:pPr>
      <w:r>
        <w:t xml:space="preserve">What can and cannot be generalized</w:t>
      </w:r>
    </w:p>
    <w:p>
      <w:pPr>
        <w:pStyle w:val="FirstParagraph"/>
      </w:pPr>
      <w:r>
        <w:t xml:space="preserve">Transferable findings concern mechanisms and methods: the forecast-decision</w:t>
      </w:r>
      <w:r>
        <w:t xml:space="preserve"> </w:t>
      </w:r>
      <w:r>
        <w:t xml:space="preserve">gap and its cost-asymmetry mechanism, the significance-versus-size</w:t>
      </w:r>
      <w:r>
        <w:t xml:space="preserve"> </w:t>
      </w:r>
      <w:r>
        <w:t xml:space="preserve">discipline, the sensitivity-as-stability method, LSTM forecast performance</w:t>
      </w:r>
      <w:r>
        <w:t xml:space="preserve"> </w:t>
      </w:r>
      <w:r>
        <w:t xml:space="preserve">across both structures, and the TES/DES failure modes. Not transferable are</w:t>
      </w:r>
      <w:r>
        <w:t xml:space="preserve"> </w:t>
      </w:r>
      <w:r>
        <w:t xml:space="preserve">the specific board winners (policy- and structure-contingent), anything about</w:t>
      </w:r>
      <w:r>
        <w:t xml:space="preserve"> </w:t>
      </w:r>
      <w:r>
        <w:t xml:space="preserve">the Smooth archetype (</w:t>
      </w:r>
      <m:oMath>
        <m:r>
          <m:t>n</m:t>
        </m:r>
        <m:r>
          <m:rPr>
            <m:sty m:val="p"/>
          </m:rPr>
          <m:t>=</m:t>
        </m:r>
        <m:r>
          <m:t>1</m:t>
        </m:r>
      </m:oMath>
      <w:r>
        <w:t xml:space="preserve">), anything about LLMs (unexecuted), and anything</w:t>
      </w:r>
      <w:r>
        <w:t xml:space="preserve"> </w:t>
      </w:r>
      <w:r>
        <w:t xml:space="preserve">beyond</w:t>
      </w:r>
      <w:r>
        <w:t xml:space="preserve"> </w:t>
      </w:r>
      <m:oMath>
        <m:r>
          <m:t>h</m:t>
        </m:r>
        <m:r>
          <m:rPr>
            <m:sty m:val="p"/>
          </m:rPr>
          <m:t>=</m:t>
        </m:r>
        <m:r>
          <m:t>28</m:t>
        </m:r>
      </m:oMath>
      <w:r>
        <w:t xml:space="preserve"> </w:t>
      </w:r>
      <w:r>
        <w:t xml:space="preserve">or univariate demand. The contribution is a map with stated</w:t>
      </w:r>
      <w:r>
        <w:t xml:space="preserve"> </w:t>
      </w:r>
      <w:r>
        <w:t xml:space="preserve">boundaries rather than a universal ranking.</w:t>
      </w:r>
    </w:p>
    <w:bookmarkEnd w:id="201"/>
    <w:bookmarkEnd w:id="202"/>
    <w:bookmarkStart w:id="210" w:name="sec:contrib"/>
    <w:p>
      <w:pPr>
        <w:pStyle w:val="Heading1"/>
      </w:pPr>
      <w:r>
        <w:t xml:space="preserve">Learning, Contribution and Practical Implications</w:t>
      </w:r>
    </w:p>
    <w:bookmarkStart w:id="203" w:name="sec:c-emp"/>
    <w:p>
      <w:pPr>
        <w:pStyle w:val="Heading2"/>
      </w:pPr>
      <w:r>
        <w:t xml:space="preserve">Empirical contribution</w:t>
      </w:r>
    </w:p>
    <w:p>
      <w:pPr>
        <w:pStyle w:val="FirstParagraph"/>
      </w:pPr>
      <w:r>
        <w:t xml:space="preserve">The study measures the forecast-decision relationship in both directions</w:t>
      </w:r>
      <w:r>
        <w:t xml:space="preserve"> </w:t>
      </w:r>
      <w:r>
        <w:t xml:space="preserve">within one controlled design: correspondence on intermittent M5 demand and</w:t>
      </w:r>
      <w:r>
        <w:t xml:space="preserve"> </w:t>
      </w:r>
      <w:r>
        <w:t xml:space="preserve">divergence on dense Store demand, with the Store podium (Moving Average,</w:t>
      </w:r>
      <w:r>
        <w:t xml:space="preserve"> </w:t>
      </w:r>
      <w:r>
        <w:t xml:space="preserve">SES, Seasonal Naive ahead of LSTM) as the sharpest case. It records where</w:t>
      </w:r>
      <w:r>
        <w:t xml:space="preserve"> </w:t>
      </w:r>
      <w:r>
        <w:t xml:space="preserve">sophistication pays (LSTM accuracy on both datasets; LSTM cost on sparse</w:t>
      </w:r>
      <w:r>
        <w:t xml:space="preserve"> </w:t>
      </w:r>
      <w:r>
        <w:t xml:space="preserve">demand) and where it does not (TES and DES; ARIMA on dense demand).</w:t>
      </w:r>
    </w:p>
    <w:bookmarkEnd w:id="203"/>
    <w:bookmarkStart w:id="204" w:name="sec:c-meth"/>
    <w:p>
      <w:pPr>
        <w:pStyle w:val="Heading2"/>
      </w:pPr>
      <w:r>
        <w:t xml:space="preserve">Methodological contribution</w:t>
      </w:r>
    </w:p>
    <w:p>
      <w:pPr>
        <w:pStyle w:val="FirstParagraph"/>
      </w:pPr>
      <w:r>
        <w:t xml:space="preserve">Three reusable instruments. First, a shared-policy evaluation harness that</w:t>
      </w:r>
      <w:r>
        <w:t xml:space="preserve"> </w:t>
      </w:r>
      <w:r>
        <w:t xml:space="preserve">holds the inventory treatment constant across models: one module, every</w:t>
      </w:r>
      <w:r>
        <w:t xml:space="preserve"> </w:t>
      </w:r>
      <w:r>
        <w:t xml:space="preserve">model, no per-model tuning. Second, a leakage-safe rolling protocol (history</w:t>
      </w:r>
      <w:r>
        <w:t xml:space="preserve"> </w:t>
      </w:r>
      <w:r>
        <w:t xml:space="preserve">strictly before origin, validation-only selection, honest missing-value</w:t>
      </w:r>
      <w:r>
        <w:t xml:space="preserve"> </w:t>
      </w:r>
      <w:r>
        <w:t xml:space="preserve">handling in scale-free metrics with pooled archetype ratios). Third, a</w:t>
      </w:r>
      <w:r>
        <w:t xml:space="preserve"> </w:t>
      </w:r>
      <w:r>
        <w:t xml:space="preserve">stability discipline in which headline rankings are published together with</w:t>
      </w:r>
      <w:r>
        <w:t xml:space="preserve"> </w:t>
      </w:r>
      <w:r>
        <w:t xml:space="preserve">their 27-policy record, separating stable conclusions from conditional ones.</w:t>
      </w:r>
    </w:p>
    <w:bookmarkEnd w:id="204"/>
    <w:bookmarkStart w:id="205" w:name="sec:c-anal"/>
    <w:p>
      <w:pPr>
        <w:pStyle w:val="Heading2"/>
      </w:pPr>
      <w:r>
        <w:t xml:space="preserve">Analytical contribution</w:t>
      </w:r>
    </w:p>
    <w:p>
      <w:pPr>
        <w:pStyle w:val="FirstParagraph"/>
      </w:pPr>
      <w:r>
        <w:t xml:space="preserve">Ninety-one Holm-corrected paired comparisons with effect sizes and bootstrap</w:t>
      </w:r>
      <w:r>
        <w:t xml:space="preserve"> </w:t>
      </w:r>
      <w:r>
        <w:t xml:space="preserve">intervals, reported under the rule that</w:t>
      </w:r>
      <w:r>
        <w:t xml:space="preserve"> </w:t>
      </w:r>
      <m:oMath>
        <m:r>
          <m:t>p</m:t>
        </m:r>
      </m:oMath>
      <w:r>
        <w:t xml:space="preserve">-values do not travel without</w:t>
      </w:r>
      <w:r>
        <w:t xml:space="preserve"> </w:t>
      </w:r>
      <m:oMath>
        <m:sSub>
          <m:e>
            <m:r>
              <m:t>d</m:t>
            </m:r>
          </m:e>
          <m:sub>
            <m:r>
              <m:t>z</m:t>
            </m:r>
          </m:sub>
        </m:sSub>
      </m:oMath>
      <w:r>
        <w:t xml:space="preserve">. The MA-SES reference null shows the procedure returning equivalence</w:t>
      </w:r>
      <w:r>
        <w:t xml:space="preserve"> </w:t>
      </w:r>
      <w:r>
        <w:t xml:space="preserve">as well as difference.</w:t>
      </w:r>
    </w:p>
    <w:bookmarkEnd w:id="205"/>
    <w:bookmarkStart w:id="206" w:name="sec:c-inv"/>
    <w:p>
      <w:pPr>
        <w:pStyle w:val="Heading2"/>
      </w:pPr>
      <w:r>
        <w:t xml:space="preserve">Inventory-management implications</w:t>
      </w:r>
    </w:p>
    <w:p>
      <w:pPr>
        <w:pStyle w:val="FirstParagraph"/>
      </w:pPr>
      <w:r>
        <w:t xml:space="preserve">For intermittent catalogs, learned or specialist forecasting (LSTM, TSB/SBA)</w:t>
      </w:r>
      <w:r>
        <w:t xml:space="preserve"> </w:t>
      </w:r>
      <w:r>
        <w:t xml:space="preserve">is supported, and the forecast advantage reaches the shelf. For dense,</w:t>
      </w:r>
      <w:r>
        <w:t xml:space="preserve"> </w:t>
      </w:r>
      <w:r>
        <w:t xml:space="preserve">fast-moving catalogs, simple averaging methods should be piloted against the</w:t>
      </w:r>
      <w:r>
        <w:t xml:space="preserve"> </w:t>
      </w:r>
      <w:r>
        <w:t xml:space="preserve">neural option under the applicable cost ratio before engineering investment;</w:t>
      </w:r>
      <w:r>
        <w:t xml:space="preserve"> </w:t>
      </w:r>
      <w:r>
        <w:t xml:space="preserve">the lowest-cost input may already be in production. In both settings,</w:t>
      </w:r>
      <w:r>
        <w:t xml:space="preserve"> </w:t>
      </w:r>
      <w:r>
        <w:t xml:space="preserve">leaderboards that stop at accuracy are insufficient evidence for procurement.</w:t>
      </w:r>
    </w:p>
    <w:bookmarkEnd w:id="206"/>
    <w:bookmarkStart w:id="207" w:name="sec:c-select"/>
    <w:p>
      <w:pPr>
        <w:pStyle w:val="Heading2"/>
      </w:pPr>
      <w:r>
        <w:t xml:space="preserve">Model-selection implications</w:t>
      </w:r>
    </w:p>
    <w:p>
      <w:pPr>
        <w:pStyle w:val="FirstParagraph"/>
      </w:pPr>
      <w:r>
        <w:t xml:space="preserve">Selection is conditional on three answers: the demand structure (sparse or</w:t>
      </w:r>
      <w:r>
        <w:t xml:space="preserve"> </w:t>
      </w:r>
      <w:r>
        <w:t xml:space="preserve">dense), the cost asymmetry (</w:t>
      </w:r>
      <m:oMath>
        <m:r>
          <m:t>P</m:t>
        </m:r>
        <m:r>
          <m:rPr>
            <m:sty m:val="p"/>
          </m:rPr>
          <m:t>/</m:t>
        </m:r>
        <m:r>
          <m:t>H</m:t>
        </m:r>
      </m:oMath>
      <w:r>
        <w:t xml:space="preserve">), and the lead time. The report’s tables</w:t>
      </w:r>
      <w:r>
        <w:t xml:space="preserve"> </w:t>
      </w:r>
      <w:r>
        <w:t xml:space="preserve">cover the remainder: sparse demand with standard policies favors LSTM; dense</w:t>
      </w:r>
      <w:r>
        <w:t xml:space="preserve"> </w:t>
      </w:r>
      <w:r>
        <w:t xml:space="preserve">demand under the default policy favors Moving Average with SES as the</w:t>
      </w:r>
      <w:r>
        <w:t xml:space="preserve"> </w:t>
      </w:r>
      <w:r>
        <w:t xml:space="preserve">alternative; dense demand with short leads and high penalties requires a</w:t>
      </w:r>
      <w:r>
        <w:t xml:space="preserve"> </w:t>
      </w:r>
      <w:r>
        <w:t xml:space="preserve">fresh comparison, since leadership is fluid there.</w:t>
      </w:r>
    </w:p>
    <w:bookmarkEnd w:id="207"/>
    <w:bookmarkStart w:id="208" w:name="sec:c-repro"/>
    <w:p>
      <w:pPr>
        <w:pStyle w:val="Heading2"/>
      </w:pPr>
      <w:r>
        <w:t xml:space="preserve">Reproducibility contribution</w:t>
      </w:r>
    </w:p>
    <w:p>
      <w:pPr>
        <w:pStyle w:val="FirstParagraph"/>
      </w:pPr>
      <w:r>
        <w:t xml:space="preserve">The frozen package (number sheet, audits, traceability, validation log with</w:t>
      </w:r>
      <w:r>
        <w:t xml:space="preserve"> </w:t>
      </w:r>
      <w:r>
        <w:t xml:space="preserve">0 FAIL, pre-hardening backup, seeds, manifests) maps every reported number</w:t>
      </w:r>
      <w:r>
        <w:t xml:space="preserve"> </w:t>
      </w:r>
      <w:r>
        <w:t xml:space="preserve">to a source file in one lookup. Provenance details are in appendix I.</w:t>
      </w:r>
    </w:p>
    <w:bookmarkEnd w:id="208"/>
    <w:bookmarkStart w:id="209" w:name="sec:c-harden"/>
    <w:p>
      <w:pPr>
        <w:pStyle w:val="Heading2"/>
      </w:pPr>
      <w:r>
        <w:t xml:space="preserve">Research-hardening lessons</w:t>
      </w:r>
    </w:p>
    <w:p>
      <w:pPr>
        <w:pStyle w:val="FirstParagraph"/>
      </w:pPr>
      <w:r>
        <w:t xml:space="preserve">The costliest errors found were methodological rather than algorithmic: an</w:t>
      </w:r>
      <w:r>
        <w:t xml:space="preserve"> </w:t>
      </w:r>
      <w:r>
        <w:t xml:space="preserve">unassigned leap day, overlapping validation windows, a subset result carried</w:t>
      </w:r>
      <w:r>
        <w:t xml:space="preserve"> </w:t>
      </w:r>
      <w:r>
        <w:t xml:space="preserve">at full weight, and a mean-of-ratios construction unstable on near-zero</w:t>
      </w:r>
      <w:r>
        <w:t xml:space="preserve"> </w:t>
      </w:r>
      <w:r>
        <w:t xml:space="preserve">series. Each was identified by audits that assumed nothing (row counts, date</w:t>
      </w:r>
      <w:r>
        <w:t xml:space="preserve"> </w:t>
      </w:r>
      <w:r>
        <w:t xml:space="preserve">containment, denominator discipline, population labels). The general lesson</w:t>
      </w:r>
      <w:r>
        <w:t xml:space="preserve"> </w:t>
      </w:r>
      <w:r>
        <w:t xml:space="preserve">is that the experiment requires the same scrutiny as the model, since</w:t>
      </w:r>
      <w:r>
        <w:t xml:space="preserve"> </w:t>
      </w:r>
      <w:r>
        <w:t xml:space="preserve">conclusions are drawn from the former.</w:t>
      </w:r>
    </w:p>
    <w:bookmarkEnd w:id="209"/>
    <w:bookmarkEnd w:id="210"/>
    <w:bookmarkStart w:id="222" w:name="sec:limits"/>
    <w:p>
      <w:pPr>
        <w:pStyle w:val="Heading1"/>
      </w:pPr>
      <w:r>
        <w:t xml:space="preserve">Limitations and Future Research</w:t>
      </w:r>
    </w:p>
    <w:bookmarkStart w:id="211" w:name="sec:l-data"/>
    <w:p>
      <w:pPr>
        <w:pStyle w:val="Heading2"/>
      </w:pPr>
      <w:r>
        <w:t xml:space="preserve">Dataset scope</w:t>
      </w:r>
    </w:p>
    <w:p>
      <w:pPr>
        <w:pStyle w:val="FirstParagraph"/>
      </w:pPr>
      <w:r>
        <w:t xml:space="preserve">Two retail environments, however contrasted, remain two. Both reflect</w:t>
      </w:r>
      <w:r>
        <w:t xml:space="preserve"> </w:t>
      </w:r>
      <w:r>
        <w:t xml:space="preserve">store-based daily demand; neither covers e-commerce spikes, perishables with</w:t>
      </w:r>
      <w:r>
        <w:t xml:space="preserve"> </w:t>
      </w:r>
      <w:r>
        <w:t xml:space="preserve">expiry, promotion-driven regimes, or supply-side censoring beyond the</w:t>
      </w:r>
      <w:r>
        <w:t xml:space="preserve"> </w:t>
      </w:r>
      <w:r>
        <w:t xml:space="preserve">lost-sales assumption.</w:t>
      </w:r>
    </w:p>
    <w:bookmarkEnd w:id="211"/>
    <w:bookmarkStart w:id="212" w:name="sec:l-series"/>
    <w:p>
      <w:pPr>
        <w:pStyle w:val="Heading2"/>
      </w:pPr>
      <w:r>
        <w:t xml:space="preserve">Series selection</w:t>
      </w:r>
    </w:p>
    <w:p>
      <w:pPr>
        <w:pStyle w:val="FirstParagraph"/>
      </w:pPr>
      <w:r>
        <w:t xml:space="preserve">M5 results describe the stratified 500, not the 30,490-series catalog.</w:t>
      </w:r>
      <w:r>
        <w:t xml:space="preserve"> </w:t>
      </w:r>
      <w:r>
        <w:t xml:space="preserve">Stratification protects archetype coverage but does not guarantee</w:t>
      </w:r>
      <w:r>
        <w:t xml:space="preserve"> </w:t>
      </w:r>
      <w:r>
        <w:t xml:space="preserve">catalog-level point estimates; extending the full ladder to the catalog is</w:t>
      </w:r>
      <w:r>
        <w:t xml:space="preserve"> </w:t>
      </w:r>
      <w:r>
        <w:t xml:space="preserve">compute-bound (SARIMA alone required 2,382 seconds for 500 series).</w:t>
      </w:r>
    </w:p>
    <w:bookmarkEnd w:id="212"/>
    <w:bookmarkStart w:id="213" w:name="sec:l-horizon"/>
    <w:p>
      <w:pPr>
        <w:pStyle w:val="Heading2"/>
      </w:pPr>
      <w:r>
        <w:t xml:space="preserve">Forecast horizon</w:t>
      </w:r>
    </w:p>
    <w:p>
      <w:pPr>
        <w:pStyle w:val="FirstParagraph"/>
      </w:pPr>
      <w:r>
        <w:t xml:space="preserve">All conclusions are conditional on</w:t>
      </w:r>
      <w:r>
        <w:t xml:space="preserve"> </w:t>
      </w:r>
      <m:oMath>
        <m:r>
          <m:t>h</m:t>
        </m:r>
        <m:r>
          <m:rPr>
            <m:sty m:val="p"/>
          </m:rPr>
          <m:t>=</m:t>
        </m:r>
        <m:r>
          <m:t>28</m:t>
        </m:r>
      </m:oMath>
      <w:r>
        <w:t xml:space="preserve">. Shorter horizons tend to favor</w:t>
      </w:r>
      <w:r>
        <w:t xml:space="preserve"> </w:t>
      </w:r>
      <w:r>
        <w:t xml:space="preserve">naive and averaging methods; longer ones may favor trend and seasonal</w:t>
      </w:r>
      <w:r>
        <w:t xml:space="preserve"> </w:t>
      </w:r>
      <w:r>
        <w:t xml:space="preserve">specifications. The robustness grid varies policy, not horizon.</w:t>
      </w:r>
    </w:p>
    <w:bookmarkEnd w:id="213"/>
    <w:bookmarkStart w:id="214" w:name="sec:l-policy"/>
    <w:p>
      <w:pPr>
        <w:pStyle w:val="Heading2"/>
      </w:pPr>
      <w:r>
        <w:t xml:space="preserve">Inventory-policy scope</w:t>
      </w:r>
    </w:p>
    <w:p>
      <w:pPr>
        <w:pStyle w:val="FirstParagraph"/>
      </w:pPr>
      <w:r>
        <w:t xml:space="preserve">One policy family (daily-review order-up-to, lost sales, no capacity limits,</w:t>
      </w:r>
      <w:r>
        <w:t xml:space="preserve"> </w:t>
      </w:r>
      <w:r>
        <w:t xml:space="preserve">no minimum order quantities, no perishability, stationary costs) carries all</w:t>
      </w:r>
      <w:r>
        <w:t xml:space="preserve"> </w:t>
      </w:r>
      <w:r>
        <w:t xml:space="preserve">decision conclusions. Backordering regimes, batch constraints, or stochastic</w:t>
      </w:r>
      <w:r>
        <w:t xml:space="preserve"> </w:t>
      </w:r>
      <w:r>
        <w:t xml:space="preserve">lead times could reorder the boards. The stability discipline, rather than</w:t>
      </w:r>
      <w:r>
        <w:t xml:space="preserve"> </w:t>
      </w:r>
      <w:r>
        <w:t xml:space="preserve">any single ranking, is the transferable element.</w:t>
      </w:r>
    </w:p>
    <w:bookmarkEnd w:id="214"/>
    <w:bookmarkStart w:id="215" w:name="sec:l-features"/>
    <w:p>
      <w:pPr>
        <w:pStyle w:val="Heading2"/>
      </w:pPr>
      <w:r>
        <w:t xml:space="preserve">Feature scope</w:t>
      </w:r>
    </w:p>
    <w:p>
      <w:pPr>
        <w:pStyle w:val="FirstParagraph"/>
      </w:pPr>
      <w:r>
        <w:t xml:space="preserve">Only univariate demand was used: no prices, promotions, calendar events, or</w:t>
      </w:r>
      <w:r>
        <w:t xml:space="preserve"> </w:t>
      </w:r>
      <w:r>
        <w:t xml:space="preserve">cross-series covariates. Additional features could widen the LSTM’s</w:t>
      </w:r>
      <w:r>
        <w:t xml:space="preserve"> </w:t>
      </w:r>
      <w:r>
        <w:t xml:space="preserve">advantage or improve the classical methods with regressors. Both directions</w:t>
      </w:r>
      <w:r>
        <w:t xml:space="preserve"> </w:t>
      </w:r>
      <w:r>
        <w:t xml:space="preserve">remain open questions.</w:t>
      </w:r>
    </w:p>
    <w:bookmarkEnd w:id="215"/>
    <w:bookmarkStart w:id="216" w:name="sec:smooth-cap"/>
    <w:p>
      <w:pPr>
        <w:pStyle w:val="Heading2"/>
      </w:pPr>
      <w:r>
        <w:t xml:space="preserve">Archetype limitations</w:t>
      </w:r>
    </w:p>
    <w:p>
      <w:pPr>
        <w:pStyle w:val="FirstParagraph"/>
      </w:pPr>
      <w:r>
        <w:t xml:space="preserve">The Smooth archetype contains exactly one series (</w:t>
      </w:r>
      <m:oMath>
        <m:r>
          <m:t>n</m:t>
        </m:r>
        <m:r>
          <m:rPr>
            <m:sty m:val="p"/>
          </m:rPr>
          <m:t>=</m:t>
        </m:r>
        <m:r>
          <m:t>1</m:t>
        </m:r>
      </m:oMath>
      <w:r>
        <w:t xml:space="preserve">). Nothing in this</w:t>
      </w:r>
      <w:r>
        <w:t xml:space="preserve"> </w:t>
      </w:r>
      <w:r>
        <w:t xml:space="preserve">report generalizes from it, and its figures appear for completeness only.</w:t>
      </w:r>
    </w:p>
    <w:bookmarkEnd w:id="216"/>
    <w:bookmarkStart w:id="217" w:name="sec:l-sarima"/>
    <w:p>
      <w:pPr>
        <w:pStyle w:val="Heading2"/>
      </w:pPr>
      <w:r>
        <w:t xml:space="preserve">SARIMA scope</w:t>
      </w:r>
    </w:p>
    <w:p>
      <w:pPr>
        <w:pStyle w:val="FirstParagraph"/>
      </w:pPr>
      <w:r>
        <w:t xml:space="preserve">SARIMA is Store-only by design; no claim is made about seasonal</w:t>
      </w:r>
      <w:r>
        <w:t xml:space="preserve"> </w:t>
      </w:r>
      <w:r>
        <w:t xml:space="preserve">autoregression on intermittent demand. The 100-series subset is exploratory</w:t>
      </w:r>
      <w:r>
        <w:t xml:space="preserve"> </w:t>
      </w:r>
      <w:r>
        <w:t xml:space="preserve">history, not the headline result.</w:t>
      </w:r>
    </w:p>
    <w:bookmarkEnd w:id="217"/>
    <w:bookmarkStart w:id="218" w:name="sec:l-compute"/>
    <w:p>
      <w:pPr>
        <w:pStyle w:val="Heading2"/>
      </w:pPr>
      <w:r>
        <w:t xml:space="preserve">Computational considerations</w:t>
      </w:r>
    </w:p>
    <w:p>
      <w:pPr>
        <w:pStyle w:val="FirstParagraph"/>
      </w:pPr>
      <w:r>
        <w:t xml:space="preserve">Per-estimation costs (approximately 0.03 seconds for ARIMA and 0.6 seconds</w:t>
      </w:r>
      <w:r>
        <w:t xml:space="preserve"> </w:t>
      </w:r>
      <w:r>
        <w:t xml:space="preserve">for SARIMA, plus LSTM training) bound full-catalog scaling. Per-series ARIMA</w:t>
      </w:r>
      <w:r>
        <w:t xml:space="preserve"> </w:t>
      </w:r>
      <w:r>
        <w:t xml:space="preserve">order search was excluded on this ground; larger budgets could revisit it.</w:t>
      </w:r>
    </w:p>
    <w:bookmarkEnd w:id="218"/>
    <w:bookmarkStart w:id="219" w:name="sec:l-dependence"/>
    <w:p>
      <w:pPr>
        <w:pStyle w:val="Heading2"/>
      </w:pPr>
      <w:r>
        <w:t xml:space="preserve">Statistical dependence</w:t>
      </w:r>
    </w:p>
    <w:p>
      <w:pPr>
        <w:pStyle w:val="FirstParagraph"/>
      </w:pPr>
      <w:r>
        <w:t xml:space="preserve">As stated in section 2.9, the 112,000 paired errors per</w:t>
      </w:r>
      <w:r>
        <w:t xml:space="preserve"> </w:t>
      </w:r>
      <w:r>
        <w:t xml:space="preserve">comparison are repeated observations from 500 series across overlapping</w:t>
      </w:r>
      <w:r>
        <w:t xml:space="preserve"> </w:t>
      </w:r>
      <w:r>
        <w:t xml:space="preserve">origins and horizons, not independent draws. Reported significance levels</w:t>
      </w:r>
      <w:r>
        <w:t xml:space="preserve"> </w:t>
      </w:r>
      <w:r>
        <w:t xml:space="preserve">therefore describe the preregistered paired design, not inference at a</w:t>
      </w:r>
      <w:r>
        <w:t xml:space="preserve"> </w:t>
      </w:r>
      <w:r>
        <w:t xml:space="preserve">112,000-strong independent sample size. This limitation applies symmetrically</w:t>
      </w:r>
      <w:r>
        <w:t xml:space="preserve"> </w:t>
      </w:r>
      <w:r>
        <w:t xml:space="preserve">to all pairwise verdicts in the report.</w:t>
      </w:r>
    </w:p>
    <w:bookmarkEnd w:id="219"/>
    <w:bookmarkStart w:id="220" w:name="sec:llm-future"/>
    <w:p>
      <w:pPr>
        <w:pStyle w:val="Heading2"/>
      </w:pPr>
      <w:r>
        <w:t xml:space="preserve">LLM experiment — future work only</w:t>
      </w:r>
    </w:p>
    <w:p>
      <w:pPr>
        <w:pStyle w:val="FirstParagraph"/>
      </w:pPr>
      <w:r>
        <w:t xml:space="preserve">The program’s final rung (local LLM forecasting with controlled versus</w:t>
      </w:r>
      <w:r>
        <w:t xml:space="preserve"> </w:t>
      </w:r>
      <w:r>
        <w:t xml:space="preserve">context-enhanced prompting, leak-guarded prompt construction in</w:t>
      </w:r>
      <w:r>
        <w:t xml:space="preserve"> </w:t>
      </w:r>
      <w:r>
        <w:rPr>
          <w:rStyle w:val="VerbatimChar"/>
        </w:rPr>
        <w:t xml:space="preserve">11_src/llm_experiment_design.md</w:t>
      </w:r>
      <w:r>
        <w:t xml:space="preserve">) was designed but deliberately</w:t>
      </w:r>
      <w:r>
        <w:t xml:space="preserve"> </w:t>
      </w:r>
      <w:r>
        <w:t xml:space="preserve">not executed, held behind a frozen benchmark so the benchmark could not be</w:t>
      </w:r>
      <w:r>
        <w:t xml:space="preserve"> </w:t>
      </w:r>
      <w:r>
        <w:t xml:space="preserve">adjusted against it.</w:t>
      </w:r>
      <w:r>
        <w:t xml:space="preserve"> </w:t>
      </w:r>
      <w:r>
        <w:rPr>
          <w:b/>
          <w:bCs/>
        </w:rPr>
        <w:t xml:space="preserve">No LLM result exists; none is presented,</w:t>
      </w:r>
      <w:r>
        <w:rPr>
          <w:b/>
          <w:bCs/>
        </w:rPr>
        <w:t xml:space="preserve"> </w:t>
      </w:r>
      <w:r>
        <w:rPr>
          <w:b/>
          <w:bCs/>
        </w:rPr>
        <w:t xml:space="preserve">implied, or charted anywhere in this report.</w:t>
      </w:r>
      <w:r>
        <w:t xml:space="preserve"> </w:t>
      </w:r>
      <w:r>
        <w:t xml:space="preserve">Executing that phase against</w:t>
      </w:r>
      <w:r>
        <w:t xml:space="preserve"> </w:t>
      </w:r>
      <w:r>
        <w:t xml:space="preserve">the frozen evidence base is the natural next step.</w:t>
      </w:r>
    </w:p>
    <w:bookmarkEnd w:id="220"/>
    <w:bookmarkStart w:id="221" w:name="sec:l-future"/>
    <w:p>
      <w:pPr>
        <w:pStyle w:val="Heading2"/>
      </w:pPr>
      <w:r>
        <w:t xml:space="preserve">Proposed future extensions</w:t>
      </w:r>
    </w:p>
    <w:p>
      <w:pPr>
        <w:pStyle w:val="FirstParagraph"/>
      </w:pPr>
      <w:r>
        <w:t xml:space="preserve">In priority order: (1) execute the LLM phase; (2) add price, promotion, and</w:t>
      </w:r>
      <w:r>
        <w:t xml:space="preserve"> </w:t>
      </w:r>
      <w:r>
        <w:t xml:space="preserve">calendar covariates; (3) widen the policy family (backorders, minimum order</w:t>
      </w:r>
      <w:r>
        <w:t xml:space="preserve"> </w:t>
      </w:r>
      <w:r>
        <w:t xml:space="preserve">quantities, perishability); (4) vary the horizon (7 and 56 days); (5) extend</w:t>
      </w:r>
      <w:r>
        <w:t xml:space="preserve"> </w:t>
      </w:r>
      <w:r>
        <w:t xml:space="preserve">the inexpensive rungs toward the full M5 catalog; (6) test additional retail</w:t>
      </w:r>
      <w:r>
        <w:t xml:space="preserve"> </w:t>
      </w:r>
      <w:r>
        <w:t xml:space="preserve">environments; (7) replicate the pairwise inference with series-level and</w:t>
      </w:r>
      <w:r>
        <w:t xml:space="preserve"> </w:t>
      </w:r>
      <w:r>
        <w:t xml:space="preserve">block-bootstrap procedures that model the dependence in section 7.9</w:t>
      </w:r>
      <w:r>
        <w:t xml:space="preserve"> </w:t>
      </w:r>
      <w:r>
        <w:t xml:space="preserve">explicitly.</w:t>
      </w:r>
    </w:p>
    <w:bookmarkEnd w:id="221"/>
    <w:bookmarkEnd w:id="222"/>
    <w:bookmarkStart w:id="227" w:name="sec:conclusion"/>
    <w:p>
      <w:pPr>
        <w:pStyle w:val="Heading1"/>
      </w:pPr>
      <w:r>
        <w:t xml:space="preserve">Conclusion</w:t>
      </w:r>
    </w:p>
    <w:bookmarkStart w:id="223" w:name="sec:answer"/>
    <w:p>
      <w:pPr>
        <w:pStyle w:val="Heading2"/>
      </w:pPr>
      <w:r>
        <w:t xml:space="preserve">Answer to the research question</w:t>
      </w:r>
    </w:p>
    <w:p>
      <w:pPr>
        <w:pStyle w:val="FirstParagraph"/>
      </w:pPr>
      <w:r>
        <w:t xml:space="preserve">Effectiveness does not track sophistication monotonically. Moving from</w:t>
      </w:r>
      <w:r>
        <w:t xml:space="preserve"> </w:t>
      </w:r>
      <w:r>
        <w:t xml:space="preserve">traditional methods to neural forecasting improves forecast accuracy</w:t>
      </w:r>
      <w:r>
        <w:t xml:space="preserve"> </w:t>
      </w:r>
      <w:r>
        <w:t xml:space="preserve">consistently (the LSTM records the lowest error on both datasets) but</w:t>
      </w:r>
      <w:r>
        <w:t xml:space="preserve"> </w:t>
      </w:r>
      <w:r>
        <w:t xml:space="preserve">improves inventory outcomes only conditionally: substantially on sparse</w:t>
      </w:r>
      <w:r>
        <w:t xml:space="preserve"> </w:t>
      </w:r>
      <w:r>
        <w:t xml:space="preserve">intermittent demand, and not at all on dense demand under the default cost</w:t>
      </w:r>
      <w:r>
        <w:t xml:space="preserve"> </w:t>
      </w:r>
      <w:r>
        <w:t xml:space="preserve">structure. The model ladder purchases capability throughout and value in</w:t>
      </w:r>
      <w:r>
        <w:t xml:space="preserve"> </w:t>
      </w:r>
      <w:r>
        <w:t xml:space="preserve">specific settings.</w:t>
      </w:r>
    </w:p>
    <w:bookmarkEnd w:id="223"/>
    <w:bookmarkStart w:id="224" w:name="sec:main-evidence"/>
    <w:p>
      <w:pPr>
        <w:pStyle w:val="Heading2"/>
      </w:pPr>
      <w:r>
        <w:t xml:space="preserve">Main evidence</w:t>
      </w:r>
    </w:p>
    <w:p>
      <w:pPr>
        <w:pStyle w:val="FirstParagraph"/>
      </w:pPr>
      <w:r>
        <w:t xml:space="preserve">M5: LSTM lowest forecast error (MASE 1.316) and lowest inventory cost</w:t>
      </w:r>
      <w:r>
        <w:t xml:space="preserve"> </w:t>
      </w:r>
      <w:r>
        <w:t xml:space="preserve">(152.83), ranking first in 25 of 27 policies. Store: LSTM lowest forecast</w:t>
      </w:r>
      <w:r>
        <w:t xml:space="preserve"> </w:t>
      </w:r>
      <w:r>
        <w:t xml:space="preserve">error (MASE 0.978) but fourth-lowest inventory cost (2,247.46), behind Moving</w:t>
      </w:r>
      <w:r>
        <w:t xml:space="preserve"> </w:t>
      </w:r>
      <w:r>
        <w:t xml:space="preserve">Average (2,084.50), SES, and Seasonal Naive; policy wins split 9/7/6/5.</w:t>
      </w:r>
      <w:r>
        <w:t xml:space="preserve"> </w:t>
      </w:r>
      <w:r>
        <w:t xml:space="preserve">Ninety-one paired tests separate formal significance from magnitude (M5</w:t>
      </w:r>
      <w:r>
        <w:t xml:space="preserve"> </w:t>
      </w:r>
      <w:r>
        <w:t xml:space="preserve">LSTM-TSB:</w:t>
      </w:r>
      <w:r>
        <w:t xml:space="preserve"> </w:t>
      </w:r>
      <m:oMath>
        <m:r>
          <m:t>p</m:t>
        </m:r>
        <m:r>
          <m:rPr>
            <m:sty m:val="p"/>
          </m:rPr>
          <m:t>≈</m:t>
        </m:r>
        <m:r>
          <m:t>2</m:t>
        </m:r>
        <m:r>
          <m:rPr>
            <m:sty m:val="p"/>
          </m:rPr>
          <m:t>×</m:t>
        </m:r>
        <m:sSup>
          <m:e>
            <m:r>
              <m:t>10</m:t>
            </m:r>
          </m:e>
          <m:sup>
            <m:r>
              <m:rPr>
                <m:sty m:val="p"/>
              </m:rPr>
              <m:t>−</m:t>
            </m:r>
            <m:r>
              <m:t>10</m:t>
            </m:r>
          </m:sup>
        </m:sSup>
      </m:oMath>
      <w:r>
        <w:t xml:space="preserve"> </w:t>
      </w:r>
      <w:r>
        <w:t xml:space="preserve">at</w:t>
      </w:r>
      <w:r>
        <w:t xml:space="preserve"> </w:t>
      </w:r>
      <m:oMath>
        <m:sSub>
          <m:e>
            <m:r>
              <m:t>d</m:t>
            </m:r>
          </m:e>
          <m:sub>
            <m:r>
              <m:t>z</m:t>
            </m:r>
          </m:sub>
        </m:sSub>
        <m:r>
          <m:rPr>
            <m:sty m:val="p"/>
          </m:rPr>
          <m:t>=</m:t>
        </m:r>
        <m:r>
          <m:rPr>
            <m:sty m:val="p"/>
          </m:rPr>
          <m:t>−</m:t>
        </m:r>
        <m:r>
          <m:t>0.031</m:t>
        </m:r>
      </m:oMath>
      <w:r>
        <w:t xml:space="preserve">; Store LSTM-MA:</w:t>
      </w:r>
      <w:r>
        <w:t xml:space="preserve"> </w:t>
      </w:r>
      <m:oMath>
        <m:sSub>
          <m:e>
            <m:r>
              <m:t>d</m:t>
            </m:r>
          </m:e>
          <m:sub>
            <m:r>
              <m:t>z</m:t>
            </m:r>
          </m:sub>
        </m:sSub>
        <m:r>
          <m:rPr>
            <m:sty m:val="p"/>
          </m:rPr>
          <m:t>=</m:t>
        </m:r>
        <m:r>
          <m:rPr>
            <m:sty m:val="p"/>
          </m:rPr>
          <m:t>−</m:t>
        </m:r>
        <m:r>
          <m:t>0.29</m:t>
        </m:r>
      </m:oMath>
      <w:r>
        <w:t xml:space="preserve">), subject to the dependence qualification in</w:t>
      </w:r>
      <w:r>
        <w:t xml:space="preserve"> </w:t>
      </w:r>
      <w:r>
        <w:t xml:space="preserve">section 2.9. H1 is confirmed, H2 confirmed with qualification, H3</w:t>
      </w:r>
      <w:r>
        <w:t xml:space="preserve"> </w:t>
      </w:r>
      <w:r>
        <w:t xml:space="preserve">rejected in monotone form, and H4 rejected in strong form.</w:t>
      </w:r>
    </w:p>
    <w:bookmarkEnd w:id="224"/>
    <w:bookmarkStart w:id="225" w:name="sec:takeaway"/>
    <w:p>
      <w:pPr>
        <w:pStyle w:val="Heading2"/>
      </w:pPr>
      <w:r>
        <w:t xml:space="preserve">Practical takeaway</w:t>
      </w:r>
    </w:p>
    <w:p>
      <w:pPr>
        <w:pStyle w:val="FirstParagraph"/>
      </w:pPr>
      <w:r>
        <w:t xml:space="preserve">For sparse, intermittent assortments, the learner is supported: the forecast</w:t>
      </w:r>
      <w:r>
        <w:t xml:space="preserve"> </w:t>
      </w:r>
      <w:r>
        <w:t xml:space="preserve">advantage reaches cost and persists across policies. For dense, smooth</w:t>
      </w:r>
      <w:r>
        <w:t xml:space="preserve"> </w:t>
      </w:r>
      <w:r>
        <w:t xml:space="preserve">assortments, a moving average should be tested against costlier options</w:t>
      </w:r>
      <w:r>
        <w:t xml:space="preserve"> </w:t>
      </w:r>
      <w:r>
        <w:t xml:space="preserve">under the applicable cost ratio before investment, and any winner should be</w:t>
      </w:r>
      <w:r>
        <w:t xml:space="preserve"> </w:t>
      </w:r>
      <w:r>
        <w:t xml:space="preserve">re-tested when lead times or penalties change. In all cases, procurement</w:t>
      </w:r>
      <w:r>
        <w:t xml:space="preserve"> </w:t>
      </w:r>
      <w:r>
        <w:t xml:space="preserve">should require inventory-level evaluation rather than accepting an accuracy</w:t>
      </w:r>
      <w:r>
        <w:t xml:space="preserve"> </w:t>
      </w:r>
      <w:r>
        <w:t xml:space="preserve">leaderboard.</w:t>
      </w:r>
    </w:p>
    <w:bookmarkEnd w:id="225"/>
    <w:bookmarkStart w:id="226" w:name="sec:final-word"/>
    <w:p>
      <w:pPr>
        <w:pStyle w:val="Heading2"/>
      </w:pPr>
      <w:r>
        <w:t xml:space="preserve">Final research conclusion</w:t>
      </w:r>
    </w:p>
    <w:p>
      <w:pPr>
        <w:pStyle w:val="FirstParagraph"/>
      </w:pPr>
      <w:r>
        <w:t xml:space="preserve">Forecasting skill and decision value are related but distinct quantities,</w:t>
      </w:r>
      <w:r>
        <w:t xml:space="preserve"> </w:t>
      </w:r>
      <w:r>
        <w:t xml:space="preserve">joined by demand structure and cost asymmetry. This study measured both,</w:t>
      </w:r>
      <w:r>
        <w:t xml:space="preserve"> </w:t>
      </w:r>
      <w:r>
        <w:t xml:space="preserve">located where they correspond and where they part, stress-tested the results</w:t>
      </w:r>
      <w:r>
        <w:t xml:space="preserve"> </w:t>
      </w:r>
      <w:r>
        <w:t xml:space="preserve">across 27 policies, and froze every number for audit. Whether the</w:t>
      </w:r>
      <w:r>
        <w:t xml:space="preserve"> </w:t>
      </w:r>
      <w:r>
        <w:t xml:space="preserve">lowest-error forecaster is also the lowest-cost inventory input depends on</w:t>
      </w:r>
      <w:r>
        <w:t xml:space="preserve"> </w:t>
      </w:r>
      <w:r>
        <w:t xml:space="preserve">the setting; the evidence now records the settings on each side.</w:t>
      </w:r>
    </w:p>
    <w:bookmarkEnd w:id="226"/>
    <w:bookmarkEnd w:id="227"/>
    <w:bookmarkStart w:id="228" w:name="app:metrics"/>
    <w:p>
      <w:pPr>
        <w:pStyle w:val="Heading1"/>
      </w:pPr>
      <w:r>
        <w:t xml:space="preserve">Metric Definitions</w:t>
      </w:r>
    </w:p>
    <w:p>
      <w:pPr>
        <w:pStyle w:val="FirstParagraph"/>
      </w:pPr>
      <w:r>
        <w:t xml:space="preserve">Let</w:t>
      </w:r>
      <w:r>
        <w:t xml:space="preserve"> </w:t>
      </w:r>
      <m:oMath>
        <m:sSub>
          <m:e>
            <m:r>
              <m:t>y</m:t>
            </m:r>
          </m:e>
          <m:sub>
            <m:r>
              <m:t>t</m:t>
            </m:r>
          </m:sub>
        </m:sSub>
      </m:oMath>
      <w:r>
        <w:t xml:space="preserve"> </w:t>
      </w:r>
      <w:r>
        <w:t xml:space="preserve">be actual demand,</w:t>
      </w:r>
      <w:r>
        <w:t xml:space="preserve"> </w:t>
      </w:r>
      <m:oMath>
        <m:sSub>
          <m:e>
            <m:acc>
              <m:accPr>
                <m:chr m:val="̂"/>
              </m:accPr>
              <m:e>
                <m:r>
                  <m:t>y</m:t>
                </m:r>
              </m:e>
            </m:acc>
          </m:e>
          <m:sub>
            <m:r>
              <m:t>t</m:t>
            </m:r>
          </m:sub>
        </m:sSub>
      </m:oMath>
      <w:r>
        <w:t xml:space="preserve"> </w:t>
      </w:r>
      <w:r>
        <w:t xml:space="preserve">the forecast,</w:t>
      </w:r>
      <w:r>
        <w:t xml:space="preserve"> </w:t>
      </w:r>
      <m:oMath>
        <m:r>
          <m:t>n</m:t>
        </m:r>
      </m:oMath>
      <w:r>
        <w:t xml:space="preserve"> </w:t>
      </w:r>
      <w:r>
        <w:t xml:space="preserve">the test size. MAE</w:t>
      </w:r>
      <w:r>
        <w:t xml:space="preserve"> </w:t>
      </w:r>
      <m:oMath>
        <m:r>
          <m:rPr>
            <m:sty m:val="p"/>
          </m:rPr>
          <m:t>=</m:t>
        </m:r>
        <m:sSup>
          <m:e>
            <m:r>
              <m:t>n</m:t>
            </m:r>
          </m:e>
          <m:sup>
            <m:r>
              <m:rPr>
                <m:sty m:val="p"/>
              </m:rPr>
              <m:t>−</m:t>
            </m:r>
            <m:r>
              <m:t>1</m:t>
            </m:r>
          </m:sup>
        </m:sSup>
        <m:r>
          <m:rPr>
            <m:sty m:val="p"/>
          </m:rPr>
          <m:t>∑</m:t>
        </m:r>
        <m:r>
          <m:rPr>
            <m:sty m:val="p"/>
          </m:rPr>
          <m:t>|</m:t>
        </m:r>
        <m:sSub>
          <m:e>
            <m:r>
              <m:t>y</m:t>
            </m:r>
          </m:e>
          <m:sub>
            <m:r>
              <m:t>t</m:t>
            </m:r>
          </m:sub>
        </m:sSub>
        <m:r>
          <m:rPr>
            <m:sty m:val="p"/>
          </m:rPr>
          <m:t>−</m:t>
        </m:r>
        <m:sSub>
          <m:e>
            <m:acc>
              <m:accPr>
                <m:chr m:val="̂"/>
              </m:accPr>
              <m:e>
                <m:r>
                  <m:t>y</m:t>
                </m:r>
              </m:e>
            </m:acc>
          </m:e>
          <m:sub>
            <m:r>
              <m:t>t</m:t>
            </m:r>
          </m:sub>
        </m:sSub>
        <m:r>
          <m:rPr>
            <m:sty m:val="p"/>
          </m:rPr>
          <m:t>|</m:t>
        </m:r>
      </m:oMath>
      <w:r>
        <w:t xml:space="preserve">. With seasonal period</w:t>
      </w:r>
      <w:r>
        <w:t xml:space="preserve"> </w:t>
      </w:r>
      <m:oMath>
        <m:r>
          <m:t>m</m:t>
        </m:r>
        <m:r>
          <m:rPr>
            <m:sty m:val="p"/>
          </m:rPr>
          <m:t>=</m:t>
        </m:r>
        <m:r>
          <m:t>7</m:t>
        </m:r>
      </m:oMath>
      <w:r>
        <w:t xml:space="preserve"> </w:t>
      </w:r>
      <w:r>
        <w:t xml:space="preserve">and training-only</w:t>
      </w:r>
      <w:r>
        <w:t xml:space="preserve"> </w:t>
      </w:r>
      <w:r>
        <w:t xml:space="preserve">seasonal-naive denominator</w:t>
      </w:r>
      <w:r>
        <w:t xml:space="preserve"> </w:t>
      </w:r>
      <m:oMath>
        <m:r>
          <m:t>Q</m:t>
        </m:r>
        <m:r>
          <m:rPr>
            <m:sty m:val="p"/>
          </m:rPr>
          <m:t>=</m:t>
        </m:r>
        <m:r>
          <m:rPr>
            <m:sty m:val="p"/>
          </m:rPr>
          <m:t>(</m:t>
        </m:r>
        <m:r>
          <m:t>T</m:t>
        </m:r>
        <m:r>
          <m:rPr>
            <m:sty m:val="p"/>
          </m:rPr>
          <m:t>−</m:t>
        </m:r>
        <m:r>
          <m:t>m</m:t>
        </m:r>
        <m:sSup>
          <m:e>
            <m:r>
              <m:rPr>
                <m:sty m:val="p"/>
              </m:rPr>
              <m:t>)</m:t>
            </m:r>
          </m:e>
          <m:sup>
            <m:r>
              <m:rPr>
                <m:sty m:val="p"/>
              </m:rPr>
              <m:t>−</m:t>
            </m:r>
            <m:r>
              <m:t>1</m:t>
            </m:r>
          </m:sup>
        </m:sSup>
        <m:nary>
          <m:naryPr>
            <m:chr m:val="∑"/>
            <m:limLoc m:val="undOvr"/>
            <m:subHide m:val="off"/>
            <m:supHide m:val="off"/>
          </m:naryPr>
          <m:sub>
            <m:r>
              <m:t>t</m:t>
            </m:r>
            <m:r>
              <m:rPr>
                <m:sty m:val="p"/>
              </m:rPr>
              <m:t>=</m:t>
            </m:r>
            <m:r>
              <m:t>m</m:t>
            </m:r>
            <m:r>
              <m:rPr>
                <m:sty m:val="p"/>
              </m:rPr>
              <m:t>+</m:t>
            </m:r>
            <m:r>
              <m:t>1</m:t>
            </m:r>
          </m:sub>
          <m:sup>
            <m:r>
              <m:t>T</m:t>
            </m:r>
          </m:sup>
          <m:e>
            <m:r>
              <m:rPr>
                <m:sty m:val="p"/>
              </m:rPr>
              <m:t>|</m:t>
            </m:r>
          </m:e>
        </m:nary>
        <m:sSub>
          <m:e>
            <m:r>
              <m:t>y</m:t>
            </m:r>
          </m:e>
          <m:sub>
            <m:r>
              <m:t>t</m:t>
            </m:r>
          </m:sub>
        </m:sSub>
        <m:r>
          <m:rPr>
            <m:sty m:val="p"/>
          </m:rPr>
          <m:t>−</m:t>
        </m:r>
        <m:sSub>
          <m:e>
            <m:r>
              <m:t>y</m:t>
            </m:r>
          </m:e>
          <m:sub>
            <m:r>
              <m:t>t</m:t>
            </m:r>
            <m:r>
              <m:rPr>
                <m:sty m:val="p"/>
              </m:rPr>
              <m:t>−</m:t>
            </m:r>
            <m:r>
              <m:t>m</m:t>
            </m:r>
          </m:sub>
        </m:sSub>
        <m:r>
          <m:rPr>
            <m:sty m:val="p"/>
          </m:rPr>
          <m:t>|</m:t>
        </m:r>
      </m:oMath>
      <w:r>
        <w:t xml:space="preserve"> </w:t>
      </w:r>
      <w:r>
        <w:t xml:space="preserve">over the</w:t>
      </w:r>
      <w:r>
        <w:t xml:space="preserve"> </w:t>
      </w:r>
      <w:r>
        <w:t xml:space="preserve">frozen train window, MASE</w:t>
      </w:r>
      <w:r>
        <w:t xml:space="preserve"> </w:t>
      </w:r>
      <m:oMath>
        <m:r>
          <m:rPr>
            <m:sty m:val="p"/>
          </m:rPr>
          <m:t>=</m:t>
        </m:r>
        <m:r>
          <m:rPr>
            <m:sty m:val="p"/>
          </m:rPr>
          <m:t>(</m:t>
        </m:r>
        <m:sSup>
          <m:e>
            <m:r>
              <m:t>n</m:t>
            </m:r>
          </m:e>
          <m:sup>
            <m:r>
              <m:rPr>
                <m:sty m:val="p"/>
              </m:rPr>
              <m:t>−</m:t>
            </m:r>
            <m:r>
              <m:t>1</m:t>
            </m:r>
          </m:sup>
        </m:sSup>
        <m:r>
          <m:rPr>
            <m:sty m:val="p"/>
          </m:rPr>
          <m:t>∑</m:t>
        </m:r>
        <m:r>
          <m:rPr>
            <m:sty m:val="p"/>
          </m:rPr>
          <m:t>|</m:t>
        </m:r>
        <m:sSub>
          <m:e>
            <m:r>
              <m:t>y</m:t>
            </m:r>
          </m:e>
          <m:sub>
            <m:r>
              <m:t>t</m:t>
            </m:r>
          </m:sub>
        </m:sSub>
        <m:r>
          <m:rPr>
            <m:sty m:val="p"/>
          </m:rPr>
          <m:t>−</m:t>
        </m:r>
        <m:sSub>
          <m:e>
            <m:acc>
              <m:accPr>
                <m:chr m:val="̂"/>
              </m:accPr>
              <m:e>
                <m:r>
                  <m:t>y</m:t>
                </m:r>
              </m:e>
            </m:acc>
          </m:e>
          <m:sub>
            <m:r>
              <m:t>t</m:t>
            </m:r>
          </m:sub>
        </m:sSub>
        <m:r>
          <m:rPr>
            <m:sty m:val="p"/>
          </m:rPr>
          <m:t>|</m:t>
        </m:r>
        <m:r>
          <m:rPr>
            <m:sty m:val="p"/>
          </m:rPr>
          <m:t>)</m:t>
        </m:r>
        <m:r>
          <m:rPr>
            <m:sty m:val="p"/>
          </m:rPr>
          <m:t>/</m:t>
        </m:r>
        <m:r>
          <m:t>Q</m:t>
        </m:r>
      </m:oMath>
      <w:r>
        <w:t xml:space="preserve"> </w:t>
      </w:r>
      <w:r>
        <w:t xml:space="preserve">(Hyndman and Koehler 2006)</w:t>
      </w:r>
      <w:r>
        <w:t xml:space="preserve">. RMSSE replaces absolute errors with squared ones under</w:t>
      </w:r>
      <w:r>
        <w:t xml:space="preserve"> </w:t>
      </w:r>
      <w:r>
        <w:t xml:space="preserve">the root. WAPE (model level) is the mean of per-series ratios</w:t>
      </w:r>
      <w:r>
        <w:t xml:space="preserve"> </w:t>
      </w:r>
      <m:oMath>
        <m:r>
          <m:rPr>
            <m:sty m:val="p"/>
          </m:rPr>
          <m:t>∑</m:t>
        </m:r>
        <m:r>
          <m:rPr>
            <m:sty m:val="p"/>
          </m:rPr>
          <m:t>|</m:t>
        </m:r>
        <m:r>
          <m:t>y</m:t>
        </m:r>
        <m:r>
          <m:rPr>
            <m:sty m:val="p"/>
          </m:rPr>
          <m:t>−</m:t>
        </m:r>
        <m:acc>
          <m:accPr>
            <m:chr m:val="̂"/>
          </m:accPr>
          <m:e>
            <m:r>
              <m:t>y</m:t>
            </m:r>
          </m:e>
        </m:acc>
        <m:r>
          <m:rPr>
            <m:sty m:val="p"/>
          </m:rPr>
          <m:t>|</m:t>
        </m:r>
        <m:r>
          <m:rPr>
            <m:sty m:val="p"/>
          </m:rPr>
          <m:t>/</m:t>
        </m:r>
        <m:r>
          <m:rPr>
            <m:sty m:val="p"/>
          </m:rPr>
          <m:t>∑</m:t>
        </m:r>
        <m:r>
          <m:rPr>
            <m:sty m:val="p"/>
          </m:rPr>
          <m:t>|</m:t>
        </m:r>
        <m:r>
          <m:t>y</m:t>
        </m:r>
        <m:r>
          <m:rPr>
            <m:sty m:val="p"/>
          </m:rPr>
          <m:t>|</m:t>
        </m:r>
      </m:oMath>
      <w:r>
        <w:t xml:space="preserve">; WAPE (archetype level) is the pooled ratio</w:t>
      </w:r>
      <w:r>
        <w:t xml:space="preserve"> </w:t>
      </w:r>
      <m:oMath>
        <m:nary>
          <m:naryPr>
            <m:chr m:val="∑"/>
            <m:limLoc m:val="undOvr"/>
            <m:subHide m:val="off"/>
            <m:supHide m:val="on"/>
          </m:naryPr>
          <m:sub>
            <m:r>
              <m:rPr>
                <m:nor/>
                <m:sty m:val="p"/>
              </m:rPr>
              <m:t>cell</m:t>
            </m:r>
          </m:sub>
          <m:sup>
            <m:r>
              <m:t>​</m:t>
            </m:r>
          </m:sup>
          <m:e>
            <m:r>
              <m:rPr>
                <m:sty m:val="p"/>
              </m:rPr>
              <m:t>|</m:t>
            </m:r>
          </m:e>
        </m:nary>
        <m:r>
          <m:t>y</m:t>
        </m:r>
        <m:r>
          <m:rPr>
            <m:sty m:val="p"/>
          </m:rPr>
          <m:t>−</m:t>
        </m:r>
        <m:acc>
          <m:accPr>
            <m:chr m:val="̂"/>
          </m:accPr>
          <m:e>
            <m:r>
              <m:t>y</m:t>
            </m:r>
          </m:e>
        </m:acc>
        <m:r>
          <m:rPr>
            <m:sty m:val="p"/>
          </m:rPr>
          <m:t>|</m:t>
        </m:r>
        <m:r>
          <m:rPr>
            <m:sty m:val="p"/>
          </m:rPr>
          <m:t>/</m:t>
        </m:r>
        <m:nary>
          <m:naryPr>
            <m:chr m:val="∑"/>
            <m:limLoc m:val="undOvr"/>
            <m:subHide m:val="off"/>
            <m:supHide m:val="on"/>
          </m:naryPr>
          <m:sub>
            <m:r>
              <m:rPr>
                <m:nor/>
                <m:sty m:val="p"/>
              </m:rPr>
              <m:t>cell</m:t>
            </m:r>
          </m:sub>
          <m:sup>
            <m:r>
              <m:t>​</m:t>
            </m:r>
          </m:sup>
          <m:e>
            <m:r>
              <m:rPr>
                <m:sty m:val="p"/>
              </m:rPr>
              <m:t>|</m:t>
            </m:r>
          </m:e>
        </m:nary>
        <m:r>
          <m:t>y</m:t>
        </m:r>
        <m:r>
          <m:rPr>
            <m:sty m:val="p"/>
          </m:rPr>
          <m:t>|</m:t>
        </m:r>
      </m:oMath>
      <w:r>
        <w:t xml:space="preserve">, adopted after a</w:t>
      </w:r>
      <w:r>
        <w:t xml:space="preserve"> </w:t>
      </w:r>
      <w:r>
        <w:t xml:space="preserve">mean-of-ratios computation exploded to</w:t>
      </w:r>
      <w:r>
        <w:t xml:space="preserve"> </w:t>
      </w:r>
      <m:oMath>
        <m:r>
          <m:rPr>
            <m:sty m:val="p"/>
          </m:rPr>
          <m:t>∼</m:t>
        </m:r>
        <m:r>
          <m:t>2</m:t>
        </m:r>
        <m:r>
          <m:rPr>
            <m:sty m:val="p"/>
          </m:rPr>
          <m:t>×</m:t>
        </m:r>
        <m:sSup>
          <m:e>
            <m:r>
              <m:t>10</m:t>
            </m:r>
          </m:e>
          <m:sup>
            <m:r>
              <m:t>9</m:t>
            </m:r>
          </m:sup>
        </m:sSup>
      </m:oMath>
      <w:r>
        <w:t xml:space="preserve"> </w:t>
      </w:r>
      <w:r>
        <w:t xml:space="preserve">on</w:t>
      </w:r>
      <w:r>
        <w:t xml:space="preserve"> </w:t>
      </w:r>
      <w:r>
        <w:t xml:space="preserve">near-zero-test-demand series. sMAPE</w:t>
      </w:r>
      <w:r>
        <w:t xml:space="preserve"> </w:t>
      </w:r>
      <m:oMath>
        <m:r>
          <m:rPr>
            <m:sty m:val="p"/>
          </m:rPr>
          <m:t>=</m:t>
        </m:r>
        <m:r>
          <m:t>100</m:t>
        </m:r>
        <m:r>
          <m:t> </m:t>
        </m:r>
        <m:sSup>
          <m:e>
            <m:r>
              <m:t>n</m:t>
            </m:r>
          </m:e>
          <m:sup>
            <m:r>
              <m:rPr>
                <m:sty m:val="p"/>
              </m:rPr>
              <m:t>−</m:t>
            </m:r>
            <m:r>
              <m:t>1</m:t>
            </m:r>
          </m:sup>
        </m:sSup>
        <m:r>
          <m:rPr>
            <m:sty m:val="p"/>
          </m:rPr>
          <m:t>∑</m:t>
        </m:r>
        <m:r>
          <m:t>2</m:t>
        </m:r>
        <m:r>
          <m:rPr>
            <m:sty m:val="p"/>
          </m:rPr>
          <m:t>|</m:t>
        </m:r>
        <m:r>
          <m:t>y</m:t>
        </m:r>
        <m:r>
          <m:rPr>
            <m:sty m:val="p"/>
          </m:rPr>
          <m:t>−</m:t>
        </m:r>
        <m:acc>
          <m:accPr>
            <m:chr m:val="̂"/>
          </m:accPr>
          <m:e>
            <m:r>
              <m:t>y</m:t>
            </m:r>
          </m:e>
        </m:acc>
        <m:r>
          <m:rPr>
            <m:sty m:val="p"/>
          </m:rPr>
          <m:t>|</m:t>
        </m:r>
        <m:r>
          <m:rPr>
            <m:sty m:val="p"/>
          </m:rPr>
          <m:t>/</m:t>
        </m:r>
        <m:r>
          <m:rPr>
            <m:sty m:val="p"/>
          </m:rPr>
          <m:t>(</m:t>
        </m:r>
        <m:r>
          <m:rPr>
            <m:sty m:val="p"/>
          </m:rPr>
          <m:t>|</m:t>
        </m:r>
        <m:r>
          <m:t>y</m:t>
        </m:r>
        <m:r>
          <m:rPr>
            <m:sty m:val="p"/>
          </m:rPr>
          <m:t>|</m:t>
        </m:r>
        <m:r>
          <m:rPr>
            <m:sty m:val="p"/>
          </m:rPr>
          <m:t>+</m:t>
        </m:r>
        <m:r>
          <m:rPr>
            <m:sty m:val="p"/>
          </m:rPr>
          <m:t>|</m:t>
        </m:r>
        <m:acc>
          <m:accPr>
            <m:chr m:val="̂"/>
          </m:accPr>
          <m:e>
            <m:r>
              <m:t>y</m:t>
            </m:r>
          </m:e>
        </m:acc>
        <m:r>
          <m:rPr>
            <m:sty m:val="p"/>
          </m:rPr>
          <m:t>|</m:t>
        </m:r>
        <m:r>
          <m:rPr>
            <m:sty m:val="p"/>
          </m:rPr>
          <m:t>)</m:t>
        </m:r>
      </m:oMath>
      <w:r>
        <w:t xml:space="preserve">, reported with its zero-demand distortions documented. Zero denominators</w:t>
      </w:r>
      <w:r>
        <w:t xml:space="preserve"> </w:t>
      </w:r>
      <w:r>
        <w:t xml:space="preserve">stay honest NaNs (</w:t>
      </w:r>
      <m:oMath>
        <m:sSub>
          <m:e>
            <m:r>
              <m:t>n</m:t>
            </m:r>
          </m:e>
          <m:sub>
            <m:r>
              <m:rPr>
                <m:nor/>
                <m:sty m:val="p"/>
              </m:rPr>
              <m:t>NaN</m:t>
            </m:r>
          </m:sub>
        </m:sSub>
        <m:r>
          <m:rPr>
            <m:sty m:val="p"/>
          </m:rPr>
          <m:t>=</m:t>
        </m:r>
        <m:r>
          <m:t>0</m:t>
        </m:r>
      </m:oMath>
      <w:r>
        <w:t xml:space="preserve"> </w:t>
      </w:r>
      <w:r>
        <w:t xml:space="preserve">everywhere); no epsilon guards.</w:t>
      </w:r>
    </w:p>
    <w:bookmarkEnd w:id="228"/>
    <w:bookmarkStart w:id="229" w:name="app:stats"/>
    <w:p>
      <w:pPr>
        <w:pStyle w:val="Heading1"/>
      </w:pPr>
      <w:r>
        <w:t xml:space="preserve">Statistical Methodology</w:t>
      </w:r>
    </w:p>
    <w:p>
      <w:pPr>
        <w:pStyle w:val="FirstParagraph"/>
      </w:pPr>
      <w:r>
        <w:t xml:space="preserve">For each model pair, paired errors</w:t>
      </w:r>
      <w:r>
        <w:t xml:space="preserve"> </w:t>
      </w:r>
      <m:oMath>
        <m:sSub>
          <m:e>
            <m:r>
              <m:t>d</m:t>
            </m:r>
          </m:e>
          <m:sub>
            <m:r>
              <m:t>i</m:t>
            </m:r>
          </m:sub>
        </m:sSub>
        <m:r>
          <m:rPr>
            <m:sty m:val="p"/>
          </m:rPr>
          <m:t>=</m:t>
        </m:r>
        <m:r>
          <m:rPr>
            <m:sty m:val="p"/>
          </m:rPr>
          <m:t>|</m:t>
        </m:r>
        <m:sSubSup>
          <m:e>
            <m:r>
              <m:t>e</m:t>
            </m:r>
          </m:e>
          <m:sub>
            <m:r>
              <m:t>i</m:t>
            </m:r>
          </m:sub>
          <m:sup>
            <m:r>
              <m:t>A</m:t>
            </m:r>
          </m:sup>
        </m:sSubSup>
        <m:r>
          <m:rPr>
            <m:sty m:val="p"/>
          </m:rPr>
          <m:t>|</m:t>
        </m:r>
        <m:r>
          <m:rPr>
            <m:sty m:val="p"/>
          </m:rPr>
          <m:t>−</m:t>
        </m:r>
        <m:r>
          <m:rPr>
            <m:sty m:val="p"/>
          </m:rPr>
          <m:t>|</m:t>
        </m:r>
        <m:sSubSup>
          <m:e>
            <m:r>
              <m:t>e</m:t>
            </m:r>
          </m:e>
          <m:sub>
            <m:r>
              <m:t>i</m:t>
            </m:r>
          </m:sub>
          <m:sup>
            <m:r>
              <m:t>B</m:t>
            </m:r>
          </m:sup>
        </m:sSubSup>
        <m:r>
          <m:rPr>
            <m:sty m:val="p"/>
          </m:rPr>
          <m:t>|</m:t>
        </m:r>
      </m:oMath>
      <w:r>
        <w:t xml:space="preserve"> </w:t>
      </w:r>
      <w:r>
        <w:t xml:space="preserve">(</w:t>
      </w:r>
      <m:oMath>
        <m:r>
          <m:t>n</m:t>
        </m:r>
        <m:r>
          <m:rPr>
            <m:sty m:val="p"/>
          </m:rPr>
          <m:t>=</m:t>
        </m:r>
        <m:r>
          <m:t>112</m:t>
        </m:r>
        <m:r>
          <m:rPr>
            <m:sty m:val="p"/>
          </m:rPr>
          <m:t>,</m:t>
        </m:r>
        <m:r>
          <m:t>000</m:t>
        </m:r>
      </m:oMath>
      <w:r>
        <w:t xml:space="preserve">):</w:t>
      </w:r>
      <w:r>
        <w:t xml:space="preserve"> </w:t>
      </w:r>
      <w:r>
        <w:t xml:space="preserve">Wilcoxon signed-rank (normal approximation) and Diebold–Mariano</w:t>
      </w:r>
      <w:r>
        <w:t xml:space="preserve"> </w:t>
      </w:r>
      <w:r>
        <w:t xml:space="preserve">(Diebold and Mariano 1995)</w:t>
      </w:r>
      <w:r>
        <w:t xml:space="preserve"> </w:t>
      </w:r>
      <w:r>
        <w:t xml:space="preserve">tests, Holm step-down correction</w:t>
      </w:r>
      <w:r>
        <w:t xml:space="preserve"> </w:t>
      </w:r>
      <w:r>
        <w:t xml:space="preserve">(Holm 1979)</w:t>
      </w:r>
      <w:r>
        <w:t xml:space="preserve"> </w:t>
      </w:r>
      <w:r>
        <w:t xml:space="preserve">across</w:t>
      </w:r>
      <w:r>
        <w:t xml:space="preserve"> </w:t>
      </w:r>
      <w:r>
        <w:t xml:space="preserve">all 91 pairs, 500-replication bootstrap percentile CIs for mean</w:t>
      </w:r>
      <w:r>
        <w:t xml:space="preserve"> </w:t>
      </w:r>
      <m:oMath>
        <m:r>
          <m:t>d</m:t>
        </m:r>
      </m:oMath>
      <w:r>
        <w:t xml:space="preserve">, Cohen</w:t>
      </w:r>
      <w:r>
        <w:t xml:space="preserve"> </w:t>
      </w:r>
      <w:r>
        <w:t xml:space="preserve">paired</w:t>
      </w:r>
      <w:r>
        <w:t xml:space="preserve"> </w:t>
      </w:r>
      <m:oMath>
        <m:sSub>
          <m:e>
            <m:r>
              <m:t>d</m:t>
            </m:r>
          </m:e>
          <m:sub>
            <m:r>
              <m:t>z</m:t>
            </m:r>
          </m:sub>
        </m:sSub>
        <m:r>
          <m:rPr>
            <m:sty m:val="p"/>
          </m:rPr>
          <m:t>=</m:t>
        </m:r>
        <m:acc>
          <m:accPr>
            <m:chr m:val="‾"/>
          </m:accPr>
          <m:e>
            <m:r>
              <m:t>d</m:t>
            </m:r>
          </m:e>
        </m:acc>
        <m:r>
          <m:rPr>
            <m:sty m:val="p"/>
          </m:rPr>
          <m:t>/</m:t>
        </m:r>
        <m:sSub>
          <m:e>
            <m:r>
              <m:t>s</m:t>
            </m:r>
          </m:e>
          <m:sub>
            <m:r>
              <m:t>d</m:t>
            </m:r>
          </m:sub>
        </m:sSub>
      </m:oMath>
      <w:r>
        <w:t xml:space="preserve">, and Wilcoxon rank-biserial</w:t>
      </w:r>
      <w:r>
        <w:t xml:space="preserve"> </w:t>
      </w:r>
      <m:oMath>
        <m:r>
          <m:t>r</m:t>
        </m:r>
      </m:oMath>
      <w:r>
        <w:t xml:space="preserve">.</w:t>
      </w:r>
      <w:r>
        <w:t xml:space="preserve"> </w:t>
      </w:r>
      <w:r>
        <w:t xml:space="preserve">“A better”</w:t>
      </w:r>
      <w:r>
        <w:t xml:space="preserve"> </w:t>
      </w:r>
      <w:r>
        <w:t xml:space="preserve">in the</w:t>
      </w:r>
      <w:r>
        <w:t xml:space="preserve"> </w:t>
      </w:r>
      <w:r>
        <w:t xml:space="preserve">raw file means</w:t>
      </w:r>
      <w:r>
        <w:t xml:space="preserve"> </w:t>
      </w:r>
      <m:oMath>
        <m:acc>
          <m:accPr>
            <m:chr m:val="‾"/>
          </m:accPr>
          <m:e>
            <m:r>
              <m:t>d</m:t>
            </m:r>
          </m:e>
        </m:acc>
        <m:r>
          <m:rPr>
            <m:sty m:val="p"/>
          </m:rPr>
          <m:t>&lt;</m:t>
        </m:r>
        <m:r>
          <m:t>0</m:t>
        </m:r>
      </m:oMath>
      <w:r>
        <w:t xml:space="preserve">; the report’s verdicts additionally require material</w:t>
      </w:r>
      <w:r>
        <w:t xml:space="preserve"> </w:t>
      </w:r>
      <m:oMath>
        <m:r>
          <m:rPr>
            <m:sty m:val="p"/>
          </m:rPr>
          <m:t>|</m:t>
        </m:r>
        <m:sSub>
          <m:e>
            <m:r>
              <m:t>d</m:t>
            </m:r>
          </m:e>
          <m:sub>
            <m:r>
              <m:t>z</m:t>
            </m:r>
          </m:sub>
        </m:sSub>
        <m:r>
          <m:rPr>
            <m:sty m:val="p"/>
          </m:rPr>
          <m:t>|</m:t>
        </m:r>
      </m:oMath>
      <w:r>
        <w:t xml:space="preserve"> </w:t>
      </w:r>
      <w:r>
        <w:t xml:space="preserve">and interval support. Because nominal paired observations repeat across series, origins, and forecast horizons, Diebold–Mariano tests and bootstrap confidence intervals inherit this dependence structure; they are therefore interpreted alongside effect sizes rather than as evidence from independent observations. The MA–SES M5 disagreement (Wilcoxon</w:t>
      </w:r>
      <w:r>
        <w:t xml:space="preserve"> </w:t>
      </w:r>
      <w:r>
        <w:t xml:space="preserve">significant, DM Holm</w:t>
      </w:r>
      <w:r>
        <w:t xml:space="preserve"> </w:t>
      </w:r>
      <m:oMath>
        <m:r>
          <m:t>p</m:t>
        </m:r>
        <m:r>
          <m:rPr>
            <m:sty m:val="p"/>
          </m:rPr>
          <m:t>=</m:t>
        </m:r>
        <m:r>
          <m:t>0.113</m:t>
        </m:r>
      </m:oMath>
      <w:r>
        <w:t xml:space="preserve">) is the worked example of restraint.</w:t>
      </w:r>
    </w:p>
    <w:bookmarkEnd w:id="229"/>
    <w:bookmarkStart w:id="230" w:name="app:configs"/>
    <w:p>
      <w:pPr>
        <w:pStyle w:val="Heading1"/>
      </w:pPr>
      <w:r>
        <w:t xml:space="preserve">Model Configurations and Hyperparameters</w:t>
      </w:r>
    </w:p>
    <w:p>
      <w:pPr>
        <w:pStyle w:val="FirstParagraph"/>
      </w:pPr>
      <w:r>
        <w:t xml:space="preserve">Moving Average global windows: M5</w:t>
      </w:r>
      <w:r>
        <w:t xml:space="preserve"> </w:t>
      </w:r>
      <m:oMath>
        <m:r>
          <m:t>w</m:t>
        </m:r>
        <m:r>
          <m:rPr>
            <m:sty m:val="p"/>
          </m:rPr>
          <m:t>=</m:t>
        </m:r>
        <m:r>
          <m:t>14</m:t>
        </m:r>
      </m:oMath>
      <w:r>
        <w:t xml:space="preserve"> </w:t>
      </w:r>
      <w:r>
        <w:t xml:space="preserve">(validation MAE 0.9206 vs. 0.9236</w:t>
      </w:r>
      <w:r>
        <w:t xml:space="preserve"> </w:t>
      </w:r>
      <w:r>
        <w:t xml:space="preserve">for</w:t>
      </w:r>
      <w:r>
        <w:t xml:space="preserve"> </w:t>
      </w:r>
      <m:oMath>
        <m:r>
          <m:t>w</m:t>
        </m:r>
        <m:r>
          <m:rPr>
            <m:sty m:val="p"/>
          </m:rPr>
          <m:t>=</m:t>
        </m:r>
        <m:r>
          <m:t>7</m:t>
        </m:r>
      </m:oMath>
      <w:r>
        <w:t xml:space="preserve">, 0.9282 for</w:t>
      </w:r>
      <w:r>
        <w:t xml:space="preserve"> </w:t>
      </w:r>
      <m:oMath>
        <m:r>
          <m:t>w</m:t>
        </m:r>
        <m:r>
          <m:rPr>
            <m:sty m:val="p"/>
          </m:rPr>
          <m:t>=</m:t>
        </m:r>
        <m:r>
          <m:t>28</m:t>
        </m:r>
      </m:oMath>
      <w:r>
        <w:t xml:space="preserve">), Store</w:t>
      </w:r>
      <w:r>
        <w:t xml:space="preserve"> </w:t>
      </w:r>
      <m:oMath>
        <m:r>
          <m:t>w</m:t>
        </m:r>
        <m:r>
          <m:rPr>
            <m:sty m:val="p"/>
          </m:rPr>
          <m:t>=</m:t>
        </m:r>
        <m:r>
          <m:t>7</m:t>
        </m:r>
      </m:oMath>
      <w:r>
        <w:t xml:space="preserve"> </w:t>
      </w:r>
      <w:r>
        <w:t xml:space="preserve">(7.4057 vs. 7.5113/7.9132); seed</w:t>
      </w:r>
      <w:r>
        <w:t xml:space="preserve"> </w:t>
      </w:r>
      <w:r>
        <w:t xml:space="preserve">42. SES</w:t>
      </w:r>
      <w:r>
        <w:t xml:space="preserve"> </w:t>
      </w:r>
      <m:oMath>
        <m:r>
          <m:t>α</m:t>
        </m:r>
        <m:r>
          <m:rPr>
            <m:sty m:val="p"/>
          </m:rPr>
          <m:t>=</m:t>
        </m:r>
        <m:r>
          <m:t>0.1</m:t>
        </m:r>
      </m:oMath>
      <w:r>
        <w:t xml:space="preserve">; DES</w:t>
      </w:r>
      <w:r>
        <w:t xml:space="preserve"> </w:t>
      </w:r>
      <m:oMath>
        <m:r>
          <m:rPr>
            <m:sty m:val="p"/>
          </m:rPr>
          <m:t>(</m:t>
        </m:r>
        <m:r>
          <m:t>α</m:t>
        </m:r>
        <m:r>
          <m:rPr>
            <m:sty m:val="p"/>
          </m:rPr>
          <m:t>,</m:t>
        </m:r>
        <m:r>
          <m:t>β</m:t>
        </m:r>
        <m:r>
          <m:rPr>
            <m:sty m:val="p"/>
          </m:rPr>
          <m:t>)</m:t>
        </m:r>
        <m:r>
          <m:rPr>
            <m:sty m:val="p"/>
          </m:rPr>
          <m:t>=</m:t>
        </m:r>
        <m:r>
          <m:rPr>
            <m:sty m:val="p"/>
          </m:rPr>
          <m:t>(</m:t>
        </m:r>
        <m:r>
          <m:t>0.2</m:t>
        </m:r>
        <m:r>
          <m:rPr>
            <m:sty m:val="p"/>
          </m:rPr>
          <m:t>,</m:t>
        </m:r>
        <m:r>
          <m:t>0.2</m:t>
        </m:r>
        <m:r>
          <m:rPr>
            <m:sty m:val="p"/>
          </m:rPr>
          <m:t>)</m:t>
        </m:r>
      </m:oMath>
      <w:r>
        <w:t xml:space="preserve">; additive TES</w:t>
      </w:r>
      <w:r>
        <w:t xml:space="preserve"> </w:t>
      </w:r>
      <m:oMath>
        <m:r>
          <m:rPr>
            <m:sty m:val="p"/>
          </m:rPr>
          <m:t>(</m:t>
        </m:r>
        <m:r>
          <m:t>0.3</m:t>
        </m:r>
        <m:r>
          <m:rPr>
            <m:sty m:val="p"/>
          </m:rPr>
          <m:t>,</m:t>
        </m:r>
        <m:r>
          <m:t>0.3</m:t>
        </m:r>
        <m:r>
          <m:rPr>
            <m:sty m:val="p"/>
          </m:rPr>
          <m:t>,</m:t>
        </m:r>
        <m:r>
          <m:t>0.3</m:t>
        </m:r>
        <m:r>
          <m:rPr>
            <m:sty m:val="p"/>
          </m:rPr>
          <m:t>)</m:t>
        </m:r>
      </m:oMath>
      <w:r>
        <w:t xml:space="preserve">; identical grids both datasets</w:t>
      </w:r>
      <w:r>
        <w:t xml:space="preserve"> </w:t>
      </w:r>
      <w:r>
        <w:t xml:space="preserve">(</w:t>
      </w:r>
      <w:r>
        <w:rPr>
          <w:rStyle w:val="VerbatimChar"/>
        </w:rPr>
        <w:t xml:space="preserve">model_parameters.json</w:t>
      </w:r>
      <w:r>
        <w:t xml:space="preserve">,</w:t>
      </w:r>
      <w:r>
        <w:t xml:space="preserve"> </w:t>
      </w:r>
      <w:r>
        <w:rPr>
          <w:rStyle w:val="VerbatimChar"/>
        </w:rPr>
        <w:t xml:space="preserve">execution_metadata.json</w:t>
      </w:r>
      <w:r>
        <w:t xml:space="preserve">).</w:t>
      </w:r>
      <w:r>
        <w:t xml:space="preserve"> </w:t>
      </w:r>
      <w:r>
        <w:t xml:space="preserve">ARIMA(1,1,0) both datasets with</w:t>
      </w:r>
      <w:r>
        <w:t xml:space="preserve"> </w:t>
      </w:r>
      <m:oMath>
        <m:r>
          <m:rPr>
            <m:sty m:val="p"/>
          </m:rPr>
          <m:t>&gt;</m:t>
        </m:r>
        <m:r>
          <m:t>85</m:t>
        </m:r>
        <m:r>
          <m:rPr>
            <m:sty m:val="p"/>
          </m:rPr>
          <m:t>%</m:t>
        </m:r>
      </m:oMath>
      <w:r>
        <w:t xml:space="preserve">-zero</w:t>
      </w:r>
      <w:r>
        <w:t xml:space="preserve"> </w:t>
      </w:r>
      <m:oMath>
        <m:r>
          <m:rPr>
            <m:sty m:val="p"/>
          </m:rPr>
          <m:t>→</m:t>
        </m:r>
      </m:oMath>
      <w:r>
        <w:t xml:space="preserve"> </w:t>
      </w:r>
      <w:r>
        <w:t xml:space="preserve">Naive pre-check.</w:t>
      </w:r>
      <w:r>
        <w:t xml:space="preserve"> </w:t>
      </w:r>
      <w:r>
        <w:t xml:space="preserve">SARIMA(1,1,0)(0,1,1)</w:t>
      </w:r>
      <m:oMath>
        <m:sSub>
          <m:e>
            <m:r>
              <m:t>​</m:t>
            </m:r>
          </m:e>
          <m:sub>
            <m:r>
              <m:t>7</m:t>
            </m:r>
          </m:sub>
        </m:sSub>
      </m:oMath>
      <w:r>
        <w:t xml:space="preserve"> </w:t>
      </w:r>
      <w:r>
        <w:t xml:space="preserve">Store-only, full500</w:t>
      </w:r>
      <w:r>
        <w:t xml:space="preserve"> </w:t>
      </w:r>
      <w:r>
        <w:t xml:space="preserve">(</w:t>
      </w:r>
      <w:r>
        <w:rPr>
          <w:rStyle w:val="VerbatimChar"/>
        </w:rPr>
        <w:t xml:space="preserve">run_log_full500.json</w:t>
      </w:r>
      <w:r>
        <w:t xml:space="preserve">: 4,000 fits, 2,382 s, seed 42).</w:t>
      </w:r>
      <w:r>
        <w:t xml:space="preserve"> </w:t>
      </w:r>
      <w:r>
        <w:t xml:space="preserve">Croston</w:t>
      </w:r>
      <w:r>
        <w:t xml:space="preserve"> </w:t>
      </w:r>
      <m:oMath>
        <m:r>
          <m:t>α</m:t>
        </m:r>
        <m:r>
          <m:rPr>
            <m:sty m:val="p"/>
          </m:rPr>
          <m:t>=</m:t>
        </m:r>
        <m:r>
          <m:t>0.1</m:t>
        </m:r>
      </m:oMath>
      <w:r>
        <w:t xml:space="preserve">, SBA</w:t>
      </w:r>
      <w:r>
        <w:t xml:space="preserve"> </w:t>
      </w:r>
      <m:oMath>
        <m:r>
          <m:t>α</m:t>
        </m:r>
        <m:r>
          <m:rPr>
            <m:sty m:val="p"/>
          </m:rPr>
          <m:t>=</m:t>
        </m:r>
        <m:r>
          <m:t>0.5</m:t>
        </m:r>
      </m:oMath>
      <w:r>
        <w:t xml:space="preserve">, TSB</w:t>
      </w:r>
      <w:r>
        <w:t xml:space="preserve"> </w:t>
      </w:r>
      <m:oMath>
        <m:r>
          <m:rPr>
            <m:sty m:val="p"/>
          </m:rPr>
          <m:t>(</m:t>
        </m:r>
        <m:r>
          <m:t>0.1</m:t>
        </m:r>
        <m:r>
          <m:rPr>
            <m:sty m:val="p"/>
          </m:rPr>
          <m:t>,</m:t>
        </m:r>
        <m:r>
          <m:t>0.3</m:t>
        </m:r>
        <m:r>
          <m:rPr>
            <m:sty m:val="p"/>
          </m:rPr>
          <m:t>)</m:t>
        </m:r>
      </m:oMath>
      <w:r>
        <w:t xml:space="preserve"> </w:t>
      </w:r>
      <w:r>
        <w:t xml:space="preserve">(</w:t>
      </w:r>
      <w:r>
        <w:rPr>
          <w:rStyle w:val="VerbatimChar"/>
        </w:rPr>
        <w:t xml:space="preserve">validation_selection.json</w:t>
      </w:r>
      <w:r>
        <w:t xml:space="preserve">); validation window 2015-11-01..2016-02-29</w:t>
      </w:r>
      <w:r>
        <w:t xml:space="preserve"> </w:t>
      </w:r>
      <w:r>
        <w:t xml:space="preserve">(121 d) throughout. LSTM: global per dataset, lookback 28, history-only</w:t>
      </w:r>
      <w:r>
        <w:t xml:space="preserve"> </w:t>
      </w:r>
      <w:r>
        <w:t xml:space="preserve">per-series scaling, chronological last-</w:t>
      </w:r>
      <m:oMath>
        <m:r>
          <m:t>k</m:t>
        </m:r>
      </m:oMath>
      <w:r>
        <w:t xml:space="preserve">-window validation, seed 42</w:t>
      </w:r>
      <w:r>
        <w:t xml:space="preserve"> </w:t>
      </w:r>
      <w:r>
        <w:t xml:space="preserve">(notebook 08). Inventory: shared module, POLICY_DEFAULT</w:t>
      </w:r>
      <w:r>
        <w:t xml:space="preserve"> </w:t>
      </w:r>
      <m:oMath>
        <m:r>
          <m:t>L</m:t>
        </m:r>
        <m:r>
          <m:rPr>
            <m:sty m:val="p"/>
          </m:rPr>
          <m:t>=</m:t>
        </m:r>
        <m:r>
          <m:t>7</m:t>
        </m:r>
      </m:oMath>
      <w:r>
        <w:t xml:space="preserve">, 95%,</w:t>
      </w:r>
      <w:r>
        <w:t xml:space="preserve"> </w:t>
      </w:r>
      <m:oMath>
        <m:r>
          <m:t>H</m:t>
        </m:r>
        <m:r>
          <m:rPr>
            <m:sty m:val="p"/>
          </m:rPr>
          <m:t>=</m:t>
        </m:r>
        <m:r>
          <m:t>1</m:t>
        </m:r>
      </m:oMath>
      <w:r>
        <w:t xml:space="preserve">,</w:t>
      </w:r>
      <w:r>
        <w:t xml:space="preserve"> </w:t>
      </w:r>
      <m:oMath>
        <m:r>
          <m:t>P</m:t>
        </m:r>
        <m:r>
          <m:rPr>
            <m:sty m:val="p"/>
          </m:rPr>
          <m:t>=</m:t>
        </m:r>
        <m:r>
          <m:t>5</m:t>
        </m:r>
      </m:oMath>
      <w:r>
        <w:t xml:space="preserve">,</w:t>
      </w:r>
      <w:r>
        <w:t xml:space="preserve"> </w:t>
      </w:r>
      <m:oMath>
        <m:r>
          <m:t>σ</m:t>
        </m:r>
      </m:oMath>
      <w:r>
        <w:t xml:space="preserve"> </w:t>
      </w:r>
      <w:r>
        <w:t xml:space="preserve">floor 0.1; sensitivity grid</w:t>
      </w:r>
      <w:r>
        <w:t xml:space="preserve"> </w:t>
      </w:r>
      <m:oMath>
        <m:r>
          <m:t>L</m:t>
        </m:r>
        <m:r>
          <m:rPr>
            <m:sty m:val="p"/>
          </m:rPr>
          <m:t>∈</m:t>
        </m:r>
        <m:r>
          <m:rPr>
            <m:sty m:val="p"/>
          </m:rPr>
          <m:t>{</m:t>
        </m:r>
        <m:r>
          <m:t>3</m:t>
        </m:r>
        <m:r>
          <m:rPr>
            <m:sty m:val="p"/>
          </m:rPr>
          <m:t>,</m:t>
        </m:r>
        <m:r>
          <m:t>7</m:t>
        </m:r>
        <m:r>
          <m:rPr>
            <m:sty m:val="p"/>
          </m:rPr>
          <m:t>,</m:t>
        </m:r>
        <m:r>
          <m:t>14</m:t>
        </m:r>
        <m:r>
          <m:rPr>
            <m:sty m:val="p"/>
          </m:rPr>
          <m:t>}</m:t>
        </m:r>
        <m:r>
          <m:rPr>
            <m:sty m:val="p"/>
          </m:rPr>
          <m:t>×</m:t>
        </m:r>
      </m:oMath>
      <w:r>
        <w:t xml:space="preserve"> </w:t>
      </w:r>
      <w:r>
        <w:t xml:space="preserve">service</w:t>
      </w:r>
      <w:r>
        <w:t xml:space="preserve"> </w:t>
      </w:r>
      <m:oMath>
        <m:r>
          <m:rPr>
            <m:sty m:val="p"/>
          </m:rPr>
          <m:t>{</m:t>
        </m:r>
        <m:r>
          <m:t>0.90</m:t>
        </m:r>
        <m:r>
          <m:rPr>
            <m:sty m:val="p"/>
          </m:rPr>
          <m:t>,</m:t>
        </m:r>
        <m:r>
          <m:t>0.95</m:t>
        </m:r>
        <m:r>
          <m:rPr>
            <m:sty m:val="p"/>
          </m:rPr>
          <m:t>,</m:t>
        </m:r>
        <m:r>
          <m:t>0.99</m:t>
        </m:r>
        <m:r>
          <m:rPr>
            <m:sty m:val="p"/>
          </m:rPr>
          <m:t>}</m:t>
        </m:r>
        <m:r>
          <m:rPr>
            <m:sty m:val="p"/>
          </m:rPr>
          <m:t>×</m:t>
        </m:r>
        <m:r>
          <m:t>P</m:t>
        </m:r>
        <m:r>
          <m:rPr>
            <m:sty m:val="p"/>
          </m:rPr>
          <m:t>∈</m:t>
        </m:r>
        <m:r>
          <m:rPr>
            <m:sty m:val="p"/>
          </m:rPr>
          <m:t>{</m:t>
        </m:r>
        <m:r>
          <m:t>3</m:t>
        </m:r>
        <m:r>
          <m:rPr>
            <m:sty m:val="p"/>
          </m:rPr>
          <m:t>,</m:t>
        </m:r>
        <m:r>
          <m:t>5</m:t>
        </m:r>
        <m:r>
          <m:rPr>
            <m:sty m:val="p"/>
          </m:rPr>
          <m:t>,</m:t>
        </m:r>
        <m:r>
          <m:t>10</m:t>
        </m:r>
        <m:r>
          <m:rPr>
            <m:sty m:val="p"/>
          </m:rPr>
          <m:t>}</m:t>
        </m:r>
      </m:oMath>
      <w:r>
        <w:t xml:space="preserve">.</w:t>
      </w:r>
    </w:p>
    <w:bookmarkEnd w:id="230"/>
    <w:bookmarkStart w:id="231" w:name="app:protocol"/>
    <w:p>
      <w:pPr>
        <w:pStyle w:val="Heading1"/>
      </w:pPr>
      <w:r>
        <w:t xml:space="preserve">Frozen Experimental Protocol</w:t>
      </w:r>
    </w:p>
    <w:p>
      <w:pPr>
        <w:pStyle w:val="FirstParagraph"/>
      </w:pPr>
      <w:r>
        <w:t xml:space="preserve">Machine truth:</w:t>
      </w:r>
      <w:r>
        <w:t xml:space="preserve"> </w:t>
      </w:r>
      <w:r>
        <w:rPr>
          <w:rStyle w:val="VerbatimChar"/>
        </w:rPr>
        <w:t xml:space="preserve">05_experiments/config.json</w:t>
      </w:r>
      <w:r>
        <w:t xml:space="preserve"> </w:t>
      </w:r>
      <w:r>
        <w:t xml:space="preserve">(v1.0, 2026-08-28;</w:t>
      </w:r>
      <w:r>
        <w:t xml:space="preserve"> </w:t>
      </w:r>
      <w:r>
        <w:t xml:space="preserve">validation end corrected 2016-02-28</w:t>
      </w:r>
      <w:r>
        <w:t xml:space="preserve"> </w:t>
      </w:r>
      <m:oMath>
        <m:r>
          <m:rPr>
            <m:sty m:val="p"/>
          </m:rPr>
          <m:t>→</m:t>
        </m:r>
      </m:oMath>
      <w:r>
        <w:t xml:space="preserve"> </w:t>
      </w:r>
      <w:r>
        <w:t xml:space="preserve">2016-02-29 by recorded</w:t>
      </w:r>
      <w:r>
        <w:t xml:space="preserve"> </w:t>
      </w:r>
      <w:r>
        <w:t xml:space="preserve">decision 2026-09-03). Common window 2013-01-01..2016-05-22 (1,238 d); train</w:t>
      </w:r>
      <w:r>
        <w:t xml:space="preserve"> </w:t>
      </w:r>
      <w:r>
        <w:t xml:space="preserve">2013-01-01..2015-10-31 (1,034); validation 2015-11-01..2016-02-29 (121);</w:t>
      </w:r>
      <w:r>
        <w:t xml:space="preserve"> </w:t>
      </w:r>
      <w:r>
        <w:t xml:space="preserve">test 2016-03-01..2016-05-22 (83). Horizon 28, origin spacing 7, 8 origins</w:t>
      </w:r>
      <w:r>
        <w:t xml:space="preserve"> </w:t>
      </w:r>
      <w:r>
        <w:t xml:space="preserve">(2016-03-01 through 2016-04-19), expanding window, history strictly before</w:t>
      </w:r>
      <w:r>
        <w:t xml:space="preserve"> </w:t>
      </w:r>
      <w:r>
        <w:t xml:space="preserve">origin.</w:t>
      </w:r>
    </w:p>
    <w:p>
      <w:pPr>
        <w:pStyle w:val="BodyText"/>
      </w:pPr>
      <w:r>
        <w:t xml:space="preserve">M5: 500 stratified series (</w:t>
      </w:r>
      <w:r>
        <w:rPr>
          <w:rStyle w:val="VerbatimChar"/>
        </w:rPr>
        <w:t xml:space="preserve">m5_series_selection.json</w:t>
      </w:r>
      <w:r>
        <w:t xml:space="preserve">);</w:t>
      </w:r>
      <w:r>
        <w:t xml:space="preserve"> </w:t>
      </w:r>
      <w:r>
        <w:t xml:space="preserve">Store: all 500. Forecast metrics MAE/RMSE/sMAPE/WAPE/MASE/RMSSE; inventory</w:t>
      </w:r>
      <w:r>
        <w:t xml:space="preserve"> </w:t>
      </w:r>
      <w:r>
        <w:t xml:space="preserve">metrics holding/shortage/total cost, service level, average inventory,</w:t>
      </w:r>
      <w:r>
        <w:t xml:space="preserve"> </w:t>
      </w:r>
      <w:r>
        <w:t xml:space="preserve">reorder count.</w:t>
      </w:r>
    </w:p>
    <w:p>
      <w:pPr>
        <w:pStyle w:val="BodyText"/>
      </w:pPr>
      <w:r>
        <w:t xml:space="preserve">Governance:</w:t>
      </w:r>
      <w:r>
        <w:t xml:space="preserve"> </w:t>
      </w:r>
      <w:r>
        <w:rPr>
          <w:rStyle w:val="VerbatimChar"/>
        </w:rPr>
        <w:t xml:space="preserve">00_project/decisions.md</w:t>
      </w:r>
      <w:r>
        <w:t xml:space="preserve"> </w:t>
      </w:r>
      <w:r>
        <w:t xml:space="preserve">(519 lines),</w:t>
      </w:r>
      <w:r>
        <w:t xml:space="preserve"> </w:t>
      </w:r>
      <w:r>
        <w:rPr>
          <w:rStyle w:val="VerbatimChar"/>
        </w:rPr>
        <w:t xml:space="preserve">00_project/research_readiness_checklist.md</w:t>
      </w:r>
      <w:r>
        <w:t xml:space="preserve"> </w:t>
      </w:r>
      <w:r>
        <w:t xml:space="preserve">(all PASS).</w:t>
      </w:r>
    </w:p>
    <w:bookmarkEnd w:id="231"/>
    <w:bookmarkStart w:id="232" w:name="app:gates"/>
    <w:p>
      <w:pPr>
        <w:pStyle w:val="Heading1"/>
      </w:pPr>
      <w:r>
        <w:t xml:space="preserve">Validation and Quality Gates</w:t>
      </w:r>
    </w:p>
    <w:p>
      <w:pPr>
        <w:pStyle w:val="FirstParagraph"/>
      </w:pPr>
      <w:r>
        <w:t xml:space="preserve">The independent validator (</w:t>
      </w:r>
      <w:r>
        <w:rPr>
          <w:rStyle w:val="VerbatimChar"/>
        </w:rPr>
        <w:t xml:space="preserve">11_src/validate_results.py</w:t>
      </w:r>
      <w:r>
        <w:t xml:space="preserve">) enforces 44</w:t>
      </w:r>
      <w:r>
        <w:t xml:space="preserve"> </w:t>
      </w:r>
      <w:r>
        <w:t xml:space="preserve">gates: per-family row counts (112,000), zero duplicate keys, origins 1–8,</w:t>
      </w:r>
      <w:r>
        <w:t xml:space="preserve"> </w:t>
      </w:r>
      <w:r>
        <w:t xml:space="preserve">horizon 28 everywhere, test-window containment, finite non-negative forecasts,</w:t>
      </w:r>
      <w:r>
        <w:t xml:space="preserve"> </w:t>
      </w:r>
      <w:r>
        <w:t xml:space="preserve">cross-family actuals identity (spread 0.0), metric presence with zero</w:t>
      </w:r>
      <w:r>
        <w:t xml:space="preserve"> </w:t>
      </w:r>
      <w:r>
        <w:t xml:space="preserve">unexpected NaNs, and SARIMA-full500 presence (112,000 rows). Result: 44 PASS,</w:t>
      </w:r>
      <w:r>
        <w:t xml:space="preserve"> </w:t>
      </w:r>
      <w:r>
        <w:t xml:space="preserve">0 FAIL (</w:t>
      </w:r>
      <w:r>
        <w:rPr>
          <w:rStyle w:val="VerbatimChar"/>
        </w:rPr>
        <w:t xml:space="preserve">06_results/validation_report.json</w:t>
      </w:r>
      <w:r>
        <w:t xml:space="preserve">). Gate log:</w:t>
      </w:r>
    </w:p>
    <w:p>
      <w:pPr>
        <w:pStyle w:val="TableCaption"/>
      </w:pPr>
      <w:r>
        <w:t xml:space="preserve">Validation gates (part 1).</w:t>
      </w:r>
    </w:p>
    <w:tbl>
      <w:tblPr>
        <w:tblStyle w:val="Table"/>
        <w:tblW w:type="auto" w:w="0"/>
        <w:jc w:val="center"/>
        <w:tblLook w:firstRow="1" w:lastRow="0" w:firstColumn="0" w:lastColumn="0" w:noHBand="0" w:noVBand="0" w:val="0020"/>
        <w:tblCaption w:val="Validation gates (part 1)."/>
      </w:tblPr>
      <w:tblGrid>
        <w:gridCol w:w="2640"/>
        <w:gridCol w:w="2640"/>
        <w:gridCol w:w="2640"/>
      </w:tblGrid>
      <w:tr>
        <w:trPr>
          <w:tblHeader w:val="on"/>
        </w:trPr>
        <w:tc>
          <w:tcPr>
            <w:shd w:fill="EDEDED" w:val="clear"/>
          </w:tcPr>
          <w:p>
            <w:pPr>
              <w:pStyle w:val="Compact"/>
              <w:spacing w:after="40"/>
              <w:jc w:val="left"/>
            </w:pPr>
            <w:r>
              <w:rPr>
                <w:b/>
                <w:sz w:val="19"/>
              </w:rPr>
              <w:t xml:space="preserve">Gate</w:t>
            </w:r>
          </w:p>
        </w:tc>
        <w:tc>
          <w:tcPr>
            <w:shd w:fill="EDEDED" w:val="clear"/>
          </w:tcPr>
          <w:p>
            <w:pPr>
              <w:pStyle w:val="Compact"/>
              <w:spacing w:after="40"/>
              <w:jc w:val="left"/>
            </w:pPr>
            <w:r>
              <w:rPr>
                <w:b/>
                <w:sz w:val="19"/>
              </w:rPr>
              <w:t xml:space="preserve">Status</w:t>
            </w:r>
          </w:p>
        </w:tc>
        <w:tc>
          <w:tcPr>
            <w:shd w:fill="EDEDED" w:val="clear"/>
          </w:tcPr>
          <w:p>
            <w:pPr>
              <w:pStyle w:val="Compact"/>
              <w:spacing w:after="40"/>
              <w:jc w:val="left"/>
            </w:pPr>
            <w:r>
              <w:rPr>
                <w:b/>
                <w:sz w:val="19"/>
              </w:rPr>
              <w:t xml:space="preserve">Detail</w:t>
            </w:r>
          </w:p>
        </w:tc>
      </w:tr>
      <w:tr>
        <w:tc>
          <w:tcPr/>
          <w:p>
            <w:pPr>
              <w:pStyle w:val="Compact"/>
              <w:spacing w:after="40"/>
              <w:jc w:val="left"/>
            </w:pPr>
            <w:r>
              <w:rPr>
                <w:sz w:val="19"/>
              </w:rPr>
              <w:t xml:space="preserve">sarima full500 present</w:t>
            </w:r>
          </w:p>
        </w:tc>
        <w:tc>
          <w:tcPr/>
          <w:p>
            <w:pPr>
              <w:pStyle w:val="Compact"/>
              <w:spacing w:after="40"/>
              <w:jc w:val="left"/>
            </w:pPr>
            <w:r>
              <w:rPr>
                <w:sz w:val="19"/>
              </w:rPr>
              <w:t xml:space="preserve">PASS</w:t>
            </w:r>
          </w:p>
        </w:tc>
        <w:tc>
          <w:tcPr/>
          <w:p>
            <w:pPr>
              <w:pStyle w:val="Compact"/>
              <w:spacing w:after="40"/>
              <w:jc w:val="left"/>
            </w:pPr>
            <w:r>
              <w:rPr>
                <w:sz w:val="19"/>
              </w:rPr>
              <w:t xml:space="preserve">112000 rows</w:t>
            </w:r>
          </w:p>
        </w:tc>
      </w:tr>
      <w:tr>
        <w:tc>
          <w:tcPr/>
          <w:p>
            <w:pPr>
              <w:pStyle w:val="Compact"/>
              <w:spacing w:after="40"/>
              <w:jc w:val="left"/>
            </w:pPr>
            <w:r>
              <w:rPr>
                <w:sz w:val="19"/>
              </w:rPr>
              <w:t xml:space="preserve">baselines row counts</w:t>
            </w:r>
          </w:p>
        </w:tc>
        <w:tc>
          <w:tcPr/>
          <w:p>
            <w:pPr>
              <w:pStyle w:val="Compact"/>
              <w:spacing w:after="40"/>
              <w:jc w:val="left"/>
            </w:pPr>
            <w:r>
              <w:rPr>
                <w:sz w:val="19"/>
              </w:rPr>
              <w:t xml:space="preserve">PASS</w:t>
            </w:r>
          </w:p>
        </w:tc>
        <w:tc>
          <w:tcPr/>
          <w:p>
            <w:pPr>
              <w:pStyle w:val="Compact"/>
              <w:spacing w:after="40"/>
              <w:jc w:val="left"/>
            </w:pPr>
            <w:r>
              <w:rPr>
                <w:sz w:val="19"/>
              </w:rPr>
              <w:t xml:space="preserve">((’store_item_demand’, ’Seasonal Naive’):</w:t>
            </w:r>
          </w:p>
        </w:tc>
      </w:tr>
      <w:tr>
        <w:tc>
          <w:tcPr/>
          <w:p>
            <w:pPr>
              <w:pStyle w:val="Compact"/>
              <w:spacing w:after="40"/>
              <w:jc w:val="left"/>
            </w:pPr>
            <w:r>
              <w:rPr>
                <w:sz w:val="19"/>
              </w:rPr>
              <w:t xml:space="preserve">baselines no dup keys</w:t>
            </w:r>
          </w:p>
        </w:tc>
        <w:tc>
          <w:tcPr/>
          <w:p>
            <w:pPr>
              <w:pStyle w:val="Compact"/>
              <w:spacing w:after="40"/>
              <w:jc w:val="left"/>
            </w:pPr>
            <w:r>
              <w:rPr>
                <w:sz w:val="19"/>
              </w:rPr>
              <w:t xml:space="preserve">PASS</w:t>
            </w:r>
          </w:p>
        </w:tc>
        <w:tc>
          <w:tcPr/>
          <w:p>
            <w:pPr>
              <w:pStyle w:val="Compact"/>
              <w:spacing w:after="40"/>
              <w:jc w:val="left"/>
            </w:pPr>
            <w:r>
              <w:rPr>
                <w:sz w:val="19"/>
              </w:rPr>
              <w:t xml:space="preserve">dups=0</w:t>
            </w:r>
          </w:p>
        </w:tc>
      </w:tr>
      <w:tr>
        <w:tc>
          <w:tcPr/>
          <w:p>
            <w:pPr>
              <w:pStyle w:val="Compact"/>
              <w:spacing w:after="40"/>
              <w:jc w:val="left"/>
            </w:pPr>
            <w:r>
              <w:rPr>
                <w:sz w:val="19"/>
              </w:rPr>
              <w:t xml:space="preserve">baselines origins 1 to 8</w:t>
            </w:r>
          </w:p>
        </w:tc>
        <w:tc>
          <w:tcPr/>
          <w:p>
            <w:pPr>
              <w:pStyle w:val="Compact"/>
              <w:spacing w:after="40"/>
              <w:jc w:val="left"/>
            </w:pPr>
            <w:r>
              <w:rPr>
                <w:sz w:val="19"/>
              </w:rPr>
              <w:t xml:space="preserve">PASS</w:t>
            </w:r>
          </w:p>
        </w:tc>
        <w:tc>
          <w:tcPr/>
          <w:p>
            <w:pPr>
              <w:pStyle w:val="Compact"/>
              <w:spacing w:after="40"/>
              <w:jc w:val="left"/>
            </w:pPr>
            <w:r>
              <w:rPr>
                <w:sz w:val="19"/>
              </w:rPr>
              <w:t xml:space="preserve">[np.int64(1), np.int64(2), np.int64(3), np.i</w:t>
            </w:r>
          </w:p>
        </w:tc>
      </w:tr>
      <w:tr>
        <w:tc>
          <w:tcPr/>
          <w:p>
            <w:pPr>
              <w:pStyle w:val="Compact"/>
              <w:spacing w:after="40"/>
              <w:jc w:val="left"/>
            </w:pPr>
            <w:r>
              <w:rPr>
                <w:sz w:val="19"/>
              </w:rPr>
              <w:t xml:space="preserve">baselines h28 everywhere</w:t>
            </w:r>
          </w:p>
        </w:tc>
        <w:tc>
          <w:tcPr/>
          <w:p>
            <w:pPr>
              <w:pStyle w:val="Compact"/>
              <w:spacing w:after="40"/>
              <w:jc w:val="left"/>
            </w:pPr>
            <w:r>
              <w:rPr>
                <w:sz w:val="19"/>
              </w:rPr>
              <w:t xml:space="preserve">PASS</w:t>
            </w:r>
          </w:p>
        </w:tc>
        <w:tc>
          <w:tcPr/>
          <w:p>
            <w:pPr>
              <w:pStyle w:val="Compact"/>
              <w:spacing w:after="40"/>
              <w:jc w:val="left"/>
            </w:pPr>
            <w:r>
              <w:rPr>
                <w:sz w:val="19"/>
              </w:rPr>
              <w:t xml:space="preserve">min=28 max=28</w:t>
            </w:r>
          </w:p>
        </w:tc>
      </w:tr>
      <w:tr>
        <w:tc>
          <w:tcPr/>
          <w:p>
            <w:pPr>
              <w:pStyle w:val="Compact"/>
              <w:spacing w:after="40"/>
              <w:jc w:val="left"/>
            </w:pPr>
            <w:r>
              <w:rPr>
                <w:sz w:val="19"/>
              </w:rPr>
              <w:t xml:space="preserve">baselines dates in test window</w:t>
            </w:r>
          </w:p>
        </w:tc>
        <w:tc>
          <w:tcPr/>
          <w:p>
            <w:pPr>
              <w:pStyle w:val="Compact"/>
              <w:spacing w:after="40"/>
              <w:jc w:val="left"/>
            </w:pPr>
            <w:r>
              <w:rPr>
                <w:sz w:val="19"/>
              </w:rPr>
              <w:t xml:space="preserve">PASS</w:t>
            </w:r>
          </w:p>
        </w:tc>
        <w:tc>
          <w:tcPr/>
          <w:p>
            <w:pPr>
              <w:pStyle w:val="Compact"/>
              <w:spacing w:after="40"/>
            </w:pPr>
          </w:p>
        </w:tc>
      </w:tr>
      <w:tr>
        <w:tc>
          <w:tcPr/>
          <w:p>
            <w:pPr>
              <w:pStyle w:val="Compact"/>
              <w:spacing w:after="40"/>
              <w:jc w:val="left"/>
            </w:pPr>
            <w:r>
              <w:rPr>
                <w:sz w:val="19"/>
              </w:rPr>
              <w:t xml:space="preserve">baselines forecasts finite nonneg</w:t>
            </w:r>
          </w:p>
        </w:tc>
        <w:tc>
          <w:tcPr/>
          <w:p>
            <w:pPr>
              <w:pStyle w:val="Compact"/>
              <w:spacing w:after="40"/>
              <w:jc w:val="left"/>
            </w:pPr>
            <w:r>
              <w:rPr>
                <w:sz w:val="19"/>
              </w:rPr>
              <w:t xml:space="preserve">PASS</w:t>
            </w:r>
          </w:p>
        </w:tc>
        <w:tc>
          <w:tcPr/>
          <w:p>
            <w:pPr>
              <w:pStyle w:val="Compact"/>
              <w:spacing w:after="40"/>
            </w:pPr>
          </w:p>
        </w:tc>
      </w:tr>
      <w:tr>
        <w:tc>
          <w:tcPr/>
          <w:p>
            <w:pPr>
              <w:pStyle w:val="Compact"/>
              <w:spacing w:after="40"/>
              <w:jc w:val="left"/>
            </w:pPr>
            <w:r>
              <w:rPr>
                <w:sz w:val="19"/>
              </w:rPr>
              <w:t xml:space="preserve">exponential smoothing row counts</w:t>
            </w:r>
          </w:p>
        </w:tc>
        <w:tc>
          <w:tcPr/>
          <w:p>
            <w:pPr>
              <w:pStyle w:val="Compact"/>
              <w:spacing w:after="40"/>
              <w:jc w:val="left"/>
            </w:pPr>
            <w:r>
              <w:rPr>
                <w:sz w:val="19"/>
              </w:rPr>
              <w:t xml:space="preserve">PASS</w:t>
            </w:r>
          </w:p>
        </w:tc>
        <w:tc>
          <w:tcPr/>
          <w:p>
            <w:pPr>
              <w:pStyle w:val="Compact"/>
              <w:spacing w:after="40"/>
              <w:jc w:val="left"/>
            </w:pPr>
            <w:r>
              <w:rPr>
                <w:sz w:val="19"/>
              </w:rPr>
              <w:t xml:space="preserve">((’store_item_demand’, ’TES’): 112000, (’m</w:t>
            </w:r>
          </w:p>
        </w:tc>
      </w:tr>
      <w:tr>
        <w:tc>
          <w:tcPr/>
          <w:p>
            <w:pPr>
              <w:pStyle w:val="Compact"/>
              <w:spacing w:after="40"/>
              <w:jc w:val="left"/>
            </w:pPr>
            <w:r>
              <w:rPr>
                <w:sz w:val="19"/>
              </w:rPr>
              <w:t xml:space="preserve">exponential smoothing no dup keys</w:t>
            </w:r>
          </w:p>
        </w:tc>
        <w:tc>
          <w:tcPr/>
          <w:p>
            <w:pPr>
              <w:pStyle w:val="Compact"/>
              <w:spacing w:after="40"/>
              <w:jc w:val="left"/>
            </w:pPr>
            <w:r>
              <w:rPr>
                <w:sz w:val="19"/>
              </w:rPr>
              <w:t xml:space="preserve">PASS</w:t>
            </w:r>
          </w:p>
        </w:tc>
        <w:tc>
          <w:tcPr/>
          <w:p>
            <w:pPr>
              <w:pStyle w:val="Compact"/>
              <w:spacing w:after="40"/>
              <w:jc w:val="left"/>
            </w:pPr>
            <w:r>
              <w:rPr>
                <w:sz w:val="19"/>
              </w:rPr>
              <w:t xml:space="preserve">dups=0</w:t>
            </w:r>
          </w:p>
        </w:tc>
      </w:tr>
      <w:tr>
        <w:tc>
          <w:tcPr/>
          <w:p>
            <w:pPr>
              <w:pStyle w:val="Compact"/>
              <w:spacing w:after="40"/>
              <w:jc w:val="left"/>
            </w:pPr>
            <w:r>
              <w:rPr>
                <w:sz w:val="19"/>
              </w:rPr>
              <w:t xml:space="preserve">exponential smoothing origins 1 to 8</w:t>
            </w:r>
          </w:p>
        </w:tc>
        <w:tc>
          <w:tcPr/>
          <w:p>
            <w:pPr>
              <w:pStyle w:val="Compact"/>
              <w:spacing w:after="40"/>
              <w:jc w:val="left"/>
            </w:pPr>
            <w:r>
              <w:rPr>
                <w:sz w:val="19"/>
              </w:rPr>
              <w:t xml:space="preserve">PASS</w:t>
            </w:r>
          </w:p>
        </w:tc>
        <w:tc>
          <w:tcPr/>
          <w:p>
            <w:pPr>
              <w:pStyle w:val="Compact"/>
              <w:spacing w:after="40"/>
              <w:jc w:val="left"/>
            </w:pPr>
            <w:r>
              <w:rPr>
                <w:sz w:val="19"/>
              </w:rPr>
              <w:t xml:space="preserve">[np.int64(1), np.int64(2), np.int64(3), np.i</w:t>
            </w:r>
          </w:p>
        </w:tc>
      </w:tr>
      <w:tr>
        <w:tc>
          <w:tcPr/>
          <w:p>
            <w:pPr>
              <w:pStyle w:val="Compact"/>
              <w:spacing w:after="40"/>
              <w:jc w:val="left"/>
            </w:pPr>
            <w:r>
              <w:rPr>
                <w:sz w:val="19"/>
              </w:rPr>
              <w:t xml:space="preserve">exponential smoothing h28 everywhere</w:t>
            </w:r>
          </w:p>
        </w:tc>
        <w:tc>
          <w:tcPr/>
          <w:p>
            <w:pPr>
              <w:pStyle w:val="Compact"/>
              <w:spacing w:after="40"/>
              <w:jc w:val="left"/>
            </w:pPr>
            <w:r>
              <w:rPr>
                <w:sz w:val="19"/>
              </w:rPr>
              <w:t xml:space="preserve">PASS</w:t>
            </w:r>
          </w:p>
        </w:tc>
        <w:tc>
          <w:tcPr/>
          <w:p>
            <w:pPr>
              <w:pStyle w:val="Compact"/>
              <w:spacing w:after="40"/>
              <w:jc w:val="left"/>
            </w:pPr>
            <w:r>
              <w:rPr>
                <w:sz w:val="19"/>
              </w:rPr>
              <w:t xml:space="preserve">min=28 max=28</w:t>
            </w:r>
          </w:p>
        </w:tc>
      </w:tr>
      <w:tr>
        <w:tc>
          <w:tcPr/>
          <w:p>
            <w:pPr>
              <w:pStyle w:val="Compact"/>
              <w:spacing w:after="40"/>
              <w:jc w:val="left"/>
            </w:pPr>
            <w:r>
              <w:rPr>
                <w:sz w:val="19"/>
              </w:rPr>
              <w:t xml:space="preserve">exponential smoothing dates in test window</w:t>
            </w:r>
          </w:p>
        </w:tc>
        <w:tc>
          <w:tcPr/>
          <w:p>
            <w:pPr>
              <w:pStyle w:val="Compact"/>
              <w:spacing w:after="40"/>
              <w:jc w:val="left"/>
            </w:pPr>
            <w:r>
              <w:rPr>
                <w:sz w:val="19"/>
              </w:rPr>
              <w:t xml:space="preserve">PASS</w:t>
            </w:r>
          </w:p>
        </w:tc>
        <w:tc>
          <w:tcPr/>
          <w:p>
            <w:pPr>
              <w:pStyle w:val="Compact"/>
              <w:spacing w:after="40"/>
            </w:pPr>
          </w:p>
        </w:tc>
      </w:tr>
      <w:tr>
        <w:tc>
          <w:tcPr/>
          <w:p>
            <w:pPr>
              <w:pStyle w:val="Compact"/>
              <w:spacing w:after="40"/>
              <w:jc w:val="left"/>
            </w:pPr>
            <w:r>
              <w:rPr>
                <w:sz w:val="19"/>
              </w:rPr>
              <w:t xml:space="preserve">exponential smoothing forecasts finite nonneg</w:t>
            </w:r>
          </w:p>
        </w:tc>
        <w:tc>
          <w:tcPr/>
          <w:p>
            <w:pPr>
              <w:pStyle w:val="Compact"/>
              <w:spacing w:after="40"/>
              <w:jc w:val="left"/>
            </w:pPr>
            <w:r>
              <w:rPr>
                <w:sz w:val="19"/>
              </w:rPr>
              <w:t xml:space="preserve">PASS</w:t>
            </w:r>
          </w:p>
        </w:tc>
        <w:tc>
          <w:tcPr/>
          <w:p>
            <w:pPr>
              <w:pStyle w:val="Compact"/>
              <w:spacing w:after="40"/>
            </w:pPr>
          </w:p>
        </w:tc>
      </w:tr>
      <w:tr>
        <w:tc>
          <w:tcPr/>
          <w:p>
            <w:pPr>
              <w:pStyle w:val="Compact"/>
              <w:spacing w:after="40"/>
              <w:jc w:val="left"/>
            </w:pPr>
            <w:r>
              <w:rPr>
                <w:sz w:val="19"/>
              </w:rPr>
              <w:t xml:space="preserve">arima row counts</w:t>
            </w:r>
          </w:p>
        </w:tc>
        <w:tc>
          <w:tcPr/>
          <w:p>
            <w:pPr>
              <w:pStyle w:val="Compact"/>
              <w:spacing w:after="40"/>
              <w:jc w:val="left"/>
            </w:pPr>
            <w:r>
              <w:rPr>
                <w:sz w:val="19"/>
              </w:rPr>
              <w:t xml:space="preserve">PASS</w:t>
            </w:r>
          </w:p>
        </w:tc>
        <w:tc>
          <w:tcPr/>
          <w:p>
            <w:pPr>
              <w:pStyle w:val="Compact"/>
              <w:spacing w:after="40"/>
              <w:jc w:val="left"/>
            </w:pPr>
            <w:r>
              <w:rPr>
                <w:sz w:val="19"/>
              </w:rPr>
              <w:t xml:space="preserve">((’store_item_demand’, ’ARIMA’): 112000, (</w:t>
            </w:r>
          </w:p>
        </w:tc>
      </w:tr>
      <w:tr>
        <w:tc>
          <w:tcPr/>
          <w:p>
            <w:pPr>
              <w:pStyle w:val="Compact"/>
              <w:spacing w:after="40"/>
              <w:jc w:val="left"/>
            </w:pPr>
            <w:r>
              <w:rPr>
                <w:sz w:val="19"/>
              </w:rPr>
              <w:t xml:space="preserve">arima no dup keys</w:t>
            </w:r>
          </w:p>
        </w:tc>
        <w:tc>
          <w:tcPr/>
          <w:p>
            <w:pPr>
              <w:pStyle w:val="Compact"/>
              <w:spacing w:after="40"/>
              <w:jc w:val="left"/>
            </w:pPr>
            <w:r>
              <w:rPr>
                <w:sz w:val="19"/>
              </w:rPr>
              <w:t xml:space="preserve">PASS</w:t>
            </w:r>
          </w:p>
        </w:tc>
        <w:tc>
          <w:tcPr/>
          <w:p>
            <w:pPr>
              <w:pStyle w:val="Compact"/>
              <w:spacing w:after="40"/>
              <w:jc w:val="left"/>
            </w:pPr>
            <w:r>
              <w:rPr>
                <w:sz w:val="19"/>
              </w:rPr>
              <w:t xml:space="preserve">dups=0</w:t>
            </w:r>
          </w:p>
        </w:tc>
      </w:tr>
      <w:tr>
        <w:tc>
          <w:tcPr/>
          <w:p>
            <w:pPr>
              <w:pStyle w:val="Compact"/>
              <w:spacing w:after="40"/>
              <w:jc w:val="left"/>
            </w:pPr>
            <w:r>
              <w:rPr>
                <w:sz w:val="19"/>
              </w:rPr>
              <w:t xml:space="preserve">arima origins 1 to 8</w:t>
            </w:r>
          </w:p>
        </w:tc>
        <w:tc>
          <w:tcPr/>
          <w:p>
            <w:pPr>
              <w:pStyle w:val="Compact"/>
              <w:spacing w:after="40"/>
              <w:jc w:val="left"/>
            </w:pPr>
            <w:r>
              <w:rPr>
                <w:sz w:val="19"/>
              </w:rPr>
              <w:t xml:space="preserve">PASS</w:t>
            </w:r>
          </w:p>
        </w:tc>
        <w:tc>
          <w:tcPr/>
          <w:p>
            <w:pPr>
              <w:pStyle w:val="Compact"/>
              <w:spacing w:after="40"/>
              <w:jc w:val="left"/>
            </w:pPr>
            <w:r>
              <w:rPr>
                <w:sz w:val="19"/>
              </w:rPr>
              <w:t xml:space="preserve">[np.int64(1), np.int64(2), np.int64(3), np.i</w:t>
            </w:r>
          </w:p>
        </w:tc>
      </w:tr>
      <w:tr>
        <w:tc>
          <w:tcPr/>
          <w:p>
            <w:pPr>
              <w:pStyle w:val="Compact"/>
              <w:spacing w:after="40"/>
              <w:jc w:val="left"/>
            </w:pPr>
            <w:r>
              <w:rPr>
                <w:sz w:val="19"/>
              </w:rPr>
              <w:t xml:space="preserve">arima h28 everywhere</w:t>
            </w:r>
          </w:p>
        </w:tc>
        <w:tc>
          <w:tcPr/>
          <w:p>
            <w:pPr>
              <w:pStyle w:val="Compact"/>
              <w:spacing w:after="40"/>
              <w:jc w:val="left"/>
            </w:pPr>
            <w:r>
              <w:rPr>
                <w:sz w:val="19"/>
              </w:rPr>
              <w:t xml:space="preserve">PASS</w:t>
            </w:r>
          </w:p>
        </w:tc>
        <w:tc>
          <w:tcPr/>
          <w:p>
            <w:pPr>
              <w:pStyle w:val="Compact"/>
              <w:spacing w:after="40"/>
              <w:jc w:val="left"/>
            </w:pPr>
            <w:r>
              <w:rPr>
                <w:sz w:val="19"/>
              </w:rPr>
              <w:t xml:space="preserve">min=28 max=28</w:t>
            </w:r>
          </w:p>
        </w:tc>
      </w:tr>
      <w:tr>
        <w:tc>
          <w:tcPr/>
          <w:p>
            <w:pPr>
              <w:pStyle w:val="Compact"/>
              <w:spacing w:after="40"/>
              <w:jc w:val="left"/>
            </w:pPr>
            <w:r>
              <w:rPr>
                <w:sz w:val="19"/>
              </w:rPr>
              <w:t xml:space="preserve">arima dates in test window</w:t>
            </w:r>
          </w:p>
        </w:tc>
        <w:tc>
          <w:tcPr/>
          <w:p>
            <w:pPr>
              <w:pStyle w:val="Compact"/>
              <w:spacing w:after="40"/>
              <w:jc w:val="left"/>
            </w:pPr>
            <w:r>
              <w:rPr>
                <w:sz w:val="19"/>
              </w:rPr>
              <w:t xml:space="preserve">PASS</w:t>
            </w:r>
          </w:p>
        </w:tc>
        <w:tc>
          <w:tcPr/>
          <w:p>
            <w:pPr>
              <w:pStyle w:val="Compact"/>
              <w:spacing w:after="40"/>
            </w:pPr>
          </w:p>
        </w:tc>
      </w:tr>
      <w:tr>
        <w:tc>
          <w:tcPr/>
          <w:p>
            <w:pPr>
              <w:pStyle w:val="Compact"/>
              <w:spacing w:after="40"/>
              <w:jc w:val="left"/>
            </w:pPr>
            <w:r>
              <w:rPr>
                <w:sz w:val="19"/>
              </w:rPr>
              <w:t xml:space="preserve">arima forecasts finite nonneg</w:t>
            </w:r>
          </w:p>
        </w:tc>
        <w:tc>
          <w:tcPr/>
          <w:p>
            <w:pPr>
              <w:pStyle w:val="Compact"/>
              <w:spacing w:after="40"/>
              <w:jc w:val="left"/>
            </w:pPr>
            <w:r>
              <w:rPr>
                <w:sz w:val="19"/>
              </w:rPr>
              <w:t xml:space="preserve">PASS</w:t>
            </w:r>
          </w:p>
        </w:tc>
        <w:tc>
          <w:tcPr/>
          <w:p>
            <w:pPr>
              <w:pStyle w:val="Compact"/>
              <w:spacing w:after="40"/>
            </w:pPr>
          </w:p>
        </w:tc>
      </w:tr>
      <w:tr>
        <w:tc>
          <w:tcPr/>
          <w:p>
            <w:pPr>
              <w:pStyle w:val="Compact"/>
              <w:spacing w:after="40"/>
              <w:jc w:val="left"/>
            </w:pPr>
            <w:r>
              <w:rPr>
                <w:sz w:val="19"/>
              </w:rPr>
              <w:t xml:space="preserve">lstm row counts</w:t>
            </w:r>
          </w:p>
        </w:tc>
        <w:tc>
          <w:tcPr/>
          <w:p>
            <w:pPr>
              <w:pStyle w:val="Compact"/>
              <w:spacing w:after="40"/>
              <w:jc w:val="left"/>
            </w:pPr>
            <w:r>
              <w:rPr>
                <w:sz w:val="19"/>
              </w:rPr>
              <w:t xml:space="preserve">PASS</w:t>
            </w:r>
          </w:p>
        </w:tc>
        <w:tc>
          <w:tcPr/>
          <w:p>
            <w:pPr>
              <w:pStyle w:val="Compact"/>
              <w:spacing w:after="40"/>
              <w:jc w:val="left"/>
            </w:pPr>
            <w:r>
              <w:rPr>
                <w:sz w:val="19"/>
              </w:rPr>
              <w:t xml:space="preserve">((’store_item_demand’, ’LSTM’): 112000, (’</w:t>
            </w:r>
          </w:p>
        </w:tc>
      </w:tr>
      <w:tr>
        <w:tc>
          <w:tcPr/>
          <w:p>
            <w:pPr>
              <w:pStyle w:val="Compact"/>
              <w:spacing w:after="40"/>
              <w:jc w:val="left"/>
            </w:pPr>
            <w:r>
              <w:rPr>
                <w:sz w:val="19"/>
              </w:rPr>
              <w:t xml:space="preserve">lstm no dup keys</w:t>
            </w:r>
          </w:p>
        </w:tc>
        <w:tc>
          <w:tcPr/>
          <w:p>
            <w:pPr>
              <w:pStyle w:val="Compact"/>
              <w:spacing w:after="40"/>
              <w:jc w:val="left"/>
            </w:pPr>
            <w:r>
              <w:rPr>
                <w:sz w:val="19"/>
              </w:rPr>
              <w:t xml:space="preserve">PASS</w:t>
            </w:r>
          </w:p>
        </w:tc>
        <w:tc>
          <w:tcPr/>
          <w:p>
            <w:pPr>
              <w:pStyle w:val="Compact"/>
              <w:spacing w:after="40"/>
              <w:jc w:val="left"/>
            </w:pPr>
            <w:r>
              <w:rPr>
                <w:sz w:val="19"/>
              </w:rPr>
              <w:t xml:space="preserve">dups=0</w:t>
            </w:r>
          </w:p>
        </w:tc>
      </w:tr>
      <w:tr>
        <w:tc>
          <w:tcPr/>
          <w:p>
            <w:pPr>
              <w:pStyle w:val="Compact"/>
              <w:spacing w:after="40"/>
              <w:jc w:val="left"/>
            </w:pPr>
            <w:r>
              <w:rPr>
                <w:sz w:val="19"/>
              </w:rPr>
              <w:t xml:space="preserve">lstm origins 1 to 8</w:t>
            </w:r>
          </w:p>
        </w:tc>
        <w:tc>
          <w:tcPr/>
          <w:p>
            <w:pPr>
              <w:pStyle w:val="Compact"/>
              <w:spacing w:after="40"/>
              <w:jc w:val="left"/>
            </w:pPr>
            <w:r>
              <w:rPr>
                <w:sz w:val="19"/>
              </w:rPr>
              <w:t xml:space="preserve">PASS</w:t>
            </w:r>
          </w:p>
        </w:tc>
        <w:tc>
          <w:tcPr/>
          <w:p>
            <w:pPr>
              <w:pStyle w:val="Compact"/>
              <w:spacing w:after="40"/>
              <w:jc w:val="left"/>
            </w:pPr>
            <w:r>
              <w:rPr>
                <w:sz w:val="19"/>
              </w:rPr>
              <w:t xml:space="preserve">[np.int64(1), np.int64(2), np.int64(3), np.i</w:t>
            </w:r>
          </w:p>
        </w:tc>
      </w:tr>
    </w:tbl>
    <w:p/>
    <w:p>
      <w:pPr>
        <w:pStyle w:val="TableCaption"/>
      </w:pPr>
      <w:r>
        <w:t xml:space="preserve">Validation gates (part 2).</w:t>
      </w:r>
    </w:p>
    <w:tbl>
      <w:tblPr>
        <w:tblStyle w:val="Table"/>
        <w:tblW w:type="auto" w:w="0"/>
        <w:jc w:val="center"/>
        <w:tblLook w:firstRow="1" w:lastRow="0" w:firstColumn="0" w:lastColumn="0" w:noHBand="0" w:noVBand="0" w:val="0020"/>
        <w:tblCaption w:val="Validation gates (part 2)."/>
      </w:tblPr>
      <w:tblGrid>
        <w:gridCol w:w="2640"/>
        <w:gridCol w:w="2640"/>
        <w:gridCol w:w="2640"/>
      </w:tblGrid>
      <w:tr>
        <w:trPr>
          <w:tblHeader w:val="on"/>
        </w:trPr>
        <w:tc>
          <w:tcPr>
            <w:shd w:fill="EDEDED" w:val="clear"/>
          </w:tcPr>
          <w:p>
            <w:pPr>
              <w:pStyle w:val="Compact"/>
              <w:spacing w:after="40"/>
              <w:jc w:val="left"/>
            </w:pPr>
            <w:r>
              <w:rPr>
                <w:b/>
                <w:sz w:val="19"/>
              </w:rPr>
              <w:t xml:space="preserve">Gate</w:t>
            </w:r>
          </w:p>
        </w:tc>
        <w:tc>
          <w:tcPr>
            <w:shd w:fill="EDEDED" w:val="clear"/>
          </w:tcPr>
          <w:p>
            <w:pPr>
              <w:pStyle w:val="Compact"/>
              <w:spacing w:after="40"/>
              <w:jc w:val="left"/>
            </w:pPr>
            <w:r>
              <w:rPr>
                <w:b/>
                <w:sz w:val="19"/>
              </w:rPr>
              <w:t xml:space="preserve">Status</w:t>
            </w:r>
          </w:p>
        </w:tc>
        <w:tc>
          <w:tcPr>
            <w:shd w:fill="EDEDED" w:val="clear"/>
          </w:tcPr>
          <w:p>
            <w:pPr>
              <w:pStyle w:val="Compact"/>
              <w:spacing w:after="40"/>
              <w:jc w:val="left"/>
            </w:pPr>
            <w:r>
              <w:rPr>
                <w:b/>
                <w:sz w:val="19"/>
              </w:rPr>
              <w:t xml:space="preserve">Detail</w:t>
            </w:r>
          </w:p>
        </w:tc>
      </w:tr>
      <w:tr>
        <w:tc>
          <w:tcPr/>
          <w:p>
            <w:pPr>
              <w:pStyle w:val="Compact"/>
              <w:spacing w:after="40"/>
              <w:jc w:val="left"/>
            </w:pPr>
            <w:r>
              <w:rPr>
                <w:sz w:val="19"/>
              </w:rPr>
              <w:t xml:space="preserve">lstm h28 everywhere</w:t>
            </w:r>
          </w:p>
        </w:tc>
        <w:tc>
          <w:tcPr/>
          <w:p>
            <w:pPr>
              <w:pStyle w:val="Compact"/>
              <w:spacing w:after="40"/>
              <w:jc w:val="left"/>
            </w:pPr>
            <w:r>
              <w:rPr>
                <w:sz w:val="19"/>
              </w:rPr>
              <w:t xml:space="preserve">PASS</w:t>
            </w:r>
          </w:p>
        </w:tc>
        <w:tc>
          <w:tcPr/>
          <w:p>
            <w:pPr>
              <w:pStyle w:val="Compact"/>
              <w:spacing w:after="40"/>
              <w:jc w:val="left"/>
            </w:pPr>
            <w:r>
              <w:rPr>
                <w:sz w:val="19"/>
              </w:rPr>
              <w:t xml:space="preserve">min=28 max=28</w:t>
            </w:r>
          </w:p>
        </w:tc>
      </w:tr>
      <w:tr>
        <w:tc>
          <w:tcPr/>
          <w:p>
            <w:pPr>
              <w:pStyle w:val="Compact"/>
              <w:spacing w:after="40"/>
              <w:jc w:val="left"/>
            </w:pPr>
            <w:r>
              <w:rPr>
                <w:sz w:val="19"/>
              </w:rPr>
              <w:t xml:space="preserve">lstm dates in test window</w:t>
            </w:r>
          </w:p>
        </w:tc>
        <w:tc>
          <w:tcPr/>
          <w:p>
            <w:pPr>
              <w:pStyle w:val="Compact"/>
              <w:spacing w:after="40"/>
              <w:jc w:val="left"/>
            </w:pPr>
            <w:r>
              <w:rPr>
                <w:sz w:val="19"/>
              </w:rPr>
              <w:t xml:space="preserve">PASS</w:t>
            </w:r>
          </w:p>
        </w:tc>
        <w:tc>
          <w:tcPr/>
          <w:p>
            <w:pPr>
              <w:pStyle w:val="Compact"/>
              <w:spacing w:after="40"/>
            </w:pPr>
          </w:p>
        </w:tc>
      </w:tr>
      <w:tr>
        <w:tc>
          <w:tcPr/>
          <w:p>
            <w:pPr>
              <w:pStyle w:val="Compact"/>
              <w:spacing w:after="40"/>
              <w:jc w:val="left"/>
            </w:pPr>
            <w:r>
              <w:rPr>
                <w:sz w:val="19"/>
              </w:rPr>
              <w:t xml:space="preserve">lstm forecasts finite nonneg</w:t>
            </w:r>
          </w:p>
        </w:tc>
        <w:tc>
          <w:tcPr/>
          <w:p>
            <w:pPr>
              <w:pStyle w:val="Compact"/>
              <w:spacing w:after="40"/>
              <w:jc w:val="left"/>
            </w:pPr>
            <w:r>
              <w:rPr>
                <w:sz w:val="19"/>
              </w:rPr>
              <w:t xml:space="preserve">PASS</w:t>
            </w:r>
          </w:p>
        </w:tc>
        <w:tc>
          <w:tcPr/>
          <w:p>
            <w:pPr>
              <w:pStyle w:val="Compact"/>
              <w:spacing w:after="40"/>
            </w:pPr>
          </w:p>
        </w:tc>
      </w:tr>
      <w:tr>
        <w:tc>
          <w:tcPr/>
          <w:p>
            <w:pPr>
              <w:pStyle w:val="Compact"/>
              <w:spacing w:after="40"/>
              <w:jc w:val="left"/>
            </w:pPr>
            <w:r>
              <w:rPr>
                <w:sz w:val="19"/>
              </w:rPr>
              <w:t xml:space="preserve">croston row counts</w:t>
            </w:r>
          </w:p>
        </w:tc>
        <w:tc>
          <w:tcPr/>
          <w:p>
            <w:pPr>
              <w:pStyle w:val="Compact"/>
              <w:spacing w:after="40"/>
              <w:jc w:val="left"/>
            </w:pPr>
            <w:r>
              <w:rPr>
                <w:sz w:val="19"/>
              </w:rPr>
              <w:t xml:space="preserve">PASS</w:t>
            </w:r>
          </w:p>
        </w:tc>
        <w:tc>
          <w:tcPr/>
          <w:p>
            <w:pPr>
              <w:pStyle w:val="Compact"/>
              <w:spacing w:after="40"/>
              <w:jc w:val="left"/>
            </w:pPr>
            <w:r>
              <w:rPr>
                <w:sz w:val="19"/>
              </w:rPr>
              <w:t xml:space="preserve">((’m5’, ’SBA’): 112000, (’m5’, ’CROSTON’): 1</w:t>
            </w:r>
          </w:p>
        </w:tc>
      </w:tr>
      <w:tr>
        <w:tc>
          <w:tcPr/>
          <w:p>
            <w:pPr>
              <w:pStyle w:val="Compact"/>
              <w:spacing w:after="40"/>
              <w:jc w:val="left"/>
            </w:pPr>
            <w:r>
              <w:rPr>
                <w:sz w:val="19"/>
              </w:rPr>
              <w:t xml:space="preserve">croston no dup keys</w:t>
            </w:r>
          </w:p>
        </w:tc>
        <w:tc>
          <w:tcPr/>
          <w:p>
            <w:pPr>
              <w:pStyle w:val="Compact"/>
              <w:spacing w:after="40"/>
              <w:jc w:val="left"/>
            </w:pPr>
            <w:r>
              <w:rPr>
                <w:sz w:val="19"/>
              </w:rPr>
              <w:t xml:space="preserve">PASS</w:t>
            </w:r>
          </w:p>
        </w:tc>
        <w:tc>
          <w:tcPr/>
          <w:p>
            <w:pPr>
              <w:pStyle w:val="Compact"/>
              <w:spacing w:after="40"/>
              <w:jc w:val="left"/>
            </w:pPr>
            <w:r>
              <w:rPr>
                <w:sz w:val="19"/>
              </w:rPr>
              <w:t xml:space="preserve">dups=0</w:t>
            </w:r>
          </w:p>
        </w:tc>
      </w:tr>
      <w:tr>
        <w:tc>
          <w:tcPr/>
          <w:p>
            <w:pPr>
              <w:pStyle w:val="Compact"/>
              <w:spacing w:after="40"/>
              <w:jc w:val="left"/>
            </w:pPr>
            <w:r>
              <w:rPr>
                <w:sz w:val="19"/>
              </w:rPr>
              <w:t xml:space="preserve">croston origins 1 to 8</w:t>
            </w:r>
          </w:p>
        </w:tc>
        <w:tc>
          <w:tcPr/>
          <w:p>
            <w:pPr>
              <w:pStyle w:val="Compact"/>
              <w:spacing w:after="40"/>
              <w:jc w:val="left"/>
            </w:pPr>
            <w:r>
              <w:rPr>
                <w:sz w:val="19"/>
              </w:rPr>
              <w:t xml:space="preserve">PASS</w:t>
            </w:r>
          </w:p>
        </w:tc>
        <w:tc>
          <w:tcPr/>
          <w:p>
            <w:pPr>
              <w:pStyle w:val="Compact"/>
              <w:spacing w:after="40"/>
              <w:jc w:val="left"/>
            </w:pPr>
            <w:r>
              <w:rPr>
                <w:sz w:val="19"/>
              </w:rPr>
              <w:t xml:space="preserve">[np.int64(1), np.int64(2), np.int64(3), np.i</w:t>
            </w:r>
          </w:p>
        </w:tc>
      </w:tr>
      <w:tr>
        <w:tc>
          <w:tcPr/>
          <w:p>
            <w:pPr>
              <w:pStyle w:val="Compact"/>
              <w:spacing w:after="40"/>
              <w:jc w:val="left"/>
            </w:pPr>
            <w:r>
              <w:rPr>
                <w:sz w:val="19"/>
              </w:rPr>
              <w:t xml:space="preserve">croston h28 everywhere</w:t>
            </w:r>
          </w:p>
        </w:tc>
        <w:tc>
          <w:tcPr/>
          <w:p>
            <w:pPr>
              <w:pStyle w:val="Compact"/>
              <w:spacing w:after="40"/>
              <w:jc w:val="left"/>
            </w:pPr>
            <w:r>
              <w:rPr>
                <w:sz w:val="19"/>
              </w:rPr>
              <w:t xml:space="preserve">PASS</w:t>
            </w:r>
          </w:p>
        </w:tc>
        <w:tc>
          <w:tcPr/>
          <w:p>
            <w:pPr>
              <w:pStyle w:val="Compact"/>
              <w:spacing w:after="40"/>
              <w:jc w:val="left"/>
            </w:pPr>
            <w:r>
              <w:rPr>
                <w:sz w:val="19"/>
              </w:rPr>
              <w:t xml:space="preserve">min=28 max=28</w:t>
            </w:r>
          </w:p>
        </w:tc>
      </w:tr>
      <w:tr>
        <w:tc>
          <w:tcPr/>
          <w:p>
            <w:pPr>
              <w:pStyle w:val="Compact"/>
              <w:spacing w:after="40"/>
              <w:jc w:val="left"/>
            </w:pPr>
            <w:r>
              <w:rPr>
                <w:sz w:val="19"/>
              </w:rPr>
              <w:t xml:space="preserve">croston dates in test window</w:t>
            </w:r>
          </w:p>
        </w:tc>
        <w:tc>
          <w:tcPr/>
          <w:p>
            <w:pPr>
              <w:pStyle w:val="Compact"/>
              <w:spacing w:after="40"/>
              <w:jc w:val="left"/>
            </w:pPr>
            <w:r>
              <w:rPr>
                <w:sz w:val="19"/>
              </w:rPr>
              <w:t xml:space="preserve">PASS</w:t>
            </w:r>
          </w:p>
        </w:tc>
        <w:tc>
          <w:tcPr/>
          <w:p>
            <w:pPr>
              <w:pStyle w:val="Compact"/>
              <w:spacing w:after="40"/>
            </w:pPr>
          </w:p>
        </w:tc>
      </w:tr>
      <w:tr>
        <w:tc>
          <w:tcPr/>
          <w:p>
            <w:pPr>
              <w:pStyle w:val="Compact"/>
              <w:spacing w:after="40"/>
              <w:jc w:val="left"/>
            </w:pPr>
            <w:r>
              <w:rPr>
                <w:sz w:val="19"/>
              </w:rPr>
              <w:t xml:space="preserve">croston forecasts finite nonneg</w:t>
            </w:r>
          </w:p>
        </w:tc>
        <w:tc>
          <w:tcPr/>
          <w:p>
            <w:pPr>
              <w:pStyle w:val="Compact"/>
              <w:spacing w:after="40"/>
              <w:jc w:val="left"/>
            </w:pPr>
            <w:r>
              <w:rPr>
                <w:sz w:val="19"/>
              </w:rPr>
              <w:t xml:space="preserve">PASS</w:t>
            </w:r>
          </w:p>
        </w:tc>
        <w:tc>
          <w:tcPr/>
          <w:p>
            <w:pPr>
              <w:pStyle w:val="Compact"/>
              <w:spacing w:after="40"/>
            </w:pPr>
          </w:p>
        </w:tc>
      </w:tr>
      <w:tr>
        <w:tc>
          <w:tcPr/>
          <w:p>
            <w:pPr>
              <w:pStyle w:val="Compact"/>
              <w:spacing w:after="40"/>
              <w:jc w:val="left"/>
            </w:pPr>
            <w:r>
              <w:rPr>
                <w:sz w:val="19"/>
              </w:rPr>
              <w:t xml:space="preserve">cross family actuals identical</w:t>
            </w:r>
          </w:p>
        </w:tc>
        <w:tc>
          <w:tcPr/>
          <w:p>
            <w:pPr>
              <w:pStyle w:val="Compact"/>
              <w:spacing w:after="40"/>
              <w:jc w:val="left"/>
            </w:pPr>
            <w:r>
              <w:rPr>
                <w:sz w:val="19"/>
              </w:rPr>
              <w:t xml:space="preserve">PASS</w:t>
            </w:r>
          </w:p>
        </w:tc>
        <w:tc>
          <w:tcPr/>
          <w:p>
            <w:pPr>
              <w:pStyle w:val="Compact"/>
              <w:spacing w:after="40"/>
              <w:jc w:val="left"/>
            </w:pPr>
            <w:r>
              <w:rPr>
                <w:sz w:val="19"/>
              </w:rPr>
              <w:t xml:space="preserve">max spread=0.000000</w:t>
            </w:r>
          </w:p>
        </w:tc>
      </w:tr>
      <w:tr>
        <w:tc>
          <w:tcPr/>
          <w:p>
            <w:pPr>
              <w:pStyle w:val="Compact"/>
              <w:spacing w:after="40"/>
              <w:jc w:val="left"/>
            </w:pPr>
            <w:r>
              <w:rPr>
                <w:sz w:val="19"/>
              </w:rPr>
              <w:t xml:space="preserve">baselines metrics have MASE RMSSE</w:t>
            </w:r>
          </w:p>
        </w:tc>
        <w:tc>
          <w:tcPr/>
          <w:p>
            <w:pPr>
              <w:pStyle w:val="Compact"/>
              <w:spacing w:after="40"/>
              <w:jc w:val="left"/>
            </w:pPr>
            <w:r>
              <w:rPr>
                <w:sz w:val="19"/>
              </w:rPr>
              <w:t xml:space="preserve">PASS</w:t>
            </w:r>
          </w:p>
        </w:tc>
        <w:tc>
          <w:tcPr/>
          <w:p>
            <w:pPr>
              <w:pStyle w:val="Compact"/>
              <w:spacing w:after="40"/>
              <w:jc w:val="left"/>
            </w:pPr>
            <w:r>
              <w:rPr>
                <w:sz w:val="19"/>
              </w:rPr>
              <w:t xml:space="preserve">[’dataset’, ’model’, ’MAE’, ’RMSE’, ’sMAPE’,</w:t>
            </w:r>
          </w:p>
        </w:tc>
      </w:tr>
      <w:tr>
        <w:tc>
          <w:tcPr/>
          <w:p>
            <w:pPr>
              <w:pStyle w:val="Compact"/>
              <w:spacing w:after="40"/>
              <w:jc w:val="left"/>
            </w:pPr>
            <w:r>
              <w:rPr>
                <w:sz w:val="19"/>
              </w:rPr>
              <w:t xml:space="preserve">baselines metrics no unexpected NaN</w:t>
            </w:r>
          </w:p>
        </w:tc>
        <w:tc>
          <w:tcPr/>
          <w:p>
            <w:pPr>
              <w:pStyle w:val="Compact"/>
              <w:spacing w:after="40"/>
              <w:jc w:val="left"/>
            </w:pPr>
            <w:r>
              <w:rPr>
                <w:sz w:val="19"/>
              </w:rPr>
              <w:t xml:space="preserve">PASS</w:t>
            </w:r>
          </w:p>
        </w:tc>
        <w:tc>
          <w:tcPr/>
          <w:p>
            <w:pPr>
              <w:pStyle w:val="Compact"/>
              <w:spacing w:after="40"/>
              <w:jc w:val="left"/>
            </w:pPr>
            <w:r>
              <w:rPr>
                <w:sz w:val="19"/>
              </w:rPr>
              <w:t xml:space="preserve">Empty DataFrame Columns: [dataset, model] In</w:t>
            </w:r>
          </w:p>
        </w:tc>
      </w:tr>
      <w:tr>
        <w:tc>
          <w:tcPr/>
          <w:p>
            <w:pPr>
              <w:pStyle w:val="Compact"/>
              <w:spacing w:after="40"/>
              <w:jc w:val="left"/>
            </w:pPr>
            <w:r>
              <w:rPr>
                <w:sz w:val="19"/>
              </w:rPr>
              <w:t xml:space="preserve">exponential smoothing metrics have MASE RMSSE</w:t>
            </w:r>
          </w:p>
        </w:tc>
        <w:tc>
          <w:tcPr/>
          <w:p>
            <w:pPr>
              <w:pStyle w:val="Compact"/>
              <w:spacing w:after="40"/>
              <w:jc w:val="left"/>
            </w:pPr>
            <w:r>
              <w:rPr>
                <w:sz w:val="19"/>
              </w:rPr>
              <w:t xml:space="preserve">PASS</w:t>
            </w:r>
          </w:p>
        </w:tc>
        <w:tc>
          <w:tcPr/>
          <w:p>
            <w:pPr>
              <w:pStyle w:val="Compact"/>
              <w:spacing w:after="40"/>
              <w:jc w:val="left"/>
            </w:pPr>
            <w:r>
              <w:rPr>
                <w:sz w:val="19"/>
              </w:rPr>
              <w:t xml:space="preserve">[’dataset’, ’model’, ’MAE’, ’RMSE’, ’sMAPE’,</w:t>
            </w:r>
          </w:p>
        </w:tc>
      </w:tr>
      <w:tr>
        <w:tc>
          <w:tcPr/>
          <w:p>
            <w:pPr>
              <w:pStyle w:val="Compact"/>
              <w:spacing w:after="40"/>
              <w:jc w:val="left"/>
            </w:pPr>
            <w:r>
              <w:rPr>
                <w:sz w:val="19"/>
              </w:rPr>
              <w:t xml:space="preserve">exponential smoothing metrics no unexpected NaN</w:t>
            </w:r>
          </w:p>
        </w:tc>
        <w:tc>
          <w:tcPr/>
          <w:p>
            <w:pPr>
              <w:pStyle w:val="Compact"/>
              <w:spacing w:after="40"/>
              <w:jc w:val="left"/>
            </w:pPr>
            <w:r>
              <w:rPr>
                <w:sz w:val="19"/>
              </w:rPr>
              <w:t xml:space="preserve">PASS</w:t>
            </w:r>
          </w:p>
        </w:tc>
        <w:tc>
          <w:tcPr/>
          <w:p>
            <w:pPr>
              <w:pStyle w:val="Compact"/>
              <w:spacing w:after="40"/>
              <w:jc w:val="left"/>
            </w:pPr>
            <w:r>
              <w:rPr>
                <w:sz w:val="19"/>
              </w:rPr>
              <w:t xml:space="preserve">Empty DataFrame Columns: [dataset, model] In</w:t>
            </w:r>
          </w:p>
        </w:tc>
      </w:tr>
      <w:tr>
        <w:tc>
          <w:tcPr/>
          <w:p>
            <w:pPr>
              <w:pStyle w:val="Compact"/>
              <w:spacing w:after="40"/>
              <w:jc w:val="left"/>
            </w:pPr>
            <w:r>
              <w:rPr>
                <w:sz w:val="19"/>
              </w:rPr>
              <w:t xml:space="preserve">arima metrics have MASE RMSSE</w:t>
            </w:r>
          </w:p>
        </w:tc>
        <w:tc>
          <w:tcPr/>
          <w:p>
            <w:pPr>
              <w:pStyle w:val="Compact"/>
              <w:spacing w:after="40"/>
              <w:jc w:val="left"/>
            </w:pPr>
            <w:r>
              <w:rPr>
                <w:sz w:val="19"/>
              </w:rPr>
              <w:t xml:space="preserve">PASS</w:t>
            </w:r>
          </w:p>
        </w:tc>
        <w:tc>
          <w:tcPr/>
          <w:p>
            <w:pPr>
              <w:pStyle w:val="Compact"/>
              <w:spacing w:after="40"/>
              <w:jc w:val="left"/>
            </w:pPr>
            <w:r>
              <w:rPr>
                <w:sz w:val="19"/>
              </w:rPr>
              <w:t xml:space="preserve">[’dataset’, ’model’, ’n’, ’MAE’, ’RMSE’, ’sM</w:t>
            </w:r>
          </w:p>
        </w:tc>
      </w:tr>
      <w:tr>
        <w:tc>
          <w:tcPr/>
          <w:p>
            <w:pPr>
              <w:pStyle w:val="Compact"/>
              <w:spacing w:after="40"/>
              <w:jc w:val="left"/>
            </w:pPr>
            <w:r>
              <w:rPr>
                <w:sz w:val="19"/>
              </w:rPr>
              <w:t xml:space="preserve">arima metrics no unexpected NaN</w:t>
            </w:r>
          </w:p>
        </w:tc>
        <w:tc>
          <w:tcPr/>
          <w:p>
            <w:pPr>
              <w:pStyle w:val="Compact"/>
              <w:spacing w:after="40"/>
              <w:jc w:val="left"/>
            </w:pPr>
            <w:r>
              <w:rPr>
                <w:sz w:val="19"/>
              </w:rPr>
              <w:t xml:space="preserve">PASS</w:t>
            </w:r>
          </w:p>
        </w:tc>
        <w:tc>
          <w:tcPr/>
          <w:p>
            <w:pPr>
              <w:pStyle w:val="Compact"/>
              <w:spacing w:after="40"/>
              <w:jc w:val="left"/>
            </w:pPr>
            <w:r>
              <w:rPr>
                <w:sz w:val="19"/>
              </w:rPr>
              <w:t xml:space="preserve">Empty DataFrame Columns: [dataset, model] In</w:t>
            </w:r>
          </w:p>
        </w:tc>
      </w:tr>
      <w:tr>
        <w:tc>
          <w:tcPr/>
          <w:p>
            <w:pPr>
              <w:pStyle w:val="Compact"/>
              <w:spacing w:after="40"/>
              <w:jc w:val="left"/>
            </w:pPr>
            <w:r>
              <w:rPr>
                <w:sz w:val="19"/>
              </w:rPr>
              <w:t xml:space="preserve">lstm metrics have MASE RMSSE</w:t>
            </w:r>
          </w:p>
        </w:tc>
        <w:tc>
          <w:tcPr/>
          <w:p>
            <w:pPr>
              <w:pStyle w:val="Compact"/>
              <w:spacing w:after="40"/>
              <w:jc w:val="left"/>
            </w:pPr>
            <w:r>
              <w:rPr>
                <w:sz w:val="19"/>
              </w:rPr>
              <w:t xml:space="preserve">PASS</w:t>
            </w:r>
          </w:p>
        </w:tc>
        <w:tc>
          <w:tcPr/>
          <w:p>
            <w:pPr>
              <w:pStyle w:val="Compact"/>
              <w:spacing w:after="40"/>
              <w:jc w:val="left"/>
            </w:pPr>
            <w:r>
              <w:rPr>
                <w:sz w:val="19"/>
              </w:rPr>
              <w:t xml:space="preserve">[’dataset’, ’model’, ’MAE’, ’RMSE’, ’sMAPE’,</w:t>
            </w:r>
          </w:p>
        </w:tc>
      </w:tr>
      <w:tr>
        <w:tc>
          <w:tcPr/>
          <w:p>
            <w:pPr>
              <w:pStyle w:val="Compact"/>
              <w:spacing w:after="40"/>
              <w:jc w:val="left"/>
            </w:pPr>
            <w:r>
              <w:rPr>
                <w:sz w:val="19"/>
              </w:rPr>
              <w:t xml:space="preserve">lstm metrics no unexpected NaN</w:t>
            </w:r>
          </w:p>
        </w:tc>
        <w:tc>
          <w:tcPr/>
          <w:p>
            <w:pPr>
              <w:pStyle w:val="Compact"/>
              <w:spacing w:after="40"/>
              <w:jc w:val="left"/>
            </w:pPr>
            <w:r>
              <w:rPr>
                <w:sz w:val="19"/>
              </w:rPr>
              <w:t xml:space="preserve">PASS</w:t>
            </w:r>
          </w:p>
        </w:tc>
        <w:tc>
          <w:tcPr/>
          <w:p>
            <w:pPr>
              <w:pStyle w:val="Compact"/>
              <w:spacing w:after="40"/>
              <w:jc w:val="left"/>
            </w:pPr>
            <w:r>
              <w:rPr>
                <w:sz w:val="19"/>
              </w:rPr>
              <w:t xml:space="preserve">Empty DataFrame Columns: [dataset, model] In</w:t>
            </w:r>
          </w:p>
        </w:tc>
      </w:tr>
      <w:tr>
        <w:tc>
          <w:tcPr/>
          <w:p>
            <w:pPr>
              <w:pStyle w:val="Compact"/>
              <w:spacing w:after="40"/>
              <w:jc w:val="left"/>
            </w:pPr>
            <w:r>
              <w:rPr>
                <w:sz w:val="19"/>
              </w:rPr>
              <w:t xml:space="preserve">croston metrics have MASE RMSSE</w:t>
            </w:r>
          </w:p>
        </w:tc>
        <w:tc>
          <w:tcPr/>
          <w:p>
            <w:pPr>
              <w:pStyle w:val="Compact"/>
              <w:spacing w:after="40"/>
              <w:jc w:val="left"/>
            </w:pPr>
            <w:r>
              <w:rPr>
                <w:sz w:val="19"/>
              </w:rPr>
              <w:t xml:space="preserve">PASS</w:t>
            </w:r>
          </w:p>
        </w:tc>
        <w:tc>
          <w:tcPr/>
          <w:p>
            <w:pPr>
              <w:pStyle w:val="Compact"/>
              <w:spacing w:after="40"/>
              <w:jc w:val="left"/>
            </w:pPr>
            <w:r>
              <w:rPr>
                <w:sz w:val="19"/>
              </w:rPr>
              <w:t xml:space="preserve">[’dataset’, ’model’, ’MAE’, ’RMSE’, ’sMAPE’,</w:t>
            </w:r>
          </w:p>
        </w:tc>
      </w:tr>
      <w:tr>
        <w:tc>
          <w:tcPr/>
          <w:p>
            <w:pPr>
              <w:pStyle w:val="Compact"/>
              <w:spacing w:after="40"/>
              <w:jc w:val="left"/>
            </w:pPr>
            <w:r>
              <w:rPr>
                <w:sz w:val="19"/>
              </w:rPr>
              <w:t xml:space="preserve">croston metrics no unexpected NaN</w:t>
            </w:r>
          </w:p>
        </w:tc>
        <w:tc>
          <w:tcPr/>
          <w:p>
            <w:pPr>
              <w:pStyle w:val="Compact"/>
              <w:spacing w:after="40"/>
              <w:jc w:val="left"/>
            </w:pPr>
            <w:r>
              <w:rPr>
                <w:sz w:val="19"/>
              </w:rPr>
              <w:t xml:space="preserve">PASS</w:t>
            </w:r>
          </w:p>
        </w:tc>
        <w:tc>
          <w:tcPr/>
          <w:p>
            <w:pPr>
              <w:pStyle w:val="Compact"/>
              <w:spacing w:after="40"/>
              <w:jc w:val="left"/>
            </w:pPr>
            <w:r>
              <w:rPr>
                <w:sz w:val="19"/>
              </w:rPr>
              <w:t xml:space="preserve">Empty DataFrame Columns: [dataset, model] In</w:t>
            </w:r>
          </w:p>
        </w:tc>
      </w:tr>
      <w:tr>
        <w:tc>
          <w:tcPr/>
          <w:p>
            <w:pPr>
              <w:pStyle w:val="Compact"/>
              <w:spacing w:after="40"/>
              <w:jc w:val="left"/>
            </w:pPr>
            <w:r>
              <w:rPr>
                <w:sz w:val="19"/>
              </w:rPr>
              <w:t xml:space="preserve">inventory covers all models</w:t>
            </w:r>
          </w:p>
        </w:tc>
        <w:tc>
          <w:tcPr/>
          <w:p>
            <w:pPr>
              <w:pStyle w:val="Compact"/>
              <w:spacing w:after="40"/>
              <w:jc w:val="left"/>
            </w:pPr>
            <w:r>
              <w:rPr>
                <w:sz w:val="19"/>
              </w:rPr>
              <w:t xml:space="preserve">PASS</w:t>
            </w:r>
          </w:p>
        </w:tc>
        <w:tc>
          <w:tcPr/>
          <w:p>
            <w:pPr>
              <w:pStyle w:val="Compact"/>
              <w:spacing w:after="40"/>
              <w:jc w:val="left"/>
            </w:pPr>
            <w:r>
              <w:rPr>
                <w:sz w:val="19"/>
              </w:rPr>
              <w:t xml:space="preserve">missing=set() extra=set()</w:t>
            </w:r>
          </w:p>
        </w:tc>
      </w:tr>
      <w:tr>
        <w:tc>
          <w:tcPr/>
          <w:p>
            <w:pPr>
              <w:pStyle w:val="Compact"/>
              <w:spacing w:after="40"/>
              <w:jc w:val="left"/>
            </w:pPr>
            <w:r>
              <w:rPr>
                <w:sz w:val="19"/>
              </w:rPr>
              <w:t xml:space="preserve">inventory costs finite</w:t>
            </w:r>
          </w:p>
        </w:tc>
        <w:tc>
          <w:tcPr/>
          <w:p>
            <w:pPr>
              <w:pStyle w:val="Compact"/>
              <w:spacing w:after="40"/>
              <w:jc w:val="left"/>
            </w:pPr>
            <w:r>
              <w:rPr>
                <w:sz w:val="19"/>
              </w:rPr>
              <w:t xml:space="preserve">PASS</w:t>
            </w:r>
          </w:p>
        </w:tc>
        <w:tc>
          <w:tcPr/>
          <w:p>
            <w:pPr>
              <w:pStyle w:val="Compact"/>
              <w:spacing w:after="40"/>
            </w:pPr>
          </w:p>
        </w:tc>
      </w:tr>
    </w:tbl>
    <w:bookmarkEnd w:id="232"/>
    <w:bookmarkStart w:id="233" w:name="app:pairs"/>
    <w:p>
      <w:pPr>
        <w:pStyle w:val="Heading1"/>
      </w:pPr>
      <w:r>
        <w:t xml:space="preserve">Complete Pairwise Statistical Results</w:t>
      </w:r>
    </w:p>
    <w:p>
      <w:pPr>
        <w:pStyle w:val="FirstParagraph"/>
      </w:pPr>
      <w:r>
        <w:t xml:space="preserve">All 91 paired comparisons (55 M5</w:t>
      </w:r>
      <w:r>
        <w:t xml:space="preserve"> </w:t>
      </w:r>
      <m:oMath>
        <m:r>
          <m:rPr>
            <m:sty m:val="p"/>
          </m:rPr>
          <m:t>+</m:t>
        </m:r>
      </m:oMath>
      <w:r>
        <w:t xml:space="preserve"> </w:t>
      </w:r>
      <w:r>
        <w:t xml:space="preserve">36 Store) with Holm-adjusted Wilcoxon</w:t>
      </w:r>
      <w:r>
        <w:t xml:space="preserve"> </w:t>
      </w:r>
      <m:oMath>
        <m:r>
          <m:t>p</m:t>
        </m:r>
      </m:oMath>
      <w:r>
        <w:t xml:space="preserve">, paired</w:t>
      </w:r>
      <w:r>
        <w:t xml:space="preserve"> </w:t>
      </w:r>
      <m:oMath>
        <m:sSub>
          <m:e>
            <m:r>
              <m:t>d</m:t>
            </m:r>
          </m:e>
          <m:sub>
            <m:r>
              <m:t>z</m:t>
            </m:r>
          </m:sub>
        </m:sSub>
      </m:oMath>
      <w:r>
        <w:t xml:space="preserve">, and rank-biserial</w:t>
      </w:r>
      <w:r>
        <w:t xml:space="preserve"> </w:t>
      </w:r>
      <m:oMath>
        <m:r>
          <m:t>r</m:t>
        </m:r>
      </m:oMath>
      <w:r>
        <w:t xml:space="preserve">. Generated from</w:t>
      </w:r>
      <w:r>
        <w:t xml:space="preserve"> </w:t>
      </w:r>
      <w:r>
        <w:rPr>
          <w:rStyle w:val="VerbatimChar"/>
        </w:rPr>
        <w:t xml:space="preserve">06_results/statistical_tests/pairwise_tests.csv</w:t>
      </w:r>
      <w:r>
        <w:t xml:space="preserve">; bootstrap CIs in</w:t>
      </w:r>
      <w:r>
        <w:t xml:space="preserve"> </w:t>
      </w:r>
      <w:r>
        <w:t xml:space="preserve">the source file. Negative mean-</w:t>
      </w:r>
      <m:oMath>
        <m:r>
          <m:t>d</m:t>
        </m:r>
      </m:oMath>
      <w:r>
        <w:t xml:space="preserve"> </w:t>
      </w:r>
      <w:r>
        <w:t xml:space="preserve">favors A.</w:t>
      </w:r>
    </w:p>
    <w:p>
      <w:pPr>
        <w:pStyle w:val="TableCaption"/>
      </w:pPr>
      <w:r>
        <w:t xml:space="preserve">Pairwise results: M5 (part 1 of 2).</w:t>
      </w:r>
    </w:p>
    <w:tbl>
      <w:tblPr>
        <w:tblStyle w:val="Table"/>
        <w:tblW w:type="auto" w:w="0"/>
        <w:jc w:val="center"/>
        <w:tblLook w:firstRow="1" w:lastRow="0" w:firstColumn="0" w:lastColumn="0" w:noHBand="0" w:noVBand="0" w:val="0020"/>
        <w:tblCaption w:val="Pairwise results: M5 (part 1 of 2)."/>
      </w:tblPr>
      <w:tblGrid>
        <w:gridCol w:w="1320"/>
        <w:gridCol w:w="1320"/>
        <w:gridCol w:w="1320"/>
        <w:gridCol w:w="1320"/>
        <w:gridCol w:w="1320"/>
        <w:gridCol w:w="1320"/>
      </w:tblGrid>
      <w:tr>
        <w:trPr>
          <w:tblHeader w:val="on"/>
        </w:trPr>
        <w:tc>
          <w:tcPr>
            <w:shd w:fill="EDEDED" w:val="clear"/>
          </w:tcPr>
          <w:p>
            <w:pPr>
              <w:pStyle w:val="Compact"/>
              <w:spacing w:after="40"/>
              <w:jc w:val="left"/>
            </w:pPr>
            <w:r>
              <w:rPr>
                <w:b/>
                <w:sz w:val="19"/>
              </w:rPr>
              <w:t xml:space="preserve">Dataset</w:t>
            </w:r>
          </w:p>
        </w:tc>
        <w:tc>
          <w:tcPr>
            <w:shd w:fill="EDEDED" w:val="clear"/>
          </w:tcPr>
          <w:p>
            <w:pPr>
              <w:pStyle w:val="Compact"/>
              <w:spacing w:after="40"/>
              <w:jc w:val="left"/>
            </w:pPr>
            <w:r>
              <w:rPr>
                <w:b/>
                <w:sz w:val="19"/>
              </w:rPr>
              <w:t xml:space="preserve">Pair (A vs. B)</w:t>
            </w:r>
          </w:p>
        </w:tc>
        <w:tc>
          <w:tcPr>
            <w:shd w:fill="EDEDED" w:val="clear"/>
          </w:tcPr>
          <w:p>
            <w:pPr>
              <w:pStyle w:val="Compact"/>
              <w:spacing w:after="40"/>
              <w:jc w:val="right"/>
            </w:pPr>
            <w:r>
              <w:rPr>
                <w:b/>
                <w:sz w:val="19"/>
              </w:rPr>
              <w:t xml:space="preserve">Mean</w:t>
            </w:r>
            <w:r>
              <w:rPr>
                <w:b/>
                <w:sz w:val="19"/>
              </w:rPr>
              <w:t xml:space="preserve"> </w:t>
            </w:r>
            <m:oMath>
              <m:r>
                <m:t>d</m:t>
              </m:r>
            </m:oMath>
          </w:p>
        </w:tc>
        <w:tc>
          <w:tcPr>
            <w:shd w:fill="EDEDED" w:val="clear"/>
          </w:tcPr>
          <w:p>
            <w:pPr>
              <w:pStyle w:val="Compact"/>
              <w:spacing w:after="40"/>
              <w:jc w:val="right"/>
            </w:pPr>
            <m:oMath>
              <m:sSub>
                <m:e>
                  <m:r>
                    <m:t>d</m:t>
                  </m:r>
                </m:e>
                <m:sub>
                  <m:r>
                    <m:t>z</m:t>
                  </m:r>
                </m:sub>
              </m:sSub>
            </m:oMath>
            <w:r>
              <w:rPr>
                <w:b/>
                <w:sz w:val="19"/>
              </w:rPr>
              <w:t xml:space="preserve">​</w:t>
            </w:r>
          </w:p>
        </w:tc>
        <w:tc>
          <w:tcPr>
            <w:shd w:fill="EDEDED" w:val="clear"/>
          </w:tcPr>
          <w:p>
            <w:pPr>
              <w:pStyle w:val="Compact"/>
              <w:spacing w:after="40"/>
              <w:jc w:val="right"/>
            </w:pPr>
            <w:r>
              <w:rPr>
                <w:b/>
                <w:sz w:val="19"/>
              </w:rPr>
              <w:t xml:space="preserve">Holm</w:t>
            </w:r>
            <w:r>
              <w:rPr>
                <w:b/>
                <w:sz w:val="19"/>
              </w:rPr>
              <w:t xml:space="preserve"> </w:t>
            </w:r>
            <m:oMath>
              <m:r>
                <m:t>p</m:t>
              </m:r>
            </m:oMath>
          </w:p>
        </w:tc>
        <w:tc>
          <w:tcPr>
            <w:shd w:fill="EDEDED" w:val="clear"/>
          </w:tcPr>
          <w:p>
            <w:pPr>
              <w:pStyle w:val="Compact"/>
              <w:spacing w:after="40"/>
              <w:jc w:val="right"/>
            </w:pPr>
            <m:oMath>
              <m:r>
                <m:t>r</m:t>
              </m:r>
            </m:oMath>
            <w:r>
              <w:rPr>
                <w:b/>
                <w:sz w:val="19"/>
              </w:rPr>
              <w:t xml:space="preserve">​</w:t>
            </w:r>
          </w:p>
        </w:tc>
      </w:tr>
      <w:tr>
        <w:tc>
          <w:tcPr/>
          <w:p>
            <w:pPr>
              <w:pStyle w:val="Compact"/>
              <w:spacing w:after="40"/>
              <w:jc w:val="left"/>
            </w:pPr>
            <w:r>
              <w:rPr>
                <w:sz w:val="19"/>
              </w:rPr>
              <w:t xml:space="preserve">M5</w:t>
            </w:r>
          </w:p>
        </w:tc>
        <w:tc>
          <w:tcPr/>
          <w:p>
            <w:pPr>
              <w:pStyle w:val="Compact"/>
              <w:spacing w:after="40"/>
              <w:jc w:val="left"/>
            </w:pPr>
            <w:r>
              <w:rPr>
                <w:sz w:val="19"/>
              </w:rPr>
              <w:t xml:space="preserve">ARIMA vs. CROSTON</w:t>
            </w:r>
          </w:p>
        </w:tc>
        <w:tc>
          <w:tcPr/>
          <w:p>
            <w:pPr>
              <w:pStyle w:val="Compact"/>
              <w:spacing w:after="40"/>
              <w:jc w:val="right"/>
            </w:pPr>
            <w:r>
              <w:rPr>
                <w:sz w:val="19"/>
              </w:rPr>
              <w:t xml:space="preserve">0.0503</w:t>
            </w:r>
          </w:p>
        </w:tc>
        <w:tc>
          <w:tcPr/>
          <w:p>
            <w:pPr>
              <w:pStyle w:val="Compact"/>
              <w:spacing w:after="40"/>
              <w:jc w:val="right"/>
            </w:pPr>
            <w:r>
              <w:rPr>
                <w:sz w:val="19"/>
              </w:rPr>
              <w:t xml:space="preserve">0.036</w:t>
            </w:r>
          </w:p>
        </w:tc>
        <w:tc>
          <w:tcPr/>
          <w:p>
            <w:pPr>
              <w:pStyle w:val="Compact"/>
              <w:spacing w:after="40"/>
              <w:jc w:val="right"/>
            </w:pPr>
            <w:r>
              <w:rPr>
                <w:sz w:val="19"/>
              </w:rPr>
              <w:t xml:space="preserve">5.48e-20</w:t>
            </w:r>
          </w:p>
        </w:tc>
        <w:tc>
          <w:tcPr/>
          <w:p>
            <w:pPr>
              <w:pStyle w:val="Compact"/>
              <w:spacing w:after="40"/>
              <w:jc w:val="right"/>
            </w:pPr>
            <w:r>
              <w:rPr>
                <w:sz w:val="19"/>
              </w:rPr>
              <w:t xml:space="preserve">-0.028</w:t>
            </w:r>
          </w:p>
        </w:tc>
      </w:tr>
      <w:tr>
        <w:tc>
          <w:tcPr/>
          <w:p>
            <w:pPr>
              <w:pStyle w:val="Compact"/>
              <w:spacing w:after="40"/>
              <w:jc w:val="left"/>
            </w:pPr>
            <w:r>
              <w:rPr>
                <w:sz w:val="19"/>
              </w:rPr>
              <w:t xml:space="preserve">M5</w:t>
            </w:r>
          </w:p>
        </w:tc>
        <w:tc>
          <w:tcPr/>
          <w:p>
            <w:pPr>
              <w:pStyle w:val="Compact"/>
              <w:spacing w:after="40"/>
              <w:jc w:val="left"/>
            </w:pPr>
            <w:r>
              <w:rPr>
                <w:sz w:val="19"/>
              </w:rPr>
              <w:t xml:space="preserve">ARIMA vs. DES</w:t>
            </w:r>
          </w:p>
        </w:tc>
        <w:tc>
          <w:tcPr/>
          <w:p>
            <w:pPr>
              <w:pStyle w:val="Compact"/>
              <w:spacing w:after="40"/>
              <w:jc w:val="right"/>
            </w:pPr>
            <w:r>
              <w:rPr>
                <w:sz w:val="19"/>
              </w:rPr>
              <w:t xml:space="preserve">-0.3815</w:t>
            </w:r>
          </w:p>
        </w:tc>
        <w:tc>
          <w:tcPr/>
          <w:p>
            <w:pPr>
              <w:pStyle w:val="Compact"/>
              <w:spacing w:after="40"/>
              <w:jc w:val="right"/>
            </w:pPr>
            <w:r>
              <w:rPr>
                <w:sz w:val="19"/>
              </w:rPr>
              <w:t xml:space="preserve">-0.187</w:t>
            </w:r>
          </w:p>
        </w:tc>
        <w:tc>
          <w:tcPr/>
          <w:p>
            <w:pPr>
              <w:pStyle w:val="Compact"/>
              <w:spacing w:after="40"/>
              <w:jc w:val="right"/>
            </w:pPr>
            <w:r>
              <w:rPr>
                <w:sz w:val="19"/>
              </w:rPr>
              <w:t xml:space="preserve">0.00e+00</w:t>
            </w:r>
          </w:p>
        </w:tc>
        <w:tc>
          <w:tcPr/>
          <w:p>
            <w:pPr>
              <w:pStyle w:val="Compact"/>
              <w:spacing w:after="40"/>
              <w:jc w:val="right"/>
            </w:pPr>
            <w:r>
              <w:rPr>
                <w:sz w:val="19"/>
              </w:rPr>
              <w:t xml:space="preserve">-0.281</w:t>
            </w:r>
          </w:p>
        </w:tc>
      </w:tr>
      <w:tr>
        <w:tc>
          <w:tcPr/>
          <w:p>
            <w:pPr>
              <w:pStyle w:val="Compact"/>
              <w:spacing w:after="40"/>
              <w:jc w:val="left"/>
            </w:pPr>
            <w:r>
              <w:rPr>
                <w:sz w:val="19"/>
              </w:rPr>
              <w:t xml:space="preserve">M5</w:t>
            </w:r>
          </w:p>
        </w:tc>
        <w:tc>
          <w:tcPr/>
          <w:p>
            <w:pPr>
              <w:pStyle w:val="Compact"/>
              <w:spacing w:after="40"/>
              <w:jc w:val="left"/>
            </w:pPr>
            <w:r>
              <w:rPr>
                <w:sz w:val="19"/>
              </w:rPr>
              <w:t xml:space="preserve">ARIMA vs. LSTM</w:t>
            </w:r>
          </w:p>
        </w:tc>
        <w:tc>
          <w:tcPr/>
          <w:p>
            <w:pPr>
              <w:pStyle w:val="Compact"/>
              <w:spacing w:after="40"/>
              <w:jc w:val="right"/>
            </w:pPr>
            <w:r>
              <w:rPr>
                <w:sz w:val="19"/>
              </w:rPr>
              <w:t xml:space="preserve">0.1433</w:t>
            </w:r>
          </w:p>
        </w:tc>
        <w:tc>
          <w:tcPr/>
          <w:p>
            <w:pPr>
              <w:pStyle w:val="Compact"/>
              <w:spacing w:after="40"/>
              <w:jc w:val="right"/>
            </w:pPr>
            <w:r>
              <w:rPr>
                <w:sz w:val="19"/>
              </w:rPr>
              <w:t xml:space="preserve">0.119</w:t>
            </w:r>
          </w:p>
        </w:tc>
        <w:tc>
          <w:tcPr/>
          <w:p>
            <w:pPr>
              <w:pStyle w:val="Compact"/>
              <w:spacing w:after="40"/>
              <w:jc w:val="right"/>
            </w:pPr>
            <w:r>
              <w:rPr>
                <w:sz w:val="19"/>
              </w:rPr>
              <w:t xml:space="preserve">3.56e-87</w:t>
            </w:r>
          </w:p>
        </w:tc>
        <w:tc>
          <w:tcPr/>
          <w:p>
            <w:pPr>
              <w:pStyle w:val="Compact"/>
              <w:spacing w:after="40"/>
              <w:jc w:val="right"/>
            </w:pPr>
            <w:r>
              <w:rPr>
                <w:sz w:val="19"/>
              </w:rPr>
              <w:t xml:space="preserve">-0.060</w:t>
            </w:r>
          </w:p>
        </w:tc>
      </w:tr>
      <w:tr>
        <w:tc>
          <w:tcPr/>
          <w:p>
            <w:pPr>
              <w:pStyle w:val="Compact"/>
              <w:spacing w:after="40"/>
              <w:jc w:val="left"/>
            </w:pPr>
            <w:r>
              <w:rPr>
                <w:sz w:val="19"/>
              </w:rPr>
              <w:t xml:space="preserve">M5</w:t>
            </w:r>
          </w:p>
        </w:tc>
        <w:tc>
          <w:tcPr/>
          <w:p>
            <w:pPr>
              <w:pStyle w:val="Compact"/>
              <w:spacing w:after="40"/>
              <w:jc w:val="left"/>
            </w:pPr>
            <w:r>
              <w:rPr>
                <w:sz w:val="19"/>
              </w:rPr>
              <w:t xml:space="preserve">ARIMA vs. Moving Average</w:t>
            </w:r>
          </w:p>
        </w:tc>
        <w:tc>
          <w:tcPr/>
          <w:p>
            <w:pPr>
              <w:pStyle w:val="Compact"/>
              <w:spacing w:after="40"/>
              <w:jc w:val="right"/>
            </w:pPr>
            <w:r>
              <w:rPr>
                <w:sz w:val="19"/>
              </w:rPr>
              <w:t xml:space="preserve">0.1327</w:t>
            </w:r>
          </w:p>
        </w:tc>
        <w:tc>
          <w:tcPr/>
          <w:p>
            <w:pPr>
              <w:pStyle w:val="Compact"/>
              <w:spacing w:after="40"/>
              <w:jc w:val="right"/>
            </w:pPr>
            <w:r>
              <w:rPr>
                <w:sz w:val="19"/>
              </w:rPr>
              <w:t xml:space="preserve">0.115</w:t>
            </w:r>
          </w:p>
        </w:tc>
        <w:tc>
          <w:tcPr/>
          <w:p>
            <w:pPr>
              <w:pStyle w:val="Compact"/>
              <w:spacing w:after="40"/>
              <w:jc w:val="right"/>
            </w:pPr>
            <w:r>
              <w:rPr>
                <w:sz w:val="19"/>
              </w:rPr>
              <w:t xml:space="preserve">9.36e-223</w:t>
            </w:r>
          </w:p>
        </w:tc>
        <w:tc>
          <w:tcPr/>
          <w:p>
            <w:pPr>
              <w:pStyle w:val="Compact"/>
              <w:spacing w:after="40"/>
              <w:jc w:val="right"/>
            </w:pPr>
            <w:r>
              <w:rPr>
                <w:sz w:val="19"/>
              </w:rPr>
              <w:t xml:space="preserve">-0.102</w:t>
            </w:r>
          </w:p>
        </w:tc>
      </w:tr>
      <w:tr>
        <w:tc>
          <w:tcPr/>
          <w:p>
            <w:pPr>
              <w:pStyle w:val="Compact"/>
              <w:spacing w:after="40"/>
              <w:jc w:val="left"/>
            </w:pPr>
            <w:r>
              <w:rPr>
                <w:sz w:val="19"/>
              </w:rPr>
              <w:t xml:space="preserve">M5</w:t>
            </w:r>
          </w:p>
        </w:tc>
        <w:tc>
          <w:tcPr/>
          <w:p>
            <w:pPr>
              <w:pStyle w:val="Compact"/>
              <w:spacing w:after="40"/>
              <w:jc w:val="left"/>
            </w:pPr>
            <w:r>
              <w:rPr>
                <w:sz w:val="19"/>
              </w:rPr>
              <w:t xml:space="preserve">ARIMA vs. Naive</w:t>
            </w:r>
          </w:p>
        </w:tc>
        <w:tc>
          <w:tcPr/>
          <w:p>
            <w:pPr>
              <w:pStyle w:val="Compact"/>
              <w:spacing w:after="40"/>
              <w:jc w:val="right"/>
            </w:pPr>
            <w:r>
              <w:rPr>
                <w:sz w:val="19"/>
              </w:rPr>
              <w:t xml:space="preserve">-0.0520</w:t>
            </w:r>
          </w:p>
        </w:tc>
        <w:tc>
          <w:tcPr/>
          <w:p>
            <w:pPr>
              <w:pStyle w:val="Compact"/>
              <w:spacing w:after="40"/>
              <w:jc w:val="right"/>
            </w:pPr>
            <w:r>
              <w:rPr>
                <w:sz w:val="19"/>
              </w:rPr>
              <w:t xml:space="preserve">-0.073</w:t>
            </w:r>
          </w:p>
        </w:tc>
        <w:tc>
          <w:tcPr/>
          <w:p>
            <w:pPr>
              <w:pStyle w:val="Compact"/>
              <w:spacing w:after="40"/>
              <w:jc w:val="right"/>
            </w:pPr>
            <w:r>
              <w:rPr>
                <w:sz w:val="19"/>
              </w:rPr>
              <w:t xml:space="preserve">2.59e-130</w:t>
            </w:r>
          </w:p>
        </w:tc>
        <w:tc>
          <w:tcPr/>
          <w:p>
            <w:pPr>
              <w:pStyle w:val="Compact"/>
              <w:spacing w:after="40"/>
              <w:jc w:val="right"/>
            </w:pPr>
            <w:r>
              <w:rPr>
                <w:sz w:val="19"/>
              </w:rPr>
              <w:t xml:space="preserve">-0.100</w:t>
            </w:r>
          </w:p>
        </w:tc>
      </w:tr>
      <w:tr>
        <w:tc>
          <w:tcPr/>
          <w:p>
            <w:pPr>
              <w:pStyle w:val="Compact"/>
              <w:spacing w:after="40"/>
              <w:jc w:val="left"/>
            </w:pPr>
            <w:r>
              <w:rPr>
                <w:sz w:val="19"/>
              </w:rPr>
              <w:t xml:space="preserve">M5</w:t>
            </w:r>
          </w:p>
        </w:tc>
        <w:tc>
          <w:tcPr/>
          <w:p>
            <w:pPr>
              <w:pStyle w:val="Compact"/>
              <w:spacing w:after="40"/>
              <w:jc w:val="left"/>
            </w:pPr>
            <w:r>
              <w:rPr>
                <w:sz w:val="19"/>
              </w:rPr>
              <w:t xml:space="preserve">ARIMA vs. SBA</w:t>
            </w:r>
          </w:p>
        </w:tc>
        <w:tc>
          <w:tcPr/>
          <w:p>
            <w:pPr>
              <w:pStyle w:val="Compact"/>
              <w:spacing w:after="40"/>
              <w:jc w:val="right"/>
            </w:pPr>
            <w:r>
              <w:rPr>
                <w:sz w:val="19"/>
              </w:rPr>
              <w:t xml:space="preserve">0.0659</w:t>
            </w:r>
          </w:p>
        </w:tc>
        <w:tc>
          <w:tcPr/>
          <w:p>
            <w:pPr>
              <w:pStyle w:val="Compact"/>
              <w:spacing w:after="40"/>
              <w:jc w:val="right"/>
            </w:pPr>
            <w:r>
              <w:rPr>
                <w:sz w:val="19"/>
              </w:rPr>
              <w:t xml:space="preserve">0.057</w:t>
            </w:r>
          </w:p>
        </w:tc>
        <w:tc>
          <w:tcPr/>
          <w:p>
            <w:pPr>
              <w:pStyle w:val="Compact"/>
              <w:spacing w:after="40"/>
              <w:jc w:val="right"/>
            </w:pPr>
            <w:r>
              <w:rPr>
                <w:sz w:val="19"/>
              </w:rPr>
              <w:t xml:space="preserve">4.44e-28</w:t>
            </w:r>
          </w:p>
        </w:tc>
        <w:tc>
          <w:tcPr/>
          <w:p>
            <w:pPr>
              <w:pStyle w:val="Compact"/>
              <w:spacing w:after="40"/>
              <w:jc w:val="right"/>
            </w:pPr>
            <w:r>
              <w:rPr>
                <w:sz w:val="19"/>
              </w:rPr>
              <w:t xml:space="preserve">-0.033</w:t>
            </w:r>
          </w:p>
        </w:tc>
      </w:tr>
      <w:tr>
        <w:tc>
          <w:tcPr/>
          <w:p>
            <w:pPr>
              <w:pStyle w:val="Compact"/>
              <w:spacing w:after="40"/>
              <w:jc w:val="left"/>
            </w:pPr>
            <w:r>
              <w:rPr>
                <w:sz w:val="19"/>
              </w:rPr>
              <w:t xml:space="preserve">M5</w:t>
            </w:r>
          </w:p>
        </w:tc>
        <w:tc>
          <w:tcPr/>
          <w:p>
            <w:pPr>
              <w:pStyle w:val="Compact"/>
              <w:spacing w:after="40"/>
              <w:jc w:val="left"/>
            </w:pPr>
            <w:r>
              <w:rPr>
                <w:sz w:val="19"/>
              </w:rPr>
              <w:t xml:space="preserve">ARIMA vs. SES</w:t>
            </w:r>
          </w:p>
        </w:tc>
        <w:tc>
          <w:tcPr/>
          <w:p>
            <w:pPr>
              <w:pStyle w:val="Compact"/>
              <w:spacing w:after="40"/>
              <w:jc w:val="right"/>
            </w:pPr>
            <w:r>
              <w:rPr>
                <w:sz w:val="19"/>
              </w:rPr>
              <w:t xml:space="preserve">0.1342</w:t>
            </w:r>
          </w:p>
        </w:tc>
        <w:tc>
          <w:tcPr/>
          <w:p>
            <w:pPr>
              <w:pStyle w:val="Compact"/>
              <w:spacing w:after="40"/>
              <w:jc w:val="right"/>
            </w:pPr>
            <w:r>
              <w:rPr>
                <w:sz w:val="19"/>
              </w:rPr>
              <w:t xml:space="preserve">0.125</w:t>
            </w:r>
          </w:p>
        </w:tc>
        <w:tc>
          <w:tcPr/>
          <w:p>
            <w:pPr>
              <w:pStyle w:val="Compact"/>
              <w:spacing w:after="40"/>
              <w:jc w:val="right"/>
            </w:pPr>
            <w:r>
              <w:rPr>
                <w:sz w:val="19"/>
              </w:rPr>
              <w:t xml:space="preserve">3.82e-127</w:t>
            </w:r>
          </w:p>
        </w:tc>
        <w:tc>
          <w:tcPr/>
          <w:p>
            <w:pPr>
              <w:pStyle w:val="Compact"/>
              <w:spacing w:after="40"/>
              <w:jc w:val="right"/>
            </w:pPr>
            <w:r>
              <w:rPr>
                <w:sz w:val="19"/>
              </w:rPr>
              <w:t xml:space="preserve">-0.072</w:t>
            </w:r>
          </w:p>
        </w:tc>
      </w:tr>
      <w:tr>
        <w:tc>
          <w:tcPr/>
          <w:p>
            <w:pPr>
              <w:pStyle w:val="Compact"/>
              <w:spacing w:after="40"/>
              <w:jc w:val="left"/>
            </w:pPr>
            <w:r>
              <w:rPr>
                <w:sz w:val="19"/>
              </w:rPr>
              <w:t xml:space="preserve">M5</w:t>
            </w:r>
          </w:p>
        </w:tc>
        <w:tc>
          <w:tcPr/>
          <w:p>
            <w:pPr>
              <w:pStyle w:val="Compact"/>
              <w:spacing w:after="40"/>
              <w:jc w:val="left"/>
            </w:pPr>
            <w:r>
              <w:rPr>
                <w:sz w:val="19"/>
              </w:rPr>
              <w:t xml:space="preserve">ARIMA vs. Seasonal Naive</w:t>
            </w:r>
          </w:p>
        </w:tc>
        <w:tc>
          <w:tcPr/>
          <w:p>
            <w:pPr>
              <w:pStyle w:val="Compact"/>
              <w:spacing w:after="40"/>
              <w:jc w:val="right"/>
            </w:pPr>
            <w:r>
              <w:rPr>
                <w:sz w:val="19"/>
              </w:rPr>
              <w:t xml:space="preserve">-0.0542</w:t>
            </w:r>
          </w:p>
        </w:tc>
        <w:tc>
          <w:tcPr/>
          <w:p>
            <w:pPr>
              <w:pStyle w:val="Compact"/>
              <w:spacing w:after="40"/>
              <w:jc w:val="right"/>
            </w:pPr>
            <w:r>
              <w:rPr>
                <w:sz w:val="19"/>
              </w:rPr>
              <w:t xml:space="preserve">-0.034</w:t>
            </w:r>
          </w:p>
        </w:tc>
        <w:tc>
          <w:tcPr/>
          <w:p>
            <w:pPr>
              <w:pStyle w:val="Compact"/>
              <w:spacing w:after="40"/>
              <w:jc w:val="right"/>
            </w:pPr>
            <w:r>
              <w:rPr>
                <w:sz w:val="19"/>
              </w:rPr>
              <w:t xml:space="preserve">1.50e-12</w:t>
            </w:r>
          </w:p>
        </w:tc>
        <w:tc>
          <w:tcPr/>
          <w:p>
            <w:pPr>
              <w:pStyle w:val="Compact"/>
              <w:spacing w:after="40"/>
              <w:jc w:val="right"/>
            </w:pPr>
            <w:r>
              <w:rPr>
                <w:sz w:val="19"/>
              </w:rPr>
              <w:t xml:space="preserve">-0.027</w:t>
            </w:r>
          </w:p>
        </w:tc>
      </w:tr>
      <w:tr>
        <w:tc>
          <w:tcPr/>
          <w:p>
            <w:pPr>
              <w:pStyle w:val="Compact"/>
              <w:spacing w:after="40"/>
              <w:jc w:val="left"/>
            </w:pPr>
            <w:r>
              <w:rPr>
                <w:sz w:val="19"/>
              </w:rPr>
              <w:t xml:space="preserve">M5</w:t>
            </w:r>
          </w:p>
        </w:tc>
        <w:tc>
          <w:tcPr/>
          <w:p>
            <w:pPr>
              <w:pStyle w:val="Compact"/>
              <w:spacing w:after="40"/>
              <w:jc w:val="left"/>
            </w:pPr>
            <w:r>
              <w:rPr>
                <w:sz w:val="19"/>
              </w:rPr>
              <w:t xml:space="preserve">ARIMA vs. TES</w:t>
            </w:r>
          </w:p>
        </w:tc>
        <w:tc>
          <w:tcPr/>
          <w:p>
            <w:pPr>
              <w:pStyle w:val="Compact"/>
              <w:spacing w:after="40"/>
              <w:jc w:val="right"/>
            </w:pPr>
            <w:r>
              <w:rPr>
                <w:sz w:val="19"/>
              </w:rPr>
              <w:t xml:space="preserve">-0.7898</w:t>
            </w:r>
          </w:p>
        </w:tc>
        <w:tc>
          <w:tcPr/>
          <w:p>
            <w:pPr>
              <w:pStyle w:val="Compact"/>
              <w:spacing w:after="40"/>
              <w:jc w:val="right"/>
            </w:pPr>
            <w:r>
              <w:rPr>
                <w:sz w:val="19"/>
              </w:rPr>
              <w:t xml:space="preserve">-0.273</w:t>
            </w:r>
          </w:p>
        </w:tc>
        <w:tc>
          <w:tcPr/>
          <w:p>
            <w:pPr>
              <w:pStyle w:val="Compact"/>
              <w:spacing w:after="40"/>
              <w:jc w:val="right"/>
            </w:pPr>
            <w:r>
              <w:rPr>
                <w:sz w:val="19"/>
              </w:rPr>
              <w:t xml:space="preserve">0.00e+00</w:t>
            </w:r>
          </w:p>
        </w:tc>
        <w:tc>
          <w:tcPr/>
          <w:p>
            <w:pPr>
              <w:pStyle w:val="Compact"/>
              <w:spacing w:after="40"/>
              <w:jc w:val="right"/>
            </w:pPr>
            <w:r>
              <w:rPr>
                <w:sz w:val="19"/>
              </w:rPr>
              <w:t xml:space="preserve">-0.427</w:t>
            </w:r>
          </w:p>
        </w:tc>
      </w:tr>
      <w:tr>
        <w:tc>
          <w:tcPr/>
          <w:p>
            <w:pPr>
              <w:pStyle w:val="Compact"/>
              <w:spacing w:after="40"/>
              <w:jc w:val="left"/>
            </w:pPr>
            <w:r>
              <w:rPr>
                <w:sz w:val="19"/>
              </w:rPr>
              <w:t xml:space="preserve">M5</w:t>
            </w:r>
          </w:p>
        </w:tc>
        <w:tc>
          <w:tcPr/>
          <w:p>
            <w:pPr>
              <w:pStyle w:val="Compact"/>
              <w:spacing w:after="40"/>
              <w:jc w:val="left"/>
            </w:pPr>
            <w:r>
              <w:rPr>
                <w:sz w:val="19"/>
              </w:rPr>
              <w:t xml:space="preserve">ARIMA vs. TSB</w:t>
            </w:r>
          </w:p>
        </w:tc>
        <w:tc>
          <w:tcPr/>
          <w:p>
            <w:pPr>
              <w:pStyle w:val="Compact"/>
              <w:spacing w:after="40"/>
              <w:jc w:val="right"/>
            </w:pPr>
            <w:r>
              <w:rPr>
                <w:sz w:val="19"/>
              </w:rPr>
              <w:t xml:space="preserve">0.1227</w:t>
            </w:r>
          </w:p>
        </w:tc>
        <w:tc>
          <w:tcPr/>
          <w:p>
            <w:pPr>
              <w:pStyle w:val="Compact"/>
              <w:spacing w:after="40"/>
              <w:jc w:val="right"/>
            </w:pPr>
            <w:r>
              <w:rPr>
                <w:sz w:val="19"/>
              </w:rPr>
              <w:t xml:space="preserve">0.123</w:t>
            </w:r>
          </w:p>
        </w:tc>
        <w:tc>
          <w:tcPr/>
          <w:p>
            <w:pPr>
              <w:pStyle w:val="Compact"/>
              <w:spacing w:after="40"/>
              <w:jc w:val="right"/>
            </w:pPr>
            <w:r>
              <w:rPr>
                <w:sz w:val="19"/>
              </w:rPr>
              <w:t xml:space="preserve">1.43e-72</w:t>
            </w:r>
          </w:p>
        </w:tc>
        <w:tc>
          <w:tcPr/>
          <w:p>
            <w:pPr>
              <w:pStyle w:val="Compact"/>
              <w:spacing w:after="40"/>
              <w:jc w:val="right"/>
            </w:pPr>
            <w:r>
              <w:rPr>
                <w:sz w:val="19"/>
              </w:rPr>
              <w:t xml:space="preserve">-0.054</w:t>
            </w:r>
          </w:p>
        </w:tc>
      </w:tr>
      <w:tr>
        <w:tc>
          <w:tcPr/>
          <w:p>
            <w:pPr>
              <w:pStyle w:val="Compact"/>
              <w:spacing w:after="40"/>
              <w:jc w:val="left"/>
            </w:pPr>
            <w:r>
              <w:rPr>
                <w:sz w:val="19"/>
              </w:rPr>
              <w:t xml:space="preserve">M5</w:t>
            </w:r>
          </w:p>
        </w:tc>
        <w:tc>
          <w:tcPr/>
          <w:p>
            <w:pPr>
              <w:pStyle w:val="Compact"/>
              <w:spacing w:after="40"/>
              <w:jc w:val="left"/>
            </w:pPr>
            <w:r>
              <w:rPr>
                <w:sz w:val="19"/>
              </w:rPr>
              <w:t xml:space="preserve">CROSTON vs. DES</w:t>
            </w:r>
          </w:p>
        </w:tc>
        <w:tc>
          <w:tcPr/>
          <w:p>
            <w:pPr>
              <w:pStyle w:val="Compact"/>
              <w:spacing w:after="40"/>
              <w:jc w:val="right"/>
            </w:pPr>
            <w:r>
              <w:rPr>
                <w:sz w:val="19"/>
              </w:rPr>
              <w:t xml:space="preserve">-0.4318</w:t>
            </w:r>
          </w:p>
        </w:tc>
        <w:tc>
          <w:tcPr/>
          <w:p>
            <w:pPr>
              <w:pStyle w:val="Compact"/>
              <w:spacing w:after="40"/>
              <w:jc w:val="right"/>
            </w:pPr>
            <w:r>
              <w:rPr>
                <w:sz w:val="19"/>
              </w:rPr>
              <w:t xml:space="preserve">-0.170</w:t>
            </w:r>
          </w:p>
        </w:tc>
        <w:tc>
          <w:tcPr/>
          <w:p>
            <w:pPr>
              <w:pStyle w:val="Compact"/>
              <w:spacing w:after="40"/>
              <w:jc w:val="right"/>
            </w:pPr>
            <w:r>
              <w:rPr>
                <w:sz w:val="19"/>
              </w:rPr>
              <w:t xml:space="preserve">0.00e+00</w:t>
            </w:r>
          </w:p>
        </w:tc>
        <w:tc>
          <w:tcPr/>
          <w:p>
            <w:pPr>
              <w:pStyle w:val="Compact"/>
              <w:spacing w:after="40"/>
              <w:jc w:val="right"/>
            </w:pPr>
            <w:r>
              <w:rPr>
                <w:sz w:val="19"/>
              </w:rPr>
              <w:t xml:space="preserve">-0.191</w:t>
            </w:r>
          </w:p>
        </w:tc>
      </w:tr>
      <w:tr>
        <w:tc>
          <w:tcPr/>
          <w:p>
            <w:pPr>
              <w:pStyle w:val="Compact"/>
              <w:spacing w:after="40"/>
              <w:jc w:val="left"/>
            </w:pPr>
            <w:r>
              <w:rPr>
                <w:sz w:val="19"/>
              </w:rPr>
              <w:t xml:space="preserve">M5</w:t>
            </w:r>
          </w:p>
        </w:tc>
        <w:tc>
          <w:tcPr/>
          <w:p>
            <w:pPr>
              <w:pStyle w:val="Compact"/>
              <w:spacing w:after="40"/>
              <w:jc w:val="left"/>
            </w:pPr>
            <w:r>
              <w:rPr>
                <w:sz w:val="19"/>
              </w:rPr>
              <w:t xml:space="preserve">CROSTON vs. LSTM</w:t>
            </w:r>
          </w:p>
        </w:tc>
        <w:tc>
          <w:tcPr/>
          <w:p>
            <w:pPr>
              <w:pStyle w:val="Compact"/>
              <w:spacing w:after="40"/>
              <w:jc w:val="right"/>
            </w:pPr>
            <w:r>
              <w:rPr>
                <w:sz w:val="19"/>
              </w:rPr>
              <w:t xml:space="preserve">0.0929</w:t>
            </w:r>
          </w:p>
        </w:tc>
        <w:tc>
          <w:tcPr/>
          <w:p>
            <w:pPr>
              <w:pStyle w:val="Compact"/>
              <w:spacing w:after="40"/>
              <w:jc w:val="right"/>
            </w:pPr>
            <w:r>
              <w:rPr>
                <w:sz w:val="19"/>
              </w:rPr>
              <w:t xml:space="preserve">0.099</w:t>
            </w:r>
          </w:p>
        </w:tc>
        <w:tc>
          <w:tcPr/>
          <w:p>
            <w:pPr>
              <w:pStyle w:val="Compact"/>
              <w:spacing w:after="40"/>
              <w:jc w:val="right"/>
            </w:pPr>
            <w:r>
              <w:rPr>
                <w:sz w:val="19"/>
              </w:rPr>
              <w:t xml:space="preserve">4.20e-227</w:t>
            </w:r>
          </w:p>
        </w:tc>
        <w:tc>
          <w:tcPr/>
          <w:p>
            <w:pPr>
              <w:pStyle w:val="Compact"/>
              <w:spacing w:after="40"/>
              <w:jc w:val="right"/>
            </w:pPr>
            <w:r>
              <w:rPr>
                <w:sz w:val="19"/>
              </w:rPr>
              <w:t xml:space="preserve">-0.096</w:t>
            </w:r>
          </w:p>
        </w:tc>
      </w:tr>
      <w:tr>
        <w:tc>
          <w:tcPr/>
          <w:p>
            <w:pPr>
              <w:pStyle w:val="Compact"/>
              <w:spacing w:after="40"/>
              <w:jc w:val="left"/>
            </w:pPr>
            <w:r>
              <w:rPr>
                <w:sz w:val="19"/>
              </w:rPr>
              <w:t xml:space="preserve">M5</w:t>
            </w:r>
          </w:p>
        </w:tc>
        <w:tc>
          <w:tcPr/>
          <w:p>
            <w:pPr>
              <w:pStyle w:val="Compact"/>
              <w:spacing w:after="40"/>
              <w:jc w:val="left"/>
            </w:pPr>
            <w:r>
              <w:rPr>
                <w:sz w:val="19"/>
              </w:rPr>
              <w:t xml:space="preserve">CROSTON vs. Moving Average</w:t>
            </w:r>
          </w:p>
        </w:tc>
        <w:tc>
          <w:tcPr/>
          <w:p>
            <w:pPr>
              <w:pStyle w:val="Compact"/>
              <w:spacing w:after="40"/>
              <w:jc w:val="right"/>
            </w:pPr>
            <w:r>
              <w:rPr>
                <w:sz w:val="19"/>
              </w:rPr>
              <w:t xml:space="preserve">0.0824</w:t>
            </w:r>
          </w:p>
        </w:tc>
        <w:tc>
          <w:tcPr/>
          <w:p>
            <w:pPr>
              <w:pStyle w:val="Compact"/>
              <w:spacing w:after="40"/>
              <w:jc w:val="right"/>
            </w:pPr>
            <w:r>
              <w:rPr>
                <w:sz w:val="19"/>
              </w:rPr>
              <w:t xml:space="preserve">0.093</w:t>
            </w:r>
          </w:p>
        </w:tc>
        <w:tc>
          <w:tcPr/>
          <w:p>
            <w:pPr>
              <w:pStyle w:val="Compact"/>
              <w:spacing w:after="40"/>
              <w:jc w:val="right"/>
            </w:pPr>
            <w:r>
              <w:rPr>
                <w:sz w:val="19"/>
              </w:rPr>
              <w:t xml:space="preserve">2.25e-118</w:t>
            </w:r>
          </w:p>
        </w:tc>
        <w:tc>
          <w:tcPr/>
          <w:p>
            <w:pPr>
              <w:pStyle w:val="Compact"/>
              <w:spacing w:after="40"/>
              <w:jc w:val="right"/>
            </w:pPr>
            <w:r>
              <w:rPr>
                <w:sz w:val="19"/>
              </w:rPr>
              <w:t xml:space="preserve">-0.070</w:t>
            </w:r>
          </w:p>
        </w:tc>
      </w:tr>
      <w:tr>
        <w:tc>
          <w:tcPr/>
          <w:p>
            <w:pPr>
              <w:pStyle w:val="Compact"/>
              <w:spacing w:after="40"/>
              <w:jc w:val="left"/>
            </w:pPr>
            <w:r>
              <w:rPr>
                <w:sz w:val="19"/>
              </w:rPr>
              <w:t xml:space="preserve">M5</w:t>
            </w:r>
          </w:p>
        </w:tc>
        <w:tc>
          <w:tcPr/>
          <w:p>
            <w:pPr>
              <w:pStyle w:val="Compact"/>
              <w:spacing w:after="40"/>
              <w:jc w:val="left"/>
            </w:pPr>
            <w:r>
              <w:rPr>
                <w:sz w:val="19"/>
              </w:rPr>
              <w:t xml:space="preserve">CROSTON vs. Naive</w:t>
            </w:r>
          </w:p>
        </w:tc>
        <w:tc>
          <w:tcPr/>
          <w:p>
            <w:pPr>
              <w:pStyle w:val="Compact"/>
              <w:spacing w:after="40"/>
              <w:jc w:val="right"/>
            </w:pPr>
            <w:r>
              <w:rPr>
                <w:sz w:val="19"/>
              </w:rPr>
              <w:t xml:space="preserve">-0.1023</w:t>
            </w:r>
          </w:p>
        </w:tc>
        <w:tc>
          <w:tcPr/>
          <w:p>
            <w:pPr>
              <w:pStyle w:val="Compact"/>
              <w:spacing w:after="40"/>
              <w:jc w:val="right"/>
            </w:pPr>
            <w:r>
              <w:rPr>
                <w:sz w:val="19"/>
              </w:rPr>
              <w:t xml:space="preserve">-0.062</w:t>
            </w:r>
          </w:p>
        </w:tc>
        <w:tc>
          <w:tcPr/>
          <w:p>
            <w:pPr>
              <w:pStyle w:val="Compact"/>
              <w:spacing w:after="40"/>
              <w:jc w:val="right"/>
            </w:pPr>
            <w:r>
              <w:rPr>
                <w:sz w:val="19"/>
              </w:rPr>
              <w:t xml:space="preserve">2.57e-38</w:t>
            </w:r>
          </w:p>
        </w:tc>
        <w:tc>
          <w:tcPr/>
          <w:p>
            <w:pPr>
              <w:pStyle w:val="Compact"/>
              <w:spacing w:after="40"/>
              <w:jc w:val="right"/>
            </w:pPr>
            <w:r>
              <w:rPr>
                <w:sz w:val="19"/>
              </w:rPr>
              <w:t xml:space="preserve">-0.039</w:t>
            </w:r>
          </w:p>
        </w:tc>
      </w:tr>
      <w:tr>
        <w:tc>
          <w:tcPr/>
          <w:p>
            <w:pPr>
              <w:pStyle w:val="Compact"/>
              <w:spacing w:after="40"/>
              <w:jc w:val="left"/>
            </w:pPr>
            <w:r>
              <w:rPr>
                <w:sz w:val="19"/>
              </w:rPr>
              <w:t xml:space="preserve">M5</w:t>
            </w:r>
          </w:p>
        </w:tc>
        <w:tc>
          <w:tcPr/>
          <w:p>
            <w:pPr>
              <w:pStyle w:val="Compact"/>
              <w:spacing w:after="40"/>
              <w:jc w:val="left"/>
            </w:pPr>
            <w:r>
              <w:rPr>
                <w:sz w:val="19"/>
              </w:rPr>
              <w:t xml:space="preserve">CROSTON vs. SBA</w:t>
            </w:r>
          </w:p>
        </w:tc>
        <w:tc>
          <w:tcPr/>
          <w:p>
            <w:pPr>
              <w:pStyle w:val="Compact"/>
              <w:spacing w:after="40"/>
              <w:jc w:val="right"/>
            </w:pPr>
            <w:r>
              <w:rPr>
                <w:sz w:val="19"/>
              </w:rPr>
              <w:t xml:space="preserve">0.0156</w:t>
            </w:r>
          </w:p>
        </w:tc>
        <w:tc>
          <w:tcPr/>
          <w:p>
            <w:pPr>
              <w:pStyle w:val="Compact"/>
              <w:spacing w:after="40"/>
              <w:jc w:val="right"/>
            </w:pPr>
            <w:r>
              <w:rPr>
                <w:sz w:val="19"/>
              </w:rPr>
              <w:t xml:space="preserve">0.020</w:t>
            </w:r>
          </w:p>
        </w:tc>
        <w:tc>
          <w:tcPr/>
          <w:p>
            <w:pPr>
              <w:pStyle w:val="Compact"/>
              <w:spacing w:after="40"/>
              <w:jc w:val="right"/>
            </w:pPr>
            <w:r>
              <w:rPr>
                <w:sz w:val="19"/>
              </w:rPr>
              <w:t xml:space="preserve">2.37e-63</w:t>
            </w:r>
          </w:p>
        </w:tc>
        <w:tc>
          <w:tcPr/>
          <w:p>
            <w:pPr>
              <w:pStyle w:val="Compact"/>
              <w:spacing w:after="40"/>
              <w:jc w:val="right"/>
            </w:pPr>
            <w:r>
              <w:rPr>
                <w:sz w:val="19"/>
              </w:rPr>
              <w:t xml:space="preserve">-0.051</w:t>
            </w:r>
          </w:p>
        </w:tc>
      </w:tr>
      <w:tr>
        <w:tc>
          <w:tcPr/>
          <w:p>
            <w:pPr>
              <w:pStyle w:val="Compact"/>
              <w:spacing w:after="40"/>
              <w:jc w:val="left"/>
            </w:pPr>
            <w:r>
              <w:rPr>
                <w:sz w:val="19"/>
              </w:rPr>
              <w:t xml:space="preserve">M5</w:t>
            </w:r>
          </w:p>
        </w:tc>
        <w:tc>
          <w:tcPr/>
          <w:p>
            <w:pPr>
              <w:pStyle w:val="Compact"/>
              <w:spacing w:after="40"/>
              <w:jc w:val="left"/>
            </w:pPr>
            <w:r>
              <w:rPr>
                <w:sz w:val="19"/>
              </w:rPr>
              <w:t xml:space="preserve">CROSTON vs. SES</w:t>
            </w:r>
          </w:p>
        </w:tc>
        <w:tc>
          <w:tcPr/>
          <w:p>
            <w:pPr>
              <w:pStyle w:val="Compact"/>
              <w:spacing w:after="40"/>
              <w:jc w:val="right"/>
            </w:pPr>
            <w:r>
              <w:rPr>
                <w:sz w:val="19"/>
              </w:rPr>
              <w:t xml:space="preserve">0.0839</w:t>
            </w:r>
          </w:p>
        </w:tc>
        <w:tc>
          <w:tcPr/>
          <w:p>
            <w:pPr>
              <w:pStyle w:val="Compact"/>
              <w:spacing w:after="40"/>
              <w:jc w:val="right"/>
            </w:pPr>
            <w:r>
              <w:rPr>
                <w:sz w:val="19"/>
              </w:rPr>
              <w:t xml:space="preserve">0.101</w:t>
            </w:r>
          </w:p>
        </w:tc>
        <w:tc>
          <w:tcPr/>
          <w:p>
            <w:pPr>
              <w:pStyle w:val="Compact"/>
              <w:spacing w:after="40"/>
              <w:jc w:val="right"/>
            </w:pPr>
            <w:r>
              <w:rPr>
                <w:sz w:val="19"/>
              </w:rPr>
              <w:t xml:space="preserve">1.27e-126</w:t>
            </w:r>
          </w:p>
        </w:tc>
        <w:tc>
          <w:tcPr/>
          <w:p>
            <w:pPr>
              <w:pStyle w:val="Compact"/>
              <w:spacing w:after="40"/>
              <w:jc w:val="right"/>
            </w:pPr>
            <w:r>
              <w:rPr>
                <w:sz w:val="19"/>
              </w:rPr>
              <w:t xml:space="preserve">-0.072</w:t>
            </w:r>
          </w:p>
        </w:tc>
      </w:tr>
      <w:tr>
        <w:tc>
          <w:tcPr/>
          <w:p>
            <w:pPr>
              <w:pStyle w:val="Compact"/>
              <w:spacing w:after="40"/>
              <w:jc w:val="left"/>
            </w:pPr>
            <w:r>
              <w:rPr>
                <w:sz w:val="19"/>
              </w:rPr>
              <w:t xml:space="preserve">M5</w:t>
            </w:r>
          </w:p>
        </w:tc>
        <w:tc>
          <w:tcPr/>
          <w:p>
            <w:pPr>
              <w:pStyle w:val="Compact"/>
              <w:spacing w:after="40"/>
              <w:jc w:val="left"/>
            </w:pPr>
            <w:r>
              <w:rPr>
                <w:sz w:val="19"/>
              </w:rPr>
              <w:t xml:space="preserve">CROSTON vs. Seasonal Naive</w:t>
            </w:r>
          </w:p>
        </w:tc>
        <w:tc>
          <w:tcPr/>
          <w:p>
            <w:pPr>
              <w:pStyle w:val="Compact"/>
              <w:spacing w:after="40"/>
              <w:jc w:val="right"/>
            </w:pPr>
            <w:r>
              <w:rPr>
                <w:sz w:val="19"/>
              </w:rPr>
              <w:t xml:space="preserve">-0.1045</w:t>
            </w:r>
          </w:p>
        </w:tc>
        <w:tc>
          <w:tcPr/>
          <w:p>
            <w:pPr>
              <w:pStyle w:val="Compact"/>
              <w:spacing w:after="40"/>
              <w:jc w:val="right"/>
            </w:pPr>
            <w:r>
              <w:rPr>
                <w:sz w:val="19"/>
              </w:rPr>
              <w:t xml:space="preserve">-0.062</w:t>
            </w:r>
          </w:p>
        </w:tc>
        <w:tc>
          <w:tcPr/>
          <w:p>
            <w:pPr>
              <w:pStyle w:val="Compact"/>
              <w:spacing w:after="40"/>
              <w:jc w:val="right"/>
            </w:pPr>
            <w:r>
              <w:rPr>
                <w:sz w:val="19"/>
              </w:rPr>
              <w:t xml:space="preserve">8.77e-32</w:t>
            </w:r>
          </w:p>
        </w:tc>
        <w:tc>
          <w:tcPr/>
          <w:p>
            <w:pPr>
              <w:pStyle w:val="Compact"/>
              <w:spacing w:after="40"/>
              <w:jc w:val="right"/>
            </w:pPr>
            <w:r>
              <w:rPr>
                <w:sz w:val="19"/>
              </w:rPr>
              <w:t xml:space="preserve">-0.036</w:t>
            </w:r>
          </w:p>
        </w:tc>
      </w:tr>
      <w:tr>
        <w:tc>
          <w:tcPr/>
          <w:p>
            <w:pPr>
              <w:pStyle w:val="Compact"/>
              <w:spacing w:after="40"/>
              <w:jc w:val="left"/>
            </w:pPr>
            <w:r>
              <w:rPr>
                <w:sz w:val="19"/>
              </w:rPr>
              <w:t xml:space="preserve">M5</w:t>
            </w:r>
          </w:p>
        </w:tc>
        <w:tc>
          <w:tcPr/>
          <w:p>
            <w:pPr>
              <w:pStyle w:val="Compact"/>
              <w:spacing w:after="40"/>
              <w:jc w:val="left"/>
            </w:pPr>
            <w:r>
              <w:rPr>
                <w:sz w:val="19"/>
              </w:rPr>
              <w:t xml:space="preserve">CROSTON vs. TES</w:t>
            </w:r>
          </w:p>
        </w:tc>
        <w:tc>
          <w:tcPr/>
          <w:p>
            <w:pPr>
              <w:pStyle w:val="Compact"/>
              <w:spacing w:after="40"/>
              <w:jc w:val="right"/>
            </w:pPr>
            <w:r>
              <w:rPr>
                <w:sz w:val="19"/>
              </w:rPr>
              <w:t xml:space="preserve">-0.8401</w:t>
            </w:r>
          </w:p>
        </w:tc>
        <w:tc>
          <w:tcPr/>
          <w:p>
            <w:pPr>
              <w:pStyle w:val="Compact"/>
              <w:spacing w:after="40"/>
              <w:jc w:val="right"/>
            </w:pPr>
            <w:r>
              <w:rPr>
                <w:sz w:val="19"/>
              </w:rPr>
              <w:t xml:space="preserve">-0.239</w:t>
            </w:r>
          </w:p>
        </w:tc>
        <w:tc>
          <w:tcPr/>
          <w:p>
            <w:pPr>
              <w:pStyle w:val="Compact"/>
              <w:spacing w:after="40"/>
              <w:jc w:val="right"/>
            </w:pPr>
            <w:r>
              <w:rPr>
                <w:sz w:val="19"/>
              </w:rPr>
              <w:t xml:space="preserve">0.00e+00</w:t>
            </w:r>
          </w:p>
        </w:tc>
        <w:tc>
          <w:tcPr/>
          <w:p>
            <w:pPr>
              <w:pStyle w:val="Compact"/>
              <w:spacing w:after="40"/>
              <w:jc w:val="right"/>
            </w:pPr>
            <w:r>
              <w:rPr>
                <w:sz w:val="19"/>
              </w:rPr>
              <w:t xml:space="preserve">-0.258</w:t>
            </w:r>
          </w:p>
        </w:tc>
      </w:tr>
      <w:tr>
        <w:tc>
          <w:tcPr/>
          <w:p>
            <w:pPr>
              <w:pStyle w:val="Compact"/>
              <w:spacing w:after="40"/>
              <w:jc w:val="left"/>
            </w:pPr>
            <w:r>
              <w:rPr>
                <w:sz w:val="19"/>
              </w:rPr>
              <w:t xml:space="preserve">M5</w:t>
            </w:r>
          </w:p>
        </w:tc>
        <w:tc>
          <w:tcPr/>
          <w:p>
            <w:pPr>
              <w:pStyle w:val="Compact"/>
              <w:spacing w:after="40"/>
              <w:jc w:val="left"/>
            </w:pPr>
            <w:r>
              <w:rPr>
                <w:sz w:val="19"/>
              </w:rPr>
              <w:t xml:space="preserve">CROSTON vs. TSB</w:t>
            </w:r>
          </w:p>
        </w:tc>
        <w:tc>
          <w:tcPr/>
          <w:p>
            <w:pPr>
              <w:pStyle w:val="Compact"/>
              <w:spacing w:after="40"/>
              <w:jc w:val="right"/>
            </w:pPr>
            <w:r>
              <w:rPr>
                <w:sz w:val="19"/>
              </w:rPr>
              <w:t xml:space="preserve">0.0724</w:t>
            </w:r>
          </w:p>
        </w:tc>
        <w:tc>
          <w:tcPr/>
          <w:p>
            <w:pPr>
              <w:pStyle w:val="Compact"/>
              <w:spacing w:after="40"/>
              <w:jc w:val="right"/>
            </w:pPr>
            <w:r>
              <w:rPr>
                <w:sz w:val="19"/>
              </w:rPr>
              <w:t xml:space="preserve">0.078</w:t>
            </w:r>
          </w:p>
        </w:tc>
        <w:tc>
          <w:tcPr/>
          <w:p>
            <w:pPr>
              <w:pStyle w:val="Compact"/>
              <w:spacing w:after="40"/>
              <w:jc w:val="right"/>
            </w:pPr>
            <w:r>
              <w:rPr>
                <w:sz w:val="19"/>
              </w:rPr>
              <w:t xml:space="preserve">1.49e-16</w:t>
            </w:r>
          </w:p>
        </w:tc>
        <w:tc>
          <w:tcPr/>
          <w:p>
            <w:pPr>
              <w:pStyle w:val="Compact"/>
              <w:spacing w:after="40"/>
              <w:jc w:val="right"/>
            </w:pPr>
            <w:r>
              <w:rPr>
                <w:sz w:val="19"/>
              </w:rPr>
              <w:t xml:space="preserve">-0.025</w:t>
            </w:r>
          </w:p>
        </w:tc>
      </w:tr>
      <w:tr>
        <w:tc>
          <w:tcPr/>
          <w:p>
            <w:pPr>
              <w:pStyle w:val="Compact"/>
              <w:spacing w:after="40"/>
              <w:jc w:val="left"/>
            </w:pPr>
            <w:r>
              <w:rPr>
                <w:sz w:val="19"/>
              </w:rPr>
              <w:t xml:space="preserve">M5</w:t>
            </w:r>
          </w:p>
        </w:tc>
        <w:tc>
          <w:tcPr/>
          <w:p>
            <w:pPr>
              <w:pStyle w:val="Compact"/>
              <w:spacing w:after="40"/>
              <w:jc w:val="left"/>
            </w:pPr>
            <w:r>
              <w:rPr>
                <w:sz w:val="19"/>
              </w:rPr>
              <w:t xml:space="preserve">DES vs. LSTM</w:t>
            </w:r>
          </w:p>
        </w:tc>
        <w:tc>
          <w:tcPr/>
          <w:p>
            <w:pPr>
              <w:pStyle w:val="Compact"/>
              <w:spacing w:after="40"/>
              <w:jc w:val="right"/>
            </w:pPr>
            <w:r>
              <w:rPr>
                <w:sz w:val="19"/>
              </w:rPr>
              <w:t xml:space="preserve">0.5248</w:t>
            </w:r>
          </w:p>
        </w:tc>
        <w:tc>
          <w:tcPr/>
          <w:p>
            <w:pPr>
              <w:pStyle w:val="Compact"/>
              <w:spacing w:after="40"/>
              <w:jc w:val="right"/>
            </w:pPr>
            <w:r>
              <w:rPr>
                <w:sz w:val="19"/>
              </w:rPr>
              <w:t xml:space="preserve">0.213</w:t>
            </w:r>
          </w:p>
        </w:tc>
        <w:tc>
          <w:tcPr/>
          <w:p>
            <w:pPr>
              <w:pStyle w:val="Compact"/>
              <w:spacing w:after="40"/>
              <w:jc w:val="right"/>
            </w:pPr>
            <w:r>
              <w:rPr>
                <w:sz w:val="19"/>
              </w:rPr>
              <w:t xml:space="preserve">0.00e+00</w:t>
            </w:r>
          </w:p>
        </w:tc>
        <w:tc>
          <w:tcPr/>
          <w:p>
            <w:pPr>
              <w:pStyle w:val="Compact"/>
              <w:spacing w:after="40"/>
              <w:jc w:val="right"/>
            </w:pPr>
            <w:r>
              <w:rPr>
                <w:sz w:val="19"/>
              </w:rPr>
              <w:t xml:space="preserve">-0.228</w:t>
            </w:r>
          </w:p>
        </w:tc>
      </w:tr>
      <w:tr>
        <w:tc>
          <w:tcPr/>
          <w:p>
            <w:pPr>
              <w:pStyle w:val="Compact"/>
              <w:spacing w:after="40"/>
              <w:jc w:val="left"/>
            </w:pPr>
            <w:r>
              <w:rPr>
                <w:sz w:val="19"/>
              </w:rPr>
              <w:t xml:space="preserve">M5</w:t>
            </w:r>
          </w:p>
        </w:tc>
        <w:tc>
          <w:tcPr/>
          <w:p>
            <w:pPr>
              <w:pStyle w:val="Compact"/>
              <w:spacing w:after="40"/>
              <w:jc w:val="left"/>
            </w:pPr>
            <w:r>
              <w:rPr>
                <w:sz w:val="19"/>
              </w:rPr>
              <w:t xml:space="preserve">DES vs. Moving Average</w:t>
            </w:r>
          </w:p>
        </w:tc>
        <w:tc>
          <w:tcPr/>
          <w:p>
            <w:pPr>
              <w:pStyle w:val="Compact"/>
              <w:spacing w:after="40"/>
              <w:jc w:val="right"/>
            </w:pPr>
            <w:r>
              <w:rPr>
                <w:sz w:val="19"/>
              </w:rPr>
              <w:t xml:space="preserve">0.5142</w:t>
            </w:r>
          </w:p>
        </w:tc>
        <w:tc>
          <w:tcPr/>
          <w:p>
            <w:pPr>
              <w:pStyle w:val="Compact"/>
              <w:spacing w:after="40"/>
              <w:jc w:val="right"/>
            </w:pPr>
            <w:r>
              <w:rPr>
                <w:sz w:val="19"/>
              </w:rPr>
              <w:t xml:space="preserve">0.213</w:t>
            </w:r>
          </w:p>
        </w:tc>
        <w:tc>
          <w:tcPr/>
          <w:p>
            <w:pPr>
              <w:pStyle w:val="Compact"/>
              <w:spacing w:after="40"/>
              <w:jc w:val="right"/>
            </w:pPr>
            <w:r>
              <w:rPr>
                <w:sz w:val="19"/>
              </w:rPr>
              <w:t xml:space="preserve">0.00e+00</w:t>
            </w:r>
          </w:p>
        </w:tc>
        <w:tc>
          <w:tcPr/>
          <w:p>
            <w:pPr>
              <w:pStyle w:val="Compact"/>
              <w:spacing w:after="40"/>
              <w:jc w:val="right"/>
            </w:pPr>
            <w:r>
              <w:rPr>
                <w:sz w:val="19"/>
              </w:rPr>
              <w:t xml:space="preserve">-0.272</w:t>
            </w:r>
          </w:p>
        </w:tc>
      </w:tr>
      <w:tr>
        <w:tc>
          <w:tcPr/>
          <w:p>
            <w:pPr>
              <w:pStyle w:val="Compact"/>
              <w:spacing w:after="40"/>
              <w:jc w:val="left"/>
            </w:pPr>
            <w:r>
              <w:rPr>
                <w:sz w:val="19"/>
              </w:rPr>
              <w:t xml:space="preserve">M5</w:t>
            </w:r>
          </w:p>
        </w:tc>
        <w:tc>
          <w:tcPr/>
          <w:p>
            <w:pPr>
              <w:pStyle w:val="Compact"/>
              <w:spacing w:after="40"/>
              <w:jc w:val="left"/>
            </w:pPr>
            <w:r>
              <w:rPr>
                <w:sz w:val="19"/>
              </w:rPr>
              <w:t xml:space="preserve">DES vs. Naive</w:t>
            </w:r>
          </w:p>
        </w:tc>
        <w:tc>
          <w:tcPr/>
          <w:p>
            <w:pPr>
              <w:pStyle w:val="Compact"/>
              <w:spacing w:after="40"/>
              <w:jc w:val="right"/>
            </w:pPr>
            <w:r>
              <w:rPr>
                <w:sz w:val="19"/>
              </w:rPr>
              <w:t xml:space="preserve">0.3296</w:t>
            </w:r>
          </w:p>
        </w:tc>
        <w:tc>
          <w:tcPr/>
          <w:p>
            <w:pPr>
              <w:pStyle w:val="Compact"/>
              <w:spacing w:after="40"/>
              <w:jc w:val="right"/>
            </w:pPr>
            <w:r>
              <w:rPr>
                <w:sz w:val="19"/>
              </w:rPr>
              <w:t xml:space="preserve">0.148</w:t>
            </w:r>
          </w:p>
        </w:tc>
        <w:tc>
          <w:tcPr/>
          <w:p>
            <w:pPr>
              <w:pStyle w:val="Compact"/>
              <w:spacing w:after="40"/>
              <w:jc w:val="right"/>
            </w:pPr>
            <w:r>
              <w:rPr>
                <w:sz w:val="19"/>
              </w:rPr>
              <w:t xml:space="preserve">0.00e+00</w:t>
            </w:r>
          </w:p>
        </w:tc>
        <w:tc>
          <w:tcPr/>
          <w:p>
            <w:pPr>
              <w:pStyle w:val="Compact"/>
              <w:spacing w:after="40"/>
              <w:jc w:val="right"/>
            </w:pPr>
            <w:r>
              <w:rPr>
                <w:sz w:val="19"/>
              </w:rPr>
              <w:t xml:space="preserve">-0.217</w:t>
            </w:r>
          </w:p>
        </w:tc>
      </w:tr>
      <w:tr>
        <w:tc>
          <w:tcPr/>
          <w:p>
            <w:pPr>
              <w:pStyle w:val="Compact"/>
              <w:spacing w:after="40"/>
              <w:jc w:val="left"/>
            </w:pPr>
            <w:r>
              <w:rPr>
                <w:sz w:val="19"/>
              </w:rPr>
              <w:t xml:space="preserve">M5</w:t>
            </w:r>
          </w:p>
        </w:tc>
        <w:tc>
          <w:tcPr/>
          <w:p>
            <w:pPr>
              <w:pStyle w:val="Compact"/>
              <w:spacing w:after="40"/>
              <w:jc w:val="left"/>
            </w:pPr>
            <w:r>
              <w:rPr>
                <w:sz w:val="19"/>
              </w:rPr>
              <w:t xml:space="preserve">DES vs. SBA</w:t>
            </w:r>
          </w:p>
        </w:tc>
        <w:tc>
          <w:tcPr/>
          <w:p>
            <w:pPr>
              <w:pStyle w:val="Compact"/>
              <w:spacing w:after="40"/>
              <w:jc w:val="right"/>
            </w:pPr>
            <w:r>
              <w:rPr>
                <w:sz w:val="19"/>
              </w:rPr>
              <w:t xml:space="preserve">0.4475</w:t>
            </w:r>
          </w:p>
        </w:tc>
        <w:tc>
          <w:tcPr/>
          <w:p>
            <w:pPr>
              <w:pStyle w:val="Compact"/>
              <w:spacing w:after="40"/>
              <w:jc w:val="right"/>
            </w:pPr>
            <w:r>
              <w:rPr>
                <w:sz w:val="19"/>
              </w:rPr>
              <w:t xml:space="preserve">0.187</w:t>
            </w:r>
          </w:p>
        </w:tc>
        <w:tc>
          <w:tcPr/>
          <w:p>
            <w:pPr>
              <w:pStyle w:val="Compact"/>
              <w:spacing w:after="40"/>
              <w:jc w:val="right"/>
            </w:pPr>
            <w:r>
              <w:rPr>
                <w:sz w:val="19"/>
              </w:rPr>
              <w:t xml:space="preserve">0.00e+00</w:t>
            </w:r>
          </w:p>
        </w:tc>
        <w:tc>
          <w:tcPr/>
          <w:p>
            <w:pPr>
              <w:pStyle w:val="Compact"/>
              <w:spacing w:after="40"/>
              <w:jc w:val="right"/>
            </w:pPr>
            <w:r>
              <w:rPr>
                <w:sz w:val="19"/>
              </w:rPr>
              <w:t xml:space="preserve">-0.216</w:t>
            </w:r>
          </w:p>
        </w:tc>
      </w:tr>
      <w:tr>
        <w:tc>
          <w:tcPr/>
          <w:p>
            <w:pPr>
              <w:pStyle w:val="Compact"/>
              <w:spacing w:after="40"/>
              <w:jc w:val="left"/>
            </w:pPr>
            <w:r>
              <w:rPr>
                <w:sz w:val="19"/>
              </w:rPr>
              <w:t xml:space="preserve">M5</w:t>
            </w:r>
          </w:p>
        </w:tc>
        <w:tc>
          <w:tcPr/>
          <w:p>
            <w:pPr>
              <w:pStyle w:val="Compact"/>
              <w:spacing w:after="40"/>
              <w:jc w:val="left"/>
            </w:pPr>
            <w:r>
              <w:rPr>
                <w:sz w:val="19"/>
              </w:rPr>
              <w:t xml:space="preserve">DES vs. SES</w:t>
            </w:r>
          </w:p>
        </w:tc>
        <w:tc>
          <w:tcPr/>
          <w:p>
            <w:pPr>
              <w:pStyle w:val="Compact"/>
              <w:spacing w:after="40"/>
              <w:jc w:val="right"/>
            </w:pPr>
            <w:r>
              <w:rPr>
                <w:sz w:val="19"/>
              </w:rPr>
              <w:t xml:space="preserve">0.5157</w:t>
            </w:r>
          </w:p>
        </w:tc>
        <w:tc>
          <w:tcPr/>
          <w:p>
            <w:pPr>
              <w:pStyle w:val="Compact"/>
              <w:spacing w:after="40"/>
              <w:jc w:val="right"/>
            </w:pPr>
            <w:r>
              <w:rPr>
                <w:sz w:val="19"/>
              </w:rPr>
              <w:t xml:space="preserve">0.217</w:t>
            </w:r>
          </w:p>
        </w:tc>
        <w:tc>
          <w:tcPr/>
          <w:p>
            <w:pPr>
              <w:pStyle w:val="Compact"/>
              <w:spacing w:after="40"/>
              <w:jc w:val="right"/>
            </w:pPr>
            <w:r>
              <w:rPr>
                <w:sz w:val="19"/>
              </w:rPr>
              <w:t xml:space="preserve">0.00e+00</w:t>
            </w:r>
          </w:p>
        </w:tc>
        <w:tc>
          <w:tcPr/>
          <w:p>
            <w:pPr>
              <w:pStyle w:val="Compact"/>
              <w:spacing w:after="40"/>
              <w:jc w:val="right"/>
            </w:pPr>
            <w:r>
              <w:rPr>
                <w:sz w:val="19"/>
              </w:rPr>
              <w:t xml:space="preserve">-0.257</w:t>
            </w:r>
          </w:p>
        </w:tc>
      </w:tr>
      <w:tr>
        <w:tc>
          <w:tcPr/>
          <w:p>
            <w:pPr>
              <w:pStyle w:val="Compact"/>
              <w:spacing w:after="40"/>
              <w:jc w:val="left"/>
            </w:pPr>
            <w:r>
              <w:rPr>
                <w:sz w:val="19"/>
              </w:rPr>
              <w:t xml:space="preserve">M5</w:t>
            </w:r>
          </w:p>
        </w:tc>
        <w:tc>
          <w:tcPr/>
          <w:p>
            <w:pPr>
              <w:pStyle w:val="Compact"/>
              <w:spacing w:after="40"/>
              <w:jc w:val="left"/>
            </w:pPr>
            <w:r>
              <w:rPr>
                <w:sz w:val="19"/>
              </w:rPr>
              <w:t xml:space="preserve">DES vs. Seasonal Naive</w:t>
            </w:r>
          </w:p>
        </w:tc>
        <w:tc>
          <w:tcPr/>
          <w:p>
            <w:pPr>
              <w:pStyle w:val="Compact"/>
              <w:spacing w:after="40"/>
              <w:jc w:val="right"/>
            </w:pPr>
            <w:r>
              <w:rPr>
                <w:sz w:val="19"/>
              </w:rPr>
              <w:t xml:space="preserve">0.3273</w:t>
            </w:r>
          </w:p>
        </w:tc>
        <w:tc>
          <w:tcPr/>
          <w:p>
            <w:pPr>
              <w:pStyle w:val="Compact"/>
              <w:spacing w:after="40"/>
              <w:jc w:val="right"/>
            </w:pPr>
            <w:r>
              <w:rPr>
                <w:sz w:val="19"/>
              </w:rPr>
              <w:t xml:space="preserve">0.134</w:t>
            </w:r>
          </w:p>
        </w:tc>
        <w:tc>
          <w:tcPr/>
          <w:p>
            <w:pPr>
              <w:pStyle w:val="Compact"/>
              <w:spacing w:after="40"/>
              <w:jc w:val="right"/>
            </w:pPr>
            <w:r>
              <w:rPr>
                <w:sz w:val="19"/>
              </w:rPr>
              <w:t xml:space="preserve">0.00e+00</w:t>
            </w:r>
          </w:p>
        </w:tc>
        <w:tc>
          <w:tcPr/>
          <w:p>
            <w:pPr>
              <w:pStyle w:val="Compact"/>
              <w:spacing w:after="40"/>
              <w:jc w:val="right"/>
            </w:pPr>
            <w:r>
              <w:rPr>
                <w:sz w:val="19"/>
              </w:rPr>
              <w:t xml:space="preserve">-0.185</w:t>
            </w:r>
          </w:p>
        </w:tc>
      </w:tr>
      <w:tr>
        <w:tc>
          <w:tcPr/>
          <w:p>
            <w:pPr>
              <w:pStyle w:val="Compact"/>
              <w:spacing w:after="40"/>
              <w:jc w:val="left"/>
            </w:pPr>
            <w:r>
              <w:rPr>
                <w:sz w:val="19"/>
              </w:rPr>
              <w:t xml:space="preserve">M5</w:t>
            </w:r>
          </w:p>
        </w:tc>
        <w:tc>
          <w:tcPr/>
          <w:p>
            <w:pPr>
              <w:pStyle w:val="Compact"/>
              <w:spacing w:after="40"/>
              <w:jc w:val="left"/>
            </w:pPr>
            <w:r>
              <w:rPr>
                <w:sz w:val="19"/>
              </w:rPr>
              <w:t xml:space="preserve">DES vs. TES</w:t>
            </w:r>
          </w:p>
        </w:tc>
        <w:tc>
          <w:tcPr/>
          <w:p>
            <w:pPr>
              <w:pStyle w:val="Compact"/>
              <w:spacing w:after="40"/>
              <w:jc w:val="right"/>
            </w:pPr>
            <w:r>
              <w:rPr>
                <w:sz w:val="19"/>
              </w:rPr>
              <w:t xml:space="preserve">-0.4083</w:t>
            </w:r>
          </w:p>
        </w:tc>
        <w:tc>
          <w:tcPr/>
          <w:p>
            <w:pPr>
              <w:pStyle w:val="Compact"/>
              <w:spacing w:after="40"/>
              <w:jc w:val="right"/>
            </w:pPr>
            <w:r>
              <w:rPr>
                <w:sz w:val="19"/>
              </w:rPr>
              <w:t xml:space="preserve">-0.187</w:t>
            </w:r>
          </w:p>
        </w:tc>
        <w:tc>
          <w:tcPr/>
          <w:p>
            <w:pPr>
              <w:pStyle w:val="Compact"/>
              <w:spacing w:after="40"/>
              <w:jc w:val="right"/>
            </w:pPr>
            <w:r>
              <w:rPr>
                <w:sz w:val="19"/>
              </w:rPr>
              <w:t xml:space="preserve">0.00e+00</w:t>
            </w:r>
          </w:p>
        </w:tc>
        <w:tc>
          <w:tcPr/>
          <w:p>
            <w:pPr>
              <w:pStyle w:val="Compact"/>
              <w:spacing w:after="40"/>
              <w:jc w:val="right"/>
            </w:pPr>
            <w:r>
              <w:rPr>
                <w:sz w:val="19"/>
              </w:rPr>
              <w:t xml:space="preserve">-0.259</w:t>
            </w:r>
          </w:p>
        </w:tc>
      </w:tr>
      <w:tr>
        <w:tc>
          <w:tcPr/>
          <w:p>
            <w:pPr>
              <w:pStyle w:val="Compact"/>
              <w:spacing w:after="40"/>
              <w:jc w:val="left"/>
            </w:pPr>
            <w:r>
              <w:rPr>
                <w:sz w:val="19"/>
              </w:rPr>
              <w:t xml:space="preserve">M5</w:t>
            </w:r>
          </w:p>
        </w:tc>
        <w:tc>
          <w:tcPr/>
          <w:p>
            <w:pPr>
              <w:pStyle w:val="Compact"/>
              <w:spacing w:after="40"/>
              <w:jc w:val="left"/>
            </w:pPr>
            <w:r>
              <w:rPr>
                <w:sz w:val="19"/>
              </w:rPr>
              <w:t xml:space="preserve">DES vs. TSB</w:t>
            </w:r>
          </w:p>
        </w:tc>
        <w:tc>
          <w:tcPr/>
          <w:p>
            <w:pPr>
              <w:pStyle w:val="Compact"/>
              <w:spacing w:after="40"/>
              <w:jc w:val="right"/>
            </w:pPr>
            <w:r>
              <w:rPr>
                <w:sz w:val="19"/>
              </w:rPr>
              <w:t xml:space="preserve">0.5042</w:t>
            </w:r>
          </w:p>
        </w:tc>
        <w:tc>
          <w:tcPr/>
          <w:p>
            <w:pPr>
              <w:pStyle w:val="Compact"/>
              <w:spacing w:after="40"/>
              <w:jc w:val="right"/>
            </w:pPr>
            <w:r>
              <w:rPr>
                <w:sz w:val="19"/>
              </w:rPr>
              <w:t xml:space="preserve">0.216</w:t>
            </w:r>
          </w:p>
        </w:tc>
        <w:tc>
          <w:tcPr/>
          <w:p>
            <w:pPr>
              <w:pStyle w:val="Compact"/>
              <w:spacing w:after="40"/>
              <w:jc w:val="right"/>
            </w:pPr>
            <w:r>
              <w:rPr>
                <w:sz w:val="19"/>
              </w:rPr>
              <w:t xml:space="preserve">0.00e+00</w:t>
            </w:r>
          </w:p>
        </w:tc>
        <w:tc>
          <w:tcPr/>
          <w:p>
            <w:pPr>
              <w:pStyle w:val="Compact"/>
              <w:spacing w:after="40"/>
              <w:jc w:val="right"/>
            </w:pPr>
            <w:r>
              <w:rPr>
                <w:sz w:val="19"/>
              </w:rPr>
              <w:t xml:space="preserve">-0.276</w:t>
            </w:r>
          </w:p>
        </w:tc>
      </w:tr>
      <w:tr>
        <w:tc>
          <w:tcPr/>
          <w:p>
            <w:pPr>
              <w:pStyle w:val="Compact"/>
              <w:spacing w:after="40"/>
              <w:jc w:val="left"/>
            </w:pPr>
            <w:r>
              <w:rPr>
                <w:sz w:val="19"/>
              </w:rPr>
              <w:t xml:space="preserve">M5</w:t>
            </w:r>
          </w:p>
        </w:tc>
        <w:tc>
          <w:tcPr/>
          <w:p>
            <w:pPr>
              <w:pStyle w:val="Compact"/>
              <w:spacing w:after="40"/>
              <w:jc w:val="left"/>
            </w:pPr>
            <w:r>
              <w:rPr>
                <w:sz w:val="19"/>
              </w:rPr>
              <w:t xml:space="preserve">LSTM vs. Moving Average</w:t>
            </w:r>
          </w:p>
        </w:tc>
        <w:tc>
          <w:tcPr/>
          <w:p>
            <w:pPr>
              <w:pStyle w:val="Compact"/>
              <w:spacing w:after="40"/>
              <w:jc w:val="right"/>
            </w:pPr>
            <w:r>
              <w:rPr>
                <w:sz w:val="19"/>
              </w:rPr>
              <w:t xml:space="preserve">-0.0105</w:t>
            </w:r>
          </w:p>
        </w:tc>
        <w:tc>
          <w:tcPr/>
          <w:p>
            <w:pPr>
              <w:pStyle w:val="Compact"/>
              <w:spacing w:after="40"/>
              <w:jc w:val="right"/>
            </w:pPr>
            <w:r>
              <w:rPr>
                <w:sz w:val="19"/>
              </w:rPr>
              <w:t xml:space="preserve">-0.015</w:t>
            </w:r>
          </w:p>
        </w:tc>
        <w:tc>
          <w:tcPr/>
          <w:p>
            <w:pPr>
              <w:pStyle w:val="Compact"/>
              <w:spacing w:after="40"/>
              <w:jc w:val="right"/>
            </w:pPr>
            <w:r>
              <w:rPr>
                <w:sz w:val="19"/>
              </w:rPr>
              <w:t xml:space="preserve">1.78e-03</w:t>
            </w:r>
          </w:p>
        </w:tc>
        <w:tc>
          <w:tcPr/>
          <w:p>
            <w:pPr>
              <w:pStyle w:val="Compact"/>
              <w:spacing w:after="40"/>
              <w:jc w:val="right"/>
            </w:pPr>
            <w:r>
              <w:rPr>
                <w:sz w:val="19"/>
              </w:rPr>
              <w:t xml:space="preserve">-0.010</w:t>
            </w:r>
          </w:p>
        </w:tc>
      </w:tr>
    </w:tbl>
    <w:p/>
    <w:p>
      <w:pPr>
        <w:pStyle w:val="TableCaption"/>
      </w:pPr>
      <w:r>
        <w:t xml:space="preserve">Pairwise results: M5 (part 2 of 2).</w:t>
      </w:r>
    </w:p>
    <w:tbl>
      <w:tblPr>
        <w:tblStyle w:val="Table"/>
        <w:tblW w:type="auto" w:w="0"/>
        <w:jc w:val="center"/>
        <w:tblLook w:firstRow="1" w:lastRow="0" w:firstColumn="0" w:lastColumn="0" w:noHBand="0" w:noVBand="0" w:val="0020"/>
        <w:tblCaption w:val="Pairwise results: M5 (part 2 of 2)."/>
      </w:tblPr>
      <w:tblGrid>
        <w:gridCol w:w="1320"/>
        <w:gridCol w:w="1320"/>
        <w:gridCol w:w="1320"/>
        <w:gridCol w:w="1320"/>
        <w:gridCol w:w="1320"/>
        <w:gridCol w:w="1320"/>
      </w:tblGrid>
      <w:tr>
        <w:trPr>
          <w:tblHeader w:val="on"/>
        </w:trPr>
        <w:tc>
          <w:tcPr>
            <w:shd w:fill="EDEDED" w:val="clear"/>
          </w:tcPr>
          <w:p>
            <w:pPr>
              <w:pStyle w:val="Compact"/>
              <w:spacing w:after="40"/>
              <w:jc w:val="left"/>
            </w:pPr>
            <w:r>
              <w:rPr>
                <w:b/>
                <w:sz w:val="19"/>
              </w:rPr>
              <w:t xml:space="preserve">Dataset</w:t>
            </w:r>
          </w:p>
        </w:tc>
        <w:tc>
          <w:tcPr>
            <w:shd w:fill="EDEDED" w:val="clear"/>
          </w:tcPr>
          <w:p>
            <w:pPr>
              <w:pStyle w:val="Compact"/>
              <w:spacing w:after="40"/>
              <w:jc w:val="left"/>
            </w:pPr>
            <w:r>
              <w:rPr>
                <w:b/>
                <w:sz w:val="19"/>
              </w:rPr>
              <w:t xml:space="preserve">Pair (A vs. B)</w:t>
            </w:r>
          </w:p>
        </w:tc>
        <w:tc>
          <w:tcPr>
            <w:shd w:fill="EDEDED" w:val="clear"/>
          </w:tcPr>
          <w:p>
            <w:pPr>
              <w:pStyle w:val="Compact"/>
              <w:spacing w:after="40"/>
              <w:jc w:val="right"/>
            </w:pPr>
            <w:r>
              <w:rPr>
                <w:b/>
                <w:sz w:val="19"/>
              </w:rPr>
              <w:t xml:space="preserve">Mean</w:t>
            </w:r>
            <w:r>
              <w:rPr>
                <w:b/>
                <w:sz w:val="19"/>
              </w:rPr>
              <w:t xml:space="preserve"> </w:t>
            </w:r>
            <m:oMath>
              <m:r>
                <m:t>d</m:t>
              </m:r>
            </m:oMath>
          </w:p>
        </w:tc>
        <w:tc>
          <w:tcPr>
            <w:shd w:fill="EDEDED" w:val="clear"/>
          </w:tcPr>
          <w:p>
            <w:pPr>
              <w:pStyle w:val="Compact"/>
              <w:spacing w:after="40"/>
              <w:jc w:val="right"/>
            </w:pPr>
            <m:oMath>
              <m:sSub>
                <m:e>
                  <m:r>
                    <m:t>d</m:t>
                  </m:r>
                </m:e>
                <m:sub>
                  <m:r>
                    <m:t>z</m:t>
                  </m:r>
                </m:sub>
              </m:sSub>
            </m:oMath>
            <w:r>
              <w:rPr>
                <w:b/>
                <w:sz w:val="19"/>
              </w:rPr>
              <w:t xml:space="preserve">​</w:t>
            </w:r>
          </w:p>
        </w:tc>
        <w:tc>
          <w:tcPr>
            <w:shd w:fill="EDEDED" w:val="clear"/>
          </w:tcPr>
          <w:p>
            <w:pPr>
              <w:pStyle w:val="Compact"/>
              <w:spacing w:after="40"/>
              <w:jc w:val="right"/>
            </w:pPr>
            <w:r>
              <w:rPr>
                <w:b/>
                <w:sz w:val="19"/>
              </w:rPr>
              <w:t xml:space="preserve">Holm</w:t>
            </w:r>
            <w:r>
              <w:rPr>
                <w:b/>
                <w:sz w:val="19"/>
              </w:rPr>
              <w:t xml:space="preserve"> </w:t>
            </w:r>
            <m:oMath>
              <m:r>
                <m:t>p</m:t>
              </m:r>
            </m:oMath>
          </w:p>
        </w:tc>
        <w:tc>
          <w:tcPr>
            <w:shd w:fill="EDEDED" w:val="clear"/>
          </w:tcPr>
          <w:p>
            <w:pPr>
              <w:pStyle w:val="Compact"/>
              <w:spacing w:after="40"/>
              <w:jc w:val="right"/>
            </w:pPr>
            <m:oMath>
              <m:r>
                <m:t>r</m:t>
              </m:r>
            </m:oMath>
            <w:r>
              <w:rPr>
                <w:b/>
                <w:sz w:val="19"/>
              </w:rPr>
              <w:t xml:space="preserve">​</w:t>
            </w:r>
          </w:p>
        </w:tc>
      </w:tr>
      <w:tr>
        <w:tc>
          <w:tcPr/>
          <w:p>
            <w:pPr>
              <w:pStyle w:val="Compact"/>
              <w:spacing w:after="40"/>
              <w:jc w:val="left"/>
            </w:pPr>
            <w:r>
              <w:rPr>
                <w:sz w:val="19"/>
              </w:rPr>
              <w:t xml:space="preserve">M5</w:t>
            </w:r>
          </w:p>
        </w:tc>
        <w:tc>
          <w:tcPr/>
          <w:p>
            <w:pPr>
              <w:pStyle w:val="Compact"/>
              <w:spacing w:after="40"/>
              <w:jc w:val="left"/>
            </w:pPr>
            <w:r>
              <w:rPr>
                <w:sz w:val="19"/>
              </w:rPr>
              <w:t xml:space="preserve">LSTM vs. Naive</w:t>
            </w:r>
          </w:p>
        </w:tc>
        <w:tc>
          <w:tcPr/>
          <w:p>
            <w:pPr>
              <w:pStyle w:val="Compact"/>
              <w:spacing w:after="40"/>
              <w:jc w:val="right"/>
            </w:pPr>
            <w:r>
              <w:rPr>
                <w:sz w:val="19"/>
              </w:rPr>
              <w:t xml:space="preserve">-0.1952</w:t>
            </w:r>
          </w:p>
        </w:tc>
        <w:tc>
          <w:tcPr/>
          <w:p>
            <w:pPr>
              <w:pStyle w:val="Compact"/>
              <w:spacing w:after="40"/>
              <w:jc w:val="right"/>
            </w:pPr>
            <w:r>
              <w:rPr>
                <w:sz w:val="19"/>
              </w:rPr>
              <w:t xml:space="preserve">-0.136</w:t>
            </w:r>
          </w:p>
        </w:tc>
        <w:tc>
          <w:tcPr/>
          <w:p>
            <w:pPr>
              <w:pStyle w:val="Compact"/>
              <w:spacing w:after="40"/>
              <w:jc w:val="right"/>
            </w:pPr>
            <w:r>
              <w:rPr>
                <w:sz w:val="19"/>
              </w:rPr>
              <w:t xml:space="preserve">9.82e-127</w:t>
            </w:r>
          </w:p>
        </w:tc>
        <w:tc>
          <w:tcPr/>
          <w:p>
            <w:pPr>
              <w:pStyle w:val="Compact"/>
              <w:spacing w:after="40"/>
              <w:jc w:val="right"/>
            </w:pPr>
            <w:r>
              <w:rPr>
                <w:sz w:val="19"/>
              </w:rPr>
              <w:t xml:space="preserve">-0.072</w:t>
            </w:r>
          </w:p>
        </w:tc>
      </w:tr>
      <w:tr>
        <w:tc>
          <w:tcPr/>
          <w:p>
            <w:pPr>
              <w:pStyle w:val="Compact"/>
              <w:spacing w:after="40"/>
              <w:jc w:val="left"/>
            </w:pPr>
            <w:r>
              <w:rPr>
                <w:sz w:val="19"/>
              </w:rPr>
              <w:t xml:space="preserve">M5</w:t>
            </w:r>
          </w:p>
        </w:tc>
        <w:tc>
          <w:tcPr/>
          <w:p>
            <w:pPr>
              <w:pStyle w:val="Compact"/>
              <w:spacing w:after="40"/>
              <w:jc w:val="left"/>
            </w:pPr>
            <w:r>
              <w:rPr>
                <w:sz w:val="19"/>
              </w:rPr>
              <w:t xml:space="preserve">LSTM vs. SBA</w:t>
            </w:r>
          </w:p>
        </w:tc>
        <w:tc>
          <w:tcPr/>
          <w:p>
            <w:pPr>
              <w:pStyle w:val="Compact"/>
              <w:spacing w:after="40"/>
              <w:jc w:val="right"/>
            </w:pPr>
            <w:r>
              <w:rPr>
                <w:sz w:val="19"/>
              </w:rPr>
              <w:t xml:space="preserve">-0.0773</w:t>
            </w:r>
          </w:p>
        </w:tc>
        <w:tc>
          <w:tcPr/>
          <w:p>
            <w:pPr>
              <w:pStyle w:val="Compact"/>
              <w:spacing w:after="40"/>
              <w:jc w:val="right"/>
            </w:pPr>
            <w:r>
              <w:rPr>
                <w:sz w:val="19"/>
              </w:rPr>
              <w:t xml:space="preserve">-0.085</w:t>
            </w:r>
          </w:p>
        </w:tc>
        <w:tc>
          <w:tcPr/>
          <w:p>
            <w:pPr>
              <w:pStyle w:val="Compact"/>
              <w:spacing w:after="40"/>
              <w:jc w:val="right"/>
            </w:pPr>
            <w:r>
              <w:rPr>
                <w:sz w:val="19"/>
              </w:rPr>
              <w:t xml:space="preserve">1.69e-86</w:t>
            </w:r>
          </w:p>
        </w:tc>
        <w:tc>
          <w:tcPr/>
          <w:p>
            <w:pPr>
              <w:pStyle w:val="Compact"/>
              <w:spacing w:after="40"/>
              <w:jc w:val="right"/>
            </w:pPr>
            <w:r>
              <w:rPr>
                <w:sz w:val="19"/>
              </w:rPr>
              <w:t xml:space="preserve">-0.059</w:t>
            </w:r>
          </w:p>
        </w:tc>
      </w:tr>
      <w:tr>
        <w:tc>
          <w:tcPr/>
          <w:p>
            <w:pPr>
              <w:pStyle w:val="Compact"/>
              <w:spacing w:after="40"/>
              <w:jc w:val="left"/>
            </w:pPr>
            <w:r>
              <w:rPr>
                <w:sz w:val="19"/>
              </w:rPr>
              <w:t xml:space="preserve">M5</w:t>
            </w:r>
          </w:p>
        </w:tc>
        <w:tc>
          <w:tcPr/>
          <w:p>
            <w:pPr>
              <w:pStyle w:val="Compact"/>
              <w:spacing w:after="40"/>
              <w:jc w:val="left"/>
            </w:pPr>
            <w:r>
              <w:rPr>
                <w:sz w:val="19"/>
              </w:rPr>
              <w:t xml:space="preserve">LSTM vs. SES</w:t>
            </w:r>
          </w:p>
        </w:tc>
        <w:tc>
          <w:tcPr/>
          <w:p>
            <w:pPr>
              <w:pStyle w:val="Compact"/>
              <w:spacing w:after="40"/>
              <w:jc w:val="right"/>
            </w:pPr>
            <w:r>
              <w:rPr>
                <w:sz w:val="19"/>
              </w:rPr>
              <w:t xml:space="preserve">-0.0090</w:t>
            </w:r>
          </w:p>
        </w:tc>
        <w:tc>
          <w:tcPr/>
          <w:p>
            <w:pPr>
              <w:pStyle w:val="Compact"/>
              <w:spacing w:after="40"/>
              <w:jc w:val="right"/>
            </w:pPr>
            <w:r>
              <w:rPr>
                <w:sz w:val="19"/>
              </w:rPr>
              <w:t xml:space="preserve">-0.014</w:t>
            </w:r>
          </w:p>
        </w:tc>
        <w:tc>
          <w:tcPr/>
          <w:p>
            <w:pPr>
              <w:pStyle w:val="Compact"/>
              <w:spacing w:after="40"/>
              <w:jc w:val="right"/>
            </w:pPr>
            <w:r>
              <w:rPr>
                <w:sz w:val="19"/>
              </w:rPr>
              <w:t xml:space="preserve">5.11e-04</w:t>
            </w:r>
          </w:p>
        </w:tc>
        <w:tc>
          <w:tcPr/>
          <w:p>
            <w:pPr>
              <w:pStyle w:val="Compact"/>
              <w:spacing w:after="40"/>
              <w:jc w:val="right"/>
            </w:pPr>
            <w:r>
              <w:rPr>
                <w:sz w:val="19"/>
              </w:rPr>
              <w:t xml:space="preserve">-0.011</w:t>
            </w:r>
          </w:p>
        </w:tc>
      </w:tr>
      <w:tr>
        <w:tc>
          <w:tcPr/>
          <w:p>
            <w:pPr>
              <w:pStyle w:val="Compact"/>
              <w:spacing w:after="40"/>
              <w:jc w:val="left"/>
            </w:pPr>
            <w:r>
              <w:rPr>
                <w:sz w:val="19"/>
              </w:rPr>
              <w:t xml:space="preserve">M5</w:t>
            </w:r>
          </w:p>
        </w:tc>
        <w:tc>
          <w:tcPr/>
          <w:p>
            <w:pPr>
              <w:pStyle w:val="Compact"/>
              <w:spacing w:after="40"/>
              <w:jc w:val="left"/>
            </w:pPr>
            <w:r>
              <w:rPr>
                <w:sz w:val="19"/>
              </w:rPr>
              <w:t xml:space="preserve">LSTM vs. Seasonal Naive</w:t>
            </w:r>
          </w:p>
        </w:tc>
        <w:tc>
          <w:tcPr/>
          <w:p>
            <w:pPr>
              <w:pStyle w:val="Compact"/>
              <w:spacing w:after="40"/>
              <w:jc w:val="right"/>
            </w:pPr>
            <w:r>
              <w:rPr>
                <w:sz w:val="19"/>
              </w:rPr>
              <w:t xml:space="preserve">-0.1975</w:t>
            </w:r>
          </w:p>
        </w:tc>
        <w:tc>
          <w:tcPr/>
          <w:p>
            <w:pPr>
              <w:pStyle w:val="Compact"/>
              <w:spacing w:after="40"/>
              <w:jc w:val="right"/>
            </w:pPr>
            <w:r>
              <w:rPr>
                <w:sz w:val="19"/>
              </w:rPr>
              <w:t xml:space="preserve">-0.133</w:t>
            </w:r>
          </w:p>
        </w:tc>
        <w:tc>
          <w:tcPr/>
          <w:p>
            <w:pPr>
              <w:pStyle w:val="Compact"/>
              <w:spacing w:after="40"/>
              <w:jc w:val="right"/>
            </w:pPr>
            <w:r>
              <w:rPr>
                <w:sz w:val="19"/>
              </w:rPr>
              <w:t xml:space="preserve">3.68e-124</w:t>
            </w:r>
          </w:p>
        </w:tc>
        <w:tc>
          <w:tcPr/>
          <w:p>
            <w:pPr>
              <w:pStyle w:val="Compact"/>
              <w:spacing w:after="40"/>
              <w:jc w:val="right"/>
            </w:pPr>
            <w:r>
              <w:rPr>
                <w:sz w:val="19"/>
              </w:rPr>
              <w:t xml:space="preserve">-0.071</w:t>
            </w:r>
          </w:p>
        </w:tc>
      </w:tr>
      <w:tr>
        <w:tc>
          <w:tcPr/>
          <w:p>
            <w:pPr>
              <w:pStyle w:val="Compact"/>
              <w:spacing w:after="40"/>
              <w:jc w:val="left"/>
            </w:pPr>
            <w:r>
              <w:rPr>
                <w:sz w:val="19"/>
              </w:rPr>
              <w:t xml:space="preserve">M5</w:t>
            </w:r>
          </w:p>
        </w:tc>
        <w:tc>
          <w:tcPr/>
          <w:p>
            <w:pPr>
              <w:pStyle w:val="Compact"/>
              <w:spacing w:after="40"/>
              <w:jc w:val="left"/>
            </w:pPr>
            <w:r>
              <w:rPr>
                <w:sz w:val="19"/>
              </w:rPr>
              <w:t xml:space="preserve">LSTM vs. TES</w:t>
            </w:r>
          </w:p>
        </w:tc>
        <w:tc>
          <w:tcPr/>
          <w:p>
            <w:pPr>
              <w:pStyle w:val="Compact"/>
              <w:spacing w:after="40"/>
              <w:jc w:val="right"/>
            </w:pPr>
            <w:r>
              <w:rPr>
                <w:sz w:val="19"/>
              </w:rPr>
              <w:t xml:space="preserve">-0.9331</w:t>
            </w:r>
          </w:p>
        </w:tc>
        <w:tc>
          <w:tcPr/>
          <w:p>
            <w:pPr>
              <w:pStyle w:val="Compact"/>
              <w:spacing w:after="40"/>
              <w:jc w:val="right"/>
            </w:pPr>
            <w:r>
              <w:rPr>
                <w:sz w:val="19"/>
              </w:rPr>
              <w:t xml:space="preserve">-0.274</w:t>
            </w:r>
          </w:p>
        </w:tc>
        <w:tc>
          <w:tcPr/>
          <w:p>
            <w:pPr>
              <w:pStyle w:val="Compact"/>
              <w:spacing w:after="40"/>
              <w:jc w:val="right"/>
            </w:pPr>
            <w:r>
              <w:rPr>
                <w:sz w:val="19"/>
              </w:rPr>
              <w:t xml:space="preserve">0.00e+00</w:t>
            </w:r>
          </w:p>
        </w:tc>
        <w:tc>
          <w:tcPr/>
          <w:p>
            <w:pPr>
              <w:pStyle w:val="Compact"/>
              <w:spacing w:after="40"/>
              <w:jc w:val="right"/>
            </w:pPr>
            <w:r>
              <w:rPr>
                <w:sz w:val="19"/>
              </w:rPr>
              <w:t xml:space="preserve">-0.298</w:t>
            </w:r>
          </w:p>
        </w:tc>
      </w:tr>
      <w:tr>
        <w:tc>
          <w:tcPr/>
          <w:p>
            <w:pPr>
              <w:pStyle w:val="Compact"/>
              <w:spacing w:after="40"/>
              <w:jc w:val="left"/>
            </w:pPr>
            <w:r>
              <w:rPr>
                <w:sz w:val="19"/>
              </w:rPr>
              <w:t xml:space="preserve">M5</w:t>
            </w:r>
          </w:p>
        </w:tc>
        <w:tc>
          <w:tcPr/>
          <w:p>
            <w:pPr>
              <w:pStyle w:val="Compact"/>
              <w:spacing w:after="40"/>
              <w:jc w:val="left"/>
            </w:pPr>
            <w:r>
              <w:rPr>
                <w:sz w:val="19"/>
              </w:rPr>
              <w:t xml:space="preserve">LSTM vs. TSB</w:t>
            </w:r>
          </w:p>
        </w:tc>
        <w:tc>
          <w:tcPr/>
          <w:p>
            <w:pPr>
              <w:pStyle w:val="Compact"/>
              <w:spacing w:after="40"/>
              <w:jc w:val="right"/>
            </w:pPr>
            <w:r>
              <w:rPr>
                <w:sz w:val="19"/>
              </w:rPr>
              <w:t xml:space="preserve">-0.0206</w:t>
            </w:r>
          </w:p>
        </w:tc>
        <w:tc>
          <w:tcPr/>
          <w:p>
            <w:pPr>
              <w:pStyle w:val="Compact"/>
              <w:spacing w:after="40"/>
              <w:jc w:val="right"/>
            </w:pPr>
            <w:r>
              <w:rPr>
                <w:sz w:val="19"/>
              </w:rPr>
              <w:t xml:space="preserve">-0.031</w:t>
            </w:r>
          </w:p>
        </w:tc>
        <w:tc>
          <w:tcPr/>
          <w:p>
            <w:pPr>
              <w:pStyle w:val="Compact"/>
              <w:spacing w:after="40"/>
              <w:jc w:val="right"/>
            </w:pPr>
            <w:r>
              <w:rPr>
                <w:sz w:val="19"/>
              </w:rPr>
              <w:t xml:space="preserve">2.02e-10</w:t>
            </w:r>
          </w:p>
        </w:tc>
        <w:tc>
          <w:tcPr/>
          <w:p>
            <w:pPr>
              <w:pStyle w:val="Compact"/>
              <w:spacing w:after="40"/>
              <w:jc w:val="right"/>
            </w:pPr>
            <w:r>
              <w:rPr>
                <w:sz w:val="19"/>
              </w:rPr>
              <w:t xml:space="preserve">-0.020</w:t>
            </w:r>
          </w:p>
        </w:tc>
      </w:tr>
      <w:tr>
        <w:tc>
          <w:tcPr/>
          <w:p>
            <w:pPr>
              <w:pStyle w:val="Compact"/>
              <w:spacing w:after="40"/>
              <w:jc w:val="left"/>
            </w:pPr>
            <w:r>
              <w:rPr>
                <w:sz w:val="19"/>
              </w:rPr>
              <w:t xml:space="preserve">M5</w:t>
            </w:r>
          </w:p>
        </w:tc>
        <w:tc>
          <w:tcPr/>
          <w:p>
            <w:pPr>
              <w:pStyle w:val="Compact"/>
              <w:spacing w:after="40"/>
              <w:jc w:val="left"/>
            </w:pPr>
            <w:r>
              <w:rPr>
                <w:sz w:val="19"/>
              </w:rPr>
              <w:t xml:space="preserve">Moving Average vs. Naive</w:t>
            </w:r>
          </w:p>
        </w:tc>
        <w:tc>
          <w:tcPr/>
          <w:p>
            <w:pPr>
              <w:pStyle w:val="Compact"/>
              <w:spacing w:after="40"/>
              <w:jc w:val="right"/>
            </w:pPr>
            <w:r>
              <w:rPr>
                <w:sz w:val="19"/>
              </w:rPr>
              <w:t xml:space="preserve">-0.1847</w:t>
            </w:r>
          </w:p>
        </w:tc>
        <w:tc>
          <w:tcPr/>
          <w:p>
            <w:pPr>
              <w:pStyle w:val="Compact"/>
              <w:spacing w:after="40"/>
              <w:jc w:val="right"/>
            </w:pPr>
            <w:r>
              <w:rPr>
                <w:sz w:val="19"/>
              </w:rPr>
              <w:t xml:space="preserve">-0.129</w:t>
            </w:r>
          </w:p>
        </w:tc>
        <w:tc>
          <w:tcPr/>
          <w:p>
            <w:pPr>
              <w:pStyle w:val="Compact"/>
              <w:spacing w:after="40"/>
              <w:jc w:val="right"/>
            </w:pPr>
            <w:r>
              <w:rPr>
                <w:sz w:val="19"/>
              </w:rPr>
              <w:t xml:space="preserve">8.28e-272</w:t>
            </w:r>
          </w:p>
        </w:tc>
        <w:tc>
          <w:tcPr/>
          <w:p>
            <w:pPr>
              <w:pStyle w:val="Compact"/>
              <w:spacing w:after="40"/>
              <w:jc w:val="right"/>
            </w:pPr>
            <w:r>
              <w:rPr>
                <w:sz w:val="19"/>
              </w:rPr>
              <w:t xml:space="preserve">-0.114</w:t>
            </w:r>
          </w:p>
        </w:tc>
      </w:tr>
      <w:tr>
        <w:tc>
          <w:tcPr/>
          <w:p>
            <w:pPr>
              <w:pStyle w:val="Compact"/>
              <w:spacing w:after="40"/>
              <w:jc w:val="left"/>
            </w:pPr>
            <w:r>
              <w:rPr>
                <w:sz w:val="19"/>
              </w:rPr>
              <w:t xml:space="preserve">M5</w:t>
            </w:r>
          </w:p>
        </w:tc>
        <w:tc>
          <w:tcPr/>
          <w:p>
            <w:pPr>
              <w:pStyle w:val="Compact"/>
              <w:spacing w:after="40"/>
              <w:jc w:val="left"/>
            </w:pPr>
            <w:r>
              <w:rPr>
                <w:sz w:val="19"/>
              </w:rPr>
              <w:t xml:space="preserve">Moving Average vs. SBA</w:t>
            </w:r>
          </w:p>
        </w:tc>
        <w:tc>
          <w:tcPr/>
          <w:p>
            <w:pPr>
              <w:pStyle w:val="Compact"/>
              <w:spacing w:after="40"/>
              <w:jc w:val="right"/>
            </w:pPr>
            <w:r>
              <w:rPr>
                <w:sz w:val="19"/>
              </w:rPr>
              <w:t xml:space="preserve">-0.0668</w:t>
            </w:r>
          </w:p>
        </w:tc>
        <w:tc>
          <w:tcPr/>
          <w:p>
            <w:pPr>
              <w:pStyle w:val="Compact"/>
              <w:spacing w:after="40"/>
              <w:jc w:val="right"/>
            </w:pPr>
            <w:r>
              <w:rPr>
                <w:sz w:val="19"/>
              </w:rPr>
              <w:t xml:space="preserve">-0.073</w:t>
            </w:r>
          </w:p>
        </w:tc>
        <w:tc>
          <w:tcPr/>
          <w:p>
            <w:pPr>
              <w:pStyle w:val="Compact"/>
              <w:spacing w:after="40"/>
              <w:jc w:val="right"/>
            </w:pPr>
            <w:r>
              <w:rPr>
                <w:sz w:val="19"/>
              </w:rPr>
              <w:t xml:space="preserve">4.20e-75</w:t>
            </w:r>
          </w:p>
        </w:tc>
        <w:tc>
          <w:tcPr/>
          <w:p>
            <w:pPr>
              <w:pStyle w:val="Compact"/>
              <w:spacing w:after="40"/>
              <w:jc w:val="right"/>
            </w:pPr>
            <w:r>
              <w:rPr>
                <w:sz w:val="19"/>
              </w:rPr>
              <w:t xml:space="preserve">-0.055</w:t>
            </w:r>
          </w:p>
        </w:tc>
      </w:tr>
      <w:tr>
        <w:tc>
          <w:tcPr/>
          <w:p>
            <w:pPr>
              <w:pStyle w:val="Compact"/>
              <w:spacing w:after="40"/>
              <w:jc w:val="left"/>
            </w:pPr>
            <w:r>
              <w:rPr>
                <w:sz w:val="19"/>
              </w:rPr>
              <w:t xml:space="preserve">M5</w:t>
            </w:r>
          </w:p>
        </w:tc>
        <w:tc>
          <w:tcPr/>
          <w:p>
            <w:pPr>
              <w:pStyle w:val="Compact"/>
              <w:spacing w:after="40"/>
              <w:jc w:val="left"/>
            </w:pPr>
            <w:r>
              <w:rPr>
                <w:sz w:val="19"/>
              </w:rPr>
              <w:t xml:space="preserve">Moving Average vs. SES</w:t>
            </w:r>
          </w:p>
        </w:tc>
        <w:tc>
          <w:tcPr/>
          <w:p>
            <w:pPr>
              <w:pStyle w:val="Compact"/>
              <w:spacing w:after="40"/>
              <w:jc w:val="right"/>
            </w:pPr>
            <w:r>
              <w:rPr>
                <w:sz w:val="19"/>
              </w:rPr>
              <w:t xml:space="preserve">0.0015</w:t>
            </w:r>
          </w:p>
        </w:tc>
        <w:tc>
          <w:tcPr/>
          <w:p>
            <w:pPr>
              <w:pStyle w:val="Compact"/>
              <w:spacing w:after="40"/>
              <w:jc w:val="right"/>
            </w:pPr>
            <w:r>
              <w:rPr>
                <w:sz w:val="19"/>
              </w:rPr>
              <w:t xml:space="preserve">0.006</w:t>
            </w:r>
          </w:p>
        </w:tc>
        <w:tc>
          <w:tcPr/>
          <w:p>
            <w:pPr>
              <w:pStyle w:val="Compact"/>
              <w:spacing w:after="40"/>
              <w:jc w:val="right"/>
            </w:pPr>
            <w:r>
              <w:rPr>
                <w:sz w:val="19"/>
              </w:rPr>
              <w:t xml:space="preserve">1.75e-12</w:t>
            </w:r>
          </w:p>
        </w:tc>
        <w:tc>
          <w:tcPr/>
          <w:p>
            <w:pPr>
              <w:pStyle w:val="Compact"/>
              <w:spacing w:after="40"/>
              <w:jc w:val="right"/>
            </w:pPr>
            <w:r>
              <w:rPr>
                <w:sz w:val="19"/>
              </w:rPr>
              <w:t xml:space="preserve">-0.022</w:t>
            </w:r>
          </w:p>
        </w:tc>
      </w:tr>
      <w:tr>
        <w:tc>
          <w:tcPr/>
          <w:p>
            <w:pPr>
              <w:pStyle w:val="Compact"/>
              <w:spacing w:after="40"/>
              <w:jc w:val="left"/>
            </w:pPr>
            <w:r>
              <w:rPr>
                <w:sz w:val="19"/>
              </w:rPr>
              <w:t xml:space="preserve">M5</w:t>
            </w:r>
          </w:p>
        </w:tc>
        <w:tc>
          <w:tcPr/>
          <w:p>
            <w:pPr>
              <w:pStyle w:val="Compact"/>
              <w:spacing w:after="40"/>
              <w:jc w:val="left"/>
            </w:pPr>
            <w:r>
              <w:rPr>
                <w:sz w:val="19"/>
              </w:rPr>
              <w:t xml:space="preserve">Moving Average vs. Seasonal Naive</w:t>
            </w:r>
          </w:p>
        </w:tc>
        <w:tc>
          <w:tcPr/>
          <w:p>
            <w:pPr>
              <w:pStyle w:val="Compact"/>
              <w:spacing w:after="40"/>
              <w:jc w:val="right"/>
            </w:pPr>
            <w:r>
              <w:rPr>
                <w:sz w:val="19"/>
              </w:rPr>
              <w:t xml:space="preserve">-0.1869</w:t>
            </w:r>
          </w:p>
        </w:tc>
        <w:tc>
          <w:tcPr/>
          <w:p>
            <w:pPr>
              <w:pStyle w:val="Compact"/>
              <w:spacing w:after="40"/>
              <w:jc w:val="right"/>
            </w:pPr>
            <w:r>
              <w:rPr>
                <w:sz w:val="19"/>
              </w:rPr>
              <w:t xml:space="preserve">-0.129</w:t>
            </w:r>
          </w:p>
        </w:tc>
        <w:tc>
          <w:tcPr/>
          <w:p>
            <w:pPr>
              <w:pStyle w:val="Compact"/>
              <w:spacing w:after="40"/>
              <w:jc w:val="right"/>
            </w:pPr>
            <w:r>
              <w:rPr>
                <w:sz w:val="19"/>
              </w:rPr>
              <w:t xml:space="preserve">6.33e-257</w:t>
            </w:r>
          </w:p>
        </w:tc>
        <w:tc>
          <w:tcPr/>
          <w:p>
            <w:pPr>
              <w:pStyle w:val="Compact"/>
              <w:spacing w:after="40"/>
              <w:jc w:val="right"/>
            </w:pPr>
            <w:r>
              <w:rPr>
                <w:sz w:val="19"/>
              </w:rPr>
              <w:t xml:space="preserve">-0.111</w:t>
            </w:r>
          </w:p>
        </w:tc>
      </w:tr>
      <w:tr>
        <w:tc>
          <w:tcPr/>
          <w:p>
            <w:pPr>
              <w:pStyle w:val="Compact"/>
              <w:spacing w:after="40"/>
              <w:jc w:val="left"/>
            </w:pPr>
            <w:r>
              <w:rPr>
                <w:sz w:val="19"/>
              </w:rPr>
              <w:t xml:space="preserve">M5</w:t>
            </w:r>
          </w:p>
        </w:tc>
        <w:tc>
          <w:tcPr/>
          <w:p>
            <w:pPr>
              <w:pStyle w:val="Compact"/>
              <w:spacing w:after="40"/>
              <w:jc w:val="left"/>
            </w:pPr>
            <w:r>
              <w:rPr>
                <w:sz w:val="19"/>
              </w:rPr>
              <w:t xml:space="preserve">Moving Average vs. TES</w:t>
            </w:r>
          </w:p>
        </w:tc>
        <w:tc>
          <w:tcPr/>
          <w:p>
            <w:pPr>
              <w:pStyle w:val="Compact"/>
              <w:spacing w:after="40"/>
              <w:jc w:val="right"/>
            </w:pPr>
            <w:r>
              <w:rPr>
                <w:sz w:val="19"/>
              </w:rPr>
              <w:t xml:space="preserve">-0.9225</w:t>
            </w:r>
          </w:p>
        </w:tc>
        <w:tc>
          <w:tcPr/>
          <w:p>
            <w:pPr>
              <w:pStyle w:val="Compact"/>
              <w:spacing w:after="40"/>
              <w:jc w:val="right"/>
            </w:pPr>
            <w:r>
              <w:rPr>
                <w:sz w:val="19"/>
              </w:rPr>
              <w:t xml:space="preserve">-0.270</w:t>
            </w:r>
          </w:p>
        </w:tc>
        <w:tc>
          <w:tcPr/>
          <w:p>
            <w:pPr>
              <w:pStyle w:val="Compact"/>
              <w:spacing w:after="40"/>
              <w:jc w:val="right"/>
            </w:pPr>
            <w:r>
              <w:rPr>
                <w:sz w:val="19"/>
              </w:rPr>
              <w:t xml:space="preserve">0.00e+00</w:t>
            </w:r>
          </w:p>
        </w:tc>
        <w:tc>
          <w:tcPr/>
          <w:p>
            <w:pPr>
              <w:pStyle w:val="Compact"/>
              <w:spacing w:after="40"/>
              <w:jc w:val="right"/>
            </w:pPr>
            <w:r>
              <w:rPr>
                <w:sz w:val="19"/>
              </w:rPr>
              <w:t xml:space="preserve">-0.331</w:t>
            </w:r>
          </w:p>
        </w:tc>
      </w:tr>
      <w:tr>
        <w:tc>
          <w:tcPr/>
          <w:p>
            <w:pPr>
              <w:pStyle w:val="Compact"/>
              <w:spacing w:after="40"/>
              <w:jc w:val="left"/>
            </w:pPr>
            <w:r>
              <w:rPr>
                <w:sz w:val="19"/>
              </w:rPr>
              <w:t xml:space="preserve">M5</w:t>
            </w:r>
          </w:p>
        </w:tc>
        <w:tc>
          <w:tcPr/>
          <w:p>
            <w:pPr>
              <w:pStyle w:val="Compact"/>
              <w:spacing w:after="40"/>
              <w:jc w:val="left"/>
            </w:pPr>
            <w:r>
              <w:rPr>
                <w:sz w:val="19"/>
              </w:rPr>
              <w:t xml:space="preserve">Moving Average vs. TSB</w:t>
            </w:r>
          </w:p>
        </w:tc>
        <w:tc>
          <w:tcPr/>
          <w:p>
            <w:pPr>
              <w:pStyle w:val="Compact"/>
              <w:spacing w:after="40"/>
              <w:jc w:val="right"/>
            </w:pPr>
            <w:r>
              <w:rPr>
                <w:sz w:val="19"/>
              </w:rPr>
              <w:t xml:space="preserve">-0.0100</w:t>
            </w:r>
          </w:p>
        </w:tc>
        <w:tc>
          <w:tcPr/>
          <w:p>
            <w:pPr>
              <w:pStyle w:val="Compact"/>
              <w:spacing w:after="40"/>
              <w:jc w:val="right"/>
            </w:pPr>
            <w:r>
              <w:rPr>
                <w:sz w:val="19"/>
              </w:rPr>
              <w:t xml:space="preserve">-0.025</w:t>
            </w:r>
          </w:p>
        </w:tc>
        <w:tc>
          <w:tcPr/>
          <w:p>
            <w:pPr>
              <w:pStyle w:val="Compact"/>
              <w:spacing w:after="40"/>
              <w:jc w:val="right"/>
            </w:pPr>
            <w:r>
              <w:rPr>
                <w:sz w:val="19"/>
              </w:rPr>
              <w:t xml:space="preserve">2.34e-43</w:t>
            </w:r>
          </w:p>
        </w:tc>
        <w:tc>
          <w:tcPr/>
          <w:p>
            <w:pPr>
              <w:pStyle w:val="Compact"/>
              <w:spacing w:after="40"/>
              <w:jc w:val="right"/>
            </w:pPr>
            <w:r>
              <w:rPr>
                <w:sz w:val="19"/>
              </w:rPr>
              <w:t xml:space="preserve">-0.042</w:t>
            </w:r>
          </w:p>
        </w:tc>
      </w:tr>
      <w:tr>
        <w:tc>
          <w:tcPr/>
          <w:p>
            <w:pPr>
              <w:pStyle w:val="Compact"/>
              <w:spacing w:after="40"/>
              <w:jc w:val="left"/>
            </w:pPr>
            <w:r>
              <w:rPr>
                <w:sz w:val="19"/>
              </w:rPr>
              <w:t xml:space="preserve">M5</w:t>
            </w:r>
          </w:p>
        </w:tc>
        <w:tc>
          <w:tcPr/>
          <w:p>
            <w:pPr>
              <w:pStyle w:val="Compact"/>
              <w:spacing w:after="40"/>
              <w:jc w:val="left"/>
            </w:pPr>
            <w:r>
              <w:rPr>
                <w:sz w:val="19"/>
              </w:rPr>
              <w:t xml:space="preserve">Naive vs. SBA</w:t>
            </w:r>
          </w:p>
        </w:tc>
        <w:tc>
          <w:tcPr/>
          <w:p>
            <w:pPr>
              <w:pStyle w:val="Compact"/>
              <w:spacing w:after="40"/>
              <w:jc w:val="right"/>
            </w:pPr>
            <w:r>
              <w:rPr>
                <w:sz w:val="19"/>
              </w:rPr>
              <w:t xml:space="preserve">0.1179</w:t>
            </w:r>
          </w:p>
        </w:tc>
        <w:tc>
          <w:tcPr/>
          <w:p>
            <w:pPr>
              <w:pStyle w:val="Compact"/>
              <w:spacing w:after="40"/>
              <w:jc w:val="right"/>
            </w:pPr>
            <w:r>
              <w:rPr>
                <w:sz w:val="19"/>
              </w:rPr>
              <w:t xml:space="preserve">0.085</w:t>
            </w:r>
          </w:p>
        </w:tc>
        <w:tc>
          <w:tcPr/>
          <w:p>
            <w:pPr>
              <w:pStyle w:val="Compact"/>
              <w:spacing w:after="40"/>
              <w:jc w:val="right"/>
            </w:pPr>
            <w:r>
              <w:rPr>
                <w:sz w:val="19"/>
              </w:rPr>
              <w:t xml:space="preserve">3.49e-54</w:t>
            </w:r>
          </w:p>
        </w:tc>
        <w:tc>
          <w:tcPr/>
          <w:p>
            <w:pPr>
              <w:pStyle w:val="Compact"/>
              <w:spacing w:after="40"/>
              <w:jc w:val="right"/>
            </w:pPr>
            <w:r>
              <w:rPr>
                <w:sz w:val="19"/>
              </w:rPr>
              <w:t xml:space="preserve">-0.047</w:t>
            </w:r>
          </w:p>
        </w:tc>
      </w:tr>
      <w:tr>
        <w:tc>
          <w:tcPr/>
          <w:p>
            <w:pPr>
              <w:pStyle w:val="Compact"/>
              <w:spacing w:after="40"/>
              <w:jc w:val="left"/>
            </w:pPr>
            <w:r>
              <w:rPr>
                <w:sz w:val="19"/>
              </w:rPr>
              <w:t xml:space="preserve">M5</w:t>
            </w:r>
          </w:p>
        </w:tc>
        <w:tc>
          <w:tcPr/>
          <w:p>
            <w:pPr>
              <w:pStyle w:val="Compact"/>
              <w:spacing w:after="40"/>
              <w:jc w:val="left"/>
            </w:pPr>
            <w:r>
              <w:rPr>
                <w:sz w:val="19"/>
              </w:rPr>
              <w:t xml:space="preserve">Naive vs. SES</w:t>
            </w:r>
          </w:p>
        </w:tc>
        <w:tc>
          <w:tcPr/>
          <w:p>
            <w:pPr>
              <w:pStyle w:val="Compact"/>
              <w:spacing w:after="40"/>
              <w:jc w:val="right"/>
            </w:pPr>
            <w:r>
              <w:rPr>
                <w:sz w:val="19"/>
              </w:rPr>
              <w:t xml:space="preserve">0.1862</w:t>
            </w:r>
          </w:p>
        </w:tc>
        <w:tc>
          <w:tcPr/>
          <w:p>
            <w:pPr>
              <w:pStyle w:val="Compact"/>
              <w:spacing w:after="40"/>
              <w:jc w:val="right"/>
            </w:pPr>
            <w:r>
              <w:rPr>
                <w:sz w:val="19"/>
              </w:rPr>
              <w:t xml:space="preserve">0.136</w:t>
            </w:r>
          </w:p>
        </w:tc>
        <w:tc>
          <w:tcPr/>
          <w:p>
            <w:pPr>
              <w:pStyle w:val="Compact"/>
              <w:spacing w:after="40"/>
              <w:jc w:val="right"/>
            </w:pPr>
            <w:r>
              <w:rPr>
                <w:sz w:val="19"/>
              </w:rPr>
              <w:t xml:space="preserve">2.74e-113</w:t>
            </w:r>
          </w:p>
        </w:tc>
        <w:tc>
          <w:tcPr/>
          <w:p>
            <w:pPr>
              <w:pStyle w:val="Compact"/>
              <w:spacing w:after="40"/>
              <w:jc w:val="right"/>
            </w:pPr>
            <w:r>
              <w:rPr>
                <w:sz w:val="19"/>
              </w:rPr>
              <w:t xml:space="preserve">-0.068</w:t>
            </w:r>
          </w:p>
        </w:tc>
      </w:tr>
      <w:tr>
        <w:tc>
          <w:tcPr/>
          <w:p>
            <w:pPr>
              <w:pStyle w:val="Compact"/>
              <w:spacing w:after="40"/>
              <w:jc w:val="left"/>
            </w:pPr>
            <w:r>
              <w:rPr>
                <w:sz w:val="19"/>
              </w:rPr>
              <w:t xml:space="preserve">M5</w:t>
            </w:r>
          </w:p>
        </w:tc>
        <w:tc>
          <w:tcPr/>
          <w:p>
            <w:pPr>
              <w:pStyle w:val="Compact"/>
              <w:spacing w:after="40"/>
              <w:jc w:val="left"/>
            </w:pPr>
            <w:r>
              <w:rPr>
                <w:sz w:val="19"/>
              </w:rPr>
              <w:t xml:space="preserve">Naive vs. Seasonal Naive</w:t>
            </w:r>
          </w:p>
        </w:tc>
        <w:tc>
          <w:tcPr/>
          <w:p>
            <w:pPr>
              <w:pStyle w:val="Compact"/>
              <w:spacing w:after="40"/>
              <w:jc w:val="right"/>
            </w:pPr>
            <w:r>
              <w:rPr>
                <w:sz w:val="19"/>
              </w:rPr>
              <w:t xml:space="preserve">-0.0022</w:t>
            </w:r>
          </w:p>
        </w:tc>
        <w:tc>
          <w:tcPr/>
          <w:p>
            <w:pPr>
              <w:pStyle w:val="Compact"/>
              <w:spacing w:after="40"/>
              <w:jc w:val="right"/>
            </w:pPr>
            <w:r>
              <w:rPr>
                <w:sz w:val="19"/>
              </w:rPr>
              <w:t xml:space="preserve">-0.001</w:t>
            </w:r>
          </w:p>
        </w:tc>
        <w:tc>
          <w:tcPr/>
          <w:p>
            <w:pPr>
              <w:pStyle w:val="Compact"/>
              <w:spacing w:after="40"/>
              <w:jc w:val="right"/>
            </w:pPr>
            <w:r>
              <w:rPr>
                <w:sz w:val="19"/>
              </w:rPr>
              <w:t xml:space="preserve">4.78e-01</w:t>
            </w:r>
          </w:p>
        </w:tc>
        <w:tc>
          <w:tcPr/>
          <w:p>
            <w:pPr>
              <w:pStyle w:val="Compact"/>
              <w:spacing w:after="40"/>
              <w:jc w:val="right"/>
            </w:pPr>
            <w:r>
              <w:rPr>
                <w:sz w:val="19"/>
              </w:rPr>
              <w:t xml:space="preserve">-0.003</w:t>
            </w:r>
          </w:p>
        </w:tc>
      </w:tr>
      <w:tr>
        <w:tc>
          <w:tcPr/>
          <w:p>
            <w:pPr>
              <w:pStyle w:val="Compact"/>
              <w:spacing w:after="40"/>
              <w:jc w:val="left"/>
            </w:pPr>
            <w:r>
              <w:rPr>
                <w:sz w:val="19"/>
              </w:rPr>
              <w:t xml:space="preserve">M5</w:t>
            </w:r>
          </w:p>
        </w:tc>
        <w:tc>
          <w:tcPr/>
          <w:p>
            <w:pPr>
              <w:pStyle w:val="Compact"/>
              <w:spacing w:after="40"/>
              <w:jc w:val="left"/>
            </w:pPr>
            <w:r>
              <w:rPr>
                <w:sz w:val="19"/>
              </w:rPr>
              <w:t xml:space="preserve">Naive vs. TES</w:t>
            </w:r>
          </w:p>
        </w:tc>
        <w:tc>
          <w:tcPr/>
          <w:p>
            <w:pPr>
              <w:pStyle w:val="Compact"/>
              <w:spacing w:after="40"/>
              <w:jc w:val="right"/>
            </w:pPr>
            <w:r>
              <w:rPr>
                <w:sz w:val="19"/>
              </w:rPr>
              <w:t xml:space="preserve">-0.7378</w:t>
            </w:r>
          </w:p>
        </w:tc>
        <w:tc>
          <w:tcPr/>
          <w:p>
            <w:pPr>
              <w:pStyle w:val="Compact"/>
              <w:spacing w:after="40"/>
              <w:jc w:val="right"/>
            </w:pPr>
            <w:r>
              <w:rPr>
                <w:sz w:val="19"/>
              </w:rPr>
              <w:t xml:space="preserve">-0.248</w:t>
            </w:r>
          </w:p>
        </w:tc>
        <w:tc>
          <w:tcPr/>
          <w:p>
            <w:pPr>
              <w:pStyle w:val="Compact"/>
              <w:spacing w:after="40"/>
              <w:jc w:val="right"/>
            </w:pPr>
            <w:r>
              <w:rPr>
                <w:sz w:val="19"/>
              </w:rPr>
              <w:t xml:space="preserve">0.00e+00</w:t>
            </w:r>
          </w:p>
        </w:tc>
        <w:tc>
          <w:tcPr/>
          <w:p>
            <w:pPr>
              <w:pStyle w:val="Compact"/>
              <w:spacing w:after="40"/>
              <w:jc w:val="right"/>
            </w:pPr>
            <w:r>
              <w:rPr>
                <w:sz w:val="19"/>
              </w:rPr>
              <w:t xml:space="preserve">-0.410</w:t>
            </w:r>
          </w:p>
        </w:tc>
      </w:tr>
      <w:tr>
        <w:tc>
          <w:tcPr/>
          <w:p>
            <w:pPr>
              <w:pStyle w:val="Compact"/>
              <w:spacing w:after="40"/>
              <w:jc w:val="left"/>
            </w:pPr>
            <w:r>
              <w:rPr>
                <w:sz w:val="19"/>
              </w:rPr>
              <w:t xml:space="preserve">M5</w:t>
            </w:r>
          </w:p>
        </w:tc>
        <w:tc>
          <w:tcPr/>
          <w:p>
            <w:pPr>
              <w:pStyle w:val="Compact"/>
              <w:spacing w:after="40"/>
              <w:jc w:val="left"/>
            </w:pPr>
            <w:r>
              <w:rPr>
                <w:sz w:val="19"/>
              </w:rPr>
              <w:t xml:space="preserve">Naive vs. TSB</w:t>
            </w:r>
          </w:p>
        </w:tc>
        <w:tc>
          <w:tcPr/>
          <w:p>
            <w:pPr>
              <w:pStyle w:val="Compact"/>
              <w:spacing w:after="40"/>
              <w:jc w:val="right"/>
            </w:pPr>
            <w:r>
              <w:rPr>
                <w:sz w:val="19"/>
              </w:rPr>
              <w:t xml:space="preserve">0.1746</w:t>
            </w:r>
          </w:p>
        </w:tc>
        <w:tc>
          <w:tcPr/>
          <w:p>
            <w:pPr>
              <w:pStyle w:val="Compact"/>
              <w:spacing w:after="40"/>
              <w:jc w:val="right"/>
            </w:pPr>
            <w:r>
              <w:rPr>
                <w:sz w:val="19"/>
              </w:rPr>
              <w:t xml:space="preserve">0.132</w:t>
            </w:r>
          </w:p>
        </w:tc>
        <w:tc>
          <w:tcPr/>
          <w:p>
            <w:pPr>
              <w:pStyle w:val="Compact"/>
              <w:spacing w:after="40"/>
              <w:jc w:val="right"/>
            </w:pPr>
            <w:r>
              <w:rPr>
                <w:sz w:val="19"/>
              </w:rPr>
              <w:t xml:space="preserve">8.08e-55</w:t>
            </w:r>
          </w:p>
        </w:tc>
        <w:tc>
          <w:tcPr/>
          <w:p>
            <w:pPr>
              <w:pStyle w:val="Compact"/>
              <w:spacing w:after="40"/>
              <w:jc w:val="right"/>
            </w:pPr>
            <w:r>
              <w:rPr>
                <w:sz w:val="19"/>
              </w:rPr>
              <w:t xml:space="preserve">-0.047</w:t>
            </w:r>
          </w:p>
        </w:tc>
      </w:tr>
      <w:tr>
        <w:tc>
          <w:tcPr/>
          <w:p>
            <w:pPr>
              <w:pStyle w:val="Compact"/>
              <w:spacing w:after="40"/>
              <w:jc w:val="left"/>
            </w:pPr>
            <w:r>
              <w:rPr>
                <w:sz w:val="19"/>
              </w:rPr>
              <w:t xml:space="preserve">M5</w:t>
            </w:r>
          </w:p>
        </w:tc>
        <w:tc>
          <w:tcPr/>
          <w:p>
            <w:pPr>
              <w:pStyle w:val="Compact"/>
              <w:spacing w:after="40"/>
              <w:jc w:val="left"/>
            </w:pPr>
            <w:r>
              <w:rPr>
                <w:sz w:val="19"/>
              </w:rPr>
              <w:t xml:space="preserve">SBA vs. SES</w:t>
            </w:r>
          </w:p>
        </w:tc>
        <w:tc>
          <w:tcPr/>
          <w:p>
            <w:pPr>
              <w:pStyle w:val="Compact"/>
              <w:spacing w:after="40"/>
              <w:jc w:val="right"/>
            </w:pPr>
            <w:r>
              <w:rPr>
                <w:sz w:val="19"/>
              </w:rPr>
              <w:t xml:space="preserve">0.0683</w:t>
            </w:r>
          </w:p>
        </w:tc>
        <w:tc>
          <w:tcPr/>
          <w:p>
            <w:pPr>
              <w:pStyle w:val="Compact"/>
              <w:spacing w:after="40"/>
              <w:jc w:val="right"/>
            </w:pPr>
            <w:r>
              <w:rPr>
                <w:sz w:val="19"/>
              </w:rPr>
              <w:t xml:space="preserve">0.078</w:t>
            </w:r>
          </w:p>
        </w:tc>
        <w:tc>
          <w:tcPr/>
          <w:p>
            <w:pPr>
              <w:pStyle w:val="Compact"/>
              <w:spacing w:after="40"/>
              <w:jc w:val="right"/>
            </w:pPr>
            <w:r>
              <w:rPr>
                <w:sz w:val="19"/>
              </w:rPr>
              <w:t xml:space="preserve">4.78e-63</w:t>
            </w:r>
          </w:p>
        </w:tc>
        <w:tc>
          <w:tcPr/>
          <w:p>
            <w:pPr>
              <w:pStyle w:val="Compact"/>
              <w:spacing w:after="40"/>
              <w:jc w:val="right"/>
            </w:pPr>
            <w:r>
              <w:rPr>
                <w:sz w:val="19"/>
              </w:rPr>
              <w:t xml:space="preserve">-0.051</w:t>
            </w:r>
          </w:p>
        </w:tc>
      </w:tr>
      <w:tr>
        <w:tc>
          <w:tcPr/>
          <w:p>
            <w:pPr>
              <w:pStyle w:val="Compact"/>
              <w:spacing w:after="40"/>
              <w:jc w:val="left"/>
            </w:pPr>
            <w:r>
              <w:rPr>
                <w:sz w:val="19"/>
              </w:rPr>
              <w:t xml:space="preserve">M5</w:t>
            </w:r>
          </w:p>
        </w:tc>
        <w:tc>
          <w:tcPr/>
          <w:p>
            <w:pPr>
              <w:pStyle w:val="Compact"/>
              <w:spacing w:after="40"/>
              <w:jc w:val="left"/>
            </w:pPr>
            <w:r>
              <w:rPr>
                <w:sz w:val="19"/>
              </w:rPr>
              <w:t xml:space="preserve">SBA vs. Seasonal Naive</w:t>
            </w:r>
          </w:p>
        </w:tc>
        <w:tc>
          <w:tcPr/>
          <w:p>
            <w:pPr>
              <w:pStyle w:val="Compact"/>
              <w:spacing w:after="40"/>
              <w:jc w:val="right"/>
            </w:pPr>
            <w:r>
              <w:rPr>
                <w:sz w:val="19"/>
              </w:rPr>
              <w:t xml:space="preserve">-0.1202</w:t>
            </w:r>
          </w:p>
        </w:tc>
        <w:tc>
          <w:tcPr/>
          <w:p>
            <w:pPr>
              <w:pStyle w:val="Compact"/>
              <w:spacing w:after="40"/>
              <w:jc w:val="right"/>
            </w:pPr>
            <w:r>
              <w:rPr>
                <w:sz w:val="19"/>
              </w:rPr>
              <w:t xml:space="preserve">-0.076</w:t>
            </w:r>
          </w:p>
        </w:tc>
        <w:tc>
          <w:tcPr/>
          <w:p>
            <w:pPr>
              <w:pStyle w:val="Compact"/>
              <w:spacing w:after="40"/>
              <w:jc w:val="right"/>
            </w:pPr>
            <w:r>
              <w:rPr>
                <w:sz w:val="19"/>
              </w:rPr>
              <w:t xml:space="preserve">5.89e-25</w:t>
            </w:r>
          </w:p>
        </w:tc>
        <w:tc>
          <w:tcPr/>
          <w:p>
            <w:pPr>
              <w:pStyle w:val="Compact"/>
              <w:spacing w:after="40"/>
              <w:jc w:val="right"/>
            </w:pPr>
            <w:r>
              <w:rPr>
                <w:sz w:val="19"/>
              </w:rPr>
              <w:t xml:space="preserve">-0.031</w:t>
            </w:r>
          </w:p>
        </w:tc>
      </w:tr>
      <w:tr>
        <w:tc>
          <w:tcPr/>
          <w:p>
            <w:pPr>
              <w:pStyle w:val="Compact"/>
              <w:spacing w:after="40"/>
              <w:jc w:val="left"/>
            </w:pPr>
            <w:r>
              <w:rPr>
                <w:sz w:val="19"/>
              </w:rPr>
              <w:t xml:space="preserve">M5</w:t>
            </w:r>
          </w:p>
        </w:tc>
        <w:tc>
          <w:tcPr/>
          <w:p>
            <w:pPr>
              <w:pStyle w:val="Compact"/>
              <w:spacing w:after="40"/>
              <w:jc w:val="left"/>
            </w:pPr>
            <w:r>
              <w:rPr>
                <w:sz w:val="19"/>
              </w:rPr>
              <w:t xml:space="preserve">SBA vs. TES</w:t>
            </w:r>
          </w:p>
        </w:tc>
        <w:tc>
          <w:tcPr/>
          <w:p>
            <w:pPr>
              <w:pStyle w:val="Compact"/>
              <w:spacing w:after="40"/>
              <w:jc w:val="right"/>
            </w:pPr>
            <w:r>
              <w:rPr>
                <w:sz w:val="19"/>
              </w:rPr>
              <w:t xml:space="preserve">-0.8558</w:t>
            </w:r>
          </w:p>
        </w:tc>
        <w:tc>
          <w:tcPr/>
          <w:p>
            <w:pPr>
              <w:pStyle w:val="Compact"/>
              <w:spacing w:after="40"/>
              <w:jc w:val="right"/>
            </w:pPr>
            <w:r>
              <w:rPr>
                <w:sz w:val="19"/>
              </w:rPr>
              <w:t xml:space="preserve">-0.254</w:t>
            </w:r>
          </w:p>
        </w:tc>
        <w:tc>
          <w:tcPr/>
          <w:p>
            <w:pPr>
              <w:pStyle w:val="Compact"/>
              <w:spacing w:after="40"/>
              <w:jc w:val="right"/>
            </w:pPr>
            <w:r>
              <w:rPr>
                <w:sz w:val="19"/>
              </w:rPr>
              <w:t xml:space="preserve">0.00e+00</w:t>
            </w:r>
          </w:p>
        </w:tc>
        <w:tc>
          <w:tcPr/>
          <w:p>
            <w:pPr>
              <w:pStyle w:val="Compact"/>
              <w:spacing w:after="40"/>
              <w:jc w:val="right"/>
            </w:pPr>
            <w:r>
              <w:rPr>
                <w:sz w:val="19"/>
              </w:rPr>
              <w:t xml:space="preserve">-0.281</w:t>
            </w:r>
          </w:p>
        </w:tc>
      </w:tr>
      <w:tr>
        <w:tc>
          <w:tcPr/>
          <w:p>
            <w:pPr>
              <w:pStyle w:val="Compact"/>
              <w:spacing w:after="40"/>
              <w:jc w:val="left"/>
            </w:pPr>
            <w:r>
              <w:rPr>
                <w:sz w:val="19"/>
              </w:rPr>
              <w:t xml:space="preserve">M5</w:t>
            </w:r>
          </w:p>
        </w:tc>
        <w:tc>
          <w:tcPr/>
          <w:p>
            <w:pPr>
              <w:pStyle w:val="Compact"/>
              <w:spacing w:after="40"/>
              <w:jc w:val="left"/>
            </w:pPr>
            <w:r>
              <w:rPr>
                <w:sz w:val="19"/>
              </w:rPr>
              <w:t xml:space="preserve">SBA vs. TSB</w:t>
            </w:r>
          </w:p>
        </w:tc>
        <w:tc>
          <w:tcPr/>
          <w:p>
            <w:pPr>
              <w:pStyle w:val="Compact"/>
              <w:spacing w:after="40"/>
              <w:jc w:val="right"/>
            </w:pPr>
            <w:r>
              <w:rPr>
                <w:sz w:val="19"/>
              </w:rPr>
              <w:t xml:space="preserve">0.0567</w:t>
            </w:r>
          </w:p>
        </w:tc>
        <w:tc>
          <w:tcPr/>
          <w:p>
            <w:pPr>
              <w:pStyle w:val="Compact"/>
              <w:spacing w:after="40"/>
              <w:jc w:val="right"/>
            </w:pPr>
            <w:r>
              <w:rPr>
                <w:sz w:val="19"/>
              </w:rPr>
              <w:t xml:space="preserve">0.061</w:t>
            </w:r>
          </w:p>
        </w:tc>
        <w:tc>
          <w:tcPr/>
          <w:p>
            <w:pPr>
              <w:pStyle w:val="Compact"/>
              <w:spacing w:after="40"/>
              <w:jc w:val="right"/>
            </w:pPr>
            <w:r>
              <w:rPr>
                <w:sz w:val="19"/>
              </w:rPr>
              <w:t xml:space="preserve">6.24e-23</w:t>
            </w:r>
          </w:p>
        </w:tc>
        <w:tc>
          <w:tcPr/>
          <w:p>
            <w:pPr>
              <w:pStyle w:val="Compact"/>
              <w:spacing w:after="40"/>
              <w:jc w:val="right"/>
            </w:pPr>
            <w:r>
              <w:rPr>
                <w:sz w:val="19"/>
              </w:rPr>
              <w:t xml:space="preserve">-0.030</w:t>
            </w:r>
          </w:p>
        </w:tc>
      </w:tr>
      <w:tr>
        <w:tc>
          <w:tcPr/>
          <w:p>
            <w:pPr>
              <w:pStyle w:val="Compact"/>
              <w:spacing w:after="40"/>
              <w:jc w:val="left"/>
            </w:pPr>
            <w:r>
              <w:rPr>
                <w:sz w:val="19"/>
              </w:rPr>
              <w:t xml:space="preserve">M5</w:t>
            </w:r>
          </w:p>
        </w:tc>
        <w:tc>
          <w:tcPr/>
          <w:p>
            <w:pPr>
              <w:pStyle w:val="Compact"/>
              <w:spacing w:after="40"/>
              <w:jc w:val="left"/>
            </w:pPr>
            <w:r>
              <w:rPr>
                <w:sz w:val="19"/>
              </w:rPr>
              <w:t xml:space="preserve">SES vs. Seasonal Naive</w:t>
            </w:r>
          </w:p>
        </w:tc>
        <w:tc>
          <w:tcPr/>
          <w:p>
            <w:pPr>
              <w:pStyle w:val="Compact"/>
              <w:spacing w:after="40"/>
              <w:jc w:val="right"/>
            </w:pPr>
            <w:r>
              <w:rPr>
                <w:sz w:val="19"/>
              </w:rPr>
              <w:t xml:space="preserve">-0.1884</w:t>
            </w:r>
          </w:p>
        </w:tc>
        <w:tc>
          <w:tcPr/>
          <w:p>
            <w:pPr>
              <w:pStyle w:val="Compact"/>
              <w:spacing w:after="40"/>
              <w:jc w:val="right"/>
            </w:pPr>
            <w:r>
              <w:rPr>
                <w:sz w:val="19"/>
              </w:rPr>
              <w:t xml:space="preserve">-0.131</w:t>
            </w:r>
          </w:p>
        </w:tc>
        <w:tc>
          <w:tcPr/>
          <w:p>
            <w:pPr>
              <w:pStyle w:val="Compact"/>
              <w:spacing w:after="40"/>
              <w:jc w:val="right"/>
            </w:pPr>
            <w:r>
              <w:rPr>
                <w:sz w:val="19"/>
              </w:rPr>
              <w:t xml:space="preserve">4.33e-92</w:t>
            </w:r>
          </w:p>
        </w:tc>
        <w:tc>
          <w:tcPr/>
          <w:p>
            <w:pPr>
              <w:pStyle w:val="Compact"/>
              <w:spacing w:after="40"/>
              <w:jc w:val="right"/>
            </w:pPr>
            <w:r>
              <w:rPr>
                <w:sz w:val="19"/>
              </w:rPr>
              <w:t xml:space="preserve">-0.061</w:t>
            </w:r>
          </w:p>
        </w:tc>
      </w:tr>
      <w:tr>
        <w:tc>
          <w:tcPr/>
          <w:p>
            <w:pPr>
              <w:pStyle w:val="Compact"/>
              <w:spacing w:after="40"/>
              <w:jc w:val="left"/>
            </w:pPr>
            <w:r>
              <w:rPr>
                <w:sz w:val="19"/>
              </w:rPr>
              <w:t xml:space="preserve">M5</w:t>
            </w:r>
          </w:p>
        </w:tc>
        <w:tc>
          <w:tcPr/>
          <w:p>
            <w:pPr>
              <w:pStyle w:val="Compact"/>
              <w:spacing w:after="40"/>
              <w:jc w:val="left"/>
            </w:pPr>
            <w:r>
              <w:rPr>
                <w:sz w:val="19"/>
              </w:rPr>
              <w:t xml:space="preserve">SES vs. TES</w:t>
            </w:r>
          </w:p>
        </w:tc>
        <w:tc>
          <w:tcPr/>
          <w:p>
            <w:pPr>
              <w:pStyle w:val="Compact"/>
              <w:spacing w:after="40"/>
              <w:jc w:val="right"/>
            </w:pPr>
            <w:r>
              <w:rPr>
                <w:sz w:val="19"/>
              </w:rPr>
              <w:t xml:space="preserve">-0.9240</w:t>
            </w:r>
          </w:p>
        </w:tc>
        <w:tc>
          <w:tcPr/>
          <w:p>
            <w:pPr>
              <w:pStyle w:val="Compact"/>
              <w:spacing w:after="40"/>
              <w:jc w:val="right"/>
            </w:pPr>
            <w:r>
              <w:rPr>
                <w:sz w:val="19"/>
              </w:rPr>
              <w:t xml:space="preserve">-0.274</w:t>
            </w:r>
          </w:p>
        </w:tc>
        <w:tc>
          <w:tcPr/>
          <w:p>
            <w:pPr>
              <w:pStyle w:val="Compact"/>
              <w:spacing w:after="40"/>
              <w:jc w:val="right"/>
            </w:pPr>
            <w:r>
              <w:rPr>
                <w:sz w:val="19"/>
              </w:rPr>
              <w:t xml:space="preserve">0.00e+00</w:t>
            </w:r>
          </w:p>
        </w:tc>
        <w:tc>
          <w:tcPr/>
          <w:p>
            <w:pPr>
              <w:pStyle w:val="Compact"/>
              <w:spacing w:after="40"/>
              <w:jc w:val="right"/>
            </w:pPr>
            <w:r>
              <w:rPr>
                <w:sz w:val="19"/>
              </w:rPr>
              <w:t xml:space="preserve">-0.312</w:t>
            </w:r>
          </w:p>
        </w:tc>
      </w:tr>
      <w:tr>
        <w:tc>
          <w:tcPr/>
          <w:p>
            <w:pPr>
              <w:pStyle w:val="Compact"/>
              <w:spacing w:after="40"/>
              <w:jc w:val="left"/>
            </w:pPr>
            <w:r>
              <w:rPr>
                <w:sz w:val="19"/>
              </w:rPr>
              <w:t xml:space="preserve">M5</w:t>
            </w:r>
          </w:p>
        </w:tc>
        <w:tc>
          <w:tcPr/>
          <w:p>
            <w:pPr>
              <w:pStyle w:val="Compact"/>
              <w:spacing w:after="40"/>
              <w:jc w:val="left"/>
            </w:pPr>
            <w:r>
              <w:rPr>
                <w:sz w:val="19"/>
              </w:rPr>
              <w:t xml:space="preserve">SES vs. TSB</w:t>
            </w:r>
          </w:p>
        </w:tc>
        <w:tc>
          <w:tcPr/>
          <w:p>
            <w:pPr>
              <w:pStyle w:val="Compact"/>
              <w:spacing w:after="40"/>
              <w:jc w:val="right"/>
            </w:pPr>
            <w:r>
              <w:rPr>
                <w:sz w:val="19"/>
              </w:rPr>
              <w:t xml:space="preserve">-0.0115</w:t>
            </w:r>
          </w:p>
        </w:tc>
        <w:tc>
          <w:tcPr/>
          <w:p>
            <w:pPr>
              <w:pStyle w:val="Compact"/>
              <w:spacing w:after="40"/>
              <w:jc w:val="right"/>
            </w:pPr>
            <w:r>
              <w:rPr>
                <w:sz w:val="19"/>
              </w:rPr>
              <w:t xml:space="preserve">-0.041</w:t>
            </w:r>
          </w:p>
        </w:tc>
        <w:tc>
          <w:tcPr/>
          <w:p>
            <w:pPr>
              <w:pStyle w:val="Compact"/>
              <w:spacing w:after="40"/>
              <w:jc w:val="right"/>
            </w:pPr>
            <w:r>
              <w:rPr>
                <w:sz w:val="19"/>
              </w:rPr>
              <w:t xml:space="preserve">5.08e-30</w:t>
            </w:r>
          </w:p>
        </w:tc>
        <w:tc>
          <w:tcPr/>
          <w:p>
            <w:pPr>
              <w:pStyle w:val="Compact"/>
              <w:spacing w:after="40"/>
              <w:jc w:val="right"/>
            </w:pPr>
            <w:r>
              <w:rPr>
                <w:sz w:val="19"/>
              </w:rPr>
              <w:t xml:space="preserve">-0.035</w:t>
            </w:r>
          </w:p>
        </w:tc>
      </w:tr>
      <w:tr>
        <w:tc>
          <w:tcPr/>
          <w:p>
            <w:pPr>
              <w:pStyle w:val="Compact"/>
              <w:spacing w:after="40"/>
              <w:jc w:val="left"/>
            </w:pPr>
            <w:r>
              <w:rPr>
                <w:sz w:val="19"/>
              </w:rPr>
              <w:t xml:space="preserve">M5</w:t>
            </w:r>
          </w:p>
        </w:tc>
        <w:tc>
          <w:tcPr/>
          <w:p>
            <w:pPr>
              <w:pStyle w:val="Compact"/>
              <w:spacing w:after="40"/>
              <w:jc w:val="left"/>
            </w:pPr>
            <w:r>
              <w:rPr>
                <w:sz w:val="19"/>
              </w:rPr>
              <w:t xml:space="preserve">Seasonal Naive vs. TES</w:t>
            </w:r>
          </w:p>
        </w:tc>
        <w:tc>
          <w:tcPr/>
          <w:p>
            <w:pPr>
              <w:pStyle w:val="Compact"/>
              <w:spacing w:after="40"/>
              <w:jc w:val="right"/>
            </w:pPr>
            <w:r>
              <w:rPr>
                <w:sz w:val="19"/>
              </w:rPr>
              <w:t xml:space="preserve">-0.7356</w:t>
            </w:r>
          </w:p>
        </w:tc>
        <w:tc>
          <w:tcPr/>
          <w:p>
            <w:pPr>
              <w:pStyle w:val="Compact"/>
              <w:spacing w:after="40"/>
              <w:jc w:val="right"/>
            </w:pPr>
            <w:r>
              <w:rPr>
                <w:sz w:val="19"/>
              </w:rPr>
              <w:t xml:space="preserve">-0.224</w:t>
            </w:r>
          </w:p>
        </w:tc>
        <w:tc>
          <w:tcPr/>
          <w:p>
            <w:pPr>
              <w:pStyle w:val="Compact"/>
              <w:spacing w:after="40"/>
              <w:jc w:val="right"/>
            </w:pPr>
            <w:r>
              <w:rPr>
                <w:sz w:val="19"/>
              </w:rPr>
              <w:t xml:space="preserve">0.00e+00</w:t>
            </w:r>
          </w:p>
        </w:tc>
        <w:tc>
          <w:tcPr/>
          <w:p>
            <w:pPr>
              <w:pStyle w:val="Compact"/>
              <w:spacing w:after="40"/>
              <w:jc w:val="right"/>
            </w:pPr>
            <w:r>
              <w:rPr>
                <w:sz w:val="19"/>
              </w:rPr>
              <w:t xml:space="preserve">-0.334</w:t>
            </w:r>
          </w:p>
        </w:tc>
      </w:tr>
      <w:tr>
        <w:tc>
          <w:tcPr/>
          <w:p>
            <w:pPr>
              <w:pStyle w:val="Compact"/>
              <w:spacing w:after="40"/>
              <w:jc w:val="left"/>
            </w:pPr>
            <w:r>
              <w:rPr>
                <w:sz w:val="19"/>
              </w:rPr>
              <w:t xml:space="preserve">M5</w:t>
            </w:r>
          </w:p>
        </w:tc>
        <w:tc>
          <w:tcPr/>
          <w:p>
            <w:pPr>
              <w:pStyle w:val="Compact"/>
              <w:spacing w:after="40"/>
              <w:jc w:val="left"/>
            </w:pPr>
            <w:r>
              <w:rPr>
                <w:sz w:val="19"/>
              </w:rPr>
              <w:t xml:space="preserve">Seasonal Naive vs. TSB</w:t>
            </w:r>
          </w:p>
        </w:tc>
        <w:tc>
          <w:tcPr/>
          <w:p>
            <w:pPr>
              <w:pStyle w:val="Compact"/>
              <w:spacing w:after="40"/>
              <w:jc w:val="right"/>
            </w:pPr>
            <w:r>
              <w:rPr>
                <w:sz w:val="19"/>
              </w:rPr>
              <w:t xml:space="preserve">0.1769</w:t>
            </w:r>
          </w:p>
        </w:tc>
        <w:tc>
          <w:tcPr/>
          <w:p>
            <w:pPr>
              <w:pStyle w:val="Compact"/>
              <w:spacing w:after="40"/>
              <w:jc w:val="right"/>
            </w:pPr>
            <w:r>
              <w:rPr>
                <w:sz w:val="19"/>
              </w:rPr>
              <w:t xml:space="preserve">0.124</w:t>
            </w:r>
          </w:p>
        </w:tc>
        <w:tc>
          <w:tcPr/>
          <w:p>
            <w:pPr>
              <w:pStyle w:val="Compact"/>
              <w:spacing w:after="40"/>
              <w:jc w:val="right"/>
            </w:pPr>
            <w:r>
              <w:rPr>
                <w:sz w:val="19"/>
              </w:rPr>
              <w:t xml:space="preserve">4.13e-42</w:t>
            </w:r>
          </w:p>
        </w:tc>
        <w:tc>
          <w:tcPr/>
          <w:p>
            <w:pPr>
              <w:pStyle w:val="Compact"/>
              <w:spacing w:after="40"/>
              <w:jc w:val="right"/>
            </w:pPr>
            <w:r>
              <w:rPr>
                <w:sz w:val="19"/>
              </w:rPr>
              <w:t xml:space="preserve">-0.041</w:t>
            </w:r>
          </w:p>
        </w:tc>
      </w:tr>
      <w:tr>
        <w:tc>
          <w:tcPr/>
          <w:p>
            <w:pPr>
              <w:pStyle w:val="Compact"/>
              <w:spacing w:after="40"/>
              <w:jc w:val="left"/>
            </w:pPr>
            <w:r>
              <w:rPr>
                <w:sz w:val="19"/>
              </w:rPr>
              <w:t xml:space="preserve">M5</w:t>
            </w:r>
          </w:p>
        </w:tc>
        <w:tc>
          <w:tcPr/>
          <w:p>
            <w:pPr>
              <w:pStyle w:val="Compact"/>
              <w:spacing w:after="40"/>
              <w:jc w:val="left"/>
            </w:pPr>
            <w:r>
              <w:rPr>
                <w:sz w:val="19"/>
              </w:rPr>
              <w:t xml:space="preserve">TES vs. TSB</w:t>
            </w:r>
          </w:p>
        </w:tc>
        <w:tc>
          <w:tcPr/>
          <w:p>
            <w:pPr>
              <w:pStyle w:val="Compact"/>
              <w:spacing w:after="40"/>
              <w:jc w:val="right"/>
            </w:pPr>
            <w:r>
              <w:rPr>
                <w:sz w:val="19"/>
              </w:rPr>
              <w:t xml:space="preserve">0.9125</w:t>
            </w:r>
          </w:p>
        </w:tc>
        <w:tc>
          <w:tcPr/>
          <w:p>
            <w:pPr>
              <w:pStyle w:val="Compact"/>
              <w:spacing w:after="40"/>
              <w:jc w:val="right"/>
            </w:pPr>
            <w:r>
              <w:rPr>
                <w:sz w:val="19"/>
              </w:rPr>
              <w:t xml:space="preserve">0.274</w:t>
            </w:r>
          </w:p>
        </w:tc>
        <w:tc>
          <w:tcPr/>
          <w:p>
            <w:pPr>
              <w:pStyle w:val="Compact"/>
              <w:spacing w:after="40"/>
              <w:jc w:val="right"/>
            </w:pPr>
            <w:r>
              <w:rPr>
                <w:sz w:val="19"/>
              </w:rPr>
              <w:t xml:space="preserve">0.00e+00</w:t>
            </w:r>
          </w:p>
        </w:tc>
        <w:tc>
          <w:tcPr/>
          <w:p>
            <w:pPr>
              <w:pStyle w:val="Compact"/>
              <w:spacing w:after="40"/>
              <w:jc w:val="right"/>
            </w:pPr>
            <w:r>
              <w:rPr>
                <w:sz w:val="19"/>
              </w:rPr>
              <w:t xml:space="preserve">-0.330</w:t>
            </w:r>
          </w:p>
        </w:tc>
      </w:tr>
    </w:tbl>
    <w:p/>
    <w:p>
      <w:pPr>
        <w:pStyle w:val="TableCaption"/>
      </w:pPr>
      <w:r>
        <w:t xml:space="preserve">Pairwise results: Store (36 pairs).</w:t>
      </w:r>
    </w:p>
    <w:tbl>
      <w:tblPr>
        <w:tblStyle w:val="Table"/>
        <w:tblW w:type="auto" w:w="0"/>
        <w:jc w:val="center"/>
        <w:tblLook w:firstRow="1" w:lastRow="0" w:firstColumn="0" w:lastColumn="0" w:noHBand="0" w:noVBand="0" w:val="0020"/>
        <w:tblCaption w:val="Pairwise results: Store (36 pairs)."/>
      </w:tblPr>
      <w:tblGrid>
        <w:gridCol w:w="1320"/>
        <w:gridCol w:w="1320"/>
        <w:gridCol w:w="1320"/>
        <w:gridCol w:w="1320"/>
        <w:gridCol w:w="1320"/>
        <w:gridCol w:w="1320"/>
      </w:tblGrid>
      <w:tr>
        <w:trPr>
          <w:tblHeader w:val="on"/>
        </w:trPr>
        <w:tc>
          <w:tcPr>
            <w:shd w:fill="EDEDED" w:val="clear"/>
          </w:tcPr>
          <w:p>
            <w:pPr>
              <w:pStyle w:val="Compact"/>
              <w:spacing w:after="40"/>
              <w:jc w:val="left"/>
            </w:pPr>
            <w:r>
              <w:rPr>
                <w:b/>
                <w:sz w:val="19"/>
              </w:rPr>
              <w:t xml:space="preserve">Dataset</w:t>
            </w:r>
          </w:p>
        </w:tc>
        <w:tc>
          <w:tcPr>
            <w:shd w:fill="EDEDED" w:val="clear"/>
          </w:tcPr>
          <w:p>
            <w:pPr>
              <w:pStyle w:val="Compact"/>
              <w:spacing w:after="40"/>
              <w:jc w:val="left"/>
            </w:pPr>
            <w:r>
              <w:rPr>
                <w:b/>
                <w:sz w:val="19"/>
              </w:rPr>
              <w:t xml:space="preserve">Pair (A vs. B)</w:t>
            </w:r>
          </w:p>
        </w:tc>
        <w:tc>
          <w:tcPr>
            <w:shd w:fill="EDEDED" w:val="clear"/>
          </w:tcPr>
          <w:p>
            <w:pPr>
              <w:pStyle w:val="Compact"/>
              <w:spacing w:after="40"/>
              <w:jc w:val="right"/>
            </w:pPr>
            <w:r>
              <w:rPr>
                <w:b/>
                <w:sz w:val="19"/>
              </w:rPr>
              <w:t xml:space="preserve">Mean</w:t>
            </w:r>
            <w:r>
              <w:rPr>
                <w:b/>
                <w:sz w:val="19"/>
              </w:rPr>
              <w:t xml:space="preserve"> </w:t>
            </w:r>
            <m:oMath>
              <m:r>
                <m:t>d</m:t>
              </m:r>
            </m:oMath>
          </w:p>
        </w:tc>
        <w:tc>
          <w:tcPr>
            <w:shd w:fill="EDEDED" w:val="clear"/>
          </w:tcPr>
          <w:p>
            <w:pPr>
              <w:pStyle w:val="Compact"/>
              <w:spacing w:after="40"/>
              <w:jc w:val="right"/>
            </w:pPr>
            <m:oMath>
              <m:sSub>
                <m:e>
                  <m:r>
                    <m:t>d</m:t>
                  </m:r>
                </m:e>
                <m:sub>
                  <m:r>
                    <m:t>z</m:t>
                  </m:r>
                </m:sub>
              </m:sSub>
            </m:oMath>
            <w:r>
              <w:rPr>
                <w:b/>
                <w:sz w:val="19"/>
              </w:rPr>
              <w:t xml:space="preserve">​</w:t>
            </w:r>
          </w:p>
        </w:tc>
        <w:tc>
          <w:tcPr>
            <w:shd w:fill="EDEDED" w:val="clear"/>
          </w:tcPr>
          <w:p>
            <w:pPr>
              <w:pStyle w:val="Compact"/>
              <w:spacing w:after="40"/>
              <w:jc w:val="right"/>
            </w:pPr>
            <w:r>
              <w:rPr>
                <w:b/>
                <w:sz w:val="19"/>
              </w:rPr>
              <w:t xml:space="preserve">Holm</w:t>
            </w:r>
            <w:r>
              <w:rPr>
                <w:b/>
                <w:sz w:val="19"/>
              </w:rPr>
              <w:t xml:space="preserve"> </w:t>
            </w:r>
            <m:oMath>
              <m:r>
                <m:t>p</m:t>
              </m:r>
            </m:oMath>
          </w:p>
        </w:tc>
        <w:tc>
          <w:tcPr>
            <w:shd w:fill="EDEDED" w:val="clear"/>
          </w:tcPr>
          <w:p>
            <w:pPr>
              <w:pStyle w:val="Compact"/>
              <w:spacing w:after="40"/>
              <w:jc w:val="right"/>
            </w:pPr>
            <m:oMath>
              <m:r>
                <m:t>r</m:t>
              </m:r>
            </m:oMath>
            <w:r>
              <w:rPr>
                <w:b/>
                <w:sz w:val="19"/>
              </w:rPr>
              <w:t xml:space="preserve">​</w:t>
            </w:r>
          </w:p>
        </w:tc>
      </w:tr>
      <w:tr>
        <w:tc>
          <w:tcPr/>
          <w:p>
            <w:pPr>
              <w:pStyle w:val="Compact"/>
              <w:spacing w:after="40"/>
              <w:jc w:val="left"/>
            </w:pPr>
            <w:r>
              <w:rPr>
                <w:sz w:val="19"/>
              </w:rPr>
              <w:t xml:space="preserve">Store</w:t>
            </w:r>
          </w:p>
        </w:tc>
        <w:tc>
          <w:tcPr/>
          <w:p>
            <w:pPr>
              <w:pStyle w:val="Compact"/>
              <w:spacing w:after="40"/>
              <w:jc w:val="left"/>
            </w:pPr>
            <w:r>
              <w:rPr>
                <w:sz w:val="19"/>
              </w:rPr>
              <w:t xml:space="preserve">ARIMA vs. DES</w:t>
            </w:r>
          </w:p>
        </w:tc>
        <w:tc>
          <w:tcPr/>
          <w:p>
            <w:pPr>
              <w:pStyle w:val="Compact"/>
              <w:spacing w:after="40"/>
              <w:jc w:val="right"/>
            </w:pPr>
            <w:r>
              <w:rPr>
                <w:sz w:val="19"/>
              </w:rPr>
              <w:t xml:space="preserve">-1.7311</w:t>
            </w:r>
          </w:p>
        </w:tc>
        <w:tc>
          <w:tcPr/>
          <w:p>
            <w:pPr>
              <w:pStyle w:val="Compact"/>
              <w:spacing w:after="40"/>
              <w:jc w:val="right"/>
            </w:pPr>
            <w:r>
              <w:rPr>
                <w:sz w:val="19"/>
              </w:rPr>
              <w:t xml:space="preserve">-0.138</w:t>
            </w:r>
          </w:p>
        </w:tc>
        <w:tc>
          <w:tcPr/>
          <w:p>
            <w:pPr>
              <w:pStyle w:val="Compact"/>
              <w:spacing w:after="40"/>
              <w:jc w:val="right"/>
            </w:pPr>
            <w:r>
              <w:rPr>
                <w:sz w:val="19"/>
              </w:rPr>
              <w:t xml:space="preserve">4.34e-176</w:t>
            </w:r>
          </w:p>
        </w:tc>
        <w:tc>
          <w:tcPr/>
          <w:p>
            <w:pPr>
              <w:pStyle w:val="Compact"/>
              <w:spacing w:after="40"/>
              <w:jc w:val="right"/>
            </w:pPr>
            <w:r>
              <w:rPr>
                <w:sz w:val="19"/>
              </w:rPr>
              <w:t xml:space="preserve">-0.085</w:t>
            </w:r>
          </w:p>
        </w:tc>
      </w:tr>
      <w:tr>
        <w:tc>
          <w:tcPr/>
          <w:p>
            <w:pPr>
              <w:pStyle w:val="Compact"/>
              <w:spacing w:after="40"/>
              <w:jc w:val="left"/>
            </w:pPr>
            <w:r>
              <w:rPr>
                <w:sz w:val="19"/>
              </w:rPr>
              <w:t xml:space="preserve">Store</w:t>
            </w:r>
          </w:p>
        </w:tc>
        <w:tc>
          <w:tcPr/>
          <w:p>
            <w:pPr>
              <w:pStyle w:val="Compact"/>
              <w:spacing w:after="40"/>
              <w:jc w:val="left"/>
            </w:pPr>
            <w:r>
              <w:rPr>
                <w:sz w:val="19"/>
              </w:rPr>
              <w:t xml:space="preserve">ARIMA vs. LSTM</w:t>
            </w:r>
          </w:p>
        </w:tc>
        <w:tc>
          <w:tcPr/>
          <w:p>
            <w:pPr>
              <w:pStyle w:val="Compact"/>
              <w:spacing w:after="40"/>
              <w:jc w:val="right"/>
            </w:pPr>
            <w:r>
              <w:rPr>
                <w:sz w:val="19"/>
              </w:rPr>
              <w:t xml:space="preserve">4.0264</w:t>
            </w:r>
          </w:p>
        </w:tc>
        <w:tc>
          <w:tcPr/>
          <w:p>
            <w:pPr>
              <w:pStyle w:val="Compact"/>
              <w:spacing w:after="40"/>
              <w:jc w:val="right"/>
            </w:pPr>
            <w:r>
              <w:rPr>
                <w:sz w:val="19"/>
              </w:rPr>
              <w:t xml:space="preserve">0.536</w:t>
            </w:r>
          </w:p>
        </w:tc>
        <w:tc>
          <w:tcPr/>
          <w:p>
            <w:pPr>
              <w:pStyle w:val="Compact"/>
              <w:spacing w:after="40"/>
              <w:jc w:val="right"/>
            </w:pPr>
            <w:r>
              <w:rPr>
                <w:sz w:val="19"/>
              </w:rPr>
              <w:t xml:space="preserve">0.00e+00</w:t>
            </w:r>
          </w:p>
        </w:tc>
        <w:tc>
          <w:tcPr/>
          <w:p>
            <w:pPr>
              <w:pStyle w:val="Compact"/>
              <w:spacing w:after="40"/>
              <w:jc w:val="right"/>
            </w:pPr>
            <w:r>
              <w:rPr>
                <w:sz w:val="19"/>
              </w:rPr>
              <w:t xml:space="preserve">-0.483</w:t>
            </w:r>
          </w:p>
        </w:tc>
      </w:tr>
      <w:tr>
        <w:tc>
          <w:tcPr/>
          <w:p>
            <w:pPr>
              <w:pStyle w:val="Compact"/>
              <w:spacing w:after="40"/>
              <w:jc w:val="left"/>
            </w:pPr>
            <w:r>
              <w:rPr>
                <w:sz w:val="19"/>
              </w:rPr>
              <w:t xml:space="preserve">Store</w:t>
            </w:r>
          </w:p>
        </w:tc>
        <w:tc>
          <w:tcPr/>
          <w:p>
            <w:pPr>
              <w:pStyle w:val="Compact"/>
              <w:spacing w:after="40"/>
              <w:jc w:val="left"/>
            </w:pPr>
            <w:r>
              <w:rPr>
                <w:sz w:val="19"/>
              </w:rPr>
              <w:t xml:space="preserve">ARIMA vs. Moving Average</w:t>
            </w:r>
          </w:p>
        </w:tc>
        <w:tc>
          <w:tcPr/>
          <w:p>
            <w:pPr>
              <w:pStyle w:val="Compact"/>
              <w:spacing w:after="40"/>
              <w:jc w:val="right"/>
            </w:pPr>
            <w:r>
              <w:rPr>
                <w:sz w:val="19"/>
              </w:rPr>
              <w:t xml:space="preserve">2.1920</w:t>
            </w:r>
          </w:p>
        </w:tc>
        <w:tc>
          <w:tcPr/>
          <w:p>
            <w:pPr>
              <w:pStyle w:val="Compact"/>
              <w:spacing w:after="40"/>
              <w:jc w:val="right"/>
            </w:pPr>
            <w:r>
              <w:rPr>
                <w:sz w:val="19"/>
              </w:rPr>
              <w:t xml:space="preserve">0.389</w:t>
            </w:r>
          </w:p>
        </w:tc>
        <w:tc>
          <w:tcPr/>
          <w:p>
            <w:pPr>
              <w:pStyle w:val="Compact"/>
              <w:spacing w:after="40"/>
              <w:jc w:val="right"/>
            </w:pPr>
            <w:r>
              <w:rPr>
                <w:sz w:val="19"/>
              </w:rPr>
              <w:t xml:space="preserve">0.00e+00</w:t>
            </w:r>
          </w:p>
        </w:tc>
        <w:tc>
          <w:tcPr/>
          <w:p>
            <w:pPr>
              <w:pStyle w:val="Compact"/>
              <w:spacing w:after="40"/>
              <w:jc w:val="right"/>
            </w:pPr>
            <w:r>
              <w:rPr>
                <w:sz w:val="19"/>
              </w:rPr>
              <w:t xml:space="preserve">-0.372</w:t>
            </w:r>
          </w:p>
        </w:tc>
      </w:tr>
      <w:tr>
        <w:tc>
          <w:tcPr/>
          <w:p>
            <w:pPr>
              <w:pStyle w:val="Compact"/>
              <w:spacing w:after="40"/>
              <w:jc w:val="left"/>
            </w:pPr>
            <w:r>
              <w:rPr>
                <w:sz w:val="19"/>
              </w:rPr>
              <w:t xml:space="preserve">Store</w:t>
            </w:r>
          </w:p>
        </w:tc>
        <w:tc>
          <w:tcPr/>
          <w:p>
            <w:pPr>
              <w:pStyle w:val="Compact"/>
              <w:spacing w:after="40"/>
              <w:jc w:val="left"/>
            </w:pPr>
            <w:r>
              <w:rPr>
                <w:sz w:val="19"/>
              </w:rPr>
              <w:t xml:space="preserve">ARIMA vs. Naive</w:t>
            </w:r>
          </w:p>
        </w:tc>
        <w:tc>
          <w:tcPr/>
          <w:p>
            <w:pPr>
              <w:pStyle w:val="Compact"/>
              <w:spacing w:after="40"/>
              <w:jc w:val="right"/>
            </w:pPr>
            <w:r>
              <w:rPr>
                <w:sz w:val="19"/>
              </w:rPr>
              <w:t xml:space="preserve">-4.3916</w:t>
            </w:r>
          </w:p>
        </w:tc>
        <w:tc>
          <w:tcPr/>
          <w:p>
            <w:pPr>
              <w:pStyle w:val="Compact"/>
              <w:spacing w:after="40"/>
              <w:jc w:val="right"/>
            </w:pPr>
            <w:r>
              <w:rPr>
                <w:sz w:val="19"/>
              </w:rPr>
              <w:t xml:space="preserve">-0.759</w:t>
            </w:r>
          </w:p>
        </w:tc>
        <w:tc>
          <w:tcPr/>
          <w:p>
            <w:pPr>
              <w:pStyle w:val="Compact"/>
              <w:spacing w:after="40"/>
              <w:jc w:val="right"/>
            </w:pPr>
            <w:r>
              <w:rPr>
                <w:sz w:val="19"/>
              </w:rPr>
              <w:t xml:space="preserve">0.00e+00</w:t>
            </w:r>
          </w:p>
        </w:tc>
        <w:tc>
          <w:tcPr/>
          <w:p>
            <w:pPr>
              <w:pStyle w:val="Compact"/>
              <w:spacing w:after="40"/>
              <w:jc w:val="right"/>
            </w:pPr>
            <w:r>
              <w:rPr>
                <w:sz w:val="19"/>
              </w:rPr>
              <w:t xml:space="preserve">-0.629</w:t>
            </w:r>
          </w:p>
        </w:tc>
      </w:tr>
      <w:tr>
        <w:tc>
          <w:tcPr/>
          <w:p>
            <w:pPr>
              <w:pStyle w:val="Compact"/>
              <w:spacing w:after="40"/>
              <w:jc w:val="left"/>
            </w:pPr>
            <w:r>
              <w:rPr>
                <w:sz w:val="19"/>
              </w:rPr>
              <w:t xml:space="preserve">Store</w:t>
            </w:r>
          </w:p>
        </w:tc>
        <w:tc>
          <w:tcPr/>
          <w:p>
            <w:pPr>
              <w:pStyle w:val="Compact"/>
              <w:spacing w:after="40"/>
              <w:jc w:val="left"/>
            </w:pPr>
            <w:r>
              <w:rPr>
                <w:sz w:val="19"/>
              </w:rPr>
              <w:t xml:space="preserve">ARIMA vs. SARIMA</w:t>
            </w:r>
          </w:p>
        </w:tc>
        <w:tc>
          <w:tcPr/>
          <w:p>
            <w:pPr>
              <w:pStyle w:val="Compact"/>
              <w:spacing w:after="40"/>
              <w:jc w:val="right"/>
            </w:pPr>
            <w:r>
              <w:rPr>
                <w:sz w:val="19"/>
              </w:rPr>
              <w:t xml:space="preserve">3.4532</w:t>
            </w:r>
          </w:p>
        </w:tc>
        <w:tc>
          <w:tcPr/>
          <w:p>
            <w:pPr>
              <w:pStyle w:val="Compact"/>
              <w:spacing w:after="40"/>
              <w:jc w:val="right"/>
            </w:pPr>
            <w:r>
              <w:rPr>
                <w:sz w:val="19"/>
              </w:rPr>
              <w:t xml:space="preserve">0.489</w:t>
            </w:r>
          </w:p>
        </w:tc>
        <w:tc>
          <w:tcPr/>
          <w:p>
            <w:pPr>
              <w:pStyle w:val="Compact"/>
              <w:spacing w:after="40"/>
              <w:jc w:val="right"/>
            </w:pPr>
            <w:r>
              <w:rPr>
                <w:sz w:val="19"/>
              </w:rPr>
              <w:t xml:space="preserve">0.00e+00</w:t>
            </w:r>
          </w:p>
        </w:tc>
        <w:tc>
          <w:tcPr/>
          <w:p>
            <w:pPr>
              <w:pStyle w:val="Compact"/>
              <w:spacing w:after="40"/>
              <w:jc w:val="right"/>
            </w:pPr>
            <w:r>
              <w:rPr>
                <w:sz w:val="19"/>
              </w:rPr>
              <w:t xml:space="preserve">-0.443</w:t>
            </w:r>
          </w:p>
        </w:tc>
      </w:tr>
      <w:tr>
        <w:tc>
          <w:tcPr/>
          <w:p>
            <w:pPr>
              <w:pStyle w:val="Compact"/>
              <w:spacing w:after="40"/>
              <w:jc w:val="left"/>
            </w:pPr>
            <w:r>
              <w:rPr>
                <w:sz w:val="19"/>
              </w:rPr>
              <w:t xml:space="preserve">Store</w:t>
            </w:r>
          </w:p>
        </w:tc>
        <w:tc>
          <w:tcPr/>
          <w:p>
            <w:pPr>
              <w:pStyle w:val="Compact"/>
              <w:spacing w:after="40"/>
              <w:jc w:val="left"/>
            </w:pPr>
            <w:r>
              <w:rPr>
                <w:sz w:val="19"/>
              </w:rPr>
              <w:t xml:space="preserve">ARIMA vs. SES</w:t>
            </w:r>
          </w:p>
        </w:tc>
        <w:tc>
          <w:tcPr/>
          <w:p>
            <w:pPr>
              <w:pStyle w:val="Compact"/>
              <w:spacing w:after="40"/>
              <w:jc w:val="right"/>
            </w:pPr>
            <w:r>
              <w:rPr>
                <w:sz w:val="19"/>
              </w:rPr>
              <w:t xml:space="preserve">1.9780</w:t>
            </w:r>
          </w:p>
        </w:tc>
        <w:tc>
          <w:tcPr/>
          <w:p>
            <w:pPr>
              <w:pStyle w:val="Compact"/>
              <w:spacing w:after="40"/>
              <w:jc w:val="right"/>
            </w:pPr>
            <w:r>
              <w:rPr>
                <w:sz w:val="19"/>
              </w:rPr>
              <w:t xml:space="preserve">0.411</w:t>
            </w:r>
          </w:p>
        </w:tc>
        <w:tc>
          <w:tcPr/>
          <w:p>
            <w:pPr>
              <w:pStyle w:val="Compact"/>
              <w:spacing w:after="40"/>
              <w:jc w:val="right"/>
            </w:pPr>
            <w:r>
              <w:rPr>
                <w:sz w:val="19"/>
              </w:rPr>
              <w:t xml:space="preserve">0.00e+00</w:t>
            </w:r>
          </w:p>
        </w:tc>
        <w:tc>
          <w:tcPr/>
          <w:p>
            <w:pPr>
              <w:pStyle w:val="Compact"/>
              <w:spacing w:after="40"/>
              <w:jc w:val="right"/>
            </w:pPr>
            <w:r>
              <w:rPr>
                <w:sz w:val="19"/>
              </w:rPr>
              <w:t xml:space="preserve">-0.385</w:t>
            </w:r>
          </w:p>
        </w:tc>
      </w:tr>
      <w:tr>
        <w:tc>
          <w:tcPr/>
          <w:p>
            <w:pPr>
              <w:pStyle w:val="Compact"/>
              <w:spacing w:after="40"/>
              <w:jc w:val="left"/>
            </w:pPr>
            <w:r>
              <w:rPr>
                <w:sz w:val="19"/>
              </w:rPr>
              <w:t xml:space="preserve">Store</w:t>
            </w:r>
          </w:p>
        </w:tc>
        <w:tc>
          <w:tcPr/>
          <w:p>
            <w:pPr>
              <w:pStyle w:val="Compact"/>
              <w:spacing w:after="40"/>
              <w:jc w:val="left"/>
            </w:pPr>
            <w:r>
              <w:rPr>
                <w:sz w:val="19"/>
              </w:rPr>
              <w:t xml:space="preserve">ARIMA vs. Seasonal Naive</w:t>
            </w:r>
          </w:p>
        </w:tc>
        <w:tc>
          <w:tcPr/>
          <w:p>
            <w:pPr>
              <w:pStyle w:val="Compact"/>
              <w:spacing w:after="40"/>
              <w:jc w:val="right"/>
            </w:pPr>
            <w:r>
              <w:rPr>
                <w:sz w:val="19"/>
              </w:rPr>
              <w:t xml:space="preserve">2.4484</w:t>
            </w:r>
          </w:p>
        </w:tc>
        <w:tc>
          <w:tcPr/>
          <w:p>
            <w:pPr>
              <w:pStyle w:val="Compact"/>
              <w:spacing w:after="40"/>
              <w:jc w:val="right"/>
            </w:pPr>
            <w:r>
              <w:rPr>
                <w:sz w:val="19"/>
              </w:rPr>
              <w:t xml:space="preserve">0.256</w:t>
            </w:r>
          </w:p>
        </w:tc>
        <w:tc>
          <w:tcPr/>
          <w:p>
            <w:pPr>
              <w:pStyle w:val="Compact"/>
              <w:spacing w:after="40"/>
              <w:jc w:val="right"/>
            </w:pPr>
            <w:r>
              <w:rPr>
                <w:sz w:val="19"/>
              </w:rPr>
              <w:t xml:space="preserve">0.00e+00</w:t>
            </w:r>
          </w:p>
        </w:tc>
        <w:tc>
          <w:tcPr/>
          <w:p>
            <w:pPr>
              <w:pStyle w:val="Compact"/>
              <w:spacing w:after="40"/>
              <w:jc w:val="right"/>
            </w:pPr>
            <w:r>
              <w:rPr>
                <w:sz w:val="19"/>
              </w:rPr>
              <w:t xml:space="preserve">-0.224</w:t>
            </w:r>
          </w:p>
        </w:tc>
      </w:tr>
      <w:tr>
        <w:tc>
          <w:tcPr/>
          <w:p>
            <w:pPr>
              <w:pStyle w:val="Compact"/>
              <w:spacing w:after="40"/>
              <w:jc w:val="left"/>
            </w:pPr>
            <w:r>
              <w:rPr>
                <w:sz w:val="19"/>
              </w:rPr>
              <w:t xml:space="preserve">Store</w:t>
            </w:r>
          </w:p>
        </w:tc>
        <w:tc>
          <w:tcPr/>
          <w:p>
            <w:pPr>
              <w:pStyle w:val="Compact"/>
              <w:spacing w:after="40"/>
              <w:jc w:val="left"/>
            </w:pPr>
            <w:r>
              <w:rPr>
                <w:sz w:val="19"/>
              </w:rPr>
              <w:t xml:space="preserve">ARIMA vs. TES</w:t>
            </w:r>
          </w:p>
        </w:tc>
        <w:tc>
          <w:tcPr/>
          <w:p>
            <w:pPr>
              <w:pStyle w:val="Compact"/>
              <w:spacing w:after="40"/>
              <w:jc w:val="right"/>
            </w:pPr>
            <w:r>
              <w:rPr>
                <w:sz w:val="19"/>
              </w:rPr>
              <w:t xml:space="preserve">-4.9689</w:t>
            </w:r>
          </w:p>
        </w:tc>
        <w:tc>
          <w:tcPr/>
          <w:p>
            <w:pPr>
              <w:pStyle w:val="Compact"/>
              <w:spacing w:after="40"/>
              <w:jc w:val="right"/>
            </w:pPr>
            <w:r>
              <w:rPr>
                <w:sz w:val="19"/>
              </w:rPr>
              <w:t xml:space="preserve">-0.299</w:t>
            </w:r>
          </w:p>
        </w:tc>
        <w:tc>
          <w:tcPr/>
          <w:p>
            <w:pPr>
              <w:pStyle w:val="Compact"/>
              <w:spacing w:after="40"/>
              <w:jc w:val="right"/>
            </w:pPr>
            <w:r>
              <w:rPr>
                <w:sz w:val="19"/>
              </w:rPr>
              <w:t xml:space="preserve">0.00e+00</w:t>
            </w:r>
          </w:p>
        </w:tc>
        <w:tc>
          <w:tcPr/>
          <w:p>
            <w:pPr>
              <w:pStyle w:val="Compact"/>
              <w:spacing w:after="40"/>
              <w:jc w:val="right"/>
            </w:pPr>
            <w:r>
              <w:rPr>
                <w:sz w:val="19"/>
              </w:rPr>
              <w:t xml:space="preserve">-0.261</w:t>
            </w:r>
          </w:p>
        </w:tc>
      </w:tr>
      <w:tr>
        <w:tc>
          <w:tcPr/>
          <w:p>
            <w:pPr>
              <w:pStyle w:val="Compact"/>
              <w:spacing w:after="40"/>
              <w:jc w:val="left"/>
            </w:pPr>
            <w:r>
              <w:rPr>
                <w:sz w:val="19"/>
              </w:rPr>
              <w:t xml:space="preserve">Store</w:t>
            </w:r>
          </w:p>
        </w:tc>
        <w:tc>
          <w:tcPr/>
          <w:p>
            <w:pPr>
              <w:pStyle w:val="Compact"/>
              <w:spacing w:after="40"/>
              <w:jc w:val="left"/>
            </w:pPr>
            <w:r>
              <w:rPr>
                <w:sz w:val="19"/>
              </w:rPr>
              <w:t xml:space="preserve">DES vs. LSTM</w:t>
            </w:r>
          </w:p>
        </w:tc>
        <w:tc>
          <w:tcPr/>
          <w:p>
            <w:pPr>
              <w:pStyle w:val="Compact"/>
              <w:spacing w:after="40"/>
              <w:jc w:val="right"/>
            </w:pPr>
            <w:r>
              <w:rPr>
                <w:sz w:val="19"/>
              </w:rPr>
              <w:t xml:space="preserve">5.7575</w:t>
            </w:r>
          </w:p>
        </w:tc>
        <w:tc>
          <w:tcPr/>
          <w:p>
            <w:pPr>
              <w:pStyle w:val="Compact"/>
              <w:spacing w:after="40"/>
              <w:jc w:val="right"/>
            </w:pPr>
            <w:r>
              <w:rPr>
                <w:sz w:val="19"/>
              </w:rPr>
              <w:t xml:space="preserve">0.477</w:t>
            </w:r>
          </w:p>
        </w:tc>
        <w:tc>
          <w:tcPr/>
          <w:p>
            <w:pPr>
              <w:pStyle w:val="Compact"/>
              <w:spacing w:after="40"/>
              <w:jc w:val="right"/>
            </w:pPr>
            <w:r>
              <w:rPr>
                <w:sz w:val="19"/>
              </w:rPr>
              <w:t xml:space="preserve">0.00e+00</w:t>
            </w:r>
          </w:p>
        </w:tc>
        <w:tc>
          <w:tcPr/>
          <w:p>
            <w:pPr>
              <w:pStyle w:val="Compact"/>
              <w:spacing w:after="40"/>
              <w:jc w:val="right"/>
            </w:pPr>
            <w:r>
              <w:rPr>
                <w:sz w:val="19"/>
              </w:rPr>
              <w:t xml:space="preserve">-0.444</w:t>
            </w:r>
          </w:p>
        </w:tc>
      </w:tr>
      <w:tr>
        <w:tc>
          <w:tcPr/>
          <w:p>
            <w:pPr>
              <w:pStyle w:val="Compact"/>
              <w:spacing w:after="40"/>
              <w:jc w:val="left"/>
            </w:pPr>
            <w:r>
              <w:rPr>
                <w:sz w:val="19"/>
              </w:rPr>
              <w:t xml:space="preserve">Store</w:t>
            </w:r>
          </w:p>
        </w:tc>
        <w:tc>
          <w:tcPr/>
          <w:p>
            <w:pPr>
              <w:pStyle w:val="Compact"/>
              <w:spacing w:after="40"/>
              <w:jc w:val="left"/>
            </w:pPr>
            <w:r>
              <w:rPr>
                <w:sz w:val="19"/>
              </w:rPr>
              <w:t xml:space="preserve">DES vs. Moving Average</w:t>
            </w:r>
          </w:p>
        </w:tc>
        <w:tc>
          <w:tcPr/>
          <w:p>
            <w:pPr>
              <w:pStyle w:val="Compact"/>
              <w:spacing w:after="40"/>
              <w:jc w:val="right"/>
            </w:pPr>
            <w:r>
              <w:rPr>
                <w:sz w:val="19"/>
              </w:rPr>
              <w:t xml:space="preserve">3.9231</w:t>
            </w:r>
          </w:p>
        </w:tc>
        <w:tc>
          <w:tcPr/>
          <w:p>
            <w:pPr>
              <w:pStyle w:val="Compact"/>
              <w:spacing w:after="40"/>
              <w:jc w:val="right"/>
            </w:pPr>
            <w:r>
              <w:rPr>
                <w:sz w:val="19"/>
              </w:rPr>
              <w:t xml:space="preserve">0.366</w:t>
            </w:r>
          </w:p>
        </w:tc>
        <w:tc>
          <w:tcPr/>
          <w:p>
            <w:pPr>
              <w:pStyle w:val="Compact"/>
              <w:spacing w:after="40"/>
              <w:jc w:val="right"/>
            </w:pPr>
            <w:r>
              <w:rPr>
                <w:sz w:val="19"/>
              </w:rPr>
              <w:t xml:space="preserve">0.00e+00</w:t>
            </w:r>
          </w:p>
        </w:tc>
        <w:tc>
          <w:tcPr/>
          <w:p>
            <w:pPr>
              <w:pStyle w:val="Compact"/>
              <w:spacing w:after="40"/>
              <w:jc w:val="right"/>
            </w:pPr>
            <w:r>
              <w:rPr>
                <w:sz w:val="19"/>
              </w:rPr>
              <w:t xml:space="preserve">-0.353</w:t>
            </w:r>
          </w:p>
        </w:tc>
      </w:tr>
      <w:tr>
        <w:tc>
          <w:tcPr/>
          <w:p>
            <w:pPr>
              <w:pStyle w:val="Compact"/>
              <w:spacing w:after="40"/>
              <w:jc w:val="left"/>
            </w:pPr>
            <w:r>
              <w:rPr>
                <w:sz w:val="19"/>
              </w:rPr>
              <w:t xml:space="preserve">Store</w:t>
            </w:r>
          </w:p>
        </w:tc>
        <w:tc>
          <w:tcPr/>
          <w:p>
            <w:pPr>
              <w:pStyle w:val="Compact"/>
              <w:spacing w:after="40"/>
              <w:jc w:val="left"/>
            </w:pPr>
            <w:r>
              <w:rPr>
                <w:sz w:val="19"/>
              </w:rPr>
              <w:t xml:space="preserve">DES vs. Naive</w:t>
            </w:r>
          </w:p>
        </w:tc>
        <w:tc>
          <w:tcPr/>
          <w:p>
            <w:pPr>
              <w:pStyle w:val="Compact"/>
              <w:spacing w:after="40"/>
              <w:jc w:val="right"/>
            </w:pPr>
            <w:r>
              <w:rPr>
                <w:sz w:val="19"/>
              </w:rPr>
              <w:t xml:space="preserve">-2.6605</w:t>
            </w:r>
          </w:p>
        </w:tc>
        <w:tc>
          <w:tcPr/>
          <w:p>
            <w:pPr>
              <w:pStyle w:val="Compact"/>
              <w:spacing w:after="40"/>
              <w:jc w:val="right"/>
            </w:pPr>
            <w:r>
              <w:rPr>
                <w:sz w:val="19"/>
              </w:rPr>
              <w:t xml:space="preserve">-0.172</w:t>
            </w:r>
          </w:p>
        </w:tc>
        <w:tc>
          <w:tcPr/>
          <w:p>
            <w:pPr>
              <w:pStyle w:val="Compact"/>
              <w:spacing w:after="40"/>
              <w:jc w:val="right"/>
            </w:pPr>
            <w:r>
              <w:rPr>
                <w:sz w:val="19"/>
              </w:rPr>
              <w:t xml:space="preserve">0.00e+00</w:t>
            </w:r>
          </w:p>
        </w:tc>
        <w:tc>
          <w:tcPr/>
          <w:p>
            <w:pPr>
              <w:pStyle w:val="Compact"/>
              <w:spacing w:after="40"/>
              <w:jc w:val="right"/>
            </w:pPr>
            <w:r>
              <w:rPr>
                <w:sz w:val="19"/>
              </w:rPr>
              <w:t xml:space="preserve">-0.228</w:t>
            </w:r>
          </w:p>
        </w:tc>
      </w:tr>
      <w:tr>
        <w:tc>
          <w:tcPr/>
          <w:p>
            <w:pPr>
              <w:pStyle w:val="Compact"/>
              <w:spacing w:after="40"/>
              <w:jc w:val="left"/>
            </w:pPr>
            <w:r>
              <w:rPr>
                <w:sz w:val="19"/>
              </w:rPr>
              <w:t xml:space="preserve">Store</w:t>
            </w:r>
          </w:p>
        </w:tc>
        <w:tc>
          <w:tcPr/>
          <w:p>
            <w:pPr>
              <w:pStyle w:val="Compact"/>
              <w:spacing w:after="40"/>
              <w:jc w:val="left"/>
            </w:pPr>
            <w:r>
              <w:rPr>
                <w:sz w:val="19"/>
              </w:rPr>
              <w:t xml:space="preserve">DES vs. SARIMA</w:t>
            </w:r>
          </w:p>
        </w:tc>
        <w:tc>
          <w:tcPr/>
          <w:p>
            <w:pPr>
              <w:pStyle w:val="Compact"/>
              <w:spacing w:after="40"/>
              <w:jc w:val="right"/>
            </w:pPr>
            <w:r>
              <w:rPr>
                <w:sz w:val="19"/>
              </w:rPr>
              <w:t xml:space="preserve">5.1843</w:t>
            </w:r>
          </w:p>
        </w:tc>
        <w:tc>
          <w:tcPr/>
          <w:p>
            <w:pPr>
              <w:pStyle w:val="Compact"/>
              <w:spacing w:after="40"/>
              <w:jc w:val="right"/>
            </w:pPr>
            <w:r>
              <w:rPr>
                <w:sz w:val="19"/>
              </w:rPr>
              <w:t xml:space="preserve">0.463</w:t>
            </w:r>
          </w:p>
        </w:tc>
        <w:tc>
          <w:tcPr/>
          <w:p>
            <w:pPr>
              <w:pStyle w:val="Compact"/>
              <w:spacing w:after="40"/>
              <w:jc w:val="right"/>
            </w:pPr>
            <w:r>
              <w:rPr>
                <w:sz w:val="19"/>
              </w:rPr>
              <w:t xml:space="preserve">0.00e+00</w:t>
            </w:r>
          </w:p>
        </w:tc>
        <w:tc>
          <w:tcPr/>
          <w:p>
            <w:pPr>
              <w:pStyle w:val="Compact"/>
              <w:spacing w:after="40"/>
              <w:jc w:val="right"/>
            </w:pPr>
            <w:r>
              <w:rPr>
                <w:sz w:val="19"/>
              </w:rPr>
              <w:t xml:space="preserve">-0.429</w:t>
            </w:r>
          </w:p>
        </w:tc>
      </w:tr>
      <w:tr>
        <w:tc>
          <w:tcPr/>
          <w:p>
            <w:pPr>
              <w:pStyle w:val="Compact"/>
              <w:spacing w:after="40"/>
              <w:jc w:val="left"/>
            </w:pPr>
            <w:r>
              <w:rPr>
                <w:sz w:val="19"/>
              </w:rPr>
              <w:t xml:space="preserve">Store</w:t>
            </w:r>
          </w:p>
        </w:tc>
        <w:tc>
          <w:tcPr/>
          <w:p>
            <w:pPr>
              <w:pStyle w:val="Compact"/>
              <w:spacing w:after="40"/>
              <w:jc w:val="left"/>
            </w:pPr>
            <w:r>
              <w:rPr>
                <w:sz w:val="19"/>
              </w:rPr>
              <w:t xml:space="preserve">DES vs. SES</w:t>
            </w:r>
          </w:p>
        </w:tc>
        <w:tc>
          <w:tcPr/>
          <w:p>
            <w:pPr>
              <w:pStyle w:val="Compact"/>
              <w:spacing w:after="40"/>
              <w:jc w:val="right"/>
            </w:pPr>
            <w:r>
              <w:rPr>
                <w:sz w:val="19"/>
              </w:rPr>
              <w:t xml:space="preserve">3.7091</w:t>
            </w:r>
          </w:p>
        </w:tc>
        <w:tc>
          <w:tcPr/>
          <w:p>
            <w:pPr>
              <w:pStyle w:val="Compact"/>
              <w:spacing w:after="40"/>
              <w:jc w:val="right"/>
            </w:pPr>
            <w:r>
              <w:rPr>
                <w:sz w:val="19"/>
              </w:rPr>
              <w:t xml:space="preserve">0.311</w:t>
            </w:r>
          </w:p>
        </w:tc>
        <w:tc>
          <w:tcPr/>
          <w:p>
            <w:pPr>
              <w:pStyle w:val="Compact"/>
              <w:spacing w:after="40"/>
              <w:jc w:val="right"/>
            </w:pPr>
            <w:r>
              <w:rPr>
                <w:sz w:val="19"/>
              </w:rPr>
              <w:t xml:space="preserve">0.00e+00</w:t>
            </w:r>
          </w:p>
        </w:tc>
        <w:tc>
          <w:tcPr/>
          <w:p>
            <w:pPr>
              <w:pStyle w:val="Compact"/>
              <w:spacing w:after="40"/>
              <w:jc w:val="right"/>
            </w:pPr>
            <w:r>
              <w:rPr>
                <w:sz w:val="19"/>
              </w:rPr>
              <w:t xml:space="preserve">-0.294</w:t>
            </w:r>
          </w:p>
        </w:tc>
      </w:tr>
      <w:tr>
        <w:tc>
          <w:tcPr/>
          <w:p>
            <w:pPr>
              <w:pStyle w:val="Compact"/>
              <w:spacing w:after="40"/>
              <w:jc w:val="left"/>
            </w:pPr>
            <w:r>
              <w:rPr>
                <w:sz w:val="19"/>
              </w:rPr>
              <w:t xml:space="preserve">Store</w:t>
            </w:r>
          </w:p>
        </w:tc>
        <w:tc>
          <w:tcPr/>
          <w:p>
            <w:pPr>
              <w:pStyle w:val="Compact"/>
              <w:spacing w:after="40"/>
              <w:jc w:val="left"/>
            </w:pPr>
            <w:r>
              <w:rPr>
                <w:sz w:val="19"/>
              </w:rPr>
              <w:t xml:space="preserve">DES vs. Seasonal Naive</w:t>
            </w:r>
          </w:p>
        </w:tc>
        <w:tc>
          <w:tcPr/>
          <w:p>
            <w:pPr>
              <w:pStyle w:val="Compact"/>
              <w:spacing w:after="40"/>
              <w:jc w:val="right"/>
            </w:pPr>
            <w:r>
              <w:rPr>
                <w:sz w:val="19"/>
              </w:rPr>
              <w:t xml:space="preserve">4.1795</w:t>
            </w:r>
          </w:p>
        </w:tc>
        <w:tc>
          <w:tcPr/>
          <w:p>
            <w:pPr>
              <w:pStyle w:val="Compact"/>
              <w:spacing w:after="40"/>
              <w:jc w:val="right"/>
            </w:pPr>
            <w:r>
              <w:rPr>
                <w:sz w:val="19"/>
              </w:rPr>
              <w:t xml:space="preserve">0.338</w:t>
            </w:r>
          </w:p>
        </w:tc>
        <w:tc>
          <w:tcPr/>
          <w:p>
            <w:pPr>
              <w:pStyle w:val="Compact"/>
              <w:spacing w:after="40"/>
              <w:jc w:val="right"/>
            </w:pPr>
            <w:r>
              <w:rPr>
                <w:sz w:val="19"/>
              </w:rPr>
              <w:t xml:space="preserve">0.00e+00</w:t>
            </w:r>
          </w:p>
        </w:tc>
        <w:tc>
          <w:tcPr/>
          <w:p>
            <w:pPr>
              <w:pStyle w:val="Compact"/>
              <w:spacing w:after="40"/>
              <w:jc w:val="right"/>
            </w:pPr>
            <w:r>
              <w:rPr>
                <w:sz w:val="19"/>
              </w:rPr>
              <w:t xml:space="preserve">-0.300</w:t>
            </w:r>
          </w:p>
        </w:tc>
      </w:tr>
      <w:tr>
        <w:tc>
          <w:tcPr/>
          <w:p>
            <w:pPr>
              <w:pStyle w:val="Compact"/>
              <w:spacing w:after="40"/>
              <w:jc w:val="left"/>
            </w:pPr>
            <w:r>
              <w:rPr>
                <w:sz w:val="19"/>
              </w:rPr>
              <w:t xml:space="preserve">Store</w:t>
            </w:r>
          </w:p>
        </w:tc>
        <w:tc>
          <w:tcPr/>
          <w:p>
            <w:pPr>
              <w:pStyle w:val="Compact"/>
              <w:spacing w:after="40"/>
              <w:jc w:val="left"/>
            </w:pPr>
            <w:r>
              <w:rPr>
                <w:sz w:val="19"/>
              </w:rPr>
              <w:t xml:space="preserve">DES vs. TES</w:t>
            </w:r>
          </w:p>
        </w:tc>
        <w:tc>
          <w:tcPr/>
          <w:p>
            <w:pPr>
              <w:pStyle w:val="Compact"/>
              <w:spacing w:after="40"/>
              <w:jc w:val="right"/>
            </w:pPr>
            <w:r>
              <w:rPr>
                <w:sz w:val="19"/>
              </w:rPr>
              <w:t xml:space="preserve">-3.2378</w:t>
            </w:r>
          </w:p>
        </w:tc>
        <w:tc>
          <w:tcPr/>
          <w:p>
            <w:pPr>
              <w:pStyle w:val="Compact"/>
              <w:spacing w:after="40"/>
              <w:jc w:val="right"/>
            </w:pPr>
            <w:r>
              <w:rPr>
                <w:sz w:val="19"/>
              </w:rPr>
              <w:t xml:space="preserve">-0.254</w:t>
            </w:r>
          </w:p>
        </w:tc>
        <w:tc>
          <w:tcPr/>
          <w:p>
            <w:pPr>
              <w:pStyle w:val="Compact"/>
              <w:spacing w:after="40"/>
              <w:jc w:val="right"/>
            </w:pPr>
            <w:r>
              <w:rPr>
                <w:sz w:val="19"/>
              </w:rPr>
              <w:t xml:space="preserve">0.00e+00</w:t>
            </w:r>
          </w:p>
        </w:tc>
        <w:tc>
          <w:tcPr/>
          <w:p>
            <w:pPr>
              <w:pStyle w:val="Compact"/>
              <w:spacing w:after="40"/>
              <w:jc w:val="right"/>
            </w:pPr>
            <w:r>
              <w:rPr>
                <w:sz w:val="19"/>
              </w:rPr>
              <w:t xml:space="preserve">-0.234</w:t>
            </w:r>
          </w:p>
        </w:tc>
      </w:tr>
      <w:tr>
        <w:tc>
          <w:tcPr/>
          <w:p>
            <w:pPr>
              <w:pStyle w:val="Compact"/>
              <w:spacing w:after="40"/>
              <w:jc w:val="left"/>
            </w:pPr>
            <w:r>
              <w:rPr>
                <w:sz w:val="19"/>
              </w:rPr>
              <w:t xml:space="preserve">Store</w:t>
            </w:r>
          </w:p>
        </w:tc>
        <w:tc>
          <w:tcPr/>
          <w:p>
            <w:pPr>
              <w:pStyle w:val="Compact"/>
              <w:spacing w:after="40"/>
              <w:jc w:val="left"/>
            </w:pPr>
            <w:r>
              <w:rPr>
                <w:sz w:val="19"/>
              </w:rPr>
              <w:t xml:space="preserve">LSTM vs. Moving Average</w:t>
            </w:r>
          </w:p>
        </w:tc>
        <w:tc>
          <w:tcPr/>
          <w:p>
            <w:pPr>
              <w:pStyle w:val="Compact"/>
              <w:spacing w:after="40"/>
              <w:jc w:val="right"/>
            </w:pPr>
            <w:r>
              <w:rPr>
                <w:sz w:val="19"/>
              </w:rPr>
              <w:t xml:space="preserve">-1.8345</w:t>
            </w:r>
          </w:p>
        </w:tc>
        <w:tc>
          <w:tcPr/>
          <w:p>
            <w:pPr>
              <w:pStyle w:val="Compact"/>
              <w:spacing w:after="40"/>
              <w:jc w:val="right"/>
            </w:pPr>
            <w:r>
              <w:rPr>
                <w:sz w:val="19"/>
              </w:rPr>
              <w:t xml:space="preserve">-0.295</w:t>
            </w:r>
          </w:p>
        </w:tc>
        <w:tc>
          <w:tcPr/>
          <w:p>
            <w:pPr>
              <w:pStyle w:val="Compact"/>
              <w:spacing w:after="40"/>
              <w:jc w:val="right"/>
            </w:pPr>
            <w:r>
              <w:rPr>
                <w:sz w:val="19"/>
              </w:rPr>
              <w:t xml:space="preserve">0.00e+00</w:t>
            </w:r>
          </w:p>
        </w:tc>
        <w:tc>
          <w:tcPr/>
          <w:p>
            <w:pPr>
              <w:pStyle w:val="Compact"/>
              <w:spacing w:after="40"/>
              <w:jc w:val="right"/>
            </w:pPr>
            <w:r>
              <w:rPr>
                <w:sz w:val="19"/>
              </w:rPr>
              <w:t xml:space="preserve">-0.282</w:t>
            </w:r>
          </w:p>
        </w:tc>
      </w:tr>
      <w:tr>
        <w:tc>
          <w:tcPr/>
          <w:p>
            <w:pPr>
              <w:pStyle w:val="Compact"/>
              <w:spacing w:after="40"/>
              <w:jc w:val="left"/>
            </w:pPr>
            <w:r>
              <w:rPr>
                <w:sz w:val="19"/>
              </w:rPr>
              <w:t xml:space="preserve">Store</w:t>
            </w:r>
          </w:p>
        </w:tc>
        <w:tc>
          <w:tcPr/>
          <w:p>
            <w:pPr>
              <w:pStyle w:val="Compact"/>
              <w:spacing w:after="40"/>
              <w:jc w:val="left"/>
            </w:pPr>
            <w:r>
              <w:rPr>
                <w:sz w:val="19"/>
              </w:rPr>
              <w:t xml:space="preserve">LSTM vs. Naive</w:t>
            </w:r>
          </w:p>
        </w:tc>
        <w:tc>
          <w:tcPr/>
          <w:p>
            <w:pPr>
              <w:pStyle w:val="Compact"/>
              <w:spacing w:after="40"/>
              <w:jc w:val="right"/>
            </w:pPr>
            <w:r>
              <w:rPr>
                <w:sz w:val="19"/>
              </w:rPr>
              <w:t xml:space="preserve">-8.4180</w:t>
            </w:r>
          </w:p>
        </w:tc>
        <w:tc>
          <w:tcPr/>
          <w:p>
            <w:pPr>
              <w:pStyle w:val="Compact"/>
              <w:spacing w:after="40"/>
              <w:jc w:val="right"/>
            </w:pPr>
            <w:r>
              <w:rPr>
                <w:sz w:val="19"/>
              </w:rPr>
              <w:t xml:space="preserve">-0.831</w:t>
            </w:r>
          </w:p>
        </w:tc>
        <w:tc>
          <w:tcPr/>
          <w:p>
            <w:pPr>
              <w:pStyle w:val="Compact"/>
              <w:spacing w:after="40"/>
              <w:jc w:val="right"/>
            </w:pPr>
            <w:r>
              <w:rPr>
                <w:sz w:val="19"/>
              </w:rPr>
              <w:t xml:space="preserve">0.00e+00</w:t>
            </w:r>
          </w:p>
        </w:tc>
        <w:tc>
          <w:tcPr/>
          <w:p>
            <w:pPr>
              <w:pStyle w:val="Compact"/>
              <w:spacing w:after="40"/>
              <w:jc w:val="right"/>
            </w:pPr>
            <w:r>
              <w:rPr>
                <w:sz w:val="19"/>
              </w:rPr>
              <w:t xml:space="preserve">-0.694</w:t>
            </w:r>
          </w:p>
        </w:tc>
      </w:tr>
      <w:tr>
        <w:tc>
          <w:tcPr/>
          <w:p>
            <w:pPr>
              <w:pStyle w:val="Compact"/>
              <w:spacing w:after="40"/>
              <w:jc w:val="left"/>
            </w:pPr>
            <w:r>
              <w:rPr>
                <w:sz w:val="19"/>
              </w:rPr>
              <w:t xml:space="preserve">Store</w:t>
            </w:r>
          </w:p>
        </w:tc>
        <w:tc>
          <w:tcPr/>
          <w:p>
            <w:pPr>
              <w:pStyle w:val="Compact"/>
              <w:spacing w:after="40"/>
              <w:jc w:val="left"/>
            </w:pPr>
            <w:r>
              <w:rPr>
                <w:sz w:val="19"/>
              </w:rPr>
              <w:t xml:space="preserve">LSTM vs. SARIMA</w:t>
            </w:r>
          </w:p>
        </w:tc>
        <w:tc>
          <w:tcPr/>
          <w:p>
            <w:pPr>
              <w:pStyle w:val="Compact"/>
              <w:spacing w:after="40"/>
              <w:jc w:val="right"/>
            </w:pPr>
            <w:r>
              <w:rPr>
                <w:sz w:val="19"/>
              </w:rPr>
              <w:t xml:space="preserve">-0.5732</w:t>
            </w:r>
          </w:p>
        </w:tc>
        <w:tc>
          <w:tcPr/>
          <w:p>
            <w:pPr>
              <w:pStyle w:val="Compact"/>
              <w:spacing w:after="40"/>
              <w:jc w:val="right"/>
            </w:pPr>
            <w:r>
              <w:rPr>
                <w:sz w:val="19"/>
              </w:rPr>
              <w:t xml:space="preserve">-0.118</w:t>
            </w:r>
          </w:p>
        </w:tc>
        <w:tc>
          <w:tcPr/>
          <w:p>
            <w:pPr>
              <w:pStyle w:val="Compact"/>
              <w:spacing w:after="40"/>
              <w:jc w:val="right"/>
            </w:pPr>
            <w:r>
              <w:rPr>
                <w:sz w:val="19"/>
              </w:rPr>
              <w:t xml:space="preserve">0.00e+00</w:t>
            </w:r>
          </w:p>
        </w:tc>
        <w:tc>
          <w:tcPr/>
          <w:p>
            <w:pPr>
              <w:pStyle w:val="Compact"/>
              <w:spacing w:after="40"/>
              <w:jc w:val="right"/>
            </w:pPr>
            <w:r>
              <w:rPr>
                <w:sz w:val="19"/>
              </w:rPr>
              <w:t xml:space="preserve">-0.128</w:t>
            </w:r>
          </w:p>
        </w:tc>
      </w:tr>
      <w:tr>
        <w:tc>
          <w:tcPr/>
          <w:p>
            <w:pPr>
              <w:pStyle w:val="Compact"/>
              <w:spacing w:after="40"/>
              <w:jc w:val="left"/>
            </w:pPr>
            <w:r>
              <w:rPr>
                <w:sz w:val="19"/>
              </w:rPr>
              <w:t xml:space="preserve">Store</w:t>
            </w:r>
          </w:p>
        </w:tc>
        <w:tc>
          <w:tcPr/>
          <w:p>
            <w:pPr>
              <w:pStyle w:val="Compact"/>
              <w:spacing w:after="40"/>
              <w:jc w:val="left"/>
            </w:pPr>
            <w:r>
              <w:rPr>
                <w:sz w:val="19"/>
              </w:rPr>
              <w:t xml:space="preserve">LSTM vs. SES</w:t>
            </w:r>
          </w:p>
        </w:tc>
        <w:tc>
          <w:tcPr/>
          <w:p>
            <w:pPr>
              <w:pStyle w:val="Compact"/>
              <w:spacing w:after="40"/>
              <w:jc w:val="right"/>
            </w:pPr>
            <w:r>
              <w:rPr>
                <w:sz w:val="19"/>
              </w:rPr>
              <w:t xml:space="preserve">-2.0484</w:t>
            </w:r>
          </w:p>
        </w:tc>
        <w:tc>
          <w:tcPr/>
          <w:p>
            <w:pPr>
              <w:pStyle w:val="Compact"/>
              <w:spacing w:after="40"/>
              <w:jc w:val="right"/>
            </w:pPr>
            <w:r>
              <w:rPr>
                <w:sz w:val="19"/>
              </w:rPr>
              <w:t xml:space="preserve">-0.336</w:t>
            </w:r>
          </w:p>
        </w:tc>
        <w:tc>
          <w:tcPr/>
          <w:p>
            <w:pPr>
              <w:pStyle w:val="Compact"/>
              <w:spacing w:after="40"/>
              <w:jc w:val="right"/>
            </w:pPr>
            <w:r>
              <w:rPr>
                <w:sz w:val="19"/>
              </w:rPr>
              <w:t xml:space="preserve">0.00e+00</w:t>
            </w:r>
          </w:p>
        </w:tc>
        <w:tc>
          <w:tcPr/>
          <w:p>
            <w:pPr>
              <w:pStyle w:val="Compact"/>
              <w:spacing w:after="40"/>
              <w:jc w:val="right"/>
            </w:pPr>
            <w:r>
              <w:rPr>
                <w:sz w:val="19"/>
              </w:rPr>
              <w:t xml:space="preserve">-0.311</w:t>
            </w:r>
          </w:p>
        </w:tc>
      </w:tr>
      <w:tr>
        <w:tc>
          <w:tcPr/>
          <w:p>
            <w:pPr>
              <w:pStyle w:val="Compact"/>
              <w:spacing w:after="40"/>
              <w:jc w:val="left"/>
            </w:pPr>
            <w:r>
              <w:rPr>
                <w:sz w:val="19"/>
              </w:rPr>
              <w:t xml:space="preserve">Store</w:t>
            </w:r>
          </w:p>
        </w:tc>
        <w:tc>
          <w:tcPr/>
          <w:p>
            <w:pPr>
              <w:pStyle w:val="Compact"/>
              <w:spacing w:after="40"/>
              <w:jc w:val="left"/>
            </w:pPr>
            <w:r>
              <w:rPr>
                <w:sz w:val="19"/>
              </w:rPr>
              <w:t xml:space="preserve">LSTM vs. Seasonal Naive</w:t>
            </w:r>
          </w:p>
        </w:tc>
        <w:tc>
          <w:tcPr/>
          <w:p>
            <w:pPr>
              <w:pStyle w:val="Compact"/>
              <w:spacing w:after="40"/>
              <w:jc w:val="right"/>
            </w:pPr>
            <w:r>
              <w:rPr>
                <w:sz w:val="19"/>
              </w:rPr>
              <w:t xml:space="preserve">-1.5781</w:t>
            </w:r>
          </w:p>
        </w:tc>
        <w:tc>
          <w:tcPr/>
          <w:p>
            <w:pPr>
              <w:pStyle w:val="Compact"/>
              <w:spacing w:after="40"/>
              <w:jc w:val="right"/>
            </w:pPr>
            <w:r>
              <w:rPr>
                <w:sz w:val="19"/>
              </w:rPr>
              <w:t xml:space="preserve">-0.251</w:t>
            </w:r>
          </w:p>
        </w:tc>
        <w:tc>
          <w:tcPr/>
          <w:p>
            <w:pPr>
              <w:pStyle w:val="Compact"/>
              <w:spacing w:after="40"/>
              <w:jc w:val="right"/>
            </w:pPr>
            <w:r>
              <w:rPr>
                <w:sz w:val="19"/>
              </w:rPr>
              <w:t xml:space="preserve">0.00e+00</w:t>
            </w:r>
          </w:p>
        </w:tc>
        <w:tc>
          <w:tcPr/>
          <w:p>
            <w:pPr>
              <w:pStyle w:val="Compact"/>
              <w:spacing w:after="40"/>
              <w:jc w:val="right"/>
            </w:pPr>
            <w:r>
              <w:rPr>
                <w:sz w:val="19"/>
              </w:rPr>
              <w:t xml:space="preserve">-0.248</w:t>
            </w:r>
          </w:p>
        </w:tc>
      </w:tr>
      <w:tr>
        <w:tc>
          <w:tcPr/>
          <w:p>
            <w:pPr>
              <w:pStyle w:val="Compact"/>
              <w:spacing w:after="40"/>
              <w:jc w:val="left"/>
            </w:pPr>
            <w:r>
              <w:rPr>
                <w:sz w:val="19"/>
              </w:rPr>
              <w:t xml:space="preserve">Store</w:t>
            </w:r>
          </w:p>
        </w:tc>
        <w:tc>
          <w:tcPr/>
          <w:p>
            <w:pPr>
              <w:pStyle w:val="Compact"/>
              <w:spacing w:after="40"/>
              <w:jc w:val="left"/>
            </w:pPr>
            <w:r>
              <w:rPr>
                <w:sz w:val="19"/>
              </w:rPr>
              <w:t xml:space="preserve">LSTM vs. TES</w:t>
            </w:r>
          </w:p>
        </w:tc>
        <w:tc>
          <w:tcPr/>
          <w:p>
            <w:pPr>
              <w:pStyle w:val="Compact"/>
              <w:spacing w:after="40"/>
              <w:jc w:val="right"/>
            </w:pPr>
            <w:r>
              <w:rPr>
                <w:sz w:val="19"/>
              </w:rPr>
              <w:t xml:space="preserve">-8.9953</w:t>
            </w:r>
          </w:p>
        </w:tc>
        <w:tc>
          <w:tcPr/>
          <w:p>
            <w:pPr>
              <w:pStyle w:val="Compact"/>
              <w:spacing w:after="40"/>
              <w:jc w:val="right"/>
            </w:pPr>
            <w:r>
              <w:rPr>
                <w:sz w:val="19"/>
              </w:rPr>
              <w:t xml:space="preserve">-0.567</w:t>
            </w:r>
          </w:p>
        </w:tc>
        <w:tc>
          <w:tcPr/>
          <w:p>
            <w:pPr>
              <w:pStyle w:val="Compact"/>
              <w:spacing w:after="40"/>
              <w:jc w:val="right"/>
            </w:pPr>
            <w:r>
              <w:rPr>
                <w:sz w:val="19"/>
              </w:rPr>
              <w:t xml:space="preserve">0.00e+00</w:t>
            </w:r>
          </w:p>
        </w:tc>
        <w:tc>
          <w:tcPr/>
          <w:p>
            <w:pPr>
              <w:pStyle w:val="Compact"/>
              <w:spacing w:after="40"/>
              <w:jc w:val="right"/>
            </w:pPr>
            <w:r>
              <w:rPr>
                <w:sz w:val="19"/>
              </w:rPr>
              <w:t xml:space="preserve">-0.542</w:t>
            </w:r>
          </w:p>
        </w:tc>
      </w:tr>
      <w:tr>
        <w:tc>
          <w:tcPr/>
          <w:p>
            <w:pPr>
              <w:pStyle w:val="Compact"/>
              <w:spacing w:after="40"/>
              <w:jc w:val="left"/>
            </w:pPr>
            <w:r>
              <w:rPr>
                <w:sz w:val="19"/>
              </w:rPr>
              <w:t xml:space="preserve">Store</w:t>
            </w:r>
          </w:p>
        </w:tc>
        <w:tc>
          <w:tcPr/>
          <w:p>
            <w:pPr>
              <w:pStyle w:val="Compact"/>
              <w:spacing w:after="40"/>
              <w:jc w:val="left"/>
            </w:pPr>
            <w:r>
              <w:rPr>
                <w:sz w:val="19"/>
              </w:rPr>
              <w:t xml:space="preserve">Moving Average vs. Naive</w:t>
            </w:r>
          </w:p>
        </w:tc>
        <w:tc>
          <w:tcPr/>
          <w:p>
            <w:pPr>
              <w:pStyle w:val="Compact"/>
              <w:spacing w:after="40"/>
              <w:jc w:val="right"/>
            </w:pPr>
            <w:r>
              <w:rPr>
                <w:sz w:val="19"/>
              </w:rPr>
              <w:t xml:space="preserve">-6.5836</w:t>
            </w:r>
          </w:p>
        </w:tc>
        <w:tc>
          <w:tcPr/>
          <w:p>
            <w:pPr>
              <w:pStyle w:val="Compact"/>
              <w:spacing w:after="40"/>
              <w:jc w:val="right"/>
            </w:pPr>
            <w:r>
              <w:rPr>
                <w:sz w:val="19"/>
              </w:rPr>
              <w:t xml:space="preserve">-0.684</w:t>
            </w:r>
          </w:p>
        </w:tc>
        <w:tc>
          <w:tcPr/>
          <w:p>
            <w:pPr>
              <w:pStyle w:val="Compact"/>
              <w:spacing w:after="40"/>
              <w:jc w:val="right"/>
            </w:pPr>
            <w:r>
              <w:rPr>
                <w:sz w:val="19"/>
              </w:rPr>
              <w:t xml:space="preserve">0.00e+00</w:t>
            </w:r>
          </w:p>
        </w:tc>
        <w:tc>
          <w:tcPr/>
          <w:p>
            <w:pPr>
              <w:pStyle w:val="Compact"/>
              <w:spacing w:after="40"/>
              <w:jc w:val="right"/>
            </w:pPr>
            <w:r>
              <w:rPr>
                <w:sz w:val="19"/>
              </w:rPr>
              <w:t xml:space="preserve">-0.589</w:t>
            </w:r>
          </w:p>
        </w:tc>
      </w:tr>
      <w:tr>
        <w:tc>
          <w:tcPr/>
          <w:p>
            <w:pPr>
              <w:pStyle w:val="Compact"/>
              <w:spacing w:after="40"/>
              <w:jc w:val="left"/>
            </w:pPr>
            <w:r>
              <w:rPr>
                <w:sz w:val="19"/>
              </w:rPr>
              <w:t xml:space="preserve">Store</w:t>
            </w:r>
          </w:p>
        </w:tc>
        <w:tc>
          <w:tcPr/>
          <w:p>
            <w:pPr>
              <w:pStyle w:val="Compact"/>
              <w:spacing w:after="40"/>
              <w:jc w:val="left"/>
            </w:pPr>
            <w:r>
              <w:rPr>
                <w:sz w:val="19"/>
              </w:rPr>
              <w:t xml:space="preserve">Moving Average vs. SARIMA</w:t>
            </w:r>
          </w:p>
        </w:tc>
        <w:tc>
          <w:tcPr/>
          <w:p>
            <w:pPr>
              <w:pStyle w:val="Compact"/>
              <w:spacing w:after="40"/>
              <w:jc w:val="right"/>
            </w:pPr>
            <w:r>
              <w:rPr>
                <w:sz w:val="19"/>
              </w:rPr>
              <w:t xml:space="preserve">1.2612</w:t>
            </w:r>
          </w:p>
        </w:tc>
        <w:tc>
          <w:tcPr/>
          <w:p>
            <w:pPr>
              <w:pStyle w:val="Compact"/>
              <w:spacing w:after="40"/>
              <w:jc w:val="right"/>
            </w:pPr>
            <w:r>
              <w:rPr>
                <w:sz w:val="19"/>
              </w:rPr>
              <w:t xml:space="preserve">0.184</w:t>
            </w:r>
          </w:p>
        </w:tc>
        <w:tc>
          <w:tcPr/>
          <w:p>
            <w:pPr>
              <w:pStyle w:val="Compact"/>
              <w:spacing w:after="40"/>
              <w:jc w:val="right"/>
            </w:pPr>
            <w:r>
              <w:rPr>
                <w:sz w:val="19"/>
              </w:rPr>
              <w:t xml:space="preserve">0.00e+00</w:t>
            </w:r>
          </w:p>
        </w:tc>
        <w:tc>
          <w:tcPr/>
          <w:p>
            <w:pPr>
              <w:pStyle w:val="Compact"/>
              <w:spacing w:after="40"/>
              <w:jc w:val="right"/>
            </w:pPr>
            <w:r>
              <w:rPr>
                <w:sz w:val="19"/>
              </w:rPr>
              <w:t xml:space="preserve">-0.170</w:t>
            </w:r>
          </w:p>
        </w:tc>
      </w:tr>
      <w:tr>
        <w:tc>
          <w:tcPr/>
          <w:p>
            <w:pPr>
              <w:pStyle w:val="Compact"/>
              <w:spacing w:after="40"/>
              <w:jc w:val="left"/>
            </w:pPr>
            <w:r>
              <w:rPr>
                <w:sz w:val="19"/>
              </w:rPr>
              <w:t xml:space="preserve">Store</w:t>
            </w:r>
          </w:p>
        </w:tc>
        <w:tc>
          <w:tcPr/>
          <w:p>
            <w:pPr>
              <w:pStyle w:val="Compact"/>
              <w:spacing w:after="40"/>
              <w:jc w:val="left"/>
            </w:pPr>
            <w:r>
              <w:rPr>
                <w:sz w:val="19"/>
              </w:rPr>
              <w:t xml:space="preserve">Moving Average vs. SES</w:t>
            </w:r>
          </w:p>
        </w:tc>
        <w:tc>
          <w:tcPr/>
          <w:p>
            <w:pPr>
              <w:pStyle w:val="Compact"/>
              <w:spacing w:after="40"/>
              <w:jc w:val="right"/>
            </w:pPr>
            <w:r>
              <w:rPr>
                <w:sz w:val="19"/>
              </w:rPr>
              <w:t xml:space="preserve">-0.2139</w:t>
            </w:r>
          </w:p>
        </w:tc>
        <w:tc>
          <w:tcPr/>
          <w:p>
            <w:pPr>
              <w:pStyle w:val="Compact"/>
              <w:spacing w:after="40"/>
              <w:jc w:val="right"/>
            </w:pPr>
            <w:r>
              <w:rPr>
                <w:sz w:val="19"/>
              </w:rPr>
              <w:t xml:space="preserve">-0.082</w:t>
            </w:r>
          </w:p>
        </w:tc>
        <w:tc>
          <w:tcPr/>
          <w:p>
            <w:pPr>
              <w:pStyle w:val="Compact"/>
              <w:spacing w:after="40"/>
              <w:jc w:val="right"/>
            </w:pPr>
            <w:r>
              <w:rPr>
                <w:sz w:val="19"/>
              </w:rPr>
              <w:t xml:space="preserve">5.22e-198</w:t>
            </w:r>
          </w:p>
        </w:tc>
        <w:tc>
          <w:tcPr/>
          <w:p>
            <w:pPr>
              <w:pStyle w:val="Compact"/>
              <w:spacing w:after="40"/>
              <w:jc w:val="right"/>
            </w:pPr>
            <w:r>
              <w:rPr>
                <w:sz w:val="19"/>
              </w:rPr>
              <w:t xml:space="preserve">-0.090</w:t>
            </w:r>
          </w:p>
        </w:tc>
      </w:tr>
      <w:tr>
        <w:tc>
          <w:tcPr/>
          <w:p>
            <w:pPr>
              <w:pStyle w:val="Compact"/>
              <w:spacing w:after="40"/>
              <w:jc w:val="left"/>
            </w:pPr>
            <w:r>
              <w:rPr>
                <w:sz w:val="19"/>
              </w:rPr>
              <w:t xml:space="preserve">Store</w:t>
            </w:r>
          </w:p>
        </w:tc>
        <w:tc>
          <w:tcPr/>
          <w:p>
            <w:pPr>
              <w:pStyle w:val="Compact"/>
              <w:spacing w:after="40"/>
              <w:jc w:val="left"/>
            </w:pPr>
            <w:r>
              <w:rPr>
                <w:sz w:val="19"/>
              </w:rPr>
              <w:t xml:space="preserve">Moving Average vs. Seasonal Naive</w:t>
            </w:r>
          </w:p>
        </w:tc>
        <w:tc>
          <w:tcPr/>
          <w:p>
            <w:pPr>
              <w:pStyle w:val="Compact"/>
              <w:spacing w:after="40"/>
              <w:jc w:val="right"/>
            </w:pPr>
            <w:r>
              <w:rPr>
                <w:sz w:val="19"/>
              </w:rPr>
              <w:t xml:space="preserve">0.2564</w:t>
            </w:r>
          </w:p>
        </w:tc>
        <w:tc>
          <w:tcPr/>
          <w:p>
            <w:pPr>
              <w:pStyle w:val="Compact"/>
              <w:spacing w:after="40"/>
              <w:jc w:val="right"/>
            </w:pPr>
            <w:r>
              <w:rPr>
                <w:sz w:val="19"/>
              </w:rPr>
              <w:t xml:space="preserve">0.031</w:t>
            </w:r>
          </w:p>
        </w:tc>
        <w:tc>
          <w:tcPr/>
          <w:p>
            <w:pPr>
              <w:pStyle w:val="Compact"/>
              <w:spacing w:after="40"/>
              <w:jc w:val="right"/>
            </w:pPr>
            <w:r>
              <w:rPr>
                <w:sz w:val="19"/>
              </w:rPr>
              <w:t xml:space="preserve">9.82e-12</w:t>
            </w:r>
          </w:p>
        </w:tc>
        <w:tc>
          <w:tcPr/>
          <w:p>
            <w:pPr>
              <w:pStyle w:val="Compact"/>
              <w:spacing w:after="40"/>
              <w:jc w:val="right"/>
            </w:pPr>
            <w:r>
              <w:rPr>
                <w:sz w:val="19"/>
              </w:rPr>
              <w:t xml:space="preserve">-0.020</w:t>
            </w:r>
          </w:p>
        </w:tc>
      </w:tr>
      <w:tr>
        <w:tc>
          <w:tcPr/>
          <w:p>
            <w:pPr>
              <w:pStyle w:val="Compact"/>
              <w:spacing w:after="40"/>
              <w:jc w:val="left"/>
            </w:pPr>
            <w:r>
              <w:rPr>
                <w:sz w:val="19"/>
              </w:rPr>
              <w:t xml:space="preserve">Store</w:t>
            </w:r>
          </w:p>
        </w:tc>
        <w:tc>
          <w:tcPr/>
          <w:p>
            <w:pPr>
              <w:pStyle w:val="Compact"/>
              <w:spacing w:after="40"/>
              <w:jc w:val="left"/>
            </w:pPr>
            <w:r>
              <w:rPr>
                <w:sz w:val="19"/>
              </w:rPr>
              <w:t xml:space="preserve">Moving Average vs. TES</w:t>
            </w:r>
          </w:p>
        </w:tc>
        <w:tc>
          <w:tcPr/>
          <w:p>
            <w:pPr>
              <w:pStyle w:val="Compact"/>
              <w:spacing w:after="40"/>
              <w:jc w:val="right"/>
            </w:pPr>
            <w:r>
              <w:rPr>
                <w:sz w:val="19"/>
              </w:rPr>
              <w:t xml:space="preserve">-7.1608</w:t>
            </w:r>
          </w:p>
        </w:tc>
        <w:tc>
          <w:tcPr/>
          <w:p>
            <w:pPr>
              <w:pStyle w:val="Compact"/>
              <w:spacing w:after="40"/>
              <w:jc w:val="right"/>
            </w:pPr>
            <w:r>
              <w:rPr>
                <w:sz w:val="19"/>
              </w:rPr>
              <w:t xml:space="preserve">-0.442</w:t>
            </w:r>
          </w:p>
        </w:tc>
        <w:tc>
          <w:tcPr/>
          <w:p>
            <w:pPr>
              <w:pStyle w:val="Compact"/>
              <w:spacing w:after="40"/>
              <w:jc w:val="right"/>
            </w:pPr>
            <w:r>
              <w:rPr>
                <w:sz w:val="19"/>
              </w:rPr>
              <w:t xml:space="preserve">0.00e+00</w:t>
            </w:r>
          </w:p>
        </w:tc>
        <w:tc>
          <w:tcPr/>
          <w:p>
            <w:pPr>
              <w:pStyle w:val="Compact"/>
              <w:spacing w:after="40"/>
              <w:jc w:val="right"/>
            </w:pPr>
            <w:r>
              <w:rPr>
                <w:sz w:val="19"/>
              </w:rPr>
              <w:t xml:space="preserve">-0.415</w:t>
            </w:r>
          </w:p>
        </w:tc>
      </w:tr>
      <w:tr>
        <w:tc>
          <w:tcPr/>
          <w:p>
            <w:pPr>
              <w:pStyle w:val="Compact"/>
              <w:spacing w:after="40"/>
              <w:jc w:val="left"/>
            </w:pPr>
            <w:r>
              <w:rPr>
                <w:sz w:val="19"/>
              </w:rPr>
              <w:t xml:space="preserve">Store</w:t>
            </w:r>
          </w:p>
        </w:tc>
        <w:tc>
          <w:tcPr/>
          <w:p>
            <w:pPr>
              <w:pStyle w:val="Compact"/>
              <w:spacing w:after="40"/>
              <w:jc w:val="left"/>
            </w:pPr>
            <w:r>
              <w:rPr>
                <w:sz w:val="19"/>
              </w:rPr>
              <w:t xml:space="preserve">Naive vs. SARIMA</w:t>
            </w:r>
          </w:p>
        </w:tc>
        <w:tc>
          <w:tcPr/>
          <w:p>
            <w:pPr>
              <w:pStyle w:val="Compact"/>
              <w:spacing w:after="40"/>
              <w:jc w:val="right"/>
            </w:pPr>
            <w:r>
              <w:rPr>
                <w:sz w:val="19"/>
              </w:rPr>
              <w:t xml:space="preserve">7.8448</w:t>
            </w:r>
          </w:p>
        </w:tc>
        <w:tc>
          <w:tcPr/>
          <w:p>
            <w:pPr>
              <w:pStyle w:val="Compact"/>
              <w:spacing w:after="40"/>
              <w:jc w:val="right"/>
            </w:pPr>
            <w:r>
              <w:rPr>
                <w:sz w:val="19"/>
              </w:rPr>
              <w:t xml:space="preserve">0.757</w:t>
            </w:r>
          </w:p>
        </w:tc>
        <w:tc>
          <w:tcPr/>
          <w:p>
            <w:pPr>
              <w:pStyle w:val="Compact"/>
              <w:spacing w:after="40"/>
              <w:jc w:val="right"/>
            </w:pPr>
            <w:r>
              <w:rPr>
                <w:sz w:val="19"/>
              </w:rPr>
              <w:t xml:space="preserve">0.00e+00</w:t>
            </w:r>
          </w:p>
        </w:tc>
        <w:tc>
          <w:tcPr/>
          <w:p>
            <w:pPr>
              <w:pStyle w:val="Compact"/>
              <w:spacing w:after="40"/>
              <w:jc w:val="right"/>
            </w:pPr>
            <w:r>
              <w:rPr>
                <w:sz w:val="19"/>
              </w:rPr>
              <w:t xml:space="preserve">-0.644</w:t>
            </w:r>
          </w:p>
        </w:tc>
      </w:tr>
      <w:tr>
        <w:tc>
          <w:tcPr/>
          <w:p>
            <w:pPr>
              <w:pStyle w:val="Compact"/>
              <w:spacing w:after="40"/>
              <w:jc w:val="left"/>
            </w:pPr>
            <w:r>
              <w:rPr>
                <w:sz w:val="19"/>
              </w:rPr>
              <w:t xml:space="preserve">Store</w:t>
            </w:r>
          </w:p>
        </w:tc>
        <w:tc>
          <w:tcPr/>
          <w:p>
            <w:pPr>
              <w:pStyle w:val="Compact"/>
              <w:spacing w:after="40"/>
              <w:jc w:val="left"/>
            </w:pPr>
            <w:r>
              <w:rPr>
                <w:sz w:val="19"/>
              </w:rPr>
              <w:t xml:space="preserve">Naive vs. SES</w:t>
            </w:r>
          </w:p>
        </w:tc>
        <w:tc>
          <w:tcPr/>
          <w:p>
            <w:pPr>
              <w:pStyle w:val="Compact"/>
              <w:spacing w:after="40"/>
              <w:jc w:val="right"/>
            </w:pPr>
            <w:r>
              <w:rPr>
                <w:sz w:val="19"/>
              </w:rPr>
              <w:t xml:space="preserve">6.3696</w:t>
            </w:r>
          </w:p>
        </w:tc>
        <w:tc>
          <w:tcPr/>
          <w:p>
            <w:pPr>
              <w:pStyle w:val="Compact"/>
              <w:spacing w:after="40"/>
              <w:jc w:val="right"/>
            </w:pPr>
            <w:r>
              <w:rPr>
                <w:sz w:val="19"/>
              </w:rPr>
              <w:t xml:space="preserve">0.751</w:t>
            </w:r>
          </w:p>
        </w:tc>
        <w:tc>
          <w:tcPr/>
          <w:p>
            <w:pPr>
              <w:pStyle w:val="Compact"/>
              <w:spacing w:after="40"/>
              <w:jc w:val="right"/>
            </w:pPr>
            <w:r>
              <w:rPr>
                <w:sz w:val="19"/>
              </w:rPr>
              <w:t xml:space="preserve">0.00e+00</w:t>
            </w:r>
          </w:p>
        </w:tc>
        <w:tc>
          <w:tcPr/>
          <w:p>
            <w:pPr>
              <w:pStyle w:val="Compact"/>
              <w:spacing w:after="40"/>
              <w:jc w:val="right"/>
            </w:pPr>
            <w:r>
              <w:rPr>
                <w:sz w:val="19"/>
              </w:rPr>
              <w:t xml:space="preserve">-0.629</w:t>
            </w:r>
          </w:p>
        </w:tc>
      </w:tr>
      <w:tr>
        <w:tc>
          <w:tcPr/>
          <w:p>
            <w:pPr>
              <w:pStyle w:val="Compact"/>
              <w:spacing w:after="40"/>
              <w:jc w:val="left"/>
            </w:pPr>
            <w:r>
              <w:rPr>
                <w:sz w:val="19"/>
              </w:rPr>
              <w:t xml:space="preserve">Store</w:t>
            </w:r>
          </w:p>
        </w:tc>
        <w:tc>
          <w:tcPr/>
          <w:p>
            <w:pPr>
              <w:pStyle w:val="Compact"/>
              <w:spacing w:after="40"/>
              <w:jc w:val="left"/>
            </w:pPr>
            <w:r>
              <w:rPr>
                <w:sz w:val="19"/>
              </w:rPr>
              <w:t xml:space="preserve">Naive vs. Seasonal Naive</w:t>
            </w:r>
          </w:p>
        </w:tc>
        <w:tc>
          <w:tcPr/>
          <w:p>
            <w:pPr>
              <w:pStyle w:val="Compact"/>
              <w:spacing w:after="40"/>
              <w:jc w:val="right"/>
            </w:pPr>
            <w:r>
              <w:rPr>
                <w:sz w:val="19"/>
              </w:rPr>
              <w:t xml:space="preserve">6.8400</w:t>
            </w:r>
          </w:p>
        </w:tc>
        <w:tc>
          <w:tcPr/>
          <w:p>
            <w:pPr>
              <w:pStyle w:val="Compact"/>
              <w:spacing w:after="40"/>
              <w:jc w:val="right"/>
            </w:pPr>
            <w:r>
              <w:rPr>
                <w:sz w:val="19"/>
              </w:rPr>
              <w:t xml:space="preserve">0.581</w:t>
            </w:r>
          </w:p>
        </w:tc>
        <w:tc>
          <w:tcPr/>
          <w:p>
            <w:pPr>
              <w:pStyle w:val="Compact"/>
              <w:spacing w:after="40"/>
              <w:jc w:val="right"/>
            </w:pPr>
            <w:r>
              <w:rPr>
                <w:sz w:val="19"/>
              </w:rPr>
              <w:t xml:space="preserve">0.00e+00</w:t>
            </w:r>
          </w:p>
        </w:tc>
        <w:tc>
          <w:tcPr/>
          <w:p>
            <w:pPr>
              <w:pStyle w:val="Compact"/>
              <w:spacing w:after="40"/>
              <w:jc w:val="right"/>
            </w:pPr>
            <w:r>
              <w:rPr>
                <w:sz w:val="19"/>
              </w:rPr>
              <w:t xml:space="preserve">-0.581</w:t>
            </w:r>
          </w:p>
        </w:tc>
      </w:tr>
      <w:tr>
        <w:tc>
          <w:tcPr/>
          <w:p>
            <w:pPr>
              <w:pStyle w:val="Compact"/>
              <w:spacing w:after="40"/>
              <w:jc w:val="left"/>
            </w:pPr>
            <w:r>
              <w:rPr>
                <w:sz w:val="19"/>
              </w:rPr>
              <w:t xml:space="preserve">Store</w:t>
            </w:r>
          </w:p>
        </w:tc>
        <w:tc>
          <w:tcPr/>
          <w:p>
            <w:pPr>
              <w:pStyle w:val="Compact"/>
              <w:spacing w:after="40"/>
              <w:jc w:val="left"/>
            </w:pPr>
            <w:r>
              <w:rPr>
                <w:sz w:val="19"/>
              </w:rPr>
              <w:t xml:space="preserve">Naive vs. TES</w:t>
            </w:r>
          </w:p>
        </w:tc>
        <w:tc>
          <w:tcPr/>
          <w:p>
            <w:pPr>
              <w:pStyle w:val="Compact"/>
              <w:spacing w:after="40"/>
              <w:jc w:val="right"/>
            </w:pPr>
            <w:r>
              <w:rPr>
                <w:sz w:val="19"/>
              </w:rPr>
              <w:t xml:space="preserve">-0.5773</w:t>
            </w:r>
          </w:p>
        </w:tc>
        <w:tc>
          <w:tcPr/>
          <w:p>
            <w:pPr>
              <w:pStyle w:val="Compact"/>
              <w:spacing w:after="40"/>
              <w:jc w:val="right"/>
            </w:pPr>
            <w:r>
              <w:rPr>
                <w:sz w:val="19"/>
              </w:rPr>
              <w:t xml:space="preserve">-0.031</w:t>
            </w:r>
          </w:p>
        </w:tc>
        <w:tc>
          <w:tcPr/>
          <w:p>
            <w:pPr>
              <w:pStyle w:val="Compact"/>
              <w:spacing w:after="40"/>
              <w:jc w:val="right"/>
            </w:pPr>
            <w:r>
              <w:rPr>
                <w:sz w:val="19"/>
              </w:rPr>
              <w:t xml:space="preserve">2.25e-19</w:t>
            </w:r>
          </w:p>
        </w:tc>
        <w:tc>
          <w:tcPr/>
          <w:p>
            <w:pPr>
              <w:pStyle w:val="Compact"/>
              <w:spacing w:after="40"/>
              <w:jc w:val="right"/>
            </w:pPr>
            <w:r>
              <w:rPr>
                <w:sz w:val="19"/>
              </w:rPr>
              <w:t xml:space="preserve">-0.027</w:t>
            </w:r>
          </w:p>
        </w:tc>
      </w:tr>
      <w:tr>
        <w:tc>
          <w:tcPr/>
          <w:p>
            <w:pPr>
              <w:pStyle w:val="Compact"/>
              <w:spacing w:after="40"/>
              <w:jc w:val="left"/>
            </w:pPr>
            <w:r>
              <w:rPr>
                <w:sz w:val="19"/>
              </w:rPr>
              <w:t xml:space="preserve">Store</w:t>
            </w:r>
          </w:p>
        </w:tc>
        <w:tc>
          <w:tcPr/>
          <w:p>
            <w:pPr>
              <w:pStyle w:val="Compact"/>
              <w:spacing w:after="40"/>
              <w:jc w:val="left"/>
            </w:pPr>
            <w:r>
              <w:rPr>
                <w:sz w:val="19"/>
              </w:rPr>
              <w:t xml:space="preserve">SARIMA vs. SES</w:t>
            </w:r>
          </w:p>
        </w:tc>
        <w:tc>
          <w:tcPr/>
          <w:p>
            <w:pPr>
              <w:pStyle w:val="Compact"/>
              <w:spacing w:after="40"/>
              <w:jc w:val="right"/>
            </w:pPr>
            <w:r>
              <w:rPr>
                <w:sz w:val="19"/>
              </w:rPr>
              <w:t xml:space="preserve">-1.4752</w:t>
            </w:r>
          </w:p>
        </w:tc>
        <w:tc>
          <w:tcPr/>
          <w:p>
            <w:pPr>
              <w:pStyle w:val="Compact"/>
              <w:spacing w:after="40"/>
              <w:jc w:val="right"/>
            </w:pPr>
            <w:r>
              <w:rPr>
                <w:sz w:val="19"/>
              </w:rPr>
              <w:t xml:space="preserve">-0.206</w:t>
            </w:r>
          </w:p>
        </w:tc>
        <w:tc>
          <w:tcPr/>
          <w:p>
            <w:pPr>
              <w:pStyle w:val="Compact"/>
              <w:spacing w:after="40"/>
              <w:jc w:val="right"/>
            </w:pPr>
            <w:r>
              <w:rPr>
                <w:sz w:val="19"/>
              </w:rPr>
              <w:t xml:space="preserve">0.00e+00</w:t>
            </w:r>
          </w:p>
        </w:tc>
        <w:tc>
          <w:tcPr/>
          <w:p>
            <w:pPr>
              <w:pStyle w:val="Compact"/>
              <w:spacing w:after="40"/>
              <w:jc w:val="right"/>
            </w:pPr>
            <w:r>
              <w:rPr>
                <w:sz w:val="19"/>
              </w:rPr>
              <w:t xml:space="preserve">-0.183</w:t>
            </w:r>
          </w:p>
        </w:tc>
      </w:tr>
      <w:tr>
        <w:tc>
          <w:tcPr/>
          <w:p>
            <w:pPr>
              <w:pStyle w:val="Compact"/>
              <w:spacing w:after="40"/>
              <w:jc w:val="left"/>
            </w:pPr>
            <w:r>
              <w:rPr>
                <w:sz w:val="19"/>
              </w:rPr>
              <w:t xml:space="preserve">Store</w:t>
            </w:r>
          </w:p>
        </w:tc>
        <w:tc>
          <w:tcPr/>
          <w:p>
            <w:pPr>
              <w:pStyle w:val="Compact"/>
              <w:spacing w:after="40"/>
              <w:jc w:val="left"/>
            </w:pPr>
            <w:r>
              <w:rPr>
                <w:sz w:val="19"/>
              </w:rPr>
              <w:t xml:space="preserve">SARIMA vs. Seasonal Naive</w:t>
            </w:r>
          </w:p>
        </w:tc>
        <w:tc>
          <w:tcPr/>
          <w:p>
            <w:pPr>
              <w:pStyle w:val="Compact"/>
              <w:spacing w:after="40"/>
              <w:jc w:val="right"/>
            </w:pPr>
            <w:r>
              <w:rPr>
                <w:sz w:val="19"/>
              </w:rPr>
              <w:t xml:space="preserve">-1.0048</w:t>
            </w:r>
          </w:p>
        </w:tc>
        <w:tc>
          <w:tcPr/>
          <w:p>
            <w:pPr>
              <w:pStyle w:val="Compact"/>
              <w:spacing w:after="40"/>
              <w:jc w:val="right"/>
            </w:pPr>
            <w:r>
              <w:rPr>
                <w:sz w:val="19"/>
              </w:rPr>
              <w:t xml:space="preserve">-0.148</w:t>
            </w:r>
          </w:p>
        </w:tc>
        <w:tc>
          <w:tcPr/>
          <w:p>
            <w:pPr>
              <w:pStyle w:val="Compact"/>
              <w:spacing w:after="40"/>
              <w:jc w:val="right"/>
            </w:pPr>
            <w:r>
              <w:rPr>
                <w:sz w:val="19"/>
              </w:rPr>
              <w:t xml:space="preserve">0.00e+00</w:t>
            </w:r>
          </w:p>
        </w:tc>
        <w:tc>
          <w:tcPr/>
          <w:p>
            <w:pPr>
              <w:pStyle w:val="Compact"/>
              <w:spacing w:after="40"/>
              <w:jc w:val="right"/>
            </w:pPr>
            <w:r>
              <w:rPr>
                <w:sz w:val="19"/>
              </w:rPr>
              <w:t xml:space="preserve">-0.141</w:t>
            </w:r>
          </w:p>
        </w:tc>
      </w:tr>
      <w:tr>
        <w:tc>
          <w:tcPr/>
          <w:p>
            <w:pPr>
              <w:pStyle w:val="Compact"/>
              <w:spacing w:after="40"/>
              <w:jc w:val="left"/>
            </w:pPr>
            <w:r>
              <w:rPr>
                <w:sz w:val="19"/>
              </w:rPr>
              <w:t xml:space="preserve">Store</w:t>
            </w:r>
          </w:p>
        </w:tc>
        <w:tc>
          <w:tcPr/>
          <w:p>
            <w:pPr>
              <w:pStyle w:val="Compact"/>
              <w:spacing w:after="40"/>
              <w:jc w:val="left"/>
            </w:pPr>
            <w:r>
              <w:rPr>
                <w:sz w:val="19"/>
              </w:rPr>
              <w:t xml:space="preserve">SARIMA vs. TES</w:t>
            </w:r>
          </w:p>
        </w:tc>
        <w:tc>
          <w:tcPr/>
          <w:p>
            <w:pPr>
              <w:pStyle w:val="Compact"/>
              <w:spacing w:after="40"/>
              <w:jc w:val="right"/>
            </w:pPr>
            <w:r>
              <w:rPr>
                <w:sz w:val="19"/>
              </w:rPr>
              <w:t xml:space="preserve">-8.4221</w:t>
            </w:r>
          </w:p>
        </w:tc>
        <w:tc>
          <w:tcPr/>
          <w:p>
            <w:pPr>
              <w:pStyle w:val="Compact"/>
              <w:spacing w:after="40"/>
              <w:jc w:val="right"/>
            </w:pPr>
            <w:r>
              <w:rPr>
                <w:sz w:val="19"/>
              </w:rPr>
              <w:t xml:space="preserve">-0.567</w:t>
            </w:r>
          </w:p>
        </w:tc>
        <w:tc>
          <w:tcPr/>
          <w:p>
            <w:pPr>
              <w:pStyle w:val="Compact"/>
              <w:spacing w:after="40"/>
              <w:jc w:val="right"/>
            </w:pPr>
            <w:r>
              <w:rPr>
                <w:sz w:val="19"/>
              </w:rPr>
              <w:t xml:space="preserve">0.00e+00</w:t>
            </w:r>
          </w:p>
        </w:tc>
        <w:tc>
          <w:tcPr/>
          <w:p>
            <w:pPr>
              <w:pStyle w:val="Compact"/>
              <w:spacing w:after="40"/>
              <w:jc w:val="right"/>
            </w:pPr>
            <w:r>
              <w:rPr>
                <w:sz w:val="19"/>
              </w:rPr>
              <w:t xml:space="preserve">-0.550</w:t>
            </w:r>
          </w:p>
        </w:tc>
      </w:tr>
      <w:tr>
        <w:tc>
          <w:tcPr/>
          <w:p>
            <w:pPr>
              <w:pStyle w:val="Compact"/>
              <w:spacing w:after="40"/>
              <w:jc w:val="left"/>
            </w:pPr>
            <w:r>
              <w:rPr>
                <w:sz w:val="19"/>
              </w:rPr>
              <w:t xml:space="preserve">Store</w:t>
            </w:r>
          </w:p>
        </w:tc>
        <w:tc>
          <w:tcPr/>
          <w:p>
            <w:pPr>
              <w:pStyle w:val="Compact"/>
              <w:spacing w:after="40"/>
              <w:jc w:val="left"/>
            </w:pPr>
            <w:r>
              <w:rPr>
                <w:sz w:val="19"/>
              </w:rPr>
              <w:t xml:space="preserve">SES vs. Seasonal Naive</w:t>
            </w:r>
          </w:p>
        </w:tc>
        <w:tc>
          <w:tcPr/>
          <w:p>
            <w:pPr>
              <w:pStyle w:val="Compact"/>
              <w:spacing w:after="40"/>
              <w:jc w:val="right"/>
            </w:pPr>
            <w:r>
              <w:rPr>
                <w:sz w:val="19"/>
              </w:rPr>
              <w:t xml:space="preserve">0.4703</w:t>
            </w:r>
          </w:p>
        </w:tc>
        <w:tc>
          <w:tcPr/>
          <w:p>
            <w:pPr>
              <w:pStyle w:val="Compact"/>
              <w:spacing w:after="40"/>
              <w:jc w:val="right"/>
            </w:pPr>
            <w:r>
              <w:rPr>
                <w:sz w:val="19"/>
              </w:rPr>
              <w:t xml:space="preserve">0.056</w:t>
            </w:r>
          </w:p>
        </w:tc>
        <w:tc>
          <w:tcPr/>
          <w:p>
            <w:pPr>
              <w:pStyle w:val="Compact"/>
              <w:spacing w:after="40"/>
              <w:jc w:val="right"/>
            </w:pPr>
            <w:r>
              <w:rPr>
                <w:sz w:val="19"/>
              </w:rPr>
              <w:t xml:space="preserve">2.59e-32</w:t>
            </w:r>
          </w:p>
        </w:tc>
        <w:tc>
          <w:tcPr/>
          <w:p>
            <w:pPr>
              <w:pStyle w:val="Compact"/>
              <w:spacing w:after="40"/>
              <w:jc w:val="right"/>
            </w:pPr>
            <w:r>
              <w:rPr>
                <w:sz w:val="19"/>
              </w:rPr>
              <w:t xml:space="preserve">-0.036</w:t>
            </w:r>
          </w:p>
        </w:tc>
      </w:tr>
      <w:tr>
        <w:tc>
          <w:tcPr/>
          <w:p>
            <w:pPr>
              <w:pStyle w:val="Compact"/>
              <w:spacing w:after="40"/>
              <w:jc w:val="left"/>
            </w:pPr>
            <w:r>
              <w:rPr>
                <w:sz w:val="19"/>
              </w:rPr>
              <w:t xml:space="preserve">Store</w:t>
            </w:r>
          </w:p>
        </w:tc>
        <w:tc>
          <w:tcPr/>
          <w:p>
            <w:pPr>
              <w:pStyle w:val="Compact"/>
              <w:spacing w:after="40"/>
              <w:jc w:val="left"/>
            </w:pPr>
            <w:r>
              <w:rPr>
                <w:sz w:val="19"/>
              </w:rPr>
              <w:t xml:space="preserve">SES vs. TES</w:t>
            </w:r>
          </w:p>
        </w:tc>
        <w:tc>
          <w:tcPr/>
          <w:p>
            <w:pPr>
              <w:pStyle w:val="Compact"/>
              <w:spacing w:after="40"/>
              <w:jc w:val="right"/>
            </w:pPr>
            <w:r>
              <w:rPr>
                <w:sz w:val="19"/>
              </w:rPr>
              <w:t xml:space="preserve">-6.9469</w:t>
            </w:r>
          </w:p>
        </w:tc>
        <w:tc>
          <w:tcPr/>
          <w:p>
            <w:pPr>
              <w:pStyle w:val="Compact"/>
              <w:spacing w:after="40"/>
              <w:jc w:val="right"/>
            </w:pPr>
            <w:r>
              <w:rPr>
                <w:sz w:val="19"/>
              </w:rPr>
              <w:t xml:space="preserve">-0.421</w:t>
            </w:r>
          </w:p>
        </w:tc>
        <w:tc>
          <w:tcPr/>
          <w:p>
            <w:pPr>
              <w:pStyle w:val="Compact"/>
              <w:spacing w:after="40"/>
              <w:jc w:val="right"/>
            </w:pPr>
            <w:r>
              <w:rPr>
                <w:sz w:val="19"/>
              </w:rPr>
              <w:t xml:space="preserve">0.00e+00</w:t>
            </w:r>
          </w:p>
        </w:tc>
        <w:tc>
          <w:tcPr/>
          <w:p>
            <w:pPr>
              <w:pStyle w:val="Compact"/>
              <w:spacing w:after="40"/>
              <w:jc w:val="right"/>
            </w:pPr>
            <w:r>
              <w:rPr>
                <w:sz w:val="19"/>
              </w:rPr>
              <w:t xml:space="preserve">-0.394</w:t>
            </w:r>
          </w:p>
        </w:tc>
      </w:tr>
      <w:tr>
        <w:tc>
          <w:tcPr/>
          <w:p>
            <w:pPr>
              <w:pStyle w:val="Compact"/>
              <w:spacing w:after="40"/>
              <w:jc w:val="left"/>
            </w:pPr>
            <w:r>
              <w:rPr>
                <w:sz w:val="19"/>
              </w:rPr>
              <w:t xml:space="preserve">Store</w:t>
            </w:r>
          </w:p>
        </w:tc>
        <w:tc>
          <w:tcPr/>
          <w:p>
            <w:pPr>
              <w:pStyle w:val="Compact"/>
              <w:spacing w:after="40"/>
              <w:jc w:val="left"/>
            </w:pPr>
            <w:r>
              <w:rPr>
                <w:sz w:val="19"/>
              </w:rPr>
              <w:t xml:space="preserve">Seasonal Naive vs. TES</w:t>
            </w:r>
          </w:p>
        </w:tc>
        <w:tc>
          <w:tcPr/>
          <w:p>
            <w:pPr>
              <w:pStyle w:val="Compact"/>
              <w:spacing w:after="40"/>
              <w:jc w:val="right"/>
            </w:pPr>
            <w:r>
              <w:rPr>
                <w:sz w:val="19"/>
              </w:rPr>
              <w:t xml:space="preserve">-7.4172</w:t>
            </w:r>
          </w:p>
        </w:tc>
        <w:tc>
          <w:tcPr/>
          <w:p>
            <w:pPr>
              <w:pStyle w:val="Compact"/>
              <w:spacing w:after="40"/>
              <w:jc w:val="right"/>
            </w:pPr>
            <w:r>
              <w:rPr>
                <w:sz w:val="19"/>
              </w:rPr>
              <w:t xml:space="preserve">-0.464</w:t>
            </w:r>
          </w:p>
        </w:tc>
        <w:tc>
          <w:tcPr/>
          <w:p>
            <w:pPr>
              <w:pStyle w:val="Compact"/>
              <w:spacing w:after="40"/>
              <w:jc w:val="right"/>
            </w:pPr>
            <w:r>
              <w:rPr>
                <w:sz w:val="19"/>
              </w:rPr>
              <w:t xml:space="preserve">0.00e+00</w:t>
            </w:r>
          </w:p>
        </w:tc>
        <w:tc>
          <w:tcPr/>
          <w:p>
            <w:pPr>
              <w:pStyle w:val="Compact"/>
              <w:spacing w:after="40"/>
              <w:jc w:val="right"/>
            </w:pPr>
            <w:r>
              <w:rPr>
                <w:sz w:val="19"/>
              </w:rPr>
              <w:t xml:space="preserve">-0.430</w:t>
            </w:r>
          </w:p>
        </w:tc>
      </w:tr>
    </w:tbl>
    <w:bookmarkEnd w:id="233"/>
    <w:bookmarkStart w:id="234" w:name="app:sens"/>
    <w:p>
      <w:pPr>
        <w:pStyle w:val="Heading1"/>
      </w:pPr>
      <w:r>
        <w:t xml:space="preserve">Robustness and Sensitivity Matrices</w:t>
      </w:r>
    </w:p>
    <w:p>
      <w:pPr>
        <w:pStyle w:val="FirstParagraph"/>
      </w:pPr>
      <w:r>
        <w:t xml:space="preserve">Winner per policy cell (</w:t>
      </w:r>
      <m:oMath>
        <m:r>
          <m:t>H</m:t>
        </m:r>
        <m:r>
          <m:rPr>
            <m:sty m:val="p"/>
          </m:rPr>
          <m:t>=</m:t>
        </m:r>
        <m:r>
          <m:t>1</m:t>
        </m:r>
      </m:oMath>
      <w:r>
        <w:t xml:space="preserve"> </w:t>
      </w:r>
      <w:r>
        <w:t xml:space="preserve">throughout). M5: LSTM everywhere except two SES</w:t>
      </w:r>
      <w:r>
        <w:t xml:space="preserve"> </w:t>
      </w:r>
      <w:r>
        <w:t xml:space="preserve">cells at short lead/high penalty. Store: short leads</w:t>
      </w:r>
      <w:r>
        <w:t xml:space="preserve"> </w:t>
      </w:r>
      <m:oMath>
        <m:r>
          <m:rPr>
            <m:sty m:val="p"/>
          </m:rPr>
          <m:t>→</m:t>
        </m:r>
      </m:oMath>
      <w:r>
        <w:t xml:space="preserve"> </w:t>
      </w:r>
      <w:r>
        <w:t xml:space="preserve">Moving Average/DES; mid leads</w:t>
      </w:r>
      <w:r>
        <w:t xml:space="preserve"> </w:t>
      </w:r>
      <m:oMath>
        <m:r>
          <m:rPr>
            <m:sty m:val="p"/>
          </m:rPr>
          <m:t>→</m:t>
        </m:r>
      </m:oMath>
      <w:r>
        <w:t xml:space="preserve"> </w:t>
      </w:r>
      <w:r>
        <w:t xml:space="preserve">SES/Moving Average; long leads</w:t>
      </w:r>
      <w:r>
        <w:t xml:space="preserve"> </w:t>
      </w:r>
      <m:oMath>
        <m:r>
          <m:rPr>
            <m:sty m:val="p"/>
          </m:rPr>
          <m:t>→</m:t>
        </m:r>
      </m:oMath>
      <w:r>
        <w:t xml:space="preserve"> </w:t>
      </w:r>
      <w:r>
        <w:t xml:space="preserve">Naive/SES; LSTM wins no Store cell — the fragility verdict in</w:t>
      </w:r>
      <w:r>
        <w:t xml:space="preserve"> </w:t>
      </w:r>
      <w:r>
        <w:t xml:space="preserve">tabular form. Full 540-row costs:</w:t>
      </w:r>
      <w:r>
        <w:t xml:space="preserve"> </w:t>
      </w:r>
      <w:r>
        <w:rPr>
          <w:rStyle w:val="VerbatimChar"/>
        </w:rPr>
        <w:t xml:space="preserve">06_results/sensitivity/sensitivity_grid.csv</w:t>
      </w:r>
      <w:r>
        <w:t xml:space="preserve">.</w:t>
      </w:r>
    </w:p>
    <w:p>
      <w:pPr>
        <w:pStyle w:val="TableCaption"/>
      </w:pPr>
      <w:r>
        <w:t xml:space="preserve">Policy winners: M5 (27 cells).</w:t>
      </w:r>
    </w:p>
    <w:tbl>
      <w:tblPr>
        <w:tblStyle w:val="Table"/>
        <w:tblW w:type="auto" w:w="0"/>
        <w:jc w:val="center"/>
        <w:tblLook w:firstRow="1" w:lastRow="0" w:firstColumn="0" w:lastColumn="0" w:noHBand="0" w:noVBand="0" w:val="0020"/>
        <w:tblCaption w:val="Policy winners: M5 (27 cells)."/>
      </w:tblPr>
      <w:tblGrid>
        <w:gridCol w:w="1584"/>
        <w:gridCol w:w="1584"/>
        <w:gridCol w:w="1584"/>
        <w:gridCol w:w="1584"/>
        <w:gridCol w:w="1584"/>
      </w:tblGrid>
      <w:tr>
        <w:trPr>
          <w:tblHeader w:val="on"/>
        </w:trPr>
        <w:tc>
          <w:tcPr>
            <w:shd w:fill="EDEDED" w:val="clear"/>
          </w:tcPr>
          <w:p>
            <w:pPr>
              <w:pStyle w:val="Compact"/>
              <w:spacing w:after="40"/>
              <w:jc w:val="left"/>
            </w:pPr>
            <w:r>
              <w:rPr>
                <w:b/>
                <w:sz w:val="19"/>
              </w:rPr>
              <w:t xml:space="preserve">Dataset</w:t>
            </w:r>
          </w:p>
        </w:tc>
        <w:tc>
          <w:tcPr>
            <w:shd w:fill="EDEDED" w:val="clear"/>
          </w:tcPr>
          <w:p>
            <w:pPr>
              <w:pStyle w:val="Compact"/>
              <w:spacing w:after="40"/>
              <w:jc w:val="left"/>
            </w:pPr>
            <m:oMath>
              <m:r>
                <m:t>L</m:t>
              </m:r>
            </m:oMath>
            <w:r>
              <w:rPr>
                <w:b/>
                <w:sz w:val="19"/>
              </w:rPr>
              <w:t xml:space="preserve">​</w:t>
            </w:r>
          </w:p>
        </w:tc>
        <w:tc>
          <w:tcPr>
            <w:shd w:fill="EDEDED" w:val="clear"/>
          </w:tcPr>
          <w:p>
            <w:pPr>
              <w:pStyle w:val="Compact"/>
              <w:spacing w:after="40"/>
              <w:jc w:val="left"/>
            </w:pPr>
            <w:r>
              <w:rPr>
                <w:b/>
                <w:sz w:val="19"/>
              </w:rPr>
              <w:t xml:space="preserve">Service</w:t>
            </w:r>
          </w:p>
        </w:tc>
        <w:tc>
          <w:tcPr>
            <w:shd w:fill="EDEDED" w:val="clear"/>
          </w:tcPr>
          <w:p>
            <w:pPr>
              <w:pStyle w:val="Compact"/>
              <w:spacing w:after="40"/>
              <w:jc w:val="left"/>
            </w:pPr>
            <m:oMath>
              <m:r>
                <m:t>P</m:t>
              </m:r>
            </m:oMath>
            <w:r>
              <w:rPr>
                <w:b/>
                <w:sz w:val="19"/>
              </w:rPr>
              <w:t xml:space="preserve">​</w:t>
            </w:r>
          </w:p>
        </w:tc>
        <w:tc>
          <w:tcPr>
            <w:shd w:fill="EDEDED" w:val="clear"/>
          </w:tcPr>
          <w:p>
            <w:pPr>
              <w:pStyle w:val="Compact"/>
              <w:spacing w:after="40"/>
              <w:jc w:val="left"/>
            </w:pPr>
            <w:r>
              <w:rPr>
                <w:b/>
                <w:sz w:val="19"/>
              </w:rPr>
              <w:t xml:space="preserve">Winner</w:t>
            </w:r>
          </w:p>
        </w:tc>
      </w:tr>
      <w:tr>
        <w:tc>
          <w:tcPr/>
          <w:p>
            <w:pPr>
              <w:pStyle w:val="Compact"/>
              <w:spacing w:after="40"/>
              <w:jc w:val="left"/>
            </w:pPr>
            <w:r>
              <w:rPr>
                <w:sz w:val="19"/>
              </w:rPr>
              <w:t xml:space="preserve">M5</w:t>
            </w:r>
          </w:p>
        </w:tc>
        <w:tc>
          <w:tcPr/>
          <w:p>
            <w:pPr>
              <w:pStyle w:val="Compact"/>
              <w:spacing w:after="40"/>
              <w:jc w:val="left"/>
            </w:pPr>
            <w:r>
              <w:rPr>
                <w:sz w:val="19"/>
              </w:rPr>
              <w:t xml:space="preserve">3</w:t>
            </w:r>
          </w:p>
        </w:tc>
        <w:tc>
          <w:tcPr/>
          <w:p>
            <w:pPr>
              <w:pStyle w:val="Compact"/>
              <w:spacing w:after="40"/>
              <w:jc w:val="left"/>
            </w:pPr>
            <w:r>
              <w:rPr>
                <w:sz w:val="19"/>
              </w:rPr>
              <w:t xml:space="preserve">0.90</w:t>
            </w:r>
          </w:p>
        </w:tc>
        <w:tc>
          <w:tcPr/>
          <w:p>
            <w:pPr>
              <w:pStyle w:val="Compact"/>
              <w:spacing w:after="40"/>
              <w:jc w:val="left"/>
            </w:pPr>
            <w:r>
              <w:rPr>
                <w:sz w:val="19"/>
              </w:rPr>
              <w:t xml:space="preserve">3</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3</w:t>
            </w:r>
          </w:p>
        </w:tc>
        <w:tc>
          <w:tcPr/>
          <w:p>
            <w:pPr>
              <w:pStyle w:val="Compact"/>
              <w:spacing w:after="40"/>
              <w:jc w:val="left"/>
            </w:pPr>
            <w:r>
              <w:rPr>
                <w:sz w:val="19"/>
              </w:rPr>
              <w:t xml:space="preserve">0.90</w:t>
            </w:r>
          </w:p>
        </w:tc>
        <w:tc>
          <w:tcPr/>
          <w:p>
            <w:pPr>
              <w:pStyle w:val="Compact"/>
              <w:spacing w:after="40"/>
              <w:jc w:val="left"/>
            </w:pPr>
            <w:r>
              <w:rPr>
                <w:sz w:val="19"/>
              </w:rPr>
              <w:t xml:space="preserve">5</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3</w:t>
            </w:r>
          </w:p>
        </w:tc>
        <w:tc>
          <w:tcPr/>
          <w:p>
            <w:pPr>
              <w:pStyle w:val="Compact"/>
              <w:spacing w:after="40"/>
              <w:jc w:val="left"/>
            </w:pPr>
            <w:r>
              <w:rPr>
                <w:sz w:val="19"/>
              </w:rPr>
              <w:t xml:space="preserve">0.90</w:t>
            </w:r>
          </w:p>
        </w:tc>
        <w:tc>
          <w:tcPr/>
          <w:p>
            <w:pPr>
              <w:pStyle w:val="Compact"/>
              <w:spacing w:after="40"/>
              <w:jc w:val="left"/>
            </w:pPr>
            <w:r>
              <w:rPr>
                <w:sz w:val="19"/>
              </w:rPr>
              <w:t xml:space="preserve">10</w:t>
            </w:r>
          </w:p>
        </w:tc>
        <w:tc>
          <w:tcPr/>
          <w:p>
            <w:pPr>
              <w:pStyle w:val="Compact"/>
              <w:spacing w:after="40"/>
              <w:jc w:val="left"/>
            </w:pPr>
            <w:r>
              <w:rPr>
                <w:sz w:val="19"/>
              </w:rPr>
              <w:t xml:space="preserve">SES</w:t>
            </w:r>
          </w:p>
        </w:tc>
      </w:tr>
      <w:tr>
        <w:tc>
          <w:tcPr/>
          <w:p>
            <w:pPr>
              <w:pStyle w:val="Compact"/>
              <w:spacing w:after="40"/>
              <w:jc w:val="left"/>
            </w:pPr>
            <w:r>
              <w:rPr>
                <w:sz w:val="19"/>
              </w:rPr>
              <w:t xml:space="preserve">M5</w:t>
            </w:r>
          </w:p>
        </w:tc>
        <w:tc>
          <w:tcPr/>
          <w:p>
            <w:pPr>
              <w:pStyle w:val="Compact"/>
              <w:spacing w:after="40"/>
              <w:jc w:val="left"/>
            </w:pPr>
            <w:r>
              <w:rPr>
                <w:sz w:val="19"/>
              </w:rPr>
              <w:t xml:space="preserve">3</w:t>
            </w:r>
          </w:p>
        </w:tc>
        <w:tc>
          <w:tcPr/>
          <w:p>
            <w:pPr>
              <w:pStyle w:val="Compact"/>
              <w:spacing w:after="40"/>
              <w:jc w:val="left"/>
            </w:pPr>
            <w:r>
              <w:rPr>
                <w:sz w:val="19"/>
              </w:rPr>
              <w:t xml:space="preserve">0.95</w:t>
            </w:r>
          </w:p>
        </w:tc>
        <w:tc>
          <w:tcPr/>
          <w:p>
            <w:pPr>
              <w:pStyle w:val="Compact"/>
              <w:spacing w:after="40"/>
              <w:jc w:val="left"/>
            </w:pPr>
            <w:r>
              <w:rPr>
                <w:sz w:val="19"/>
              </w:rPr>
              <w:t xml:space="preserve">3</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3</w:t>
            </w:r>
          </w:p>
        </w:tc>
        <w:tc>
          <w:tcPr/>
          <w:p>
            <w:pPr>
              <w:pStyle w:val="Compact"/>
              <w:spacing w:after="40"/>
              <w:jc w:val="left"/>
            </w:pPr>
            <w:r>
              <w:rPr>
                <w:sz w:val="19"/>
              </w:rPr>
              <w:t xml:space="preserve">0.95</w:t>
            </w:r>
          </w:p>
        </w:tc>
        <w:tc>
          <w:tcPr/>
          <w:p>
            <w:pPr>
              <w:pStyle w:val="Compact"/>
              <w:spacing w:after="40"/>
              <w:jc w:val="left"/>
            </w:pPr>
            <w:r>
              <w:rPr>
                <w:sz w:val="19"/>
              </w:rPr>
              <w:t xml:space="preserve">5</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3</w:t>
            </w:r>
          </w:p>
        </w:tc>
        <w:tc>
          <w:tcPr/>
          <w:p>
            <w:pPr>
              <w:pStyle w:val="Compact"/>
              <w:spacing w:after="40"/>
              <w:jc w:val="left"/>
            </w:pPr>
            <w:r>
              <w:rPr>
                <w:sz w:val="19"/>
              </w:rPr>
              <w:t xml:space="preserve">0.95</w:t>
            </w:r>
          </w:p>
        </w:tc>
        <w:tc>
          <w:tcPr/>
          <w:p>
            <w:pPr>
              <w:pStyle w:val="Compact"/>
              <w:spacing w:after="40"/>
              <w:jc w:val="left"/>
            </w:pPr>
            <w:r>
              <w:rPr>
                <w:sz w:val="19"/>
              </w:rPr>
              <w:t xml:space="preserve">10</w:t>
            </w:r>
          </w:p>
        </w:tc>
        <w:tc>
          <w:tcPr/>
          <w:p>
            <w:pPr>
              <w:pStyle w:val="Compact"/>
              <w:spacing w:after="40"/>
              <w:jc w:val="left"/>
            </w:pPr>
            <w:r>
              <w:rPr>
                <w:sz w:val="19"/>
              </w:rPr>
              <w:t xml:space="preserve">SES</w:t>
            </w:r>
          </w:p>
        </w:tc>
      </w:tr>
      <w:tr>
        <w:tc>
          <w:tcPr/>
          <w:p>
            <w:pPr>
              <w:pStyle w:val="Compact"/>
              <w:spacing w:after="40"/>
              <w:jc w:val="left"/>
            </w:pPr>
            <w:r>
              <w:rPr>
                <w:sz w:val="19"/>
              </w:rPr>
              <w:t xml:space="preserve">M5</w:t>
            </w:r>
          </w:p>
        </w:tc>
        <w:tc>
          <w:tcPr/>
          <w:p>
            <w:pPr>
              <w:pStyle w:val="Compact"/>
              <w:spacing w:after="40"/>
              <w:jc w:val="left"/>
            </w:pPr>
            <w:r>
              <w:rPr>
                <w:sz w:val="19"/>
              </w:rPr>
              <w:t xml:space="preserve">3</w:t>
            </w:r>
          </w:p>
        </w:tc>
        <w:tc>
          <w:tcPr/>
          <w:p>
            <w:pPr>
              <w:pStyle w:val="Compact"/>
              <w:spacing w:after="40"/>
              <w:jc w:val="left"/>
            </w:pPr>
            <w:r>
              <w:rPr>
                <w:sz w:val="19"/>
              </w:rPr>
              <w:t xml:space="preserve">0.99</w:t>
            </w:r>
          </w:p>
        </w:tc>
        <w:tc>
          <w:tcPr/>
          <w:p>
            <w:pPr>
              <w:pStyle w:val="Compact"/>
              <w:spacing w:after="40"/>
              <w:jc w:val="left"/>
            </w:pPr>
            <w:r>
              <w:rPr>
                <w:sz w:val="19"/>
              </w:rPr>
              <w:t xml:space="preserve">3</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3</w:t>
            </w:r>
          </w:p>
        </w:tc>
        <w:tc>
          <w:tcPr/>
          <w:p>
            <w:pPr>
              <w:pStyle w:val="Compact"/>
              <w:spacing w:after="40"/>
              <w:jc w:val="left"/>
            </w:pPr>
            <w:r>
              <w:rPr>
                <w:sz w:val="19"/>
              </w:rPr>
              <w:t xml:space="preserve">0.99</w:t>
            </w:r>
          </w:p>
        </w:tc>
        <w:tc>
          <w:tcPr/>
          <w:p>
            <w:pPr>
              <w:pStyle w:val="Compact"/>
              <w:spacing w:after="40"/>
              <w:jc w:val="left"/>
            </w:pPr>
            <w:r>
              <w:rPr>
                <w:sz w:val="19"/>
              </w:rPr>
              <w:t xml:space="preserve">5</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3</w:t>
            </w:r>
          </w:p>
        </w:tc>
        <w:tc>
          <w:tcPr/>
          <w:p>
            <w:pPr>
              <w:pStyle w:val="Compact"/>
              <w:spacing w:after="40"/>
              <w:jc w:val="left"/>
            </w:pPr>
            <w:r>
              <w:rPr>
                <w:sz w:val="19"/>
              </w:rPr>
              <w:t xml:space="preserve">0.99</w:t>
            </w:r>
          </w:p>
        </w:tc>
        <w:tc>
          <w:tcPr/>
          <w:p>
            <w:pPr>
              <w:pStyle w:val="Compact"/>
              <w:spacing w:after="40"/>
              <w:jc w:val="left"/>
            </w:pPr>
            <w:r>
              <w:rPr>
                <w:sz w:val="19"/>
              </w:rPr>
              <w:t xml:space="preserve">10</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7</w:t>
            </w:r>
          </w:p>
        </w:tc>
        <w:tc>
          <w:tcPr/>
          <w:p>
            <w:pPr>
              <w:pStyle w:val="Compact"/>
              <w:spacing w:after="40"/>
              <w:jc w:val="left"/>
            </w:pPr>
            <w:r>
              <w:rPr>
                <w:sz w:val="19"/>
              </w:rPr>
              <w:t xml:space="preserve">0.90</w:t>
            </w:r>
          </w:p>
        </w:tc>
        <w:tc>
          <w:tcPr/>
          <w:p>
            <w:pPr>
              <w:pStyle w:val="Compact"/>
              <w:spacing w:after="40"/>
              <w:jc w:val="left"/>
            </w:pPr>
            <w:r>
              <w:rPr>
                <w:sz w:val="19"/>
              </w:rPr>
              <w:t xml:space="preserve">3</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7</w:t>
            </w:r>
          </w:p>
        </w:tc>
        <w:tc>
          <w:tcPr/>
          <w:p>
            <w:pPr>
              <w:pStyle w:val="Compact"/>
              <w:spacing w:after="40"/>
              <w:jc w:val="left"/>
            </w:pPr>
            <w:r>
              <w:rPr>
                <w:sz w:val="19"/>
              </w:rPr>
              <w:t xml:space="preserve">0.90</w:t>
            </w:r>
          </w:p>
        </w:tc>
        <w:tc>
          <w:tcPr/>
          <w:p>
            <w:pPr>
              <w:pStyle w:val="Compact"/>
              <w:spacing w:after="40"/>
              <w:jc w:val="left"/>
            </w:pPr>
            <w:r>
              <w:rPr>
                <w:sz w:val="19"/>
              </w:rPr>
              <w:t xml:space="preserve">5</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7</w:t>
            </w:r>
          </w:p>
        </w:tc>
        <w:tc>
          <w:tcPr/>
          <w:p>
            <w:pPr>
              <w:pStyle w:val="Compact"/>
              <w:spacing w:after="40"/>
              <w:jc w:val="left"/>
            </w:pPr>
            <w:r>
              <w:rPr>
                <w:sz w:val="19"/>
              </w:rPr>
              <w:t xml:space="preserve">0.90</w:t>
            </w:r>
          </w:p>
        </w:tc>
        <w:tc>
          <w:tcPr/>
          <w:p>
            <w:pPr>
              <w:pStyle w:val="Compact"/>
              <w:spacing w:after="40"/>
              <w:jc w:val="left"/>
            </w:pPr>
            <w:r>
              <w:rPr>
                <w:sz w:val="19"/>
              </w:rPr>
              <w:t xml:space="preserve">10</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7</w:t>
            </w:r>
          </w:p>
        </w:tc>
        <w:tc>
          <w:tcPr/>
          <w:p>
            <w:pPr>
              <w:pStyle w:val="Compact"/>
              <w:spacing w:after="40"/>
              <w:jc w:val="left"/>
            </w:pPr>
            <w:r>
              <w:rPr>
                <w:sz w:val="19"/>
              </w:rPr>
              <w:t xml:space="preserve">0.95</w:t>
            </w:r>
          </w:p>
        </w:tc>
        <w:tc>
          <w:tcPr/>
          <w:p>
            <w:pPr>
              <w:pStyle w:val="Compact"/>
              <w:spacing w:after="40"/>
              <w:jc w:val="left"/>
            </w:pPr>
            <w:r>
              <w:rPr>
                <w:sz w:val="19"/>
              </w:rPr>
              <w:t xml:space="preserve">3</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7</w:t>
            </w:r>
          </w:p>
        </w:tc>
        <w:tc>
          <w:tcPr/>
          <w:p>
            <w:pPr>
              <w:pStyle w:val="Compact"/>
              <w:spacing w:after="40"/>
              <w:jc w:val="left"/>
            </w:pPr>
            <w:r>
              <w:rPr>
                <w:sz w:val="19"/>
              </w:rPr>
              <w:t xml:space="preserve">0.95</w:t>
            </w:r>
          </w:p>
        </w:tc>
        <w:tc>
          <w:tcPr/>
          <w:p>
            <w:pPr>
              <w:pStyle w:val="Compact"/>
              <w:spacing w:after="40"/>
              <w:jc w:val="left"/>
            </w:pPr>
            <w:r>
              <w:rPr>
                <w:sz w:val="19"/>
              </w:rPr>
              <w:t xml:space="preserve">5</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7</w:t>
            </w:r>
          </w:p>
        </w:tc>
        <w:tc>
          <w:tcPr/>
          <w:p>
            <w:pPr>
              <w:pStyle w:val="Compact"/>
              <w:spacing w:after="40"/>
              <w:jc w:val="left"/>
            </w:pPr>
            <w:r>
              <w:rPr>
                <w:sz w:val="19"/>
              </w:rPr>
              <w:t xml:space="preserve">0.95</w:t>
            </w:r>
          </w:p>
        </w:tc>
        <w:tc>
          <w:tcPr/>
          <w:p>
            <w:pPr>
              <w:pStyle w:val="Compact"/>
              <w:spacing w:after="40"/>
              <w:jc w:val="left"/>
            </w:pPr>
            <w:r>
              <w:rPr>
                <w:sz w:val="19"/>
              </w:rPr>
              <w:t xml:space="preserve">10</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7</w:t>
            </w:r>
          </w:p>
        </w:tc>
        <w:tc>
          <w:tcPr/>
          <w:p>
            <w:pPr>
              <w:pStyle w:val="Compact"/>
              <w:spacing w:after="40"/>
              <w:jc w:val="left"/>
            </w:pPr>
            <w:r>
              <w:rPr>
                <w:sz w:val="19"/>
              </w:rPr>
              <w:t xml:space="preserve">0.99</w:t>
            </w:r>
          </w:p>
        </w:tc>
        <w:tc>
          <w:tcPr/>
          <w:p>
            <w:pPr>
              <w:pStyle w:val="Compact"/>
              <w:spacing w:after="40"/>
              <w:jc w:val="left"/>
            </w:pPr>
            <w:r>
              <w:rPr>
                <w:sz w:val="19"/>
              </w:rPr>
              <w:t xml:space="preserve">3</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7</w:t>
            </w:r>
          </w:p>
        </w:tc>
        <w:tc>
          <w:tcPr/>
          <w:p>
            <w:pPr>
              <w:pStyle w:val="Compact"/>
              <w:spacing w:after="40"/>
              <w:jc w:val="left"/>
            </w:pPr>
            <w:r>
              <w:rPr>
                <w:sz w:val="19"/>
              </w:rPr>
              <w:t xml:space="preserve">0.99</w:t>
            </w:r>
          </w:p>
        </w:tc>
        <w:tc>
          <w:tcPr/>
          <w:p>
            <w:pPr>
              <w:pStyle w:val="Compact"/>
              <w:spacing w:after="40"/>
              <w:jc w:val="left"/>
            </w:pPr>
            <w:r>
              <w:rPr>
                <w:sz w:val="19"/>
              </w:rPr>
              <w:t xml:space="preserve">5</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7</w:t>
            </w:r>
          </w:p>
        </w:tc>
        <w:tc>
          <w:tcPr/>
          <w:p>
            <w:pPr>
              <w:pStyle w:val="Compact"/>
              <w:spacing w:after="40"/>
              <w:jc w:val="left"/>
            </w:pPr>
            <w:r>
              <w:rPr>
                <w:sz w:val="19"/>
              </w:rPr>
              <w:t xml:space="preserve">0.99</w:t>
            </w:r>
          </w:p>
        </w:tc>
        <w:tc>
          <w:tcPr/>
          <w:p>
            <w:pPr>
              <w:pStyle w:val="Compact"/>
              <w:spacing w:after="40"/>
              <w:jc w:val="left"/>
            </w:pPr>
            <w:r>
              <w:rPr>
                <w:sz w:val="19"/>
              </w:rPr>
              <w:t xml:space="preserve">10</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14</w:t>
            </w:r>
          </w:p>
        </w:tc>
        <w:tc>
          <w:tcPr/>
          <w:p>
            <w:pPr>
              <w:pStyle w:val="Compact"/>
              <w:spacing w:after="40"/>
              <w:jc w:val="left"/>
            </w:pPr>
            <w:r>
              <w:rPr>
                <w:sz w:val="19"/>
              </w:rPr>
              <w:t xml:space="preserve">0.90</w:t>
            </w:r>
          </w:p>
        </w:tc>
        <w:tc>
          <w:tcPr/>
          <w:p>
            <w:pPr>
              <w:pStyle w:val="Compact"/>
              <w:spacing w:after="40"/>
              <w:jc w:val="left"/>
            </w:pPr>
            <w:r>
              <w:rPr>
                <w:sz w:val="19"/>
              </w:rPr>
              <w:t xml:space="preserve">3</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14</w:t>
            </w:r>
          </w:p>
        </w:tc>
        <w:tc>
          <w:tcPr/>
          <w:p>
            <w:pPr>
              <w:pStyle w:val="Compact"/>
              <w:spacing w:after="40"/>
              <w:jc w:val="left"/>
            </w:pPr>
            <w:r>
              <w:rPr>
                <w:sz w:val="19"/>
              </w:rPr>
              <w:t xml:space="preserve">0.90</w:t>
            </w:r>
          </w:p>
        </w:tc>
        <w:tc>
          <w:tcPr/>
          <w:p>
            <w:pPr>
              <w:pStyle w:val="Compact"/>
              <w:spacing w:after="40"/>
              <w:jc w:val="left"/>
            </w:pPr>
            <w:r>
              <w:rPr>
                <w:sz w:val="19"/>
              </w:rPr>
              <w:t xml:space="preserve">5</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14</w:t>
            </w:r>
          </w:p>
        </w:tc>
        <w:tc>
          <w:tcPr/>
          <w:p>
            <w:pPr>
              <w:pStyle w:val="Compact"/>
              <w:spacing w:after="40"/>
              <w:jc w:val="left"/>
            </w:pPr>
            <w:r>
              <w:rPr>
                <w:sz w:val="19"/>
              </w:rPr>
              <w:t xml:space="preserve">0.90</w:t>
            </w:r>
          </w:p>
        </w:tc>
        <w:tc>
          <w:tcPr/>
          <w:p>
            <w:pPr>
              <w:pStyle w:val="Compact"/>
              <w:spacing w:after="40"/>
              <w:jc w:val="left"/>
            </w:pPr>
            <w:r>
              <w:rPr>
                <w:sz w:val="19"/>
              </w:rPr>
              <w:t xml:space="preserve">10</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14</w:t>
            </w:r>
          </w:p>
        </w:tc>
        <w:tc>
          <w:tcPr/>
          <w:p>
            <w:pPr>
              <w:pStyle w:val="Compact"/>
              <w:spacing w:after="40"/>
              <w:jc w:val="left"/>
            </w:pPr>
            <w:r>
              <w:rPr>
                <w:sz w:val="19"/>
              </w:rPr>
              <w:t xml:space="preserve">0.95</w:t>
            </w:r>
          </w:p>
        </w:tc>
        <w:tc>
          <w:tcPr/>
          <w:p>
            <w:pPr>
              <w:pStyle w:val="Compact"/>
              <w:spacing w:after="40"/>
              <w:jc w:val="left"/>
            </w:pPr>
            <w:r>
              <w:rPr>
                <w:sz w:val="19"/>
              </w:rPr>
              <w:t xml:space="preserve">3</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14</w:t>
            </w:r>
          </w:p>
        </w:tc>
        <w:tc>
          <w:tcPr/>
          <w:p>
            <w:pPr>
              <w:pStyle w:val="Compact"/>
              <w:spacing w:after="40"/>
              <w:jc w:val="left"/>
            </w:pPr>
            <w:r>
              <w:rPr>
                <w:sz w:val="19"/>
              </w:rPr>
              <w:t xml:space="preserve">0.95</w:t>
            </w:r>
          </w:p>
        </w:tc>
        <w:tc>
          <w:tcPr/>
          <w:p>
            <w:pPr>
              <w:pStyle w:val="Compact"/>
              <w:spacing w:after="40"/>
              <w:jc w:val="left"/>
            </w:pPr>
            <w:r>
              <w:rPr>
                <w:sz w:val="19"/>
              </w:rPr>
              <w:t xml:space="preserve">5</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14</w:t>
            </w:r>
          </w:p>
        </w:tc>
        <w:tc>
          <w:tcPr/>
          <w:p>
            <w:pPr>
              <w:pStyle w:val="Compact"/>
              <w:spacing w:after="40"/>
              <w:jc w:val="left"/>
            </w:pPr>
            <w:r>
              <w:rPr>
                <w:sz w:val="19"/>
              </w:rPr>
              <w:t xml:space="preserve">0.95</w:t>
            </w:r>
          </w:p>
        </w:tc>
        <w:tc>
          <w:tcPr/>
          <w:p>
            <w:pPr>
              <w:pStyle w:val="Compact"/>
              <w:spacing w:after="40"/>
              <w:jc w:val="left"/>
            </w:pPr>
            <w:r>
              <w:rPr>
                <w:sz w:val="19"/>
              </w:rPr>
              <w:t xml:space="preserve">10</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14</w:t>
            </w:r>
          </w:p>
        </w:tc>
        <w:tc>
          <w:tcPr/>
          <w:p>
            <w:pPr>
              <w:pStyle w:val="Compact"/>
              <w:spacing w:after="40"/>
              <w:jc w:val="left"/>
            </w:pPr>
            <w:r>
              <w:rPr>
                <w:sz w:val="19"/>
              </w:rPr>
              <w:t xml:space="preserve">0.99</w:t>
            </w:r>
          </w:p>
        </w:tc>
        <w:tc>
          <w:tcPr/>
          <w:p>
            <w:pPr>
              <w:pStyle w:val="Compact"/>
              <w:spacing w:after="40"/>
              <w:jc w:val="left"/>
            </w:pPr>
            <w:r>
              <w:rPr>
                <w:sz w:val="19"/>
              </w:rPr>
              <w:t xml:space="preserve">3</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14</w:t>
            </w:r>
          </w:p>
        </w:tc>
        <w:tc>
          <w:tcPr/>
          <w:p>
            <w:pPr>
              <w:pStyle w:val="Compact"/>
              <w:spacing w:after="40"/>
              <w:jc w:val="left"/>
            </w:pPr>
            <w:r>
              <w:rPr>
                <w:sz w:val="19"/>
              </w:rPr>
              <w:t xml:space="preserve">0.99</w:t>
            </w:r>
          </w:p>
        </w:tc>
        <w:tc>
          <w:tcPr/>
          <w:p>
            <w:pPr>
              <w:pStyle w:val="Compact"/>
              <w:spacing w:after="40"/>
              <w:jc w:val="left"/>
            </w:pPr>
            <w:r>
              <w:rPr>
                <w:sz w:val="19"/>
              </w:rPr>
              <w:t xml:space="preserve">5</w:t>
            </w:r>
          </w:p>
        </w:tc>
        <w:tc>
          <w:tcPr/>
          <w:p>
            <w:pPr>
              <w:pStyle w:val="Compact"/>
              <w:spacing w:after="40"/>
              <w:jc w:val="left"/>
            </w:pPr>
            <w:r>
              <w:rPr>
                <w:sz w:val="19"/>
              </w:rPr>
              <w:t xml:space="preserve">LSTM</w:t>
            </w:r>
          </w:p>
        </w:tc>
      </w:tr>
      <w:tr>
        <w:tc>
          <w:tcPr/>
          <w:p>
            <w:pPr>
              <w:pStyle w:val="Compact"/>
              <w:spacing w:after="40"/>
              <w:jc w:val="left"/>
            </w:pPr>
            <w:r>
              <w:rPr>
                <w:sz w:val="19"/>
              </w:rPr>
              <w:t xml:space="preserve">M5</w:t>
            </w:r>
          </w:p>
        </w:tc>
        <w:tc>
          <w:tcPr/>
          <w:p>
            <w:pPr>
              <w:pStyle w:val="Compact"/>
              <w:spacing w:after="40"/>
              <w:jc w:val="left"/>
            </w:pPr>
            <w:r>
              <w:rPr>
                <w:sz w:val="19"/>
              </w:rPr>
              <w:t xml:space="preserve">14</w:t>
            </w:r>
          </w:p>
        </w:tc>
        <w:tc>
          <w:tcPr/>
          <w:p>
            <w:pPr>
              <w:pStyle w:val="Compact"/>
              <w:spacing w:after="40"/>
              <w:jc w:val="left"/>
            </w:pPr>
            <w:r>
              <w:rPr>
                <w:sz w:val="19"/>
              </w:rPr>
              <w:t xml:space="preserve">0.99</w:t>
            </w:r>
          </w:p>
        </w:tc>
        <w:tc>
          <w:tcPr/>
          <w:p>
            <w:pPr>
              <w:pStyle w:val="Compact"/>
              <w:spacing w:after="40"/>
              <w:jc w:val="left"/>
            </w:pPr>
            <w:r>
              <w:rPr>
                <w:sz w:val="19"/>
              </w:rPr>
              <w:t xml:space="preserve">10</w:t>
            </w:r>
          </w:p>
        </w:tc>
        <w:tc>
          <w:tcPr/>
          <w:p>
            <w:pPr>
              <w:pStyle w:val="Compact"/>
              <w:spacing w:after="40"/>
              <w:jc w:val="left"/>
            </w:pPr>
            <w:r>
              <w:rPr>
                <w:sz w:val="19"/>
              </w:rPr>
              <w:t xml:space="preserve">LSTM</w:t>
            </w:r>
          </w:p>
        </w:tc>
      </w:tr>
    </w:tbl>
    <w:p/>
    <w:p>
      <w:pPr>
        <w:pStyle w:val="TableCaption"/>
      </w:pPr>
      <w:r>
        <w:t xml:space="preserve">Policy winners: Store (27 cells).</w:t>
      </w:r>
    </w:p>
    <w:tbl>
      <w:tblPr>
        <w:tblStyle w:val="Table"/>
        <w:tblW w:type="auto" w:w="0"/>
        <w:jc w:val="center"/>
        <w:tblLook w:firstRow="1" w:lastRow="0" w:firstColumn="0" w:lastColumn="0" w:noHBand="0" w:noVBand="0" w:val="0020"/>
        <w:tblCaption w:val="Policy winners: Store (27 cells)."/>
      </w:tblPr>
      <w:tblGrid>
        <w:gridCol w:w="1584"/>
        <w:gridCol w:w="1584"/>
        <w:gridCol w:w="1584"/>
        <w:gridCol w:w="1584"/>
        <w:gridCol w:w="1584"/>
      </w:tblGrid>
      <w:tr>
        <w:trPr>
          <w:tblHeader w:val="on"/>
        </w:trPr>
        <w:tc>
          <w:tcPr>
            <w:shd w:fill="EDEDED" w:val="clear"/>
          </w:tcPr>
          <w:p>
            <w:pPr>
              <w:pStyle w:val="Compact"/>
              <w:spacing w:after="40"/>
              <w:jc w:val="left"/>
            </w:pPr>
            <w:r>
              <w:rPr>
                <w:b/>
                <w:sz w:val="19"/>
              </w:rPr>
              <w:t xml:space="preserve">Dataset</w:t>
            </w:r>
          </w:p>
        </w:tc>
        <w:tc>
          <w:tcPr>
            <w:shd w:fill="EDEDED" w:val="clear"/>
          </w:tcPr>
          <w:p>
            <w:pPr>
              <w:pStyle w:val="Compact"/>
              <w:spacing w:after="40"/>
              <w:jc w:val="left"/>
            </w:pPr>
            <m:oMath>
              <m:r>
                <m:t>L</m:t>
              </m:r>
            </m:oMath>
            <w:r>
              <w:rPr>
                <w:b/>
                <w:sz w:val="19"/>
              </w:rPr>
              <w:t xml:space="preserve">​</w:t>
            </w:r>
          </w:p>
        </w:tc>
        <w:tc>
          <w:tcPr>
            <w:shd w:fill="EDEDED" w:val="clear"/>
          </w:tcPr>
          <w:p>
            <w:pPr>
              <w:pStyle w:val="Compact"/>
              <w:spacing w:after="40"/>
              <w:jc w:val="left"/>
            </w:pPr>
            <w:r>
              <w:rPr>
                <w:b/>
                <w:sz w:val="19"/>
              </w:rPr>
              <w:t xml:space="preserve">Service</w:t>
            </w:r>
          </w:p>
        </w:tc>
        <w:tc>
          <w:tcPr>
            <w:shd w:fill="EDEDED" w:val="clear"/>
          </w:tcPr>
          <w:p>
            <w:pPr>
              <w:pStyle w:val="Compact"/>
              <w:spacing w:after="40"/>
              <w:jc w:val="left"/>
            </w:pPr>
            <m:oMath>
              <m:r>
                <m:t>P</m:t>
              </m:r>
            </m:oMath>
            <w:r>
              <w:rPr>
                <w:b/>
                <w:sz w:val="19"/>
              </w:rPr>
              <w:t xml:space="preserve">​</w:t>
            </w:r>
          </w:p>
        </w:tc>
        <w:tc>
          <w:tcPr>
            <w:shd w:fill="EDEDED" w:val="clear"/>
          </w:tcPr>
          <w:p>
            <w:pPr>
              <w:pStyle w:val="Compact"/>
              <w:spacing w:after="40"/>
              <w:jc w:val="left"/>
            </w:pPr>
            <w:r>
              <w:rPr>
                <w:b/>
                <w:sz w:val="19"/>
              </w:rPr>
              <w:t xml:space="preserve">Winner</w:t>
            </w:r>
          </w:p>
        </w:tc>
      </w:tr>
      <w:tr>
        <w:tc>
          <w:tcPr/>
          <w:p>
            <w:pPr>
              <w:pStyle w:val="Compact"/>
              <w:spacing w:after="40"/>
              <w:jc w:val="left"/>
            </w:pPr>
            <w:r>
              <w:rPr>
                <w:sz w:val="19"/>
              </w:rPr>
              <w:t xml:space="preserve">Store</w:t>
            </w:r>
          </w:p>
        </w:tc>
        <w:tc>
          <w:tcPr/>
          <w:p>
            <w:pPr>
              <w:pStyle w:val="Compact"/>
              <w:spacing w:after="40"/>
              <w:jc w:val="left"/>
            </w:pPr>
            <w:r>
              <w:rPr>
                <w:sz w:val="19"/>
              </w:rPr>
              <w:t xml:space="preserve">3</w:t>
            </w:r>
          </w:p>
        </w:tc>
        <w:tc>
          <w:tcPr/>
          <w:p>
            <w:pPr>
              <w:pStyle w:val="Compact"/>
              <w:spacing w:after="40"/>
              <w:jc w:val="left"/>
            </w:pPr>
            <w:r>
              <w:rPr>
                <w:sz w:val="19"/>
              </w:rPr>
              <w:t xml:space="preserve">0.90</w:t>
            </w:r>
          </w:p>
        </w:tc>
        <w:tc>
          <w:tcPr/>
          <w:p>
            <w:pPr>
              <w:pStyle w:val="Compact"/>
              <w:spacing w:after="40"/>
              <w:jc w:val="left"/>
            </w:pPr>
            <w:r>
              <w:rPr>
                <w:sz w:val="19"/>
              </w:rPr>
              <w:t xml:space="preserve">3</w:t>
            </w:r>
          </w:p>
        </w:tc>
        <w:tc>
          <w:tcPr/>
          <w:p>
            <w:pPr>
              <w:pStyle w:val="Compact"/>
              <w:spacing w:after="40"/>
              <w:jc w:val="left"/>
            </w:pPr>
            <w:r>
              <w:rPr>
                <w:sz w:val="19"/>
              </w:rPr>
              <w:t xml:space="preserve">Moving Average</w:t>
            </w:r>
          </w:p>
        </w:tc>
      </w:tr>
      <w:tr>
        <w:tc>
          <w:tcPr/>
          <w:p>
            <w:pPr>
              <w:pStyle w:val="Compact"/>
              <w:spacing w:after="40"/>
              <w:jc w:val="left"/>
            </w:pPr>
            <w:r>
              <w:rPr>
                <w:sz w:val="19"/>
              </w:rPr>
              <w:t xml:space="preserve">Store</w:t>
            </w:r>
          </w:p>
        </w:tc>
        <w:tc>
          <w:tcPr/>
          <w:p>
            <w:pPr>
              <w:pStyle w:val="Compact"/>
              <w:spacing w:after="40"/>
              <w:jc w:val="left"/>
            </w:pPr>
            <w:r>
              <w:rPr>
                <w:sz w:val="19"/>
              </w:rPr>
              <w:t xml:space="preserve">3</w:t>
            </w:r>
          </w:p>
        </w:tc>
        <w:tc>
          <w:tcPr/>
          <w:p>
            <w:pPr>
              <w:pStyle w:val="Compact"/>
              <w:spacing w:after="40"/>
              <w:jc w:val="left"/>
            </w:pPr>
            <w:r>
              <w:rPr>
                <w:sz w:val="19"/>
              </w:rPr>
              <w:t xml:space="preserve">0.90</w:t>
            </w:r>
          </w:p>
        </w:tc>
        <w:tc>
          <w:tcPr/>
          <w:p>
            <w:pPr>
              <w:pStyle w:val="Compact"/>
              <w:spacing w:after="40"/>
              <w:jc w:val="left"/>
            </w:pPr>
            <w:r>
              <w:rPr>
                <w:sz w:val="19"/>
              </w:rPr>
              <w:t xml:space="preserve">5</w:t>
            </w:r>
          </w:p>
        </w:tc>
        <w:tc>
          <w:tcPr/>
          <w:p>
            <w:pPr>
              <w:pStyle w:val="Compact"/>
              <w:spacing w:after="40"/>
              <w:jc w:val="left"/>
            </w:pPr>
            <w:r>
              <w:rPr>
                <w:sz w:val="19"/>
              </w:rPr>
              <w:t xml:space="preserve">DES</w:t>
            </w:r>
          </w:p>
        </w:tc>
      </w:tr>
      <w:tr>
        <w:tc>
          <w:tcPr/>
          <w:p>
            <w:pPr>
              <w:pStyle w:val="Compact"/>
              <w:spacing w:after="40"/>
              <w:jc w:val="left"/>
            </w:pPr>
            <w:r>
              <w:rPr>
                <w:sz w:val="19"/>
              </w:rPr>
              <w:t xml:space="preserve">Store</w:t>
            </w:r>
          </w:p>
        </w:tc>
        <w:tc>
          <w:tcPr/>
          <w:p>
            <w:pPr>
              <w:pStyle w:val="Compact"/>
              <w:spacing w:after="40"/>
              <w:jc w:val="left"/>
            </w:pPr>
            <w:r>
              <w:rPr>
                <w:sz w:val="19"/>
              </w:rPr>
              <w:t xml:space="preserve">3</w:t>
            </w:r>
          </w:p>
        </w:tc>
        <w:tc>
          <w:tcPr/>
          <w:p>
            <w:pPr>
              <w:pStyle w:val="Compact"/>
              <w:spacing w:after="40"/>
              <w:jc w:val="left"/>
            </w:pPr>
            <w:r>
              <w:rPr>
                <w:sz w:val="19"/>
              </w:rPr>
              <w:t xml:space="preserve">0.90</w:t>
            </w:r>
          </w:p>
        </w:tc>
        <w:tc>
          <w:tcPr/>
          <w:p>
            <w:pPr>
              <w:pStyle w:val="Compact"/>
              <w:spacing w:after="40"/>
              <w:jc w:val="left"/>
            </w:pPr>
            <w:r>
              <w:rPr>
                <w:sz w:val="19"/>
              </w:rPr>
              <w:t xml:space="preserve">10</w:t>
            </w:r>
          </w:p>
        </w:tc>
        <w:tc>
          <w:tcPr/>
          <w:p>
            <w:pPr>
              <w:pStyle w:val="Compact"/>
              <w:spacing w:after="40"/>
              <w:jc w:val="left"/>
            </w:pPr>
            <w:r>
              <w:rPr>
                <w:sz w:val="19"/>
              </w:rPr>
              <w:t xml:space="preserve">DES</w:t>
            </w:r>
          </w:p>
        </w:tc>
      </w:tr>
      <w:tr>
        <w:tc>
          <w:tcPr/>
          <w:p>
            <w:pPr>
              <w:pStyle w:val="Compact"/>
              <w:spacing w:after="40"/>
              <w:jc w:val="left"/>
            </w:pPr>
            <w:r>
              <w:rPr>
                <w:sz w:val="19"/>
              </w:rPr>
              <w:t xml:space="preserve">Store</w:t>
            </w:r>
          </w:p>
        </w:tc>
        <w:tc>
          <w:tcPr/>
          <w:p>
            <w:pPr>
              <w:pStyle w:val="Compact"/>
              <w:spacing w:after="40"/>
              <w:jc w:val="left"/>
            </w:pPr>
            <w:r>
              <w:rPr>
                <w:sz w:val="19"/>
              </w:rPr>
              <w:t xml:space="preserve">3</w:t>
            </w:r>
          </w:p>
        </w:tc>
        <w:tc>
          <w:tcPr/>
          <w:p>
            <w:pPr>
              <w:pStyle w:val="Compact"/>
              <w:spacing w:after="40"/>
              <w:jc w:val="left"/>
            </w:pPr>
            <w:r>
              <w:rPr>
                <w:sz w:val="19"/>
              </w:rPr>
              <w:t xml:space="preserve">0.95</w:t>
            </w:r>
          </w:p>
        </w:tc>
        <w:tc>
          <w:tcPr/>
          <w:p>
            <w:pPr>
              <w:pStyle w:val="Compact"/>
              <w:spacing w:after="40"/>
              <w:jc w:val="left"/>
            </w:pPr>
            <w:r>
              <w:rPr>
                <w:sz w:val="19"/>
              </w:rPr>
              <w:t xml:space="preserve">3</w:t>
            </w:r>
          </w:p>
        </w:tc>
        <w:tc>
          <w:tcPr/>
          <w:p>
            <w:pPr>
              <w:pStyle w:val="Compact"/>
              <w:spacing w:after="40"/>
              <w:jc w:val="left"/>
            </w:pPr>
            <w:r>
              <w:rPr>
                <w:sz w:val="19"/>
              </w:rPr>
              <w:t xml:space="preserve">Moving Average</w:t>
            </w:r>
          </w:p>
        </w:tc>
      </w:tr>
      <w:tr>
        <w:tc>
          <w:tcPr/>
          <w:p>
            <w:pPr>
              <w:pStyle w:val="Compact"/>
              <w:spacing w:after="40"/>
              <w:jc w:val="left"/>
            </w:pPr>
            <w:r>
              <w:rPr>
                <w:sz w:val="19"/>
              </w:rPr>
              <w:t xml:space="preserve">Store</w:t>
            </w:r>
          </w:p>
        </w:tc>
        <w:tc>
          <w:tcPr/>
          <w:p>
            <w:pPr>
              <w:pStyle w:val="Compact"/>
              <w:spacing w:after="40"/>
              <w:jc w:val="left"/>
            </w:pPr>
            <w:r>
              <w:rPr>
                <w:sz w:val="19"/>
              </w:rPr>
              <w:t xml:space="preserve">3</w:t>
            </w:r>
          </w:p>
        </w:tc>
        <w:tc>
          <w:tcPr/>
          <w:p>
            <w:pPr>
              <w:pStyle w:val="Compact"/>
              <w:spacing w:after="40"/>
              <w:jc w:val="left"/>
            </w:pPr>
            <w:r>
              <w:rPr>
                <w:sz w:val="19"/>
              </w:rPr>
              <w:t xml:space="preserve">0.95</w:t>
            </w:r>
          </w:p>
        </w:tc>
        <w:tc>
          <w:tcPr/>
          <w:p>
            <w:pPr>
              <w:pStyle w:val="Compact"/>
              <w:spacing w:after="40"/>
              <w:jc w:val="left"/>
            </w:pPr>
            <w:r>
              <w:rPr>
                <w:sz w:val="19"/>
              </w:rPr>
              <w:t xml:space="preserve">5</w:t>
            </w:r>
          </w:p>
        </w:tc>
        <w:tc>
          <w:tcPr/>
          <w:p>
            <w:pPr>
              <w:pStyle w:val="Compact"/>
              <w:spacing w:after="40"/>
              <w:jc w:val="left"/>
            </w:pPr>
            <w:r>
              <w:rPr>
                <w:sz w:val="19"/>
              </w:rPr>
              <w:t xml:space="preserve">DES</w:t>
            </w:r>
          </w:p>
        </w:tc>
      </w:tr>
      <w:tr>
        <w:tc>
          <w:tcPr/>
          <w:p>
            <w:pPr>
              <w:pStyle w:val="Compact"/>
              <w:spacing w:after="40"/>
              <w:jc w:val="left"/>
            </w:pPr>
            <w:r>
              <w:rPr>
                <w:sz w:val="19"/>
              </w:rPr>
              <w:t xml:space="preserve">Store</w:t>
            </w:r>
          </w:p>
        </w:tc>
        <w:tc>
          <w:tcPr/>
          <w:p>
            <w:pPr>
              <w:pStyle w:val="Compact"/>
              <w:spacing w:after="40"/>
              <w:jc w:val="left"/>
            </w:pPr>
            <w:r>
              <w:rPr>
                <w:sz w:val="19"/>
              </w:rPr>
              <w:t xml:space="preserve">3</w:t>
            </w:r>
          </w:p>
        </w:tc>
        <w:tc>
          <w:tcPr/>
          <w:p>
            <w:pPr>
              <w:pStyle w:val="Compact"/>
              <w:spacing w:after="40"/>
              <w:jc w:val="left"/>
            </w:pPr>
            <w:r>
              <w:rPr>
                <w:sz w:val="19"/>
              </w:rPr>
              <w:t xml:space="preserve">0.95</w:t>
            </w:r>
          </w:p>
        </w:tc>
        <w:tc>
          <w:tcPr/>
          <w:p>
            <w:pPr>
              <w:pStyle w:val="Compact"/>
              <w:spacing w:after="40"/>
              <w:jc w:val="left"/>
            </w:pPr>
            <w:r>
              <w:rPr>
                <w:sz w:val="19"/>
              </w:rPr>
              <w:t xml:space="preserve">10</w:t>
            </w:r>
          </w:p>
        </w:tc>
        <w:tc>
          <w:tcPr/>
          <w:p>
            <w:pPr>
              <w:pStyle w:val="Compact"/>
              <w:spacing w:after="40"/>
              <w:jc w:val="left"/>
            </w:pPr>
            <w:r>
              <w:rPr>
                <w:sz w:val="19"/>
              </w:rPr>
              <w:t xml:space="preserve">DES</w:t>
            </w:r>
          </w:p>
        </w:tc>
      </w:tr>
      <w:tr>
        <w:tc>
          <w:tcPr/>
          <w:p>
            <w:pPr>
              <w:pStyle w:val="Compact"/>
              <w:spacing w:after="40"/>
              <w:jc w:val="left"/>
            </w:pPr>
            <w:r>
              <w:rPr>
                <w:sz w:val="19"/>
              </w:rPr>
              <w:t xml:space="preserve">Store</w:t>
            </w:r>
          </w:p>
        </w:tc>
        <w:tc>
          <w:tcPr/>
          <w:p>
            <w:pPr>
              <w:pStyle w:val="Compact"/>
              <w:spacing w:after="40"/>
              <w:jc w:val="left"/>
            </w:pPr>
            <w:r>
              <w:rPr>
                <w:sz w:val="19"/>
              </w:rPr>
              <w:t xml:space="preserve">3</w:t>
            </w:r>
          </w:p>
        </w:tc>
        <w:tc>
          <w:tcPr/>
          <w:p>
            <w:pPr>
              <w:pStyle w:val="Compact"/>
              <w:spacing w:after="40"/>
              <w:jc w:val="left"/>
            </w:pPr>
            <w:r>
              <w:rPr>
                <w:sz w:val="19"/>
              </w:rPr>
              <w:t xml:space="preserve">0.99</w:t>
            </w:r>
          </w:p>
        </w:tc>
        <w:tc>
          <w:tcPr/>
          <w:p>
            <w:pPr>
              <w:pStyle w:val="Compact"/>
              <w:spacing w:after="40"/>
              <w:jc w:val="left"/>
            </w:pPr>
            <w:r>
              <w:rPr>
                <w:sz w:val="19"/>
              </w:rPr>
              <w:t xml:space="preserve">3</w:t>
            </w:r>
          </w:p>
        </w:tc>
        <w:tc>
          <w:tcPr/>
          <w:p>
            <w:pPr>
              <w:pStyle w:val="Compact"/>
              <w:spacing w:after="40"/>
              <w:jc w:val="left"/>
            </w:pPr>
            <w:r>
              <w:rPr>
                <w:sz w:val="19"/>
              </w:rPr>
              <w:t xml:space="preserve">Moving Average</w:t>
            </w:r>
          </w:p>
        </w:tc>
      </w:tr>
      <w:tr>
        <w:tc>
          <w:tcPr/>
          <w:p>
            <w:pPr>
              <w:pStyle w:val="Compact"/>
              <w:spacing w:after="40"/>
              <w:jc w:val="left"/>
            </w:pPr>
            <w:r>
              <w:rPr>
                <w:sz w:val="19"/>
              </w:rPr>
              <w:t xml:space="preserve">Store</w:t>
            </w:r>
          </w:p>
        </w:tc>
        <w:tc>
          <w:tcPr/>
          <w:p>
            <w:pPr>
              <w:pStyle w:val="Compact"/>
              <w:spacing w:after="40"/>
              <w:jc w:val="left"/>
            </w:pPr>
            <w:r>
              <w:rPr>
                <w:sz w:val="19"/>
              </w:rPr>
              <w:t xml:space="preserve">3</w:t>
            </w:r>
          </w:p>
        </w:tc>
        <w:tc>
          <w:tcPr/>
          <w:p>
            <w:pPr>
              <w:pStyle w:val="Compact"/>
              <w:spacing w:after="40"/>
              <w:jc w:val="left"/>
            </w:pPr>
            <w:r>
              <w:rPr>
                <w:sz w:val="19"/>
              </w:rPr>
              <w:t xml:space="preserve">0.99</w:t>
            </w:r>
          </w:p>
        </w:tc>
        <w:tc>
          <w:tcPr/>
          <w:p>
            <w:pPr>
              <w:pStyle w:val="Compact"/>
              <w:spacing w:after="40"/>
              <w:jc w:val="left"/>
            </w:pPr>
            <w:r>
              <w:rPr>
                <w:sz w:val="19"/>
              </w:rPr>
              <w:t xml:space="preserve">5</w:t>
            </w:r>
          </w:p>
        </w:tc>
        <w:tc>
          <w:tcPr/>
          <w:p>
            <w:pPr>
              <w:pStyle w:val="Compact"/>
              <w:spacing w:after="40"/>
              <w:jc w:val="left"/>
            </w:pPr>
            <w:r>
              <w:rPr>
                <w:sz w:val="19"/>
              </w:rPr>
              <w:t xml:space="preserve">Moving Average</w:t>
            </w:r>
          </w:p>
        </w:tc>
      </w:tr>
      <w:tr>
        <w:tc>
          <w:tcPr/>
          <w:p>
            <w:pPr>
              <w:pStyle w:val="Compact"/>
              <w:spacing w:after="40"/>
              <w:jc w:val="left"/>
            </w:pPr>
            <w:r>
              <w:rPr>
                <w:sz w:val="19"/>
              </w:rPr>
              <w:t xml:space="preserve">Store</w:t>
            </w:r>
          </w:p>
        </w:tc>
        <w:tc>
          <w:tcPr/>
          <w:p>
            <w:pPr>
              <w:pStyle w:val="Compact"/>
              <w:spacing w:after="40"/>
              <w:jc w:val="left"/>
            </w:pPr>
            <w:r>
              <w:rPr>
                <w:sz w:val="19"/>
              </w:rPr>
              <w:t xml:space="preserve">3</w:t>
            </w:r>
          </w:p>
        </w:tc>
        <w:tc>
          <w:tcPr/>
          <w:p>
            <w:pPr>
              <w:pStyle w:val="Compact"/>
              <w:spacing w:after="40"/>
              <w:jc w:val="left"/>
            </w:pPr>
            <w:r>
              <w:rPr>
                <w:sz w:val="19"/>
              </w:rPr>
              <w:t xml:space="preserve">0.99</w:t>
            </w:r>
          </w:p>
        </w:tc>
        <w:tc>
          <w:tcPr/>
          <w:p>
            <w:pPr>
              <w:pStyle w:val="Compact"/>
              <w:spacing w:after="40"/>
              <w:jc w:val="left"/>
            </w:pPr>
            <w:r>
              <w:rPr>
                <w:sz w:val="19"/>
              </w:rPr>
              <w:t xml:space="preserve">10</w:t>
            </w:r>
          </w:p>
        </w:tc>
        <w:tc>
          <w:tcPr/>
          <w:p>
            <w:pPr>
              <w:pStyle w:val="Compact"/>
              <w:spacing w:after="40"/>
              <w:jc w:val="left"/>
            </w:pPr>
            <w:r>
              <w:rPr>
                <w:sz w:val="19"/>
              </w:rPr>
              <w:t xml:space="preserve">DES</w:t>
            </w:r>
          </w:p>
        </w:tc>
      </w:tr>
      <w:tr>
        <w:tc>
          <w:tcPr/>
          <w:p>
            <w:pPr>
              <w:pStyle w:val="Compact"/>
              <w:spacing w:after="40"/>
              <w:jc w:val="left"/>
            </w:pPr>
            <w:r>
              <w:rPr>
                <w:sz w:val="19"/>
              </w:rPr>
              <w:t xml:space="preserve">Store</w:t>
            </w:r>
          </w:p>
        </w:tc>
        <w:tc>
          <w:tcPr/>
          <w:p>
            <w:pPr>
              <w:pStyle w:val="Compact"/>
              <w:spacing w:after="40"/>
              <w:jc w:val="left"/>
            </w:pPr>
            <w:r>
              <w:rPr>
                <w:sz w:val="19"/>
              </w:rPr>
              <w:t xml:space="preserve">7</w:t>
            </w:r>
          </w:p>
        </w:tc>
        <w:tc>
          <w:tcPr/>
          <w:p>
            <w:pPr>
              <w:pStyle w:val="Compact"/>
              <w:spacing w:after="40"/>
              <w:jc w:val="left"/>
            </w:pPr>
            <w:r>
              <w:rPr>
                <w:sz w:val="19"/>
              </w:rPr>
              <w:t xml:space="preserve">0.90</w:t>
            </w:r>
          </w:p>
        </w:tc>
        <w:tc>
          <w:tcPr/>
          <w:p>
            <w:pPr>
              <w:pStyle w:val="Compact"/>
              <w:spacing w:after="40"/>
              <w:jc w:val="left"/>
            </w:pPr>
            <w:r>
              <w:rPr>
                <w:sz w:val="19"/>
              </w:rPr>
              <w:t xml:space="preserve">3</w:t>
            </w:r>
          </w:p>
        </w:tc>
        <w:tc>
          <w:tcPr/>
          <w:p>
            <w:pPr>
              <w:pStyle w:val="Compact"/>
              <w:spacing w:after="40"/>
              <w:jc w:val="left"/>
            </w:pPr>
            <w:r>
              <w:rPr>
                <w:sz w:val="19"/>
              </w:rPr>
              <w:t xml:space="preserve">SES</w:t>
            </w:r>
          </w:p>
        </w:tc>
      </w:tr>
      <w:tr>
        <w:tc>
          <w:tcPr/>
          <w:p>
            <w:pPr>
              <w:pStyle w:val="Compact"/>
              <w:spacing w:after="40"/>
              <w:jc w:val="left"/>
            </w:pPr>
            <w:r>
              <w:rPr>
                <w:sz w:val="19"/>
              </w:rPr>
              <w:t xml:space="preserve">Store</w:t>
            </w:r>
          </w:p>
        </w:tc>
        <w:tc>
          <w:tcPr/>
          <w:p>
            <w:pPr>
              <w:pStyle w:val="Compact"/>
              <w:spacing w:after="40"/>
              <w:jc w:val="left"/>
            </w:pPr>
            <w:r>
              <w:rPr>
                <w:sz w:val="19"/>
              </w:rPr>
              <w:t xml:space="preserve">7</w:t>
            </w:r>
          </w:p>
        </w:tc>
        <w:tc>
          <w:tcPr/>
          <w:p>
            <w:pPr>
              <w:pStyle w:val="Compact"/>
              <w:spacing w:after="40"/>
              <w:jc w:val="left"/>
            </w:pPr>
            <w:r>
              <w:rPr>
                <w:sz w:val="19"/>
              </w:rPr>
              <w:t xml:space="preserve">0.90</w:t>
            </w:r>
          </w:p>
        </w:tc>
        <w:tc>
          <w:tcPr/>
          <w:p>
            <w:pPr>
              <w:pStyle w:val="Compact"/>
              <w:spacing w:after="40"/>
              <w:jc w:val="left"/>
            </w:pPr>
            <w:r>
              <w:rPr>
                <w:sz w:val="19"/>
              </w:rPr>
              <w:t xml:space="preserve">5</w:t>
            </w:r>
          </w:p>
        </w:tc>
        <w:tc>
          <w:tcPr/>
          <w:p>
            <w:pPr>
              <w:pStyle w:val="Compact"/>
              <w:spacing w:after="40"/>
              <w:jc w:val="left"/>
            </w:pPr>
            <w:r>
              <w:rPr>
                <w:sz w:val="19"/>
              </w:rPr>
              <w:t xml:space="preserve">Moving Average</w:t>
            </w:r>
          </w:p>
        </w:tc>
      </w:tr>
      <w:tr>
        <w:tc>
          <w:tcPr/>
          <w:p>
            <w:pPr>
              <w:pStyle w:val="Compact"/>
              <w:spacing w:after="40"/>
              <w:jc w:val="left"/>
            </w:pPr>
            <w:r>
              <w:rPr>
                <w:sz w:val="19"/>
              </w:rPr>
              <w:t xml:space="preserve">Store</w:t>
            </w:r>
          </w:p>
        </w:tc>
        <w:tc>
          <w:tcPr/>
          <w:p>
            <w:pPr>
              <w:pStyle w:val="Compact"/>
              <w:spacing w:after="40"/>
              <w:jc w:val="left"/>
            </w:pPr>
            <w:r>
              <w:rPr>
                <w:sz w:val="19"/>
              </w:rPr>
              <w:t xml:space="preserve">7</w:t>
            </w:r>
          </w:p>
        </w:tc>
        <w:tc>
          <w:tcPr/>
          <w:p>
            <w:pPr>
              <w:pStyle w:val="Compact"/>
              <w:spacing w:after="40"/>
              <w:jc w:val="left"/>
            </w:pPr>
            <w:r>
              <w:rPr>
                <w:sz w:val="19"/>
              </w:rPr>
              <w:t xml:space="preserve">0.90</w:t>
            </w:r>
          </w:p>
        </w:tc>
        <w:tc>
          <w:tcPr/>
          <w:p>
            <w:pPr>
              <w:pStyle w:val="Compact"/>
              <w:spacing w:after="40"/>
              <w:jc w:val="left"/>
            </w:pPr>
            <w:r>
              <w:rPr>
                <w:sz w:val="19"/>
              </w:rPr>
              <w:t xml:space="preserve">10</w:t>
            </w:r>
          </w:p>
        </w:tc>
        <w:tc>
          <w:tcPr/>
          <w:p>
            <w:pPr>
              <w:pStyle w:val="Compact"/>
              <w:spacing w:after="40"/>
              <w:jc w:val="left"/>
            </w:pPr>
            <w:r>
              <w:rPr>
                <w:sz w:val="19"/>
              </w:rPr>
              <w:t xml:space="preserve">Moving Average</w:t>
            </w:r>
          </w:p>
        </w:tc>
      </w:tr>
      <w:tr>
        <w:tc>
          <w:tcPr/>
          <w:p>
            <w:pPr>
              <w:pStyle w:val="Compact"/>
              <w:spacing w:after="40"/>
              <w:jc w:val="left"/>
            </w:pPr>
            <w:r>
              <w:rPr>
                <w:sz w:val="19"/>
              </w:rPr>
              <w:t xml:space="preserve">Store</w:t>
            </w:r>
          </w:p>
        </w:tc>
        <w:tc>
          <w:tcPr/>
          <w:p>
            <w:pPr>
              <w:pStyle w:val="Compact"/>
              <w:spacing w:after="40"/>
              <w:jc w:val="left"/>
            </w:pPr>
            <w:r>
              <w:rPr>
                <w:sz w:val="19"/>
              </w:rPr>
              <w:t xml:space="preserve">7</w:t>
            </w:r>
          </w:p>
        </w:tc>
        <w:tc>
          <w:tcPr/>
          <w:p>
            <w:pPr>
              <w:pStyle w:val="Compact"/>
              <w:spacing w:after="40"/>
              <w:jc w:val="left"/>
            </w:pPr>
            <w:r>
              <w:rPr>
                <w:sz w:val="19"/>
              </w:rPr>
              <w:t xml:space="preserve">0.95</w:t>
            </w:r>
          </w:p>
        </w:tc>
        <w:tc>
          <w:tcPr/>
          <w:p>
            <w:pPr>
              <w:pStyle w:val="Compact"/>
              <w:spacing w:after="40"/>
              <w:jc w:val="left"/>
            </w:pPr>
            <w:r>
              <w:rPr>
                <w:sz w:val="19"/>
              </w:rPr>
              <w:t xml:space="preserve">3</w:t>
            </w:r>
          </w:p>
        </w:tc>
        <w:tc>
          <w:tcPr/>
          <w:p>
            <w:pPr>
              <w:pStyle w:val="Compact"/>
              <w:spacing w:after="40"/>
              <w:jc w:val="left"/>
            </w:pPr>
            <w:r>
              <w:rPr>
                <w:sz w:val="19"/>
              </w:rPr>
              <w:t xml:space="preserve">SES</w:t>
            </w:r>
          </w:p>
        </w:tc>
      </w:tr>
      <w:tr>
        <w:tc>
          <w:tcPr/>
          <w:p>
            <w:pPr>
              <w:pStyle w:val="Compact"/>
              <w:spacing w:after="40"/>
              <w:jc w:val="left"/>
            </w:pPr>
            <w:r>
              <w:rPr>
                <w:sz w:val="19"/>
              </w:rPr>
              <w:t xml:space="preserve">Store</w:t>
            </w:r>
          </w:p>
        </w:tc>
        <w:tc>
          <w:tcPr/>
          <w:p>
            <w:pPr>
              <w:pStyle w:val="Compact"/>
              <w:spacing w:after="40"/>
              <w:jc w:val="left"/>
            </w:pPr>
            <w:r>
              <w:rPr>
                <w:sz w:val="19"/>
              </w:rPr>
              <w:t xml:space="preserve">7</w:t>
            </w:r>
          </w:p>
        </w:tc>
        <w:tc>
          <w:tcPr/>
          <w:p>
            <w:pPr>
              <w:pStyle w:val="Compact"/>
              <w:spacing w:after="40"/>
              <w:jc w:val="left"/>
            </w:pPr>
            <w:r>
              <w:rPr>
                <w:sz w:val="19"/>
              </w:rPr>
              <w:t xml:space="preserve">0.95</w:t>
            </w:r>
          </w:p>
        </w:tc>
        <w:tc>
          <w:tcPr/>
          <w:p>
            <w:pPr>
              <w:pStyle w:val="Compact"/>
              <w:spacing w:after="40"/>
              <w:jc w:val="left"/>
            </w:pPr>
            <w:r>
              <w:rPr>
                <w:sz w:val="19"/>
              </w:rPr>
              <w:t xml:space="preserve">5</w:t>
            </w:r>
          </w:p>
        </w:tc>
        <w:tc>
          <w:tcPr/>
          <w:p>
            <w:pPr>
              <w:pStyle w:val="Compact"/>
              <w:spacing w:after="40"/>
              <w:jc w:val="left"/>
            </w:pPr>
            <w:r>
              <w:rPr>
                <w:sz w:val="19"/>
              </w:rPr>
              <w:t xml:space="preserve">Moving Average</w:t>
            </w:r>
          </w:p>
        </w:tc>
      </w:tr>
      <w:tr>
        <w:tc>
          <w:tcPr/>
          <w:p>
            <w:pPr>
              <w:pStyle w:val="Compact"/>
              <w:spacing w:after="40"/>
              <w:jc w:val="left"/>
            </w:pPr>
            <w:r>
              <w:rPr>
                <w:sz w:val="19"/>
              </w:rPr>
              <w:t xml:space="preserve">Store</w:t>
            </w:r>
          </w:p>
        </w:tc>
        <w:tc>
          <w:tcPr/>
          <w:p>
            <w:pPr>
              <w:pStyle w:val="Compact"/>
              <w:spacing w:after="40"/>
              <w:jc w:val="left"/>
            </w:pPr>
            <w:r>
              <w:rPr>
                <w:sz w:val="19"/>
              </w:rPr>
              <w:t xml:space="preserve">7</w:t>
            </w:r>
          </w:p>
        </w:tc>
        <w:tc>
          <w:tcPr/>
          <w:p>
            <w:pPr>
              <w:pStyle w:val="Compact"/>
              <w:spacing w:after="40"/>
              <w:jc w:val="left"/>
            </w:pPr>
            <w:r>
              <w:rPr>
                <w:sz w:val="19"/>
              </w:rPr>
              <w:t xml:space="preserve">0.95</w:t>
            </w:r>
          </w:p>
        </w:tc>
        <w:tc>
          <w:tcPr/>
          <w:p>
            <w:pPr>
              <w:pStyle w:val="Compact"/>
              <w:spacing w:after="40"/>
              <w:jc w:val="left"/>
            </w:pPr>
            <w:r>
              <w:rPr>
                <w:sz w:val="19"/>
              </w:rPr>
              <w:t xml:space="preserve">10</w:t>
            </w:r>
          </w:p>
        </w:tc>
        <w:tc>
          <w:tcPr/>
          <w:p>
            <w:pPr>
              <w:pStyle w:val="Compact"/>
              <w:spacing w:after="40"/>
              <w:jc w:val="left"/>
            </w:pPr>
            <w:r>
              <w:rPr>
                <w:sz w:val="19"/>
              </w:rPr>
              <w:t xml:space="preserve">Moving Average</w:t>
            </w:r>
          </w:p>
        </w:tc>
      </w:tr>
      <w:tr>
        <w:tc>
          <w:tcPr/>
          <w:p>
            <w:pPr>
              <w:pStyle w:val="Compact"/>
              <w:spacing w:after="40"/>
              <w:jc w:val="left"/>
            </w:pPr>
            <w:r>
              <w:rPr>
                <w:sz w:val="19"/>
              </w:rPr>
              <w:t xml:space="preserve">Store</w:t>
            </w:r>
          </w:p>
        </w:tc>
        <w:tc>
          <w:tcPr/>
          <w:p>
            <w:pPr>
              <w:pStyle w:val="Compact"/>
              <w:spacing w:after="40"/>
              <w:jc w:val="left"/>
            </w:pPr>
            <w:r>
              <w:rPr>
                <w:sz w:val="19"/>
              </w:rPr>
              <w:t xml:space="preserve">7</w:t>
            </w:r>
          </w:p>
        </w:tc>
        <w:tc>
          <w:tcPr/>
          <w:p>
            <w:pPr>
              <w:pStyle w:val="Compact"/>
              <w:spacing w:after="40"/>
              <w:jc w:val="left"/>
            </w:pPr>
            <w:r>
              <w:rPr>
                <w:sz w:val="19"/>
              </w:rPr>
              <w:t xml:space="preserve">0.99</w:t>
            </w:r>
          </w:p>
        </w:tc>
        <w:tc>
          <w:tcPr/>
          <w:p>
            <w:pPr>
              <w:pStyle w:val="Compact"/>
              <w:spacing w:after="40"/>
              <w:jc w:val="left"/>
            </w:pPr>
            <w:r>
              <w:rPr>
                <w:sz w:val="19"/>
              </w:rPr>
              <w:t xml:space="preserve">3</w:t>
            </w:r>
          </w:p>
        </w:tc>
        <w:tc>
          <w:tcPr/>
          <w:p>
            <w:pPr>
              <w:pStyle w:val="Compact"/>
              <w:spacing w:after="40"/>
              <w:jc w:val="left"/>
            </w:pPr>
            <w:r>
              <w:rPr>
                <w:sz w:val="19"/>
              </w:rPr>
              <w:t xml:space="preserve">SES</w:t>
            </w:r>
          </w:p>
        </w:tc>
      </w:tr>
      <w:tr>
        <w:tc>
          <w:tcPr/>
          <w:p>
            <w:pPr>
              <w:pStyle w:val="Compact"/>
              <w:spacing w:after="40"/>
              <w:jc w:val="left"/>
            </w:pPr>
            <w:r>
              <w:rPr>
                <w:sz w:val="19"/>
              </w:rPr>
              <w:t xml:space="preserve">Store</w:t>
            </w:r>
          </w:p>
        </w:tc>
        <w:tc>
          <w:tcPr/>
          <w:p>
            <w:pPr>
              <w:pStyle w:val="Compact"/>
              <w:spacing w:after="40"/>
              <w:jc w:val="left"/>
            </w:pPr>
            <w:r>
              <w:rPr>
                <w:sz w:val="19"/>
              </w:rPr>
              <w:t xml:space="preserve">7</w:t>
            </w:r>
          </w:p>
        </w:tc>
        <w:tc>
          <w:tcPr/>
          <w:p>
            <w:pPr>
              <w:pStyle w:val="Compact"/>
              <w:spacing w:after="40"/>
              <w:jc w:val="left"/>
            </w:pPr>
            <w:r>
              <w:rPr>
                <w:sz w:val="19"/>
              </w:rPr>
              <w:t xml:space="preserve">0.99</w:t>
            </w:r>
          </w:p>
        </w:tc>
        <w:tc>
          <w:tcPr/>
          <w:p>
            <w:pPr>
              <w:pStyle w:val="Compact"/>
              <w:spacing w:after="40"/>
              <w:jc w:val="left"/>
            </w:pPr>
            <w:r>
              <w:rPr>
                <w:sz w:val="19"/>
              </w:rPr>
              <w:t xml:space="preserve">5</w:t>
            </w:r>
          </w:p>
        </w:tc>
        <w:tc>
          <w:tcPr/>
          <w:p>
            <w:pPr>
              <w:pStyle w:val="Compact"/>
              <w:spacing w:after="40"/>
              <w:jc w:val="left"/>
            </w:pPr>
            <w:r>
              <w:rPr>
                <w:sz w:val="19"/>
              </w:rPr>
              <w:t xml:space="preserve">SES</w:t>
            </w:r>
          </w:p>
        </w:tc>
      </w:tr>
      <w:tr>
        <w:tc>
          <w:tcPr/>
          <w:p>
            <w:pPr>
              <w:pStyle w:val="Compact"/>
              <w:spacing w:after="40"/>
              <w:jc w:val="left"/>
            </w:pPr>
            <w:r>
              <w:rPr>
                <w:sz w:val="19"/>
              </w:rPr>
              <w:t xml:space="preserve">Store</w:t>
            </w:r>
          </w:p>
        </w:tc>
        <w:tc>
          <w:tcPr/>
          <w:p>
            <w:pPr>
              <w:pStyle w:val="Compact"/>
              <w:spacing w:after="40"/>
              <w:jc w:val="left"/>
            </w:pPr>
            <w:r>
              <w:rPr>
                <w:sz w:val="19"/>
              </w:rPr>
              <w:t xml:space="preserve">7</w:t>
            </w:r>
          </w:p>
        </w:tc>
        <w:tc>
          <w:tcPr/>
          <w:p>
            <w:pPr>
              <w:pStyle w:val="Compact"/>
              <w:spacing w:after="40"/>
              <w:jc w:val="left"/>
            </w:pPr>
            <w:r>
              <w:rPr>
                <w:sz w:val="19"/>
              </w:rPr>
              <w:t xml:space="preserve">0.99</w:t>
            </w:r>
          </w:p>
        </w:tc>
        <w:tc>
          <w:tcPr/>
          <w:p>
            <w:pPr>
              <w:pStyle w:val="Compact"/>
              <w:spacing w:after="40"/>
              <w:jc w:val="left"/>
            </w:pPr>
            <w:r>
              <w:rPr>
                <w:sz w:val="19"/>
              </w:rPr>
              <w:t xml:space="preserve">10</w:t>
            </w:r>
          </w:p>
        </w:tc>
        <w:tc>
          <w:tcPr/>
          <w:p>
            <w:pPr>
              <w:pStyle w:val="Compact"/>
              <w:spacing w:after="40"/>
              <w:jc w:val="left"/>
            </w:pPr>
            <w:r>
              <w:rPr>
                <w:sz w:val="19"/>
              </w:rPr>
              <w:t xml:space="preserve">Moving Average</w:t>
            </w:r>
          </w:p>
        </w:tc>
      </w:tr>
      <w:tr>
        <w:tc>
          <w:tcPr/>
          <w:p>
            <w:pPr>
              <w:pStyle w:val="Compact"/>
              <w:spacing w:after="40"/>
              <w:jc w:val="left"/>
            </w:pPr>
            <w:r>
              <w:rPr>
                <w:sz w:val="19"/>
              </w:rPr>
              <w:t xml:space="preserve">Store</w:t>
            </w:r>
          </w:p>
        </w:tc>
        <w:tc>
          <w:tcPr/>
          <w:p>
            <w:pPr>
              <w:pStyle w:val="Compact"/>
              <w:spacing w:after="40"/>
              <w:jc w:val="left"/>
            </w:pPr>
            <w:r>
              <w:rPr>
                <w:sz w:val="19"/>
              </w:rPr>
              <w:t xml:space="preserve">14</w:t>
            </w:r>
          </w:p>
        </w:tc>
        <w:tc>
          <w:tcPr/>
          <w:p>
            <w:pPr>
              <w:pStyle w:val="Compact"/>
              <w:spacing w:after="40"/>
              <w:jc w:val="left"/>
            </w:pPr>
            <w:r>
              <w:rPr>
                <w:sz w:val="19"/>
              </w:rPr>
              <w:t xml:space="preserve">0.90</w:t>
            </w:r>
          </w:p>
        </w:tc>
        <w:tc>
          <w:tcPr/>
          <w:p>
            <w:pPr>
              <w:pStyle w:val="Compact"/>
              <w:spacing w:after="40"/>
              <w:jc w:val="left"/>
            </w:pPr>
            <w:r>
              <w:rPr>
                <w:sz w:val="19"/>
              </w:rPr>
              <w:t xml:space="preserve">3</w:t>
            </w:r>
          </w:p>
        </w:tc>
        <w:tc>
          <w:tcPr/>
          <w:p>
            <w:pPr>
              <w:pStyle w:val="Compact"/>
              <w:spacing w:after="40"/>
              <w:jc w:val="left"/>
            </w:pPr>
            <w:r>
              <w:rPr>
                <w:sz w:val="19"/>
              </w:rPr>
              <w:t xml:space="preserve">Naive</w:t>
            </w:r>
          </w:p>
        </w:tc>
      </w:tr>
      <w:tr>
        <w:tc>
          <w:tcPr/>
          <w:p>
            <w:pPr>
              <w:pStyle w:val="Compact"/>
              <w:spacing w:after="40"/>
              <w:jc w:val="left"/>
            </w:pPr>
            <w:r>
              <w:rPr>
                <w:sz w:val="19"/>
              </w:rPr>
              <w:t xml:space="preserve">Store</w:t>
            </w:r>
          </w:p>
        </w:tc>
        <w:tc>
          <w:tcPr/>
          <w:p>
            <w:pPr>
              <w:pStyle w:val="Compact"/>
              <w:spacing w:after="40"/>
              <w:jc w:val="left"/>
            </w:pPr>
            <w:r>
              <w:rPr>
                <w:sz w:val="19"/>
              </w:rPr>
              <w:t xml:space="preserve">14</w:t>
            </w:r>
          </w:p>
        </w:tc>
        <w:tc>
          <w:tcPr/>
          <w:p>
            <w:pPr>
              <w:pStyle w:val="Compact"/>
              <w:spacing w:after="40"/>
              <w:jc w:val="left"/>
            </w:pPr>
            <w:r>
              <w:rPr>
                <w:sz w:val="19"/>
              </w:rPr>
              <w:t xml:space="preserve">0.90</w:t>
            </w:r>
          </w:p>
        </w:tc>
        <w:tc>
          <w:tcPr/>
          <w:p>
            <w:pPr>
              <w:pStyle w:val="Compact"/>
              <w:spacing w:after="40"/>
              <w:jc w:val="left"/>
            </w:pPr>
            <w:r>
              <w:rPr>
                <w:sz w:val="19"/>
              </w:rPr>
              <w:t xml:space="preserve">5</w:t>
            </w:r>
          </w:p>
        </w:tc>
        <w:tc>
          <w:tcPr/>
          <w:p>
            <w:pPr>
              <w:pStyle w:val="Compact"/>
              <w:spacing w:after="40"/>
              <w:jc w:val="left"/>
            </w:pPr>
            <w:r>
              <w:rPr>
                <w:sz w:val="19"/>
              </w:rPr>
              <w:t xml:space="preserve">Naive</w:t>
            </w:r>
          </w:p>
        </w:tc>
      </w:tr>
      <w:tr>
        <w:tc>
          <w:tcPr/>
          <w:p>
            <w:pPr>
              <w:pStyle w:val="Compact"/>
              <w:spacing w:after="40"/>
              <w:jc w:val="left"/>
            </w:pPr>
            <w:r>
              <w:rPr>
                <w:sz w:val="19"/>
              </w:rPr>
              <w:t xml:space="preserve">Store</w:t>
            </w:r>
          </w:p>
        </w:tc>
        <w:tc>
          <w:tcPr/>
          <w:p>
            <w:pPr>
              <w:pStyle w:val="Compact"/>
              <w:spacing w:after="40"/>
              <w:jc w:val="left"/>
            </w:pPr>
            <w:r>
              <w:rPr>
                <w:sz w:val="19"/>
              </w:rPr>
              <w:t xml:space="preserve">14</w:t>
            </w:r>
          </w:p>
        </w:tc>
        <w:tc>
          <w:tcPr/>
          <w:p>
            <w:pPr>
              <w:pStyle w:val="Compact"/>
              <w:spacing w:after="40"/>
              <w:jc w:val="left"/>
            </w:pPr>
            <w:r>
              <w:rPr>
                <w:sz w:val="19"/>
              </w:rPr>
              <w:t xml:space="preserve">0.90</w:t>
            </w:r>
          </w:p>
        </w:tc>
        <w:tc>
          <w:tcPr/>
          <w:p>
            <w:pPr>
              <w:pStyle w:val="Compact"/>
              <w:spacing w:after="40"/>
              <w:jc w:val="left"/>
            </w:pPr>
            <w:r>
              <w:rPr>
                <w:sz w:val="19"/>
              </w:rPr>
              <w:t xml:space="preserve">10</w:t>
            </w:r>
          </w:p>
        </w:tc>
        <w:tc>
          <w:tcPr/>
          <w:p>
            <w:pPr>
              <w:pStyle w:val="Compact"/>
              <w:spacing w:after="40"/>
              <w:jc w:val="left"/>
            </w:pPr>
            <w:r>
              <w:rPr>
                <w:sz w:val="19"/>
              </w:rPr>
              <w:t xml:space="preserve">SES</w:t>
            </w:r>
          </w:p>
        </w:tc>
      </w:tr>
      <w:tr>
        <w:tc>
          <w:tcPr/>
          <w:p>
            <w:pPr>
              <w:pStyle w:val="Compact"/>
              <w:spacing w:after="40"/>
              <w:jc w:val="left"/>
            </w:pPr>
            <w:r>
              <w:rPr>
                <w:sz w:val="19"/>
              </w:rPr>
              <w:t xml:space="preserve">Store</w:t>
            </w:r>
          </w:p>
        </w:tc>
        <w:tc>
          <w:tcPr/>
          <w:p>
            <w:pPr>
              <w:pStyle w:val="Compact"/>
              <w:spacing w:after="40"/>
              <w:jc w:val="left"/>
            </w:pPr>
            <w:r>
              <w:rPr>
                <w:sz w:val="19"/>
              </w:rPr>
              <w:t xml:space="preserve">14</w:t>
            </w:r>
          </w:p>
        </w:tc>
        <w:tc>
          <w:tcPr/>
          <w:p>
            <w:pPr>
              <w:pStyle w:val="Compact"/>
              <w:spacing w:after="40"/>
              <w:jc w:val="left"/>
            </w:pPr>
            <w:r>
              <w:rPr>
                <w:sz w:val="19"/>
              </w:rPr>
              <w:t xml:space="preserve">0.95</w:t>
            </w:r>
          </w:p>
        </w:tc>
        <w:tc>
          <w:tcPr/>
          <w:p>
            <w:pPr>
              <w:pStyle w:val="Compact"/>
              <w:spacing w:after="40"/>
              <w:jc w:val="left"/>
            </w:pPr>
            <w:r>
              <w:rPr>
                <w:sz w:val="19"/>
              </w:rPr>
              <w:t xml:space="preserve">3</w:t>
            </w:r>
          </w:p>
        </w:tc>
        <w:tc>
          <w:tcPr/>
          <w:p>
            <w:pPr>
              <w:pStyle w:val="Compact"/>
              <w:spacing w:after="40"/>
              <w:jc w:val="left"/>
            </w:pPr>
            <w:r>
              <w:rPr>
                <w:sz w:val="19"/>
              </w:rPr>
              <w:t xml:space="preserve">Naive</w:t>
            </w:r>
          </w:p>
        </w:tc>
      </w:tr>
      <w:tr>
        <w:tc>
          <w:tcPr/>
          <w:p>
            <w:pPr>
              <w:pStyle w:val="Compact"/>
              <w:spacing w:after="40"/>
              <w:jc w:val="left"/>
            </w:pPr>
            <w:r>
              <w:rPr>
                <w:sz w:val="19"/>
              </w:rPr>
              <w:t xml:space="preserve">Store</w:t>
            </w:r>
          </w:p>
        </w:tc>
        <w:tc>
          <w:tcPr/>
          <w:p>
            <w:pPr>
              <w:pStyle w:val="Compact"/>
              <w:spacing w:after="40"/>
              <w:jc w:val="left"/>
            </w:pPr>
            <w:r>
              <w:rPr>
                <w:sz w:val="19"/>
              </w:rPr>
              <w:t xml:space="preserve">14</w:t>
            </w:r>
          </w:p>
        </w:tc>
        <w:tc>
          <w:tcPr/>
          <w:p>
            <w:pPr>
              <w:pStyle w:val="Compact"/>
              <w:spacing w:after="40"/>
              <w:jc w:val="left"/>
            </w:pPr>
            <w:r>
              <w:rPr>
                <w:sz w:val="19"/>
              </w:rPr>
              <w:t xml:space="preserve">0.95</w:t>
            </w:r>
          </w:p>
        </w:tc>
        <w:tc>
          <w:tcPr/>
          <w:p>
            <w:pPr>
              <w:pStyle w:val="Compact"/>
              <w:spacing w:after="40"/>
              <w:jc w:val="left"/>
            </w:pPr>
            <w:r>
              <w:rPr>
                <w:sz w:val="19"/>
              </w:rPr>
              <w:t xml:space="preserve">5</w:t>
            </w:r>
          </w:p>
        </w:tc>
        <w:tc>
          <w:tcPr/>
          <w:p>
            <w:pPr>
              <w:pStyle w:val="Compact"/>
              <w:spacing w:after="40"/>
              <w:jc w:val="left"/>
            </w:pPr>
            <w:r>
              <w:rPr>
                <w:sz w:val="19"/>
              </w:rPr>
              <w:t xml:space="preserve">Naive</w:t>
            </w:r>
          </w:p>
        </w:tc>
      </w:tr>
      <w:tr>
        <w:tc>
          <w:tcPr/>
          <w:p>
            <w:pPr>
              <w:pStyle w:val="Compact"/>
              <w:spacing w:after="40"/>
              <w:jc w:val="left"/>
            </w:pPr>
            <w:r>
              <w:rPr>
                <w:sz w:val="19"/>
              </w:rPr>
              <w:t xml:space="preserve">Store</w:t>
            </w:r>
          </w:p>
        </w:tc>
        <w:tc>
          <w:tcPr/>
          <w:p>
            <w:pPr>
              <w:pStyle w:val="Compact"/>
              <w:spacing w:after="40"/>
              <w:jc w:val="left"/>
            </w:pPr>
            <w:r>
              <w:rPr>
                <w:sz w:val="19"/>
              </w:rPr>
              <w:t xml:space="preserve">14</w:t>
            </w:r>
          </w:p>
        </w:tc>
        <w:tc>
          <w:tcPr/>
          <w:p>
            <w:pPr>
              <w:pStyle w:val="Compact"/>
              <w:spacing w:after="40"/>
              <w:jc w:val="left"/>
            </w:pPr>
            <w:r>
              <w:rPr>
                <w:sz w:val="19"/>
              </w:rPr>
              <w:t xml:space="preserve">0.95</w:t>
            </w:r>
          </w:p>
        </w:tc>
        <w:tc>
          <w:tcPr/>
          <w:p>
            <w:pPr>
              <w:pStyle w:val="Compact"/>
              <w:spacing w:after="40"/>
              <w:jc w:val="left"/>
            </w:pPr>
            <w:r>
              <w:rPr>
                <w:sz w:val="19"/>
              </w:rPr>
              <w:t xml:space="preserve">10</w:t>
            </w:r>
          </w:p>
        </w:tc>
        <w:tc>
          <w:tcPr/>
          <w:p>
            <w:pPr>
              <w:pStyle w:val="Compact"/>
              <w:spacing w:after="40"/>
              <w:jc w:val="left"/>
            </w:pPr>
            <w:r>
              <w:rPr>
                <w:sz w:val="19"/>
              </w:rPr>
              <w:t xml:space="preserve">SES</w:t>
            </w:r>
          </w:p>
        </w:tc>
      </w:tr>
      <w:tr>
        <w:tc>
          <w:tcPr/>
          <w:p>
            <w:pPr>
              <w:pStyle w:val="Compact"/>
              <w:spacing w:after="40"/>
              <w:jc w:val="left"/>
            </w:pPr>
            <w:r>
              <w:rPr>
                <w:sz w:val="19"/>
              </w:rPr>
              <w:t xml:space="preserve">Store</w:t>
            </w:r>
          </w:p>
        </w:tc>
        <w:tc>
          <w:tcPr/>
          <w:p>
            <w:pPr>
              <w:pStyle w:val="Compact"/>
              <w:spacing w:after="40"/>
              <w:jc w:val="left"/>
            </w:pPr>
            <w:r>
              <w:rPr>
                <w:sz w:val="19"/>
              </w:rPr>
              <w:t xml:space="preserve">14</w:t>
            </w:r>
          </w:p>
        </w:tc>
        <w:tc>
          <w:tcPr/>
          <w:p>
            <w:pPr>
              <w:pStyle w:val="Compact"/>
              <w:spacing w:after="40"/>
              <w:jc w:val="left"/>
            </w:pPr>
            <w:r>
              <w:rPr>
                <w:sz w:val="19"/>
              </w:rPr>
              <w:t xml:space="preserve">0.99</w:t>
            </w:r>
          </w:p>
        </w:tc>
        <w:tc>
          <w:tcPr/>
          <w:p>
            <w:pPr>
              <w:pStyle w:val="Compact"/>
              <w:spacing w:after="40"/>
              <w:jc w:val="left"/>
            </w:pPr>
            <w:r>
              <w:rPr>
                <w:sz w:val="19"/>
              </w:rPr>
              <w:t xml:space="preserve">3</w:t>
            </w:r>
          </w:p>
        </w:tc>
        <w:tc>
          <w:tcPr/>
          <w:p>
            <w:pPr>
              <w:pStyle w:val="Compact"/>
              <w:spacing w:after="40"/>
              <w:jc w:val="left"/>
            </w:pPr>
            <w:r>
              <w:rPr>
                <w:sz w:val="19"/>
              </w:rPr>
              <w:t xml:space="preserve">Naive</w:t>
            </w:r>
          </w:p>
        </w:tc>
      </w:tr>
      <w:tr>
        <w:tc>
          <w:tcPr/>
          <w:p>
            <w:pPr>
              <w:pStyle w:val="Compact"/>
              <w:spacing w:after="40"/>
              <w:jc w:val="left"/>
            </w:pPr>
            <w:r>
              <w:rPr>
                <w:sz w:val="19"/>
              </w:rPr>
              <w:t xml:space="preserve">Store</w:t>
            </w:r>
          </w:p>
        </w:tc>
        <w:tc>
          <w:tcPr/>
          <w:p>
            <w:pPr>
              <w:pStyle w:val="Compact"/>
              <w:spacing w:after="40"/>
              <w:jc w:val="left"/>
            </w:pPr>
            <w:r>
              <w:rPr>
                <w:sz w:val="19"/>
              </w:rPr>
              <w:t xml:space="preserve">14</w:t>
            </w:r>
          </w:p>
        </w:tc>
        <w:tc>
          <w:tcPr/>
          <w:p>
            <w:pPr>
              <w:pStyle w:val="Compact"/>
              <w:spacing w:after="40"/>
              <w:jc w:val="left"/>
            </w:pPr>
            <w:r>
              <w:rPr>
                <w:sz w:val="19"/>
              </w:rPr>
              <w:t xml:space="preserve">0.99</w:t>
            </w:r>
          </w:p>
        </w:tc>
        <w:tc>
          <w:tcPr/>
          <w:p>
            <w:pPr>
              <w:pStyle w:val="Compact"/>
              <w:spacing w:after="40"/>
              <w:jc w:val="left"/>
            </w:pPr>
            <w:r>
              <w:rPr>
                <w:sz w:val="19"/>
              </w:rPr>
              <w:t xml:space="preserve">5</w:t>
            </w:r>
          </w:p>
        </w:tc>
        <w:tc>
          <w:tcPr/>
          <w:p>
            <w:pPr>
              <w:pStyle w:val="Compact"/>
              <w:spacing w:after="40"/>
              <w:jc w:val="left"/>
            </w:pPr>
            <w:r>
              <w:rPr>
                <w:sz w:val="19"/>
              </w:rPr>
              <w:t xml:space="preserve">Naive</w:t>
            </w:r>
          </w:p>
        </w:tc>
      </w:tr>
      <w:tr>
        <w:tc>
          <w:tcPr/>
          <w:p>
            <w:pPr>
              <w:pStyle w:val="Compact"/>
              <w:spacing w:after="40"/>
              <w:jc w:val="left"/>
            </w:pPr>
            <w:r>
              <w:rPr>
                <w:sz w:val="19"/>
              </w:rPr>
              <w:t xml:space="preserve">Store</w:t>
            </w:r>
          </w:p>
        </w:tc>
        <w:tc>
          <w:tcPr/>
          <w:p>
            <w:pPr>
              <w:pStyle w:val="Compact"/>
              <w:spacing w:after="40"/>
              <w:jc w:val="left"/>
            </w:pPr>
            <w:r>
              <w:rPr>
                <w:sz w:val="19"/>
              </w:rPr>
              <w:t xml:space="preserve">14</w:t>
            </w:r>
          </w:p>
        </w:tc>
        <w:tc>
          <w:tcPr/>
          <w:p>
            <w:pPr>
              <w:pStyle w:val="Compact"/>
              <w:spacing w:after="40"/>
              <w:jc w:val="left"/>
            </w:pPr>
            <w:r>
              <w:rPr>
                <w:sz w:val="19"/>
              </w:rPr>
              <w:t xml:space="preserve">0.99</w:t>
            </w:r>
          </w:p>
        </w:tc>
        <w:tc>
          <w:tcPr/>
          <w:p>
            <w:pPr>
              <w:pStyle w:val="Compact"/>
              <w:spacing w:after="40"/>
              <w:jc w:val="left"/>
            </w:pPr>
            <w:r>
              <w:rPr>
                <w:sz w:val="19"/>
              </w:rPr>
              <w:t xml:space="preserve">10</w:t>
            </w:r>
          </w:p>
        </w:tc>
        <w:tc>
          <w:tcPr/>
          <w:p>
            <w:pPr>
              <w:pStyle w:val="Compact"/>
              <w:spacing w:after="40"/>
              <w:jc w:val="left"/>
            </w:pPr>
            <w:r>
              <w:rPr>
                <w:sz w:val="19"/>
              </w:rPr>
              <w:t xml:space="preserve">SES</w:t>
            </w:r>
          </w:p>
        </w:tc>
      </w:tr>
    </w:tbl>
    <w:bookmarkEnd w:id="234"/>
    <w:bookmarkStart w:id="235" w:name="app:conv"/>
    <w:p>
      <w:pPr>
        <w:pStyle w:val="Heading1"/>
      </w:pPr>
      <w:r>
        <w:t xml:space="preserve">Convergence Details</w:t>
      </w:r>
    </w:p>
    <w:p>
      <w:pPr>
        <w:pStyle w:val="FirstParagraph"/>
      </w:pPr>
      <w:r>
        <w:t xml:space="preserve">Per-fit logs:</w:t>
      </w:r>
      <w:r>
        <w:t xml:space="preserve"> </w:t>
      </w:r>
      <w:r>
        <w:rPr>
          <w:rStyle w:val="VerbatimChar"/>
        </w:rPr>
        <w:t xml:space="preserve">convergence_details_all.csv</w:t>
      </w:r>
      <w:r>
        <w:t xml:space="preserve"> </w:t>
      </w:r>
      <w:r>
        <w:t xml:space="preserve">(ARIMA both datasets),</w:t>
      </w:r>
      <w:r>
        <w:t xml:space="preserve"> </w:t>
      </w:r>
      <w:r>
        <w:rPr>
          <w:rStyle w:val="VerbatimChar"/>
        </w:rPr>
        <w:t xml:space="preserve">convergence_details_full500.csv</w:t>
      </w:r>
      <w:r>
        <w:t xml:space="preserve"> </w:t>
      </w:r>
      <w:r>
        <w:t xml:space="preserve">(4,000 SARIMA fits, all</w:t>
      </w:r>
      <w:r>
        <w:t xml:space="preserve"> </w:t>
      </w:r>
      <w:r>
        <w:rPr>
          <w:rStyle w:val="VerbatimChar"/>
        </w:rPr>
        <w:t xml:space="preserve">fit_ok</w:t>
      </w:r>
      <w:r>
        <w:t xml:space="preserve">),</w:t>
      </w:r>
      <w:r>
        <w:t xml:space="preserve"> </w:t>
      </w:r>
      <w:r>
        <w:rPr>
          <w:rStyle w:val="VerbatimChar"/>
        </w:rPr>
        <w:t xml:space="preserve">run_log_full500.json</w:t>
      </w:r>
      <w:r>
        <w:t xml:space="preserve"> </w:t>
      </w:r>
      <w:r>
        <w:t xml:space="preserve">(seed 42, 2,382 s, 0</w:t>
      </w:r>
      <w:r>
        <w:t xml:space="preserve"> </w:t>
      </w:r>
      <w:r>
        <w:t xml:space="preserve">skips, 0 failures),</w:t>
      </w:r>
      <w:r>
        <w:t xml:space="preserve"> </w:t>
      </w:r>
      <w:r>
        <w:rPr>
          <w:rStyle w:val="VerbatimChar"/>
        </w:rPr>
        <w:t xml:space="preserve">sarima_feasibility.json</w:t>
      </w:r>
      <w:r>
        <w:t xml:space="preserve"> </w:t>
      </w:r>
      <w:r>
        <w:t xml:space="preserve">(16-fit probe,</w:t>
      </w:r>
      <w:r>
        <w:t xml:space="preserve"> </w:t>
      </w:r>
      <w:r>
        <w:t xml:space="preserve">0.62 s/fit mean). M5 ARIMA’s 906 pre-check fallbacks concentrate in Highly</w:t>
      </w:r>
      <w:r>
        <w:t xml:space="preserve"> </w:t>
      </w:r>
      <w:r>
        <w:t xml:space="preserve">Intermittent series per the per-fit archetype field. Scope column</w:t>
      </w:r>
      <w:r>
        <w:t xml:space="preserve"> </w:t>
      </w:r>
      <w:r>
        <w:t xml:space="preserve">(</w:t>
      </w:r>
      <w:r>
        <w:rPr>
          <w:rStyle w:val="VerbatimChar"/>
        </w:rPr>
        <w:t xml:space="preserve">subset100_exploratory</w:t>
      </w:r>
      <w:r>
        <w:t xml:space="preserve"> </w:t>
      </w:r>
      <w:r>
        <w:t xml:space="preserve">vs. </w:t>
      </w:r>
      <w:r>
        <w:rPr>
          <w:rStyle w:val="VerbatimChar"/>
        </w:rPr>
        <w:t xml:space="preserve">full500_primary</w:t>
      </w:r>
      <w:r>
        <w:t xml:space="preserve">) separates the</w:t>
      </w:r>
      <w:r>
        <w:t xml:space="preserve"> </w:t>
      </w:r>
      <w:r>
        <w:t xml:space="preserve">exploratory subset from the primary run everywhere.</w:t>
      </w:r>
    </w:p>
    <w:bookmarkEnd w:id="235"/>
    <w:bookmarkStart w:id="236" w:name="app:repro"/>
    <w:p>
      <w:pPr>
        <w:pStyle w:val="Heading1"/>
      </w:pPr>
      <w:r>
        <w:t xml:space="preserve">Reproducibility and Provenance</w:t>
      </w:r>
    </w:p>
    <w:p>
      <w:pPr>
        <w:pStyle w:val="FirstParagraph"/>
      </w:pPr>
      <w:r>
        <w:t xml:space="preserve">Repository root:</w:t>
      </w:r>
      <w:r>
        <w:t xml:space="preserve"> </w:t>
      </w:r>
      <w:r>
        <w:rPr>
          <w:rStyle w:val="VerbatimChar"/>
        </w:rPr>
        <w:t xml:space="preserve">AI-INVENTORY-OPTIMIZATION</w:t>
      </w:r>
      <w:r>
        <w:t xml:space="preserve">, branches main.</w:t>
      </w:r>
      <w:r>
        <w:t xml:space="preserve"> </w:t>
      </w:r>
      <w:r>
        <w:t xml:space="preserve">Evidence-freeze commits: 53c8343 (final results), 7da7c45 (generators),</w:t>
      </w:r>
      <w:r>
        <w:t xml:space="preserve"> </w:t>
      </w:r>
      <w:r>
        <w:t xml:space="preserve">edb42ad (tracked asset package). Seeds: 42 in config, notebooks, torch/numpy,</w:t>
      </w:r>
      <w:r>
        <w:t xml:space="preserve"> </w:t>
      </w:r>
      <w:r>
        <w:t xml:space="preserve">SARIMA scripts, validator sampling. Manifests: smoothing execution metadata</w:t>
      </w:r>
      <w:r>
        <w:t xml:space="preserve"> </w:t>
      </w:r>
      <w:r>
        <w:t xml:space="preserve">(121 d), Croston validation selection (121 d</w:t>
      </w:r>
      <w:r>
        <w:t xml:space="preserve"> </w:t>
      </w:r>
      <m:oMath>
        <m:r>
          <m:rPr>
            <m:sty m:val="p"/>
          </m:rPr>
          <m:t>+</m:t>
        </m:r>
      </m:oMath>
      <w:r>
        <w:t xml:space="preserve"> </w:t>
      </w:r>
      <w:r>
        <w:t xml:space="preserve">seed), SARIMA run log,</w:t>
      </w:r>
      <w:r>
        <w:t xml:space="preserve"> </w:t>
      </w:r>
      <w:r>
        <w:t xml:space="preserve">feasibility probe, validation report (0 FAIL), pre-hardening backup manifest.</w:t>
      </w:r>
      <w:r>
        <w:t xml:space="preserve"> </w:t>
      </w:r>
      <w:r>
        <w:t xml:space="preserve">Pre-hardening originals:</w:t>
      </w:r>
      <w:r>
        <w:t xml:space="preserve"> </w:t>
      </w:r>
      <w:r>
        <w:rPr>
          <w:rStyle w:val="VerbatimChar"/>
        </w:rPr>
        <w:t xml:space="preserve">06_results/_pre_hardening_backup/</w:t>
      </w:r>
      <w:r>
        <w:t xml:space="preserve"> </w:t>
      </w:r>
      <w:r>
        <w:t xml:space="preserve">(10</w:t>
      </w:r>
      <w:r>
        <w:t xml:space="preserve"> </w:t>
      </w:r>
      <w:r>
        <w:t xml:space="preserve">metric files</w:t>
      </w:r>
      <w:r>
        <w:t xml:space="preserve"> </w:t>
      </w:r>
      <m:oMath>
        <m:r>
          <m:rPr>
            <m:sty m:val="p"/>
          </m:rPr>
          <m:t>+</m:t>
        </m:r>
      </m:oMath>
      <w:r>
        <w:t xml:space="preserve"> </w:t>
      </w:r>
      <w:r>
        <w:t xml:space="preserve">subset-based forecasts) — historical, never report sources.</w:t>
      </w:r>
      <w:r>
        <w:t xml:space="preserve"> </w:t>
      </w:r>
      <w:r>
        <w:t xml:space="preserve">Stale/self-excluded:</w:t>
      </w:r>
      <w:r>
        <w:t xml:space="preserve"> </w:t>
      </w:r>
      <w:r>
        <w:rPr>
          <w:rStyle w:val="VerbatimChar"/>
        </w:rPr>
        <w:t xml:space="preserve">06_results/inventory/phase1_*.csv</w:t>
      </w:r>
      <w:r>
        <w:t xml:space="preserve"> </w:t>
      </w:r>
      <w:r>
        <w:t xml:space="preserve">(legacy</w:t>
      </w:r>
      <w:r>
        <w:t xml:space="preserve"> </w:t>
      </w:r>
      <w:r>
        <w:t xml:space="preserve">names),</w:t>
      </w:r>
      <w:r>
        <w:t xml:space="preserve"> </w:t>
      </w:r>
      <w:r>
        <w:rPr>
          <w:rStyle w:val="VerbatimChar"/>
        </w:rPr>
        <w:t xml:space="preserve">12_notebooks_pdf/</w:t>
      </w:r>
      <w:r>
        <w:t xml:space="preserve"> </w:t>
      </w:r>
      <w:r>
        <w:t xml:space="preserve">(pre-rerun export), subset-SARIMA Store</w:t>
      </w:r>
      <w:r>
        <w:t xml:space="preserve"> </w:t>
      </w:r>
      <w:r>
        <w:t xml:space="preserve">figure panels. Report inputs:</w:t>
      </w:r>
      <w:r>
        <w:t xml:space="preserve"> </w:t>
      </w:r>
      <w:r>
        <w:rPr>
          <w:rStyle w:val="VerbatimChar"/>
        </w:rPr>
        <w:t xml:space="preserve">09_reports/final/</w:t>
      </w:r>
      <w:r>
        <w:t xml:space="preserve"> </w:t>
      </w:r>
      <w:r>
        <w:t xml:space="preserve">(README, number</w:t>
      </w:r>
      <w:r>
        <w:t xml:space="preserve"> </w:t>
      </w:r>
      <w:r>
        <w:t xml:space="preserve">sheet, audits, traceability, staged figures, rebuild generators</w:t>
      </w:r>
      <w:r>
        <w:t xml:space="preserve"> </w:t>
      </w:r>
      <w:r>
        <w:rPr>
          <w:rStyle w:val="VerbatimChar"/>
        </w:rPr>
        <w:t xml:space="preserve">11_src/build_number_sheet.py</w:t>
      </w:r>
      <w:r>
        <w:t xml:space="preserve">,</w:t>
      </w:r>
      <w:r>
        <w:t xml:space="preserve"> </w:t>
      </w:r>
      <w:r>
        <w:rPr>
          <w:rStyle w:val="VerbatimChar"/>
        </w:rPr>
        <w:t xml:space="preserve">11_src/rebuild_report_figures.py</w:t>
      </w:r>
      <w:r>
        <w:t xml:space="preserve">,</w:t>
      </w:r>
      <w:r>
        <w:t xml:space="preserve"> </w:t>
      </w:r>
      <w:r>
        <w:rPr>
          <w:rStyle w:val="VerbatimChar"/>
        </w:rPr>
        <w:t xml:space="preserve">11_src/build_figure_audit.py</w:t>
      </w:r>
      <w:r>
        <w:t xml:space="preserve">,</w:t>
      </w:r>
      <w:r>
        <w:t xml:space="preserve"> </w:t>
      </w:r>
      <w:r>
        <w:rPr>
          <w:rStyle w:val="VerbatimChar"/>
        </w:rPr>
        <w:t xml:space="preserve">11_src/gen_appendix_tables.py</w:t>
      </w:r>
      <w:r>
        <w:t xml:space="preserve">).</w:t>
      </w:r>
    </w:p>
    <w:bookmarkEnd w:id="236"/>
    <w:bookmarkStart w:id="237" w:name="app:notebooks"/>
    <w:p>
      <w:pPr>
        <w:pStyle w:val="Heading1"/>
      </w:pPr>
      <w:r>
        <w:t xml:space="preserve">Notebook Index</w:t>
      </w:r>
    </w:p>
    <w:p>
      <w:pPr>
        <w:pStyle w:val="FirstParagraph"/>
      </w:pPr>
      <w:r>
        <w:t xml:space="preserve">00 research map (framing); 01 environment/reproducibility; 02a M5</w:t>
      </w:r>
      <w:r>
        <w:t xml:space="preserve"> </w:t>
      </w:r>
      <w:r>
        <w:t xml:space="preserve">acquisition/audit; 02b Store acquisition/audit; 03 EDA (M5 deep dive); 04</w:t>
      </w:r>
      <w:r>
        <w:t xml:space="preserve"> </w:t>
      </w:r>
      <w:r>
        <w:t xml:space="preserve">series selection/experimental design (frozen numbers); 05a time-series</w:t>
      </w:r>
      <w:r>
        <w:t xml:space="preserve"> </w:t>
      </w:r>
      <w:r>
        <w:t xml:space="preserve">components (teaching); 05b baselines (re-executed 2026-09-03 15:35); 06</w:t>
      </w:r>
      <w:r>
        <w:t xml:space="preserve"> </w:t>
      </w:r>
      <w:r>
        <w:t xml:space="preserve">smoothing (15:36–37); 06c Croston (15:42); 07 ARIMA/SARIMA (15:55</w:t>
      </w:r>
      <w:r>
        <w:t xml:space="preserve"> </w:t>
      </w:r>
      <m:oMath>
        <m:r>
          <m:rPr>
            <m:sty m:val="p"/>
          </m:rPr>
          <m:t>+</m:t>
        </m:r>
      </m:oMath>
      <w:r>
        <w:t xml:space="preserve"> </w:t>
      </w:r>
      <w:r>
        <w:t xml:space="preserve">full500</w:t>
      </w:r>
      <w:r>
        <w:t xml:space="preserve"> </w:t>
      </w:r>
      <w:r>
        <w:t xml:space="preserve">script 22:49); 08 LSTM (hardened rerun 18:00). Full purpose/figure/table/section</w:t>
      </w:r>
      <w:r>
        <w:t xml:space="preserve"> </w:t>
      </w:r>
      <w:r>
        <w:t xml:space="preserve">mapping:</w:t>
      </w:r>
      <w:r>
        <w:t xml:space="preserve"> </w:t>
      </w:r>
      <w:r>
        <w:rPr>
          <w:rStyle w:val="VerbatimChar"/>
        </w:rPr>
        <w:t xml:space="preserve">traceability/notebook_traceability.csv</w:t>
      </w:r>
      <w:r>
        <w:t xml:space="preserve">.</w:t>
      </w:r>
    </w:p>
    <w:bookmarkEnd w:id="237"/>
    <w:bookmarkStart w:id="238" w:name="app:figures"/>
    <w:p>
      <w:pPr>
        <w:pStyle w:val="Heading1"/>
      </w:pPr>
      <w:r>
        <w:t xml:space="preserve">Figure Index</w:t>
      </w:r>
    </w:p>
    <w:p>
      <w:pPr>
        <w:pStyle w:val="FirstParagraph"/>
      </w:pPr>
      <w:r>
        <w:t xml:space="preserve">Main text FIG-01..FIG-28 in narrative order: intermittency quadrants, weekly</w:t>
      </w:r>
      <w:r>
        <w:t xml:space="preserve"> </w:t>
      </w:r>
      <w:r>
        <w:t xml:space="preserve">seasonality, ACF/PACF, M5/Store representative series, Store diversity, M5</w:t>
      </w:r>
      <w:r>
        <w:t xml:space="preserve"> </w:t>
      </w:r>
      <w:r>
        <w:t xml:space="preserve">representativeness, model ladder, inventory connection, combined MASE board,</w:t>
      </w:r>
      <w:r>
        <w:t xml:space="preserve"> </w:t>
      </w:r>
      <w:r>
        <w:t xml:space="preserve">full-ladder MAE, full-ladder WAPE, Croston MAE, archetype MAE, archetype WAPE,</w:t>
      </w:r>
      <w:r>
        <w:t xml:space="preserve"> </w:t>
      </w:r>
      <w:r>
        <w:t xml:space="preserve">ARIMA-by-archetype, M5 cost-by-archetype, Store MAE (full500), Croston</w:t>
      </w:r>
      <w:r>
        <w:t xml:space="preserve"> </w:t>
      </w:r>
      <w:r>
        <w:t xml:space="preserve">intuition, LSTM cell, total cost, service level, cost split, inventory levels,</w:t>
      </w:r>
      <w:r>
        <w:t xml:space="preserve"> </w:t>
      </w:r>
      <w:r>
        <w:t xml:space="preserve">forecast-vs-inventory scatter, M5 rank heatmap, Store rank heatmap,</w:t>
      </w:r>
      <w:r>
        <w:t xml:space="preserve"> </w:t>
      </w:r>
      <w:r>
        <w:t xml:space="preserve">winner-share. Full 97-figure audit with classes, placement, and captions:</w:t>
      </w:r>
      <w:r>
        <w:t xml:space="preserve"> </w:t>
      </w:r>
      <w:r>
        <w:rPr>
          <w:rStyle w:val="VerbatimChar"/>
        </w:rPr>
        <w:t xml:space="preserve">data/figure_audit.csv</w:t>
      </w:r>
      <w:r>
        <w:t xml:space="preserve">. Rejected: the three subset-SARIMA Store</w:t>
      </w:r>
      <w:r>
        <w:t xml:space="preserve"> </w:t>
      </w:r>
      <w:r>
        <w:t xml:space="preserve">panels. Teaching figures beyond the four main-text selections are</w:t>
      </w:r>
      <w:r>
        <w:t xml:space="preserve"> </w:t>
      </w:r>
      <w:r>
        <w:t xml:space="preserve">appendix-only or omitted.</w:t>
      </w:r>
    </w:p>
    <w:bookmarkEnd w:id="238"/>
    <w:bookmarkStart w:id="252" w:name="app:supp"/>
    <w:p>
      <w:pPr>
        <w:pStyle w:val="Heading1"/>
      </w:pPr>
      <w:r>
        <w:t xml:space="preserve">Supplementary Tables</w:t>
      </w:r>
    </w:p>
    <w:p>
      <w:pPr>
        <w:pStyle w:val="FirstParagraph"/>
      </w:pPr>
      <w:r>
        <w:t xml:space="preserve">Table audit (T-01..T-09</w:t>
      </w:r>
      <w:r>
        <w:t xml:space="preserve"> </w:t>
      </w:r>
      <m:oMath>
        <m:r>
          <m:rPr>
            <m:sty m:val="p"/>
          </m:rPr>
          <m:t>+</m:t>
        </m:r>
      </m:oMath>
      <w:r>
        <w:t xml:space="preserve"> </w:t>
      </w:r>
      <w:r>
        <w:t xml:space="preserve">appendix tables with exact sources):</w:t>
      </w:r>
      <w:r>
        <w:t xml:space="preserve"> </w:t>
      </w:r>
      <w:r>
        <w:rPr>
          <w:rStyle w:val="VerbatimChar"/>
        </w:rPr>
        <w:t xml:space="preserve">data/table_audit.csv</w:t>
      </w:r>
      <w:r>
        <w:t xml:space="preserve">. Number sheet (188 rows, programmatic):</w:t>
      </w:r>
      <w:r>
        <w:t xml:space="preserve"> </w:t>
      </w:r>
      <w:r>
        <w:rPr>
          <w:rStyle w:val="VerbatimChar"/>
        </w:rPr>
        <w:t xml:space="preserve">data/final_number_sheet.csv</w:t>
      </w:r>
      <w:r>
        <w:t xml:space="preserve">. Claim-to-source matrix (14 claims):</w:t>
      </w:r>
      <w:r>
        <w:t xml:space="preserve"> </w:t>
      </w:r>
      <w:r>
        <w:rPr>
          <w:rStyle w:val="VerbatimChar"/>
        </w:rPr>
        <w:t xml:space="preserve">traceability/claim_traceability.csv</w:t>
      </w:r>
      <w:r>
        <w:t xml:space="preserve">. Key lookup values: M5 MASE</w:t>
      </w:r>
      <w:r>
        <w:t xml:space="preserve"> </w:t>
      </w:r>
      <w:r>
        <w:t xml:space="preserve">board LSTM 1.316 / MA 1.346 / SES 1.351 / TSB 1.369; Store MASE LSTM 0.978 /</w:t>
      </w:r>
      <w:r>
        <w:t xml:space="preserve"> </w:t>
      </w:r>
      <w:r>
        <w:t xml:space="preserve">SARIMA-full500 1.055 / SNaive 1.183; M5 costs LSTM 152.83 through TES 346.68;</w:t>
      </w:r>
      <w:r>
        <w:t xml:space="preserve"> </w:t>
      </w:r>
      <w:r>
        <w:t xml:space="preserve">Store costs MA 2,084.50 through TES 3,419.88; policy wins M5 LSTM 25/SES 2,</w:t>
      </w:r>
      <w:r>
        <w:t xml:space="preserve"> </w:t>
      </w:r>
      <w:r>
        <w:t xml:space="preserve">Store MA 9/SES 7/Naive 6/DES 5; convergence M5 ARIMA 22.65% pre-check,</w:t>
      </w:r>
      <w:r>
        <w:t xml:space="preserve"> </w:t>
      </w:r>
      <w:r>
        <w:t xml:space="preserve">Store 0%, SARIMA-full500 4,000/4,000.</w:t>
      </w:r>
    </w:p>
    <w:bookmarkStart w:id="251" w:name="refs"/>
    <w:bookmarkStart w:id="239" w:name="ref-box1970"/>
    <w:p>
      <w:pPr>
        <w:pStyle w:val="Bibliography"/>
      </w:pPr>
      <w:r>
        <w:t xml:space="preserve">Box, George E. P., and Gwilym M. Jenkins. 1970.</w:t>
      </w:r>
      <w:r>
        <w:t xml:space="preserve"> </w:t>
      </w:r>
      <w:r>
        <w:rPr>
          <w:i/>
          <w:iCs/>
        </w:rPr>
        <w:t xml:space="preserve">Time Series Analysis: Forecasting and Control</w:t>
      </w:r>
      <w:r>
        <w:t xml:space="preserve">. Holden-Day.</w:t>
      </w:r>
    </w:p>
    <w:bookmarkEnd w:id="239"/>
    <w:bookmarkStart w:id="240" w:name="ref-croston1972"/>
    <w:p>
      <w:pPr>
        <w:pStyle w:val="Bibliography"/>
      </w:pPr>
      <w:r>
        <w:t xml:space="preserve">Croston, J. D. 1972.</w:t>
      </w:r>
      <w:r>
        <w:t xml:space="preserve"> </w:t>
      </w:r>
      <w:r>
        <w:t xml:space="preserve">“Forecasting and Stock Control for Intermittent Demands.”</w:t>
      </w:r>
      <w:r>
        <w:t xml:space="preserve"> </w:t>
      </w:r>
      <w:r>
        <w:rPr>
          <w:i/>
          <w:iCs/>
        </w:rPr>
        <w:t xml:space="preserve">Operational Research Quarterly</w:t>
      </w:r>
      <w:r>
        <w:t xml:space="preserve"> </w:t>
      </w:r>
      <w:r>
        <w:t xml:space="preserve">23 (3): 289–303.</w:t>
      </w:r>
    </w:p>
    <w:bookmarkEnd w:id="240"/>
    <w:bookmarkStart w:id="241" w:name="ref-diebold1995"/>
    <w:p>
      <w:pPr>
        <w:pStyle w:val="Bibliography"/>
      </w:pPr>
      <w:r>
        <w:t xml:space="preserve">Diebold, Francis X., and Roberto S. Mariano. 1995.</w:t>
      </w:r>
      <w:r>
        <w:t xml:space="preserve"> </w:t>
      </w:r>
      <w:r>
        <w:t xml:space="preserve">“Comparing Predictive Accuracy.”</w:t>
      </w:r>
      <w:r>
        <w:t xml:space="preserve"> </w:t>
      </w:r>
      <w:r>
        <w:rPr>
          <w:i/>
          <w:iCs/>
        </w:rPr>
        <w:t xml:space="preserve">Journal of Business &amp; Economic Statistics</w:t>
      </w:r>
      <w:r>
        <w:t xml:space="preserve"> </w:t>
      </w:r>
      <w:r>
        <w:t xml:space="preserve">13 (3): 253–63.</w:t>
      </w:r>
    </w:p>
    <w:bookmarkEnd w:id="241"/>
    <w:bookmarkStart w:id="242" w:name="ref-efron1993"/>
    <w:p>
      <w:pPr>
        <w:pStyle w:val="Bibliography"/>
      </w:pPr>
      <w:r>
        <w:t xml:space="preserve">Efron, Bradley, and Robert J. Tibshirani. 1993.</w:t>
      </w:r>
      <w:r>
        <w:t xml:space="preserve"> </w:t>
      </w:r>
      <w:r>
        <w:rPr>
          <w:i/>
          <w:iCs/>
        </w:rPr>
        <w:t xml:space="preserve">An Introduction to the Bootstrap</w:t>
      </w:r>
      <w:r>
        <w:t xml:space="preserve">. Chapman &amp; Hall.</w:t>
      </w:r>
    </w:p>
    <w:bookmarkEnd w:id="242"/>
    <w:bookmarkStart w:id="243" w:name="ref-hochreiter1997"/>
    <w:p>
      <w:pPr>
        <w:pStyle w:val="Bibliography"/>
      </w:pPr>
      <w:r>
        <w:t xml:space="preserve">Hochreiter, Sepp, and Jürgen Schmidhuber. 1997.</w:t>
      </w:r>
      <w:r>
        <w:t xml:space="preserve"> </w:t>
      </w:r>
      <w:r>
        <w:t xml:space="preserve">“Long Short-Term Memory.”</w:t>
      </w:r>
      <w:r>
        <w:t xml:space="preserve"> </w:t>
      </w:r>
      <w:r>
        <w:rPr>
          <w:i/>
          <w:iCs/>
        </w:rPr>
        <w:t xml:space="preserve">Neural Computation</w:t>
      </w:r>
      <w:r>
        <w:t xml:space="preserve"> </w:t>
      </w:r>
      <w:r>
        <w:t xml:space="preserve">9 (8): 1735–80.</w:t>
      </w:r>
    </w:p>
    <w:bookmarkEnd w:id="243"/>
    <w:bookmarkStart w:id="244" w:name="ref-holm1979"/>
    <w:p>
      <w:pPr>
        <w:pStyle w:val="Bibliography"/>
      </w:pPr>
      <w:r>
        <w:t xml:space="preserve">Holm, Sture. 1979.</w:t>
      </w:r>
      <w:r>
        <w:t xml:space="preserve"> </w:t>
      </w:r>
      <w:r>
        <w:t xml:space="preserve">“A Simple Sequentially Rejective Multiple Test Procedure.”</w:t>
      </w:r>
      <w:r>
        <w:t xml:space="preserve"> </w:t>
      </w:r>
      <w:r>
        <w:rPr>
          <w:i/>
          <w:iCs/>
        </w:rPr>
        <w:t xml:space="preserve">Scandinavian Journal of Statistics</w:t>
      </w:r>
      <w:r>
        <w:t xml:space="preserve"> </w:t>
      </w:r>
      <w:r>
        <w:t xml:space="preserve">6 (2): 65–70.</w:t>
      </w:r>
    </w:p>
    <w:bookmarkEnd w:id="244"/>
    <w:bookmarkStart w:id="245" w:name="ref-hyndman2018"/>
    <w:p>
      <w:pPr>
        <w:pStyle w:val="Bibliography"/>
      </w:pPr>
      <w:r>
        <w:t xml:space="preserve">Hyndman, Rob J., and George Athanasopoulos. 2018.</w:t>
      </w:r>
      <w:r>
        <w:t xml:space="preserve"> </w:t>
      </w:r>
      <w:r>
        <w:rPr>
          <w:i/>
          <w:iCs/>
        </w:rPr>
        <w:t xml:space="preserve">Forecasting: Principles and Practice</w:t>
      </w:r>
      <w:r>
        <w:t xml:space="preserve">. 2nd ed. OTexts.</w:t>
      </w:r>
    </w:p>
    <w:bookmarkEnd w:id="245"/>
    <w:bookmarkStart w:id="246" w:name="ref-hyndman2006"/>
    <w:p>
      <w:pPr>
        <w:pStyle w:val="Bibliography"/>
      </w:pPr>
      <w:r>
        <w:t xml:space="preserve">Hyndman, Rob J., and Anne B. Koehler. 2006.</w:t>
      </w:r>
      <w:r>
        <w:t xml:space="preserve"> </w:t>
      </w:r>
      <w:r>
        <w:t xml:space="preserve">“Another Look at Measures of Forecast Accuracy.”</w:t>
      </w:r>
      <w:r>
        <w:t xml:space="preserve"> </w:t>
      </w:r>
      <w:r>
        <w:rPr>
          <w:i/>
          <w:iCs/>
        </w:rPr>
        <w:t xml:space="preserve">International Journal of Forecasting</w:t>
      </w:r>
      <w:r>
        <w:t xml:space="preserve"> </w:t>
      </w:r>
      <w:r>
        <w:t xml:space="preserve">22 (4): 679–88.</w:t>
      </w:r>
    </w:p>
    <w:bookmarkEnd w:id="246"/>
    <w:bookmarkStart w:id="247" w:name="ref-makridakis2022m5"/>
    <w:p>
      <w:pPr>
        <w:pStyle w:val="Bibliography"/>
      </w:pPr>
      <w:r>
        <w:t xml:space="preserve">Makridakis, Spyros, Evangelos Spiliotis, and Vassilios Assimakopoulos. 2022.</w:t>
      </w:r>
      <w:r>
        <w:t xml:space="preserve"> </w:t>
      </w:r>
      <w:r>
        <w:t xml:space="preserve">“The</w:t>
      </w:r>
      <w:r>
        <w:t xml:space="preserve"> </w:t>
      </w:r>
      <w:r>
        <w:t xml:space="preserve">M5</w:t>
      </w:r>
      <w:r>
        <w:t xml:space="preserve"> </w:t>
      </w:r>
      <w:r>
        <w:t xml:space="preserve">Competition: Background, Organization, and Implementation.”</w:t>
      </w:r>
      <w:r>
        <w:t xml:space="preserve"> </w:t>
      </w:r>
      <w:r>
        <w:t xml:space="preserve">In</w:t>
      </w:r>
      <w:r>
        <w:t xml:space="preserve"> </w:t>
      </w:r>
      <w:r>
        <w:rPr>
          <w:i/>
          <w:iCs/>
        </w:rPr>
        <w:t xml:space="preserve">International Journal of Forecasting</w:t>
      </w:r>
      <w:r>
        <w:t xml:space="preserve">, No. 4, vol. 38.</w:t>
      </w:r>
    </w:p>
    <w:bookmarkEnd w:id="247"/>
    <w:bookmarkStart w:id="248" w:name="ref-syntetos2005"/>
    <w:p>
      <w:pPr>
        <w:pStyle w:val="Bibliography"/>
      </w:pPr>
      <w:r>
        <w:t xml:space="preserve">Syntetos, Aris A., and John E. Boylan. 2005.</w:t>
      </w:r>
      <w:r>
        <w:t xml:space="preserve"> </w:t>
      </w:r>
      <w:r>
        <w:t xml:space="preserve">“The Accuracy of Intermittent Demand Estimates.”</w:t>
      </w:r>
      <w:r>
        <w:t xml:space="preserve"> </w:t>
      </w:r>
      <w:r>
        <w:rPr>
          <w:i/>
          <w:iCs/>
        </w:rPr>
        <w:t xml:space="preserve">International Journal of Forecasting</w:t>
      </w:r>
      <w:r>
        <w:t xml:space="preserve"> </w:t>
      </w:r>
      <w:r>
        <w:t xml:space="preserve">21 (2): 303–14.</w:t>
      </w:r>
    </w:p>
    <w:bookmarkEnd w:id="248"/>
    <w:bookmarkStart w:id="249" w:name="ref-syntetos2005categorization"/>
    <w:p>
      <w:pPr>
        <w:pStyle w:val="Bibliography"/>
      </w:pPr>
      <w:r>
        <w:t xml:space="preserve">Syntetos, Aris A., John E. Boylan, and J. D. Croston. 2005.</w:t>
      </w:r>
      <w:r>
        <w:t xml:space="preserve"> </w:t>
      </w:r>
      <w:r>
        <w:t xml:space="preserve">“On the Categorization of Demand Patterns.”</w:t>
      </w:r>
      <w:r>
        <w:t xml:space="preserve"> </w:t>
      </w:r>
      <w:r>
        <w:rPr>
          <w:i/>
          <w:iCs/>
        </w:rPr>
        <w:t xml:space="preserve">Journal of the Operational Research Society</w:t>
      </w:r>
      <w:r>
        <w:t xml:space="preserve"> </w:t>
      </w:r>
      <w:r>
        <w:t xml:space="preserve">56 (5): 495–503.</w:t>
      </w:r>
    </w:p>
    <w:bookmarkEnd w:id="249"/>
    <w:bookmarkStart w:id="250" w:name="ref-teunter2011"/>
    <w:p>
      <w:pPr>
        <w:pStyle w:val="Bibliography"/>
      </w:pPr>
      <w:r>
        <w:t xml:space="preserve">Teunter, Ruud H., Aris A. Syntetos, and M. Zied Babai. 2011.</w:t>
      </w:r>
      <w:r>
        <w:t xml:space="preserve"> </w:t>
      </w:r>
      <w:r>
        <w:t xml:space="preserve">“Intermittent Demand: Linking Forecasting to Inventory Obsolescence.”</w:t>
      </w:r>
      <w:r>
        <w:t xml:space="preserve"> </w:t>
      </w:r>
      <w:r>
        <w:rPr>
          <w:i/>
          <w:iCs/>
        </w:rPr>
        <w:t xml:space="preserve">European Journal of Operational Research</w:t>
      </w:r>
      <w:r>
        <w:t xml:space="preserve"> </w:t>
      </w:r>
      <w:r>
        <w:t xml:space="preserve">214 (3): 606–15.</w:t>
      </w:r>
    </w:p>
    <w:bookmarkEnd w:id="250"/>
    <w:bookmarkEnd w:id="251"/>
    <w:bookmarkEnd w:id="252"/>
    <w:sectPr>
      <w:headerReference w:type="default" r:id="rId9"/>
      <w:footerReference w:type="default" r:id="rId10"/>
      <w:footnotePr>
        <w:numRestart w:val="eachSect"/>
      </w:footnotePr>
      <w:pgSz w:w="11906" w:h="16838"/>
      <w:pgMar w:top="1417" w:bottom="1417" w:left="1417" w:right="1417" w:header="709" w:footer="7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i/>
        <w:sz w:val="18"/>
      </w:rPr>
      <w:t>From Forecasts to Shelf Decisions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20"/>
      <w:outlineLvl w:val="0"/>
    </w:pPr>
    <w:rPr>
      <w:rFonts w:asciiTheme="majorHAnsi" w:cstheme="majorBidi" w:eastAsiaTheme="majorEastAsia" w:hAnsiTheme="majorHAnsi" w:ascii="Calibri" w:hAnsi="Calibri"/>
      <w:b/>
      <w:color w:val="1F1F1F"/>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Theme="majorHAnsi" w:cstheme="majorBidi" w:eastAsiaTheme="majorEastAsia" w:hAnsiTheme="majorHAnsi" w:ascii="Calibri" w:hAnsi="Calibri"/>
      <w:b/>
      <w:color w:val="1F1F1F"/>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20"/>
      <w:outlineLvl w:val="2"/>
    </w:pPr>
    <w:rPr>
      <w:rFonts w:cstheme="majorBidi" w:eastAsiaTheme="majorEastAsia" w:ascii="Calibri" w:hAnsi="Calibri"/>
      <w:b/>
      <w:color w:val="1F1F1F"/>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pPr>
    <w:rPr>
      <w:rFonts w:ascii="Calibri" w:hAnsi="Calibri"/>
      <w:i/>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png"/><Relationship Id="rId147" Type="http://schemas.openxmlformats.org/officeDocument/2006/relationships/image" Target="media/rId147.png"/><Relationship Id="rId103" Type="http://schemas.openxmlformats.org/officeDocument/2006/relationships/image" Target="media/rId103.png"/><Relationship Id="rId143" Type="http://schemas.openxmlformats.org/officeDocument/2006/relationships/image" Target="media/rId143.png"/><Relationship Id="rId38" Type="http://schemas.openxmlformats.org/officeDocument/2006/relationships/image" Target="media/rId38.png"/><Relationship Id="rId121" Type="http://schemas.openxmlformats.org/officeDocument/2006/relationships/image" Target="media/rId121.png"/><Relationship Id="rId43" Type="http://schemas.openxmlformats.org/officeDocument/2006/relationships/image" Target="media/rId43.png"/><Relationship Id="rId82" Type="http://schemas.openxmlformats.org/officeDocument/2006/relationships/image" Target="media/rId82.png"/><Relationship Id="rId125" Type="http://schemas.openxmlformats.org/officeDocument/2006/relationships/image" Target="media/rId125.png"/><Relationship Id="rId160" Type="http://schemas.openxmlformats.org/officeDocument/2006/relationships/image" Target="media/rId160.png"/><Relationship Id="rId129" Type="http://schemas.openxmlformats.org/officeDocument/2006/relationships/image" Target="media/rId129.png"/><Relationship Id="rId54" Type="http://schemas.openxmlformats.org/officeDocument/2006/relationships/image" Target="media/rId54.png"/><Relationship Id="rId58" Type="http://schemas.openxmlformats.org/officeDocument/2006/relationships/image" Target="media/rId58.png"/><Relationship Id="rId133" Type="http://schemas.openxmlformats.org/officeDocument/2006/relationships/image" Target="media/rId133.png"/><Relationship Id="rId19" Type="http://schemas.openxmlformats.org/officeDocument/2006/relationships/image" Target="media/rId19.png"/><Relationship Id="rId138" Type="http://schemas.openxmlformats.org/officeDocument/2006/relationships/image" Target="media/rId138.png"/><Relationship Id="rId164" Type="http://schemas.openxmlformats.org/officeDocument/2006/relationships/image" Target="media/rId164.png"/><Relationship Id="rId23" Type="http://schemas.openxmlformats.org/officeDocument/2006/relationships/image" Target="media/rId23.png"/><Relationship Id="rId48" Type="http://schemas.openxmlformats.org/officeDocument/2006/relationships/image" Target="media/rId48.png"/><Relationship Id="rId27" Type="http://schemas.openxmlformats.org/officeDocument/2006/relationships/image" Target="media/rId27.png"/><Relationship Id="rId64" Type="http://schemas.openxmlformats.org/officeDocument/2006/relationships/image" Target="media/rId64.png"/><Relationship Id="rId93" Type="http://schemas.openxmlformats.org/officeDocument/2006/relationships/image" Target="media/rId93.png"/><Relationship Id="rId109" Type="http://schemas.openxmlformats.org/officeDocument/2006/relationships/image" Target="media/rId109.png"/><Relationship Id="rId182" Type="http://schemas.openxmlformats.org/officeDocument/2006/relationships/image" Target="media/rId182.png"/><Relationship Id="rId152" Type="http://schemas.openxmlformats.org/officeDocument/2006/relationships/image" Target="media/rId152.png"/><Relationship Id="rId174" Type="http://schemas.openxmlformats.org/officeDocument/2006/relationships/image" Target="media/rId174.png"/><Relationship Id="rId178" Type="http://schemas.openxmlformats.org/officeDocument/2006/relationships/image" Target="media/rId178.png"/><Relationship Id="rId156" Type="http://schemas.openxmlformats.org/officeDocument/2006/relationships/image" Target="media/rId156.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Forecasts to Shelf Decisions: Evaluating AI-Based Inventory Optimization from Traditional Methods to Neural Forecasting</dc:title>
  <dc:creator>AI Inventory Optimization Research Project</dc:creator>
  <cp:keywords/>
  <dcterms:created xsi:type="dcterms:W3CDTF">2026-09-04T16:21:50Z</dcterms:created>
  <dcterms:modified xsi:type="dcterms:W3CDTF">2026-09-04T16:21:50Z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Retail inventory management turns on two coupled decisions: how much customers will want, and how much stock to hold in anticipation. Most forecasting research addresses only the first. This study addresses both. Twelve forecasting approaches, from the moving average to a global long short-term memory (LSTM) neural network, are compared on two retail demand environments: 500 intermittent-demand series from the Walmart M5 data and all 500 series of a dense store-item demand dataset. Every model is evaluated under identical conditions: the same calendar window, a 28-day horizon over eight rolling origins, the same error metrics, and the same downstream inventory policy, so that forecasts are judged by the costs they generate as well as the errors they contain.On sparse M5 demand, the LSTM records the lowest forecast error (mean absolute scaled error, MASE, of 1.316) and the lowest inventory cost (152.83), ranking first under 25 of 27 tested inventory policies. On dense store demand, the LSTM again records the lowest forecast error (MASE 0.978) but ranks fourth on inventory cost (2,247.46), behind a moving average (2,084.50); policy leadership there is fragmented across moving average, SES, naive, and DES (9, 7, 6, and 5 policies of 27, respectively). The implication is that lower forecast error does not necessarily produce lower inventory cost. Ninety-one paired statistical comparisons with Holm correction distinguish substantive differences from sampling variation, and a 27-policy sensitivity grid distinguishes conclusions that are stable across policies from ones that depend on them. All data, code, and validation gates are frozen and traceable. The large-language-model phase of this research program was designed but not executed and appears here only as future work.</vt:lpwstr>
  </property>
  <property fmtid="{D5CDD505-2E9C-101B-9397-08002B2CF9AE}" pid="3" name="bibliography">
    <vt:lpwstr/>
  </property>
  <property fmtid="{D5CDD505-2E9C-101B-9397-08002B2CF9AE}" pid="4" name="date">
    <vt:lpwstr>September 2026</vt:lpwstr>
  </property>
</Properties>
</file>