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Override PartName="/word/media/rId2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Pericope ERM: A Resilience-First, Three-Tier Architecture for Full-Lifecycle Enterprise Risk Management</w:t>
      </w:r>
    </w:p>
    <w:p>
      <w:pPr>
        <w:pStyle w:val="AbstractTitle"/>
      </w:pPr>
      <w:r>
        <w:t xml:space="preserve">Abstract</w:t>
      </w:r>
    </w:p>
    <w:p>
      <w:pPr>
        <w:pStyle w:val="Abstract"/>
      </w:pPr>
      <w:r>
        <w:t xml:space="preserve">Most mid-size organizations still run risk management out of spreadsheets, shared drives, and e-mail approval chains. These tools are cheap and familiar, but they give nobody a single source of truth, they never tie a control’s effectiveness to the residual risk it is supposed to reduce, and they leave no real record of who approved what and when. Regulatory frameworks such as the Sarbanes-Oxley Act, ISO 31000, and the COSO Enterprise Risk Management framework expect exactly the kind of traceable, continuously monitored governance that manual tooling cannot deliver at scale, and commercial Governance, Risk and Compliance (GRC) suites meet that bar only at a licensing and implementation cost that puts them out of reach for smaller risk teams. This paper presents Pericope ERM, a full-stack platform that digitizes the entire risk lifecycle (identification, inherent and residual assessment, control mapping, appetite and response selection, key risk indicator (KRI) monitoring, maker-checker approval, and immutable audit logging) on top of a single Oracle Autonomous Database schema exposed through Oracle REST Data Services (ORDS). The system is built around three cooperating tiers rather than one monolithic backend: a Node.js backend-for-frontend (BFF) absorbs Oracle/ORDS outages through bounded timeouts, an in-memory shadow store, and boundary-level validation, while the Next.js/React client keeps a local, offline-tolerant CRUD store running for nine of the platform’s newer governance modules. The scoring model is deliberately dual-natured: a five-point Likelihood x Impact matrix drives the qualitative heatmap, and the same inputs feed a monetary Single Loss Expectancy (SLE) estimate. We document, rather than gloss over, a real production defect-remediation exercise that closed five separate failure classes, including silent write timeouts, unattributed audit entries, and free-text junk input, and we compare Pericope ERM structurally against spreadsheet-based and legacy commercial GRC tooling across seven governance-relevant dimensions. The paper closes with an honest account of where the platform still falls short: an unfinished migration to a layered Clean Architecture backend, a single-band residual-risk heuristic that does not yet weight control effectiveness, and a scoring model that is deterministic rather than probabilistic, along with the roadmap for fixing each of them.</w:t>
      </w:r>
    </w:p>
    <w:tbl>
      <w:tblPr>
        <w:tblW w:type="pct" w:w="5000"/>
        <w:tblBorders>
          <w:top w:val="none"/>
          <w:left w:val="none"/>
          <w:bottom w:val="none"/>
          <w:right w:val="none"/>
          <w:insideH w:val="none"/>
          <w:insideV w:val="none"/>
        </w:tblBorders>
        <w:tblLayout w:type="fixed"/>
        <w:tblLook w:firstRow="0" w:lastRow="0" w:firstColumn="0" w:lastColumn="0" w:noHBand="1" w:noVBand="1" w:val="0000"/>
      </w:tblPr>
      <w:tblGrid>
        <w:gridCol w:w="2500"/>
        <w:gridCol w:w="2500"/>
      </w:tblGrid>
      <w:tr>
        <w:tc>
          <w:tcPr>
            <w:tcW w:type="pct" w:w="2500"/>
            <w:tcBorders>
              <w:top w:val="none"/>
              <w:left w:val="none"/>
              <w:bottom w:val="none"/>
              <w:right w:val="none"/>
            </w:tcBorders>
            <w:vAlign w:val="top"/>
          </w:tcPr>
          <w:p>
            <w:pPr>
              <w:jc w:val="center"/>
              <w:spacing w:after="0"/>
            </w:pPr>
            <w:r>
              <w:rPr>
                <w:b/>
              </w:rPr>
              <w:t xml:space="preserve">Srivatsan B</w:t>
            </w:r>
          </w:p>
          <w:p>
            <w:pPr>
              <w:jc w:val="center"/>
              <w:spacing w:after="0"/>
            </w:pPr>
            <w:r>
              <w:rPr>
                <w:sz w:val="18"/>
              </w:rPr>
              <w:t xml:space="preserve">1AT23CG104</w:t>
            </w:r>
          </w:p>
          <w:p>
            <w:pPr>
              <w:jc w:val="center"/>
              <w:spacing w:after="0"/>
            </w:pPr>
            <w:r>
              <w:rPr>
                <w:i/>
              </w:rPr>
              <w:t xml:space="preserve">Dept of Computer Science and Engineering</w:t>
            </w:r>
          </w:p>
          <w:p>
            <w:pPr>
              <w:jc w:val="center"/>
              <w:spacing w:after="0"/>
            </w:pPr>
            <w:r>
              <w:t xml:space="preserve">Atria Institute of Technology</w:t>
            </w:r>
          </w:p>
          <w:p>
            <w:pPr>
              <w:jc w:val="center"/>
              <w:spacing w:after="0"/>
            </w:pPr>
            <w:r>
              <w:t xml:space="preserve">Bengaluru, India</w:t>
            </w:r>
          </w:p>
          <w:p>
            <w:pPr>
              <w:jc w:val="center"/>
              <w:spacing w:after="120"/>
            </w:pPr>
            <w:r>
              <w:t xml:space="preserve">srivatsan359@gmail.com</w:t>
            </w:r>
          </w:p>
        </w:tc>
        <w:tc>
          <w:tcPr>
            <w:tcW w:type="pct" w:w="2500"/>
            <w:tcBorders>
              <w:top w:val="none"/>
              <w:left w:val="none"/>
              <w:bottom w:val="none"/>
              <w:right w:val="none"/>
            </w:tcBorders>
            <w:vAlign w:val="top"/>
          </w:tcPr>
          <w:p>
            <w:pPr>
              <w:jc w:val="center"/>
              <w:spacing w:after="0"/>
            </w:pPr>
            <w:r>
              <w:rPr>
                <w:b/>
              </w:rPr>
              <w:t xml:space="preserve">Raja Vishnu</w:t>
            </w:r>
          </w:p>
          <w:p>
            <w:pPr>
              <w:jc w:val="center"/>
              <w:spacing w:after="0"/>
            </w:pPr>
            <w:r>
              <w:rPr>
                <w:sz w:val="18"/>
              </w:rPr>
              <w:t xml:space="preserve">1AT23CG080</w:t>
            </w:r>
          </w:p>
          <w:p>
            <w:pPr>
              <w:jc w:val="center"/>
              <w:spacing w:after="0"/>
            </w:pPr>
            <w:r>
              <w:rPr>
                <w:i/>
              </w:rPr>
              <w:t xml:space="preserve">Dept of Computer Science and Engineering</w:t>
            </w:r>
          </w:p>
          <w:p>
            <w:pPr>
              <w:jc w:val="center"/>
              <w:spacing w:after="0"/>
            </w:pPr>
            <w:r>
              <w:t xml:space="preserve">Atria Institute of Technology</w:t>
            </w:r>
          </w:p>
          <w:p>
            <w:pPr>
              <w:jc w:val="center"/>
              <w:spacing w:after="0"/>
            </w:pPr>
            <w:r>
              <w:t xml:space="preserve">Bengaluru, India</w:t>
            </w:r>
          </w:p>
          <w:p>
            <w:pPr>
              <w:jc w:val="center"/>
              <w:spacing w:after="120"/>
            </w:pPr>
            <w:r>
              <w:t xml:space="preserve">rajavishnuuu36911@gmail.com</w:t>
            </w:r>
          </w:p>
        </w:tc>
      </w:tr>
      <w:tr>
        <w:tc>
          <w:tcPr>
            <w:tcW w:type="pct" w:w="2500"/>
            <w:tcBorders>
              <w:top w:val="none"/>
              <w:left w:val="none"/>
              <w:bottom w:val="none"/>
              <w:right w:val="none"/>
            </w:tcBorders>
            <w:vAlign w:val="top"/>
          </w:tcPr>
          <w:p>
            <w:pPr>
              <w:jc w:val="center"/>
              <w:spacing w:after="0"/>
            </w:pPr>
            <w:r>
              <w:rPr>
                <w:b/>
              </w:rPr>
              <w:t xml:space="preserve">Niranthar M Javagal</w:t>
            </w:r>
          </w:p>
          <w:p>
            <w:pPr>
              <w:jc w:val="center"/>
              <w:spacing w:after="0"/>
            </w:pPr>
            <w:r>
              <w:rPr>
                <w:sz w:val="18"/>
              </w:rPr>
              <w:t xml:space="preserve">1AT23CG071</w:t>
            </w:r>
          </w:p>
          <w:p>
            <w:pPr>
              <w:jc w:val="center"/>
              <w:spacing w:after="0"/>
            </w:pPr>
            <w:r>
              <w:rPr>
                <w:i/>
              </w:rPr>
              <w:t xml:space="preserve">Dept of Computer Science and Engineering</w:t>
            </w:r>
          </w:p>
          <w:p>
            <w:pPr>
              <w:jc w:val="center"/>
              <w:spacing w:after="0"/>
            </w:pPr>
            <w:r>
              <w:t xml:space="preserve">Atria Institute of Technology</w:t>
            </w:r>
          </w:p>
          <w:p>
            <w:pPr>
              <w:jc w:val="center"/>
              <w:spacing w:after="0"/>
            </w:pPr>
            <w:r>
              <w:t xml:space="preserve">Bengaluru, India</w:t>
            </w:r>
          </w:p>
          <w:p>
            <w:pPr>
              <w:jc w:val="center"/>
              <w:spacing w:after="120"/>
            </w:pPr>
            <w:r>
              <w:t xml:space="preserve">nmjavagal@gmail.com</w:t>
            </w:r>
          </w:p>
        </w:tc>
        <w:tc>
          <w:tcPr>
            <w:tcW w:type="pct" w:w="2500"/>
            <w:tcBorders>
              <w:top w:val="none"/>
              <w:left w:val="none"/>
              <w:bottom w:val="none"/>
              <w:right w:val="none"/>
            </w:tcBorders>
            <w:vAlign w:val="top"/>
          </w:tcPr>
          <w:p>
            <w:pPr>
              <w:jc w:val="center"/>
              <w:spacing w:after="0"/>
            </w:pPr>
            <w:r>
              <w:rPr>
                <w:b/>
              </w:rPr>
              <w:t xml:space="preserve">Rithvik R</w:t>
            </w:r>
          </w:p>
          <w:p>
            <w:pPr>
              <w:jc w:val="center"/>
              <w:spacing w:after="0"/>
            </w:pPr>
            <w:r>
              <w:rPr>
                <w:sz w:val="18"/>
              </w:rPr>
              <w:t xml:space="preserve">1AT23CG084</w:t>
            </w:r>
          </w:p>
          <w:p>
            <w:pPr>
              <w:jc w:val="center"/>
              <w:spacing w:after="0"/>
            </w:pPr>
            <w:r>
              <w:rPr>
                <w:i/>
              </w:rPr>
              <w:t xml:space="preserve">Dept of Computer Science and Engineering</w:t>
            </w:r>
          </w:p>
          <w:p>
            <w:pPr>
              <w:jc w:val="center"/>
              <w:spacing w:after="0"/>
            </w:pPr>
            <w:r>
              <w:t xml:space="preserve">Atria Institute of Technology</w:t>
            </w:r>
          </w:p>
          <w:p>
            <w:pPr>
              <w:jc w:val="center"/>
              <w:spacing w:after="0"/>
            </w:pPr>
            <w:r>
              <w:t xml:space="preserve">Bengaluru, India</w:t>
            </w:r>
          </w:p>
          <w:p>
            <w:pPr>
              <w:jc w:val="center"/>
              <w:spacing w:after="120"/>
            </w:pPr>
            <w:r>
              <w:t xml:space="preserve">rithvikravindranath@gmail.com</w:t>
            </w:r>
          </w:p>
        </w:tc>
      </w:tr>
      <w:tr>
        <w:tc>
          <w:tcPr>
            <w:tcW w:type="pct" w:w="2500"/>
            <w:tcBorders>
              <w:top w:val="none"/>
              <w:left w:val="none"/>
              <w:bottom w:val="none"/>
              <w:right w:val="none"/>
            </w:tcBorders>
            <w:vAlign w:val="top"/>
          </w:tcPr>
          <w:p>
            <w:pPr>
              <w:jc w:val="center"/>
              <w:spacing w:after="0"/>
            </w:pPr>
            <w:r>
              <w:rPr>
                <w:b/>
              </w:rPr>
              <w:t xml:space="preserve">Veena S</w:t>
            </w:r>
          </w:p>
          <w:p>
            <w:pPr>
              <w:jc w:val="center"/>
              <w:spacing w:after="0"/>
            </w:pPr>
            <w:r>
              <w:rPr>
                <w:i/>
              </w:rPr>
              <w:t xml:space="preserve">Assistant Professor, Dept of Computer Science and Engineering</w:t>
            </w:r>
          </w:p>
          <w:p>
            <w:pPr>
              <w:jc w:val="center"/>
              <w:spacing w:after="0"/>
            </w:pPr>
            <w:r>
              <w:t xml:space="preserve">Atria Institute of Technology</w:t>
            </w:r>
          </w:p>
          <w:p>
            <w:pPr>
              <w:jc w:val="center"/>
              <w:spacing w:after="0"/>
            </w:pPr>
            <w:r>
              <w:t xml:space="preserve">Bengaluru, India</w:t>
            </w:r>
          </w:p>
          <w:p>
            <w:pPr>
              <w:jc w:val="center"/>
              <w:spacing w:after="120"/>
            </w:pPr>
            <w:r>
              <w:t xml:space="preserve">veena_cse@atria.edu.in</w:t>
            </w:r>
          </w:p>
        </w:tc>
        <w:tc>
          <w:tcPr>
            <w:tcW w:type="pct" w:w="2500"/>
            <w:tcBorders>
              <w:top w:val="none"/>
              <w:left w:val="none"/>
              <w:bottom w:val="none"/>
              <w:right w:val="none"/>
            </w:tcBorders>
          </w:tcPr>
          <w:p/>
        </w:tc>
      </w:tr>
    </w:tbl>
    <w:bookmarkStart w:id="9" w:name="introduction"/>
    <w:p>
      <w:pPr>
        <w:pStyle w:val="Heading1"/>
      </w:pPr>
      <w:r>
        <w:t xml:space="preserve">Introduction</w:t>
      </w:r>
    </w:p>
    <w:p>
      <w:pPr>
        <w:pStyle w:val="FirstParagraph"/>
      </w:pPr>
      <w:r>
        <w:t xml:space="preserve">Every organization past a certain size carries a portfolio of operational, financial,</w:t>
      </w:r>
      <w:r>
        <w:t xml:space="preserve"> </w:t>
      </w:r>
      <w:r>
        <w:t xml:space="preserve">compliance, and strategic risks, all of which need to be identified, scored, treated, and</w:t>
      </w:r>
      <w:r>
        <w:t xml:space="preserve"> </w:t>
      </w:r>
      <w:r>
        <w:t xml:space="preserve">revisited on some kind of cycle. What has changed over the last two decades is how seriously</w:t>
      </w:r>
      <w:r>
        <w:t xml:space="preserve"> </w:t>
      </w:r>
      <w:r>
        <w:t xml:space="preserve">regulators expect that cycle to be documented. The Sarbanes-Oxley Act requires public companies</w:t>
      </w:r>
      <w:r>
        <w:t xml:space="preserve"> </w:t>
      </w:r>
      <w:r>
        <w:t xml:space="preserve">to attest to the design and operating effectiveness of their internal controls over financial</w:t>
      </w:r>
      <w:r>
        <w:t xml:space="preserve"> </w:t>
      </w:r>
      <w:r>
        <w:t xml:space="preserve">reporting [3]. ISO 31000 lays out an internationally recognized process for identifying,</w:t>
      </w:r>
      <w:r>
        <w:t xml:space="preserve"> </w:t>
      </w:r>
      <w:r>
        <w:t xml:space="preserve">analyzing, evaluating, and treating risk [1]. The COSO Enterprise Risk Management framework</w:t>
      </w:r>
      <w:r>
        <w:t xml:space="preserve"> </w:t>
      </w:r>
      <w:r>
        <w:t xml:space="preserve">goes further still, tying risk appetite explicitly to strategy and performance [2]. None of</w:t>
      </w:r>
      <w:r>
        <w:t xml:space="preserve"> </w:t>
      </w:r>
      <w:r>
        <w:t xml:space="preserve">these frameworks specify which software to use, but all three expect evidence: who assessed a</w:t>
      </w:r>
      <w:r>
        <w:t xml:space="preserve"> </w:t>
      </w:r>
      <w:r>
        <w:t xml:space="preserve">given risk, when, against what criteria, who signed off on the response, and what happened</w:t>
      </w:r>
      <w:r>
        <w:t xml:space="preserve"> </w:t>
      </w:r>
      <w:r>
        <w:t xml:space="preserve">afterward. Producing that evidence reliably out of a spreadsheet is difficult.</w:t>
      </w:r>
    </w:p>
    <w:p>
      <w:pPr>
        <w:pStyle w:val="BodyText"/>
      </w:pPr>
      <w:r>
        <w:t xml:space="preserve">Yet a large share of risk and control self-assessment (RCSA) work still happens exactly that</w:t>
      </w:r>
      <w:r>
        <w:t xml:space="preserve"> </w:t>
      </w:r>
      <w:r>
        <w:t xml:space="preserve">way, in Excel workbooks passed around over e-mail or SharePoint, with approvals tracked as</w:t>
      </w:r>
      <w:r>
        <w:t xml:space="preserve"> </w:t>
      </w:r>
      <w:r>
        <w:t xml:space="preserve">whatever survives in someone’s inbox. The approach is cheap, and everyone already knows how to</w:t>
      </w:r>
      <w:r>
        <w:t xml:space="preserve"> </w:t>
      </w:r>
      <w:r>
        <w:t xml:space="preserve">use it, but it carries three structural problems that motivate this paper. There is no single</w:t>
      </w:r>
      <w:r>
        <w:t xml:space="preserve"> </w:t>
      </w:r>
      <w:r>
        <w:t xml:space="preserve">source of truth across risk owners. There is no enforced link between a control’s effectiveness</w:t>
      </w:r>
      <w:r>
        <w:t xml:space="preserve"> </w:t>
      </w:r>
      <w:r>
        <w:t xml:space="preserve">and the residual risk it is supposed to be reducing. And there is no tamper-evident record of</w:t>
      </w:r>
      <w:r>
        <w:t xml:space="preserve"> </w:t>
      </w:r>
      <w:r>
        <w:t xml:space="preserve">who changed what. Commercial GRC suites, RSA Archer, ServiceNow GRC, and MetricStream among</w:t>
      </w:r>
      <w:r>
        <w:t xml:space="preserve"> </w:t>
      </w:r>
      <w:r>
        <w:t xml:space="preserve">them, solve these problems, but as large, modular, multi-month implementations licensed per</w:t>
      </w:r>
      <w:r>
        <w:t xml:space="preserve"> </w:t>
      </w:r>
      <w:r>
        <w:t xml:space="preserve">user and per module. That cost structure puts them out of reach for the risk function of a</w:t>
      </w:r>
      <w:r>
        <w:t xml:space="preserve"> </w:t>
      </w:r>
      <w:r>
        <w:t xml:space="preserve">smaller organization, or for a team that simply wants to run RCSA digitally without first</w:t>
      </w:r>
      <w:r>
        <w:t xml:space="preserve"> </w:t>
      </w:r>
      <w:r>
        <w:t xml:space="preserve">negotiating an enterprise software contract.</w:t>
      </w:r>
    </w:p>
    <w:p>
      <w:pPr>
        <w:pStyle w:val="BodyText"/>
      </w:pPr>
      <w:r>
        <w:t xml:space="preserve">This paper describes</w:t>
      </w:r>
      <w:r>
        <w:t xml:space="preserve"> </w:t>
      </w:r>
      <w:r>
        <w:rPr>
          <w:b/>
          <w:bCs/>
        </w:rPr>
        <w:t xml:space="preserve">Pericope ERM</w:t>
      </w:r>
      <w:r>
        <w:t xml:space="preserve">, a full-stack web application that digitizes the</w:t>
      </w:r>
      <w:r>
        <w:t xml:space="preserve"> </w:t>
      </w:r>
      <w:r>
        <w:t xml:space="preserve">complete enterprise risk lifecycle behind a single Oracle-hosted schema. It is built</w:t>
      </w:r>
      <w:r>
        <w:t xml:space="preserve"> </w:t>
      </w:r>
      <w:r>
        <w:t xml:space="preserve">resilience-first, on the assumption that upstream failures will happen and that the system</w:t>
      </w:r>
      <w:r>
        <w:t xml:space="preserve"> </w:t>
      </w:r>
      <w:r>
        <w:t xml:space="preserve">should degrade gracefully rather than block a risk owner from doing their job. We should be</w:t>
      </w:r>
      <w:r>
        <w:t xml:space="preserve"> </w:t>
      </w:r>
      <w:r>
        <w:t xml:space="preserve">upfront about what kind of paper this is. Pericope ERM is not a research prototype evaluated</w:t>
      </w:r>
      <w:r>
        <w:t xml:space="preserve"> </w:t>
      </w:r>
      <w:r>
        <w:t xml:space="preserve">against a benchmark dataset; it is a production-oriented platform, and we treat its actual</w:t>
      </w:r>
      <w:r>
        <w:t xml:space="preserve"> </w:t>
      </w:r>
      <w:r>
        <w:t xml:space="preserve">engineering record, including a documented set of defects found and fixed during hardening, as</w:t>
      </w:r>
      <w:r>
        <w:t xml:space="preserve"> </w:t>
      </w:r>
      <w:r>
        <w:t xml:space="preserve">the primary evidence here, much as a systems paper would report on a deployed pipeline rather</w:t>
      </w:r>
      <w:r>
        <w:t xml:space="preserve"> </w:t>
      </w:r>
      <w:r>
        <w:t xml:space="preserve">than a simulation.</w:t>
      </w:r>
    </w:p>
    <w:p>
      <w:pPr>
        <w:pStyle w:val="BodyText"/>
      </w:pPr>
      <w:r>
        <w:t xml:space="preserve">This paper makes five contributions. It describes a three-tier, resilience-first architecture</w:t>
      </w:r>
      <w:r>
        <w:t xml:space="preserve"> </w:t>
      </w:r>
      <w:r>
        <w:t xml:space="preserve">for a compliance-sensitive web application layered over a REST-exposed enterprise database. It</w:t>
      </w:r>
      <w:r>
        <w:t xml:space="preserve"> </w:t>
      </w:r>
      <w:r>
        <w:t xml:space="preserve">formalizes the platform’s dual qualitative and quantitative risk-scoring model. It documents</w:t>
      </w:r>
      <w:r>
        <w:t xml:space="preserve"> </w:t>
      </w:r>
      <w:r>
        <w:t xml:space="preserve">the production defect-remediation and database-hardening work that shaped the current</w:t>
      </w:r>
      <w:r>
        <w:t xml:space="preserve"> </w:t>
      </w:r>
      <w:r>
        <w:t xml:space="preserve">implementation. It offers a structural comparison against spreadsheet-based and commercial GRC</w:t>
      </w:r>
      <w:r>
        <w:t xml:space="preserve"> </w:t>
      </w:r>
      <w:r>
        <w:t xml:space="preserve">alternatives. And it gives an honest account of where the platform still falls short, together</w:t>
      </w:r>
      <w:r>
        <w:t xml:space="preserve"> </w:t>
      </w:r>
      <w:r>
        <w:t xml:space="preserve">with a prioritized roadmap for closing those gaps.</w:t>
      </w:r>
    </w:p>
    <w:p>
      <w:pPr>
        <w:pStyle w:val="BodyText"/>
      </w:pPr>
      <w:r>
        <w:t xml:space="preserve">The rest of the paper follows that order. Section II lays out the problem. Section III surveys</w:t>
      </w:r>
      <w:r>
        <w:t xml:space="preserve"> </w:t>
      </w:r>
      <w:r>
        <w:t xml:space="preserve">related approaches. Section IV covers the system architecture and data model, and Section V</w:t>
      </w:r>
      <w:r>
        <w:t xml:space="preserve"> </w:t>
      </w:r>
      <w:r>
        <w:t xml:space="preserve">formalizes the risk-quantification model. Section VI walks through the end-to-end workflow,</w:t>
      </w:r>
      <w:r>
        <w:t xml:space="preserve"> </w:t>
      </w:r>
      <w:r>
        <w:t xml:space="preserve">Section VII inventories the platform’s functional modules, and Section VIII documents the</w:t>
      </w:r>
      <w:r>
        <w:t xml:space="preserve"> </w:t>
      </w:r>
      <w:r>
        <w:t xml:space="preserve">resilience and data-quality engineering behind the system. Section IX presents a structural</w:t>
      </w:r>
      <w:r>
        <w:t xml:space="preserve"> </w:t>
      </w:r>
      <w:r>
        <w:t xml:space="preserve">comparison, Section X covers applications beyond the RCSA use case, and Sections XI and XII</w:t>
      </w:r>
      <w:r>
        <w:t xml:space="preserve"> </w:t>
      </w:r>
      <w:r>
        <w:t xml:space="preserve">cover limitations and future work before Section XIII concludes.</w:t>
      </w:r>
    </w:p>
    <w:bookmarkEnd w:id="9"/>
    <w:bookmarkStart w:id="10" w:name="problem-statement"/>
    <w:p>
      <w:pPr>
        <w:pStyle w:val="Heading1"/>
      </w:pPr>
      <w:r>
        <w:t xml:space="preserve">Problem Statement</w:t>
      </w:r>
    </w:p>
    <w:p>
      <w:pPr>
        <w:pStyle w:val="FirstParagraph"/>
      </w:pPr>
      <w:r>
        <w:t xml:space="preserve">Digitizing enterprise risk management is not difficult because any one step is technically</w:t>
      </w:r>
      <w:r>
        <w:t xml:space="preserve"> </w:t>
      </w:r>
      <w:r>
        <w:t xml:space="preserve">hard. It is difficult because the steps have to stay linked to each other over months of real</w:t>
      </w:r>
      <w:r>
        <w:t xml:space="preserve"> </w:t>
      </w:r>
      <w:r>
        <w:t xml:space="preserve">organizational activity, and the whole chain has to remain auditable throughout. Three concrete</w:t>
      </w:r>
      <w:r>
        <w:t xml:space="preserve"> </w:t>
      </w:r>
      <w:r>
        <w:t xml:space="preserve">problems with the conventional, spreadsheet-centric approach motivate this work.</w:t>
      </w:r>
    </w:p>
    <w:p>
      <w:pPr>
        <w:numPr>
          <w:ilvl w:val="0"/>
          <w:numId w:val="1001"/>
        </w:numPr>
      </w:pPr>
      <w:r>
        <w:rPr>
          <w:b/>
          <w:bCs/>
        </w:rPr>
        <w:t xml:space="preserve">Fragmented, Non-Auditable Risk Registers:</w:t>
      </w:r>
      <w:r>
        <w:t xml:space="preserve"> </w:t>
      </w:r>
      <w:r>
        <w:t xml:space="preserve">A risk recorded in one workbook, assessed in</w:t>
      </w:r>
      <w:r>
        <w:t xml:space="preserve"> </w:t>
      </w:r>
      <w:r>
        <w:t xml:space="preserve">another, and approved over e-mail has no single, queryable source of truth anywhere. Ask an</w:t>
      </w:r>
      <w:r>
        <w:t xml:space="preserve"> </w:t>
      </w:r>
      <w:r>
        <w:t xml:space="preserve">auditor’s question, who approved accepting this risk, and when, and the answer has to be</w:t>
      </w:r>
      <w:r>
        <w:t xml:space="preserve"> </w:t>
      </w:r>
      <w:r>
        <w:t xml:space="preserve">reconstructed from inbox search rather than retrieved from a system of record.</w:t>
      </w:r>
    </w:p>
    <w:p>
      <w:pPr>
        <w:numPr>
          <w:ilvl w:val="0"/>
          <w:numId w:val="1001"/>
        </w:numPr>
      </w:pPr>
      <w:r>
        <w:rPr>
          <w:b/>
          <w:bCs/>
        </w:rPr>
        <w:t xml:space="preserve">Static, Disconnected Qualitative and Quantitative Risk Views:</w:t>
      </w:r>
      <w:r>
        <w:t xml:space="preserve"> </w:t>
      </w:r>
      <w:r>
        <w:t xml:space="preserve">Likelihood x Impact</w:t>
      </w:r>
      <w:r>
        <w:t xml:space="preserve"> </w:t>
      </w:r>
      <w:r>
        <w:t xml:space="preserve">heatmaps are usually built once, by hand, from a snapshot of the register. When a new</w:t>
      </w:r>
      <w:r>
        <w:t xml:space="preserve"> </w:t>
      </w:r>
      <w:r>
        <w:t xml:space="preserve">control is added, or an existing one’s effectiveness changes, the residual position on the</w:t>
      </w:r>
      <w:r>
        <w:t xml:space="preserve"> </w:t>
      </w:r>
      <w:r>
        <w:t xml:space="preserve">heatmap is rarely recomputed, so the visual risk map quietly drifts out of sync with what is</w:t>
      </w:r>
      <w:r>
        <w:t xml:space="preserve"> </w:t>
      </w:r>
      <w:r>
        <w:t xml:space="preserve">actually protecting the organization.</w:t>
      </w:r>
    </w:p>
    <w:p>
      <w:pPr>
        <w:numPr>
          <w:ilvl w:val="0"/>
          <w:numId w:val="1001"/>
        </w:numPr>
      </w:pPr>
      <w:r>
        <w:rPr>
          <w:b/>
          <w:bCs/>
        </w:rPr>
        <w:t xml:space="preserve">Absent Segregation of Duties and Governance Traceability:</w:t>
      </w:r>
      <w:r>
        <w:t xml:space="preserve"> </w:t>
      </w:r>
      <w:r>
        <w:t xml:space="preserve">SOX and ISO 31000 both expect</w:t>
      </w:r>
      <w:r>
        <w:t xml:space="preserve"> </w:t>
      </w:r>
      <w:r>
        <w:t xml:space="preserve">risk acceptance, mitigation sign-off, and policy changes to pass through an independent</w:t>
      </w:r>
      <w:r>
        <w:t xml:space="preserve"> </w:t>
      </w:r>
      <w:r>
        <w:t xml:space="preserve">reviewer before they take effect. A shared spreadsheet has no concept of a pending-approval</w:t>
      </w:r>
      <w:r>
        <w:t xml:space="preserve"> </w:t>
      </w:r>
      <w:r>
        <w:t xml:space="preserve">state, no maker/checker distinction, and no immutable before-and-after record of a change,</w:t>
      </w:r>
      <w:r>
        <w:t xml:space="preserve"> </w:t>
      </w:r>
      <w:r>
        <w:t xml:space="preserve">all of which end up being manufactured after the fact whenever an audit happens.</w:t>
      </w:r>
    </w:p>
    <w:p>
      <w:pPr>
        <w:pStyle w:val="FirstParagraph"/>
      </w:pPr>
      <w:r>
        <w:t xml:space="preserve">These three problems point toward the same kind of system: one that keeps identification,</w:t>
      </w:r>
      <w:r>
        <w:t xml:space="preserve"> </w:t>
      </w:r>
      <w:r>
        <w:t xml:space="preserve">assessment, control mapping, response, and monitoring inside a single linked data model,</w:t>
      </w:r>
      <w:r>
        <w:t xml:space="preserve"> </w:t>
      </w:r>
      <w:r>
        <w:t xml:space="preserve">computes qualitative and quantitative risk views off the same underlying score so they cannot</w:t>
      </w:r>
      <w:r>
        <w:t xml:space="preserve"> </w:t>
      </w:r>
      <w:r>
        <w:t xml:space="preserve">drift apart, and enforces an approval workflow with an immutable audit trail, all while staying</w:t>
      </w:r>
      <w:r>
        <w:t xml:space="preserve"> </w:t>
      </w:r>
      <w:r>
        <w:t xml:space="preserve">affordable and fast enough to stand up for a team that cannot justify a multi-module commercial</w:t>
      </w:r>
      <w:r>
        <w:t xml:space="preserve"> </w:t>
      </w:r>
      <w:r>
        <w:t xml:space="preserve">GRC license.</w:t>
      </w:r>
    </w:p>
    <w:bookmarkEnd w:id="10"/>
    <w:bookmarkStart w:id="16" w:name="related-work"/>
    <w:p>
      <w:pPr>
        <w:pStyle w:val="Heading1"/>
      </w:pPr>
      <w:r>
        <w:t xml:space="preserve">Related Work</w:t>
      </w:r>
    </w:p>
    <w:bookmarkStart w:id="11" w:name="commercial-grc-platforms"/>
    <w:p>
      <w:pPr>
        <w:pStyle w:val="Heading2"/>
      </w:pPr>
      <w:r>
        <w:t xml:space="preserve">Commercial GRC Platforms</w:t>
      </w:r>
    </w:p>
    <w:p>
      <w:pPr>
        <w:pStyle w:val="FirstParagraph"/>
      </w:pPr>
      <w:r>
        <w:t xml:space="preserve">Enterprise suites such as RSA Archer, ServiceNow GRC, and MetricStream offer mature,</w:t>
      </w:r>
      <w:r>
        <w:t xml:space="preserve"> </w:t>
      </w:r>
      <w:r>
        <w:t xml:space="preserve">configurable modules across risk, policy, audit, and vendor management, usually backed by</w:t>
      </w:r>
      <w:r>
        <w:t xml:space="preserve"> </w:t>
      </w:r>
      <w:r>
        <w:t xml:space="preserve">dedicated workflow engines and reporting layers. On paper, these platforms comprehensively</w:t>
      </w:r>
      <w:r>
        <w:t xml:space="preserve"> </w:t>
      </w:r>
      <w:r>
        <w:t xml:space="preserve">solve the traceability and segregation-of-duties problem. In practice, they solve it through</w:t>
      </w:r>
      <w:r>
        <w:t xml:space="preserve"> </w:t>
      </w:r>
      <w:r>
        <w:t xml:space="preserve">large, professional-services-heavy implementations, licensed per module and per named user,</w:t>
      </w:r>
      <w:r>
        <w:t xml:space="preserve"> </w:t>
      </w:r>
      <w:r>
        <w:t xml:space="preserve">with rollout timelines that tend to run into months rather than weeks. The configurability that</w:t>
      </w:r>
      <w:r>
        <w:t xml:space="preserve"> </w:t>
      </w:r>
      <w:r>
        <w:t xml:space="preserve">makes them powerful is also what makes them expensive: getting a suite to actually reflect an</w:t>
      </w:r>
      <w:r>
        <w:t xml:space="preserve"> </w:t>
      </w:r>
      <w:r>
        <w:t xml:space="preserve">organization’s specific risk taxonomy usually requires a fair amount of paid customization</w:t>
      </w:r>
      <w:r>
        <w:t xml:space="preserve"> </w:t>
      </w:r>
      <w:r>
        <w:t xml:space="preserve">first.</w:t>
      </w:r>
    </w:p>
    <w:bookmarkEnd w:id="11"/>
    <w:bookmarkStart w:id="12" w:name="Xe77870296364294fff9beb47ae34e9a7517575e"/>
    <w:p>
      <w:pPr>
        <w:pStyle w:val="Heading2"/>
      </w:pPr>
      <w:r>
        <w:t xml:space="preserve">Spreadsheet and Point-Solution Risk Management</w:t>
      </w:r>
    </w:p>
    <w:p>
      <w:pPr>
        <w:pStyle w:val="FirstParagraph"/>
      </w:pPr>
      <w:r>
        <w:t xml:space="preserve">The alternative most small and mid-size organizations actually reach for is the</w:t>
      </w:r>
      <w:r>
        <w:t xml:space="preserve"> </w:t>
      </w:r>
      <w:r>
        <w:t xml:space="preserve">spreadsheet-based risk register, sometimes propped up with point solutions for a single domain:</w:t>
      </w:r>
      <w:r>
        <w:t xml:space="preserve"> </w:t>
      </w:r>
      <w:r>
        <w:t xml:space="preserve">an incident tracker here, a policy-approval SharePoint list there, a vendor questionnaire tool</w:t>
      </w:r>
      <w:r>
        <w:t xml:space="preserve"> </w:t>
      </w:r>
      <w:r>
        <w:t xml:space="preserve">somewhere else. This approach is inexpensive and needs no implementation project, which is</w:t>
      </w:r>
      <w:r>
        <w:t xml:space="preserve"> </w:t>
      </w:r>
      <w:r>
        <w:t xml:space="preserve">exactly why it is so common, but it reproduces all three deficiencies from Section II and scales</w:t>
      </w:r>
      <w:r>
        <w:t xml:space="preserve"> </w:t>
      </w:r>
      <w:r>
        <w:t xml:space="preserve">badly the moment more than a handful of risk owners need to collaborate on the same register.</w:t>
      </w:r>
    </w:p>
    <w:bookmarkEnd w:id="12"/>
    <w:bookmarkStart w:id="13" w:name="quantitative-and-actuarial-risk-modeling"/>
    <w:p>
      <w:pPr>
        <w:pStyle w:val="Heading2"/>
      </w:pPr>
      <w:r>
        <w:t xml:space="preserve">Quantitative and Actuarial Risk Modeling</w:t>
      </w:r>
    </w:p>
    <w:p>
      <w:pPr>
        <w:pStyle w:val="FirstParagraph"/>
      </w:pPr>
      <w:r>
        <w:t xml:space="preserve">A separate strand of work treats risk quantification as a statistical estimation problem</w:t>
      </w:r>
      <w:r>
        <w:t xml:space="preserve"> </w:t>
      </w:r>
      <w:r>
        <w:t xml:space="preserve">rather than a scoring exercise. The Factor Analysis of Information Risk (FAIR) model,</w:t>
      </w:r>
      <w:r>
        <w:t xml:space="preserve"> </w:t>
      </w:r>
      <w:r>
        <w:t xml:space="preserve">standardized by the Open Group as the Risk Analysis (O-RA) standard, breaks loss exposure down</w:t>
      </w:r>
      <w:r>
        <w:t xml:space="preserve"> </w:t>
      </w:r>
      <w:r>
        <w:t xml:space="preserve">into loss event frequency and probable loss magnitude, then propagates uncertainty through</w:t>
      </w:r>
      <w:r>
        <w:t xml:space="preserve"> </w:t>
      </w:r>
      <w:r>
        <w:t xml:space="preserve">Monte Carlo simulation instead of collapsing everything into a deterministic Likelihood x</w:t>
      </w:r>
      <w:r>
        <w:t xml:space="preserve"> </w:t>
      </w:r>
      <w:r>
        <w:t xml:space="preserve">Impact product [5]. The output is a probability distribution over financial loss rather than a</w:t>
      </w:r>
      <w:r>
        <w:t xml:space="preserve"> </w:t>
      </w:r>
      <w:r>
        <w:t xml:space="preserve">single ordinal score. That distribution is more informative, but it requires calibrated input</w:t>
      </w:r>
      <w:r>
        <w:t xml:space="preserve"> </w:t>
      </w:r>
      <w:r>
        <w:t xml:space="preserve">distributions that most risk owners are not trained to produce. NIST SP 800-30 sits somewhere</w:t>
      </w:r>
      <w:r>
        <w:t xml:space="preserve"> </w:t>
      </w:r>
      <w:r>
        <w:t xml:space="preserve">in between, offering a structured, semi-quantitative assessment methodology for information</w:t>
      </w:r>
      <w:r>
        <w:t xml:space="preserve"> </w:t>
      </w:r>
      <w:r>
        <w:t xml:space="preserve">systems that stays closer to the familiar Likelihood x Impact tradition [4].</w:t>
      </w:r>
    </w:p>
    <w:bookmarkEnd w:id="13"/>
    <w:bookmarkStart w:id="14" w:name="cloud-native-and-low-code-grc-tooling"/>
    <w:p>
      <w:pPr>
        <w:pStyle w:val="Heading2"/>
      </w:pPr>
      <w:r>
        <w:t xml:space="preserve">Cloud-Native and Low-Code GRC Tooling</w:t>
      </w:r>
    </w:p>
    <w:p>
      <w:pPr>
        <w:pStyle w:val="FirstParagraph"/>
      </w:pPr>
      <w:r>
        <w:t xml:space="preserve">Closer to the approach taken here, a newer generation of cloud-native and low-code GRC</w:t>
      </w:r>
      <w:r>
        <w:t xml:space="preserve"> </w:t>
      </w:r>
      <w:r>
        <w:t xml:space="preserve">products trades some of the configurability of the legacy suites for faster time-to-value and</w:t>
      </w:r>
      <w:r>
        <w:t xml:space="preserve"> </w:t>
      </w:r>
      <w:r>
        <w:t xml:space="preserve">lower operating cost. These products are typically built as REST-backed single-page</w:t>
      </w:r>
      <w:r>
        <w:t xml:space="preserve"> </w:t>
      </w:r>
      <w:r>
        <w:t xml:space="preserve">applications sitting over a managed cloud database rather than an on-premises workflow engine.</w:t>
      </w:r>
    </w:p>
    <w:bookmarkEnd w:id="14"/>
    <w:bookmarkStart w:id="15" w:name="summary-and-positioning"/>
    <w:p>
      <w:pPr>
        <w:pStyle w:val="Heading2"/>
      </w:pPr>
      <w:r>
        <w:t xml:space="preserve">Summary and Positioning</w:t>
      </w:r>
    </w:p>
    <w:p>
      <w:pPr>
        <w:pStyle w:val="FirstParagraph"/>
      </w:pPr>
      <w:r>
        <w:t xml:space="preserve">Table I lines up these categories against four dimensions relevant to this paper: whether the</w:t>
      </w:r>
      <w:r>
        <w:t xml:space="preserve"> </w:t>
      </w:r>
      <w:r>
        <w:t xml:space="preserve">approach covers the full risk lifecycle in one linked model, whether it produces a quantitative</w:t>
      </w:r>
      <w:r>
        <w:t xml:space="preserve"> </w:t>
      </w:r>
      <w:r>
        <w:t xml:space="preserve">loss estimate alongside the qualitative score, whether it produces an automated audit trail,</w:t>
      </w:r>
      <w:r>
        <w:t xml:space="preserve"> </w:t>
      </w:r>
      <w:r>
        <w:t xml:space="preserve">and whether it keeps working when a backend dependency is degraded or unavailable.</w:t>
      </w:r>
    </w:p>
    <w:p>
      <w:pPr>
        <w:pStyle w:val="BodyText"/>
      </w:pPr>
      <w:r>
        <w:rPr>
          <w:b/>
          <w:bCs/>
        </w:rPr>
        <w:t xml:space="preserve">Table I. Summary of Related Approach Categories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Lifecycle</w:t>
            </w:r>
          </w:p>
        </w:tc>
        <w:tc>
          <w:tcPr/>
          <w:p>
            <w:pPr>
              <w:pStyle w:val="Compact"/>
            </w:pPr>
            <w:r>
              <w:t xml:space="preserve">Quant.</w:t>
            </w:r>
          </w:p>
        </w:tc>
        <w:tc>
          <w:tcPr/>
          <w:p>
            <w:pPr>
              <w:pStyle w:val="Compact"/>
            </w:pPr>
            <w:r>
              <w:t xml:space="preserve">Audit Trail</w:t>
            </w:r>
          </w:p>
        </w:tc>
        <w:tc>
          <w:tcPr/>
          <w:p>
            <w:pPr>
              <w:pStyle w:val="Compact"/>
            </w:pPr>
            <w:r>
              <w:t xml:space="preserve">Offline-Tolerant</w:t>
            </w:r>
          </w:p>
        </w:tc>
      </w:tr>
      <w:tr>
        <w:tc>
          <w:tcPr/>
          <w:p>
            <w:pPr>
              <w:pStyle w:val="Compact"/>
            </w:pPr>
            <w:r>
              <w:t xml:space="preserve">Spreadsheet / e-mail ERM</w:t>
            </w:r>
          </w:p>
        </w:tc>
        <w:tc>
          <w:tcPr/>
          <w:p>
            <w:pPr>
              <w:pStyle w:val="Compact"/>
            </w:pPr>
            <w:r>
              <w:t xml:space="preserve">Partial</w:t>
            </w:r>
          </w:p>
        </w:tc>
        <w:tc>
          <w:tcPr/>
          <w:p>
            <w:pPr>
              <w:pStyle w:val="Compact"/>
            </w:pPr>
            <w:r>
              <w:t xml:space="preserve">Partial</w:t>
            </w:r>
          </w:p>
        </w:tc>
        <w:tc>
          <w:tcPr/>
          <w:p>
            <w:pPr>
              <w:pStyle w:val="Compact"/>
            </w:pPr>
            <w:r>
              <w:t xml:space="preserve">No</w:t>
            </w:r>
          </w:p>
        </w:tc>
        <w:tc>
          <w:tcPr/>
          <w:p>
            <w:pPr>
              <w:pStyle w:val="Compact"/>
            </w:pPr>
            <w:r>
              <w:t xml:space="preserve">Full</w:t>
            </w:r>
          </w:p>
        </w:tc>
      </w:tr>
      <w:tr>
        <w:tc>
          <w:tcPr/>
          <w:p>
            <w:pPr>
              <w:pStyle w:val="Compact"/>
            </w:pPr>
            <w:r>
              <w:t xml:space="preserve">Commercial GRC suite</w:t>
            </w:r>
          </w:p>
        </w:tc>
        <w:tc>
          <w:tcPr/>
          <w:p>
            <w:pPr>
              <w:pStyle w:val="Compact"/>
            </w:pPr>
            <w:r>
              <w:t xml:space="preserve">Full</w:t>
            </w:r>
          </w:p>
        </w:tc>
        <w:tc>
          <w:tcPr/>
          <w:p>
            <w:pPr>
              <w:pStyle w:val="Compact"/>
            </w:pPr>
            <w:r>
              <w:t xml:space="preserve">Partial</w:t>
            </w:r>
          </w:p>
        </w:tc>
        <w:tc>
          <w:tcPr/>
          <w:p>
            <w:pPr>
              <w:pStyle w:val="Compact"/>
            </w:pPr>
            <w:r>
              <w:t xml:space="preserve">Full</w:t>
            </w:r>
          </w:p>
        </w:tc>
        <w:tc>
          <w:tcPr/>
          <w:p>
            <w:pPr>
              <w:pStyle w:val="Compact"/>
            </w:pPr>
            <w:r>
              <w:t xml:space="preserve">No</w:t>
            </w:r>
          </w:p>
        </w:tc>
      </w:tr>
      <w:tr>
        <w:tc>
          <w:tcPr/>
          <w:p>
            <w:pPr>
              <w:pStyle w:val="Compact"/>
            </w:pPr>
            <w:r>
              <w:t xml:space="preserve">Actuarial / FAIR-style tools</w:t>
            </w:r>
          </w:p>
        </w:tc>
        <w:tc>
          <w:tcPr/>
          <w:p>
            <w:pPr>
              <w:pStyle w:val="Compact"/>
            </w:pPr>
            <w:r>
              <w:t xml:space="preserve">No</w:t>
            </w:r>
          </w:p>
        </w:tc>
        <w:tc>
          <w:tcPr/>
          <w:p>
            <w:pPr>
              <w:pStyle w:val="Compact"/>
            </w:pPr>
            <w:r>
              <w:t xml:space="preserve">Full</w:t>
            </w:r>
          </w:p>
        </w:tc>
        <w:tc>
          <w:tcPr/>
          <w:p>
            <w:pPr>
              <w:pStyle w:val="Compact"/>
            </w:pPr>
            <w:r>
              <w:t xml:space="preserve">No</w:t>
            </w:r>
          </w:p>
        </w:tc>
        <w:tc>
          <w:tcPr/>
          <w:p>
            <w:pPr>
              <w:pStyle w:val="Compact"/>
            </w:pPr>
            <w:r>
              <w:t xml:space="preserve">N/A</w:t>
            </w:r>
          </w:p>
        </w:tc>
      </w:tr>
      <w:tr>
        <w:tc>
          <w:tcPr/>
          <w:p>
            <w:pPr>
              <w:pStyle w:val="Compact"/>
            </w:pPr>
            <w:r>
              <w:t xml:space="preserve">Cloud-native / low-code GRC</w:t>
            </w:r>
          </w:p>
        </w:tc>
        <w:tc>
          <w:tcPr/>
          <w:p>
            <w:pPr>
              <w:pStyle w:val="Compact"/>
            </w:pPr>
            <w:r>
              <w:t xml:space="preserve">Full</w:t>
            </w:r>
          </w:p>
        </w:tc>
        <w:tc>
          <w:tcPr/>
          <w:p>
            <w:pPr>
              <w:pStyle w:val="Compact"/>
            </w:pPr>
            <w:r>
              <w:t xml:space="preserve">Partial</w:t>
            </w:r>
          </w:p>
        </w:tc>
        <w:tc>
          <w:tcPr/>
          <w:p>
            <w:pPr>
              <w:pStyle w:val="Compact"/>
            </w:pPr>
            <w:r>
              <w:t xml:space="preserve">Partial</w:t>
            </w:r>
          </w:p>
        </w:tc>
        <w:tc>
          <w:tcPr/>
          <w:p>
            <w:pPr>
              <w:pStyle w:val="Compact"/>
            </w:pPr>
            <w:r>
              <w:t xml:space="preserve">Partial</w:t>
            </w:r>
          </w:p>
        </w:tc>
      </w:tr>
      <w:tr>
        <w:tc>
          <w:tcPr/>
          <w:p>
            <w:pPr>
              <w:pStyle w:val="Compact"/>
            </w:pPr>
            <w:r>
              <w:rPr>
                <w:b/>
                <w:bCs/>
              </w:rPr>
              <w:t xml:space="preserve">Pericope ERM (this work)</w:t>
            </w:r>
          </w:p>
        </w:tc>
        <w:tc>
          <w:tcPr/>
          <w:p>
            <w:pPr>
              <w:pStyle w:val="Compact"/>
            </w:pPr>
            <w:r>
              <w:rPr>
                <w:b/>
                <w:bCs/>
              </w:rPr>
              <w:t xml:space="preserve">Full</w:t>
            </w:r>
          </w:p>
        </w:tc>
        <w:tc>
          <w:tcPr/>
          <w:p>
            <w:pPr>
              <w:pStyle w:val="Compact"/>
            </w:pPr>
            <w:r>
              <w:rPr>
                <w:b/>
                <w:bCs/>
              </w:rPr>
              <w:t xml:space="preserve">Partial</w:t>
            </w:r>
          </w:p>
        </w:tc>
        <w:tc>
          <w:tcPr/>
          <w:p>
            <w:pPr>
              <w:pStyle w:val="Compact"/>
            </w:pPr>
            <w:r>
              <w:rPr>
                <w:b/>
                <w:bCs/>
              </w:rPr>
              <w:t xml:space="preserve">Full</w:t>
            </w:r>
          </w:p>
        </w:tc>
        <w:tc>
          <w:tcPr/>
          <w:p>
            <w:pPr>
              <w:pStyle w:val="Compact"/>
            </w:pPr>
            <w:r>
              <w:rPr>
                <w:b/>
                <w:bCs/>
              </w:rPr>
              <w:t xml:space="preserve">Full</w:t>
            </w:r>
          </w:p>
        </w:tc>
      </w:tr>
    </w:tbl>
    <w:p>
      <w:pPr>
        <w:pStyle w:val="BodyText"/>
      </w:pPr>
      <w:r>
        <w:t xml:space="preserve">Pericope ERM’s row in Table I reflects a deliberate trade-off. It matches commercial suites on</w:t>
      </w:r>
      <w:r>
        <w:t xml:space="preserve"> </w:t>
      </w:r>
      <w:r>
        <w:t xml:space="preserve">lifecycle coverage and audit traceability while staying a single-schema, single-deployment</w:t>
      </w:r>
      <w:r>
        <w:t xml:space="preserve"> </w:t>
      </w:r>
      <w:r>
        <w:t xml:space="preserve">system, and it adds an offline-tolerant client layer that none of the other categories really</w:t>
      </w:r>
      <w:r>
        <w:t xml:space="preserve"> </w:t>
      </w:r>
      <w:r>
        <w:t xml:space="preserve">document. It does not yet match FAIR-style tooling on quantitative rigor, a gap Section XI</w:t>
      </w:r>
      <w:r>
        <w:t xml:space="preserve"> </w:t>
      </w:r>
      <w:r>
        <w:t xml:space="preserve">returns to.</w:t>
      </w:r>
    </w:p>
    <w:bookmarkEnd w:id="15"/>
    <w:bookmarkEnd w:id="16"/>
    <w:bookmarkStart w:id="23" w:name="system-architecture-and-data-model"/>
    <w:p>
      <w:pPr>
        <w:pStyle w:val="Heading1"/>
      </w:pPr>
      <w:r>
        <w:t xml:space="preserve">System Architecture and Data Model</w:t>
      </w:r>
    </w:p>
    <w:bookmarkStart w:id="20" w:name="three-tier-resilient-architecture"/>
    <w:p>
      <w:pPr>
        <w:pStyle w:val="Heading2"/>
      </w:pPr>
      <w:r>
        <w:t xml:space="preserve">Three-Tier Resilient Architecture</w:t>
      </w:r>
    </w:p>
    <w:p>
      <w:pPr>
        <w:pStyle w:val="FirstParagraph"/>
      </w:pPr>
      <w:r>
        <w:t xml:space="preserve">Pericope ERM runs as three cooperating tiers, shown in Fig. 1. At the bottom, an Oracle</w:t>
      </w:r>
      <w:r>
        <w:t xml:space="preserve"> </w:t>
      </w:r>
      <w:r>
        <w:t xml:space="preserve">Autonomous Database holds the actual system of record, split into a</w:t>
      </w:r>
      <w:r>
        <w:t xml:space="preserve"> </w:t>
      </w:r>
      <w:r>
        <w:rPr>
          <w:rStyle w:val="VerbatimChar"/>
        </w:rPr>
        <w:t xml:space="preserve">PER_*</w:t>
      </w:r>
      <w:r>
        <w:t xml:space="preserve"> </w:t>
      </w:r>
      <w:r>
        <w:t xml:space="preserve">schema for the</w:t>
      </w:r>
      <w:r>
        <w:t xml:space="preserve"> </w:t>
      </w:r>
      <w:r>
        <w:t xml:space="preserve">core RCSA entities and an</w:t>
      </w:r>
      <w:r>
        <w:t xml:space="preserve"> </w:t>
      </w:r>
      <w:r>
        <w:rPr>
          <w:rStyle w:val="VerbatimChar"/>
        </w:rPr>
        <w:t xml:space="preserve">ERM_*</w:t>
      </w:r>
      <w:r>
        <w:t xml:space="preserve"> </w:t>
      </w:r>
      <w:r>
        <w:t xml:space="preserve">schema for KRI/KPI monitoring (Table II). Nothing talks to</w:t>
      </w:r>
      <w:r>
        <w:t xml:space="preserve"> </w:t>
      </w:r>
      <w:r>
        <w:t xml:space="preserve">this database directly; every call passes through a RESTful boundary, Oracle REST Data</w:t>
      </w:r>
      <w:r>
        <w:t xml:space="preserve"> </w:t>
      </w:r>
      <w:r>
        <w:t xml:space="preserve">Services (ORDS) [10], in the sense Fielding originally formalized for network-based</w:t>
      </w:r>
      <w:r>
        <w:t xml:space="preserve"> </w:t>
      </w:r>
      <w:r>
        <w:t xml:space="preserve">architectures [7].</w:t>
      </w:r>
    </w:p>
    <w:p>
      <w:pPr>
        <w:pStyle w:val="BodyText"/>
      </w:pPr>
      <w:r>
        <w:t xml:space="preserve">A Node.js Express backend-for-frontend (BFF) sits between the browser and ORDS. This pattern</w:t>
      </w:r>
      <w:r>
        <w:t xml:space="preserve"> </w:t>
      </w:r>
      <w:r>
        <w:t xml:space="preserve">gives each client its own tailored server-side layer rather than forcing it to consume a</w:t>
      </w:r>
      <w:r>
        <w:t xml:space="preserve"> </w:t>
      </w:r>
      <w:r>
        <w:t xml:space="preserve">generic API [8]. The BFF authenticates to ORDS with an OAuth2 client-credentials grant, wraps</w:t>
      </w:r>
      <w:r>
        <w:t xml:space="preserve"> </w:t>
      </w:r>
      <w:r>
        <w:t xml:space="preserve">every upstream call in a bounded 8-second timeout, applies input validation at the boundary,</w:t>
      </w:r>
      <w:r>
        <w:t xml:space="preserve"> </w:t>
      </w:r>
      <w:r>
        <w:t xml:space="preserve">rate-limits and compresses traffic, and mirrors every successful create or update into an</w:t>
      </w:r>
      <w:r>
        <w:t xml:space="preserve"> </w:t>
      </w:r>
      <w:r>
        <w:t xml:space="preserve">in-memory shadow store keyed by table name. On the client side, the Next.js/React application</w:t>
      </w:r>
      <w:r>
        <w:t xml:space="preserve"> </w:t>
      </w:r>
      <w:r>
        <w:t xml:space="preserve">[11] talks to the BFF through TanStack Query [12], which caches GET responses for five minutes</w:t>
      </w:r>
      <w:r>
        <w:t xml:space="preserve"> </w:t>
      </w:r>
      <w:r>
        <w:t xml:space="preserve">by default, and separately keeps a typed, localStorage-backed CRUD store running for nine of</w:t>
      </w:r>
      <w:r>
        <w:t xml:space="preserve"> </w:t>
      </w:r>
      <w:r>
        <w:t xml:space="preserve">the platform’s newer governance modules: KRI configuration, control library, risk appetite,</w:t>
      </w:r>
      <w:r>
        <w:t xml:space="preserve"> </w:t>
      </w:r>
      <w:r>
        <w:t xml:space="preserve">workflow, vendor risk, incidents, business continuity planning, scenario analysis, and</w:t>
      </w:r>
      <w:r>
        <w:t xml:space="preserve"> </w:t>
      </w:r>
      <w:r>
        <w:t xml:space="preserve">heatmaps. Those modules keep working even if the BFF itself goes down.</w:t>
      </w:r>
    </w:p>
    <w:p>
      <w:pPr>
        <w:pStyle w:val="BodyText"/>
      </w:pPr>
      <w:r>
        <w:t xml:space="preserve">The result is a system that fails in two independent, bounded steps rather than one large one.</w:t>
      </w:r>
      <w:r>
        <w:t xml:space="preserve"> </w:t>
      </w:r>
      <w:r>
        <w:t xml:space="preserve">If ORDS times out, the BFF answers from its shadow store instead of leaving the request</w:t>
      </w:r>
      <w:r>
        <w:t xml:space="preserve"> </w:t>
      </w:r>
      <w:r>
        <w:t xml:space="preserve">hanging. If the BFF itself becomes unreachable, the affected client modules keep operating</w:t>
      </w:r>
      <w:r>
        <w:t xml:space="preserve"> </w:t>
      </w:r>
      <w:r>
        <w:t xml:space="preserve">against their local store and reconcile once connectivity returns. Every request that changes</w:t>
      </w:r>
      <w:r>
        <w:t xml:space="preserve"> </w:t>
      </w:r>
      <w:r>
        <w:t xml:space="preserve">state, regardless of which tier actually handled it, still has to carry actor attribution</w:t>
      </w:r>
      <w:r>
        <w:t xml:space="preserve"> </w:t>
      </w:r>
      <w:r>
        <w:t xml:space="preserve">(Section IV-C), so the audit trail in Section VIII stays complete no matter which of these</w:t>
      </w:r>
      <w:r>
        <w:t xml:space="preserve"> </w:t>
      </w:r>
      <w:r>
        <w:t xml:space="preserve">three states the system happens to be in.</w:t>
      </w:r>
    </w:p>
    <w:p>
      <w:pPr>
        <w:pStyle w:val="CaptionedFigure"/>
      </w:pPr>
      <w:r>
        <w:drawing>
          <wp:inline>
            <wp:extent cx="3134648" cy="4770782"/>
            <wp:effectExtent b="0" l="0" r="0" t="0"/>
            <wp:docPr descr="Three-tier resilient architecture." title="" id="18" name="Picture"/>
            <a:graphic>
              <a:graphicData uri="http://schemas.openxmlformats.org/drawingml/2006/picture">
                <pic:pic>
                  <pic:nvPicPr>
                    <pic:cNvPr descr="figures/fig1_architecture.png" id="19" name="Picture"/>
                    <pic:cNvPicPr>
                      <a:picLocks noChangeArrowheads="1" noChangeAspect="1"/>
                    </pic:cNvPicPr>
                  </pic:nvPicPr>
                  <pic:blipFill>
                    <a:blip r:embed="rId17"/>
                    <a:stretch>
                      <a:fillRect/>
                    </a:stretch>
                  </pic:blipFill>
                  <pic:spPr bwMode="auto">
                    <a:xfrm>
                      <a:off x="0" y="0"/>
                      <a:ext cx="3134648" cy="4770782"/>
                    </a:xfrm>
                    <a:prstGeom prst="rect">
                      <a:avLst/>
                    </a:prstGeom>
                    <a:noFill/>
                    <a:ln w="9525">
                      <a:noFill/>
                      <a:headEnd/>
                      <a:tailEnd/>
                    </a:ln>
                  </pic:spPr>
                </pic:pic>
              </a:graphicData>
            </a:graphic>
          </wp:inline>
        </w:drawing>
      </w:r>
    </w:p>
    <w:p>
      <w:pPr>
        <w:pStyle w:val="ImageCaption"/>
      </w:pPr>
      <w:r>
        <w:t xml:space="preserve">Three-tier resilient architecture.</w:t>
      </w:r>
    </w:p>
    <w:bookmarkEnd w:id="20"/>
    <w:bookmarkStart w:id="21" w:name="data-model"/>
    <w:p>
      <w:pPr>
        <w:pStyle w:val="Heading2"/>
      </w:pPr>
      <w:r>
        <w:t xml:space="preserve">Data Model</w:t>
      </w:r>
    </w:p>
    <w:p>
      <w:pPr>
        <w:pStyle w:val="FirstParagraph"/>
      </w:pPr>
      <w:r>
        <w:t xml:space="preserve">The production schema currently spans 14 core Oracle entities, listed in Table II. Anything</w:t>
      </w:r>
      <w:r>
        <w:t xml:space="preserve"> </w:t>
      </w:r>
      <w:r>
        <w:t xml:space="preserve">prefixed</w:t>
      </w:r>
      <w:r>
        <w:t xml:space="preserve"> </w:t>
      </w:r>
      <w:r>
        <w:rPr>
          <w:rStyle w:val="VerbatimChar"/>
        </w:rPr>
        <w:t xml:space="preserve">PER_</w:t>
      </w:r>
      <w:r>
        <w:t xml:space="preserve"> </w:t>
      </w:r>
      <w:r>
        <w:t xml:space="preserve">belongs to the original RCSA core: identify, assess, control, respond.</w:t>
      </w:r>
      <w:r>
        <w:t xml:space="preserve"> </w:t>
      </w:r>
      <w:r>
        <w:t xml:space="preserve">Anything prefixed</w:t>
      </w:r>
      <w:r>
        <w:t xml:space="preserve"> </w:t>
      </w:r>
      <w:r>
        <w:rPr>
          <w:rStyle w:val="VerbatimChar"/>
        </w:rPr>
        <w:t xml:space="preserve">ERM_</w:t>
      </w:r>
      <w:r>
        <w:t xml:space="preserve"> </w:t>
      </w:r>
      <w:r>
        <w:t xml:space="preserve">was added later to support continuous KRI/KPI monitoring and audit</w:t>
      </w:r>
      <w:r>
        <w:t xml:space="preserve"> </w:t>
      </w:r>
      <w:r>
        <w:t xml:space="preserve">logging. Within either prefix, an</w:t>
      </w:r>
      <w:r>
        <w:t xml:space="preserve"> </w:t>
      </w:r>
      <w:r>
        <w:rPr>
          <w:rStyle w:val="VerbatimChar"/>
        </w:rPr>
        <w:t xml:space="preserve">MST_</w:t>
      </w:r>
      <w:r>
        <w:t xml:space="preserve"> </w:t>
      </w:r>
      <w:r>
        <w:t xml:space="preserve">infix marks slowly-changing reference data</w:t>
      </w:r>
      <w:r>
        <w:t xml:space="preserve"> </w:t>
      </w:r>
      <w:r>
        <w:t xml:space="preserve">(categories, business processes, control types, KRI/KPI definitions), and a</w:t>
      </w:r>
      <w:r>
        <w:t xml:space="preserve"> </w:t>
      </w:r>
      <w:r>
        <w:rPr>
          <w:rStyle w:val="VerbatimChar"/>
        </w:rPr>
        <w:t xml:space="preserve">TRN_</w:t>
      </w:r>
      <w:r>
        <w:t xml:space="preserve"> </w:t>
      </w:r>
      <w:r>
        <w:t xml:space="preserve">infix marks</w:t>
      </w:r>
      <w:r>
        <w:t xml:space="preserve"> </w:t>
      </w:r>
      <w:r>
        <w:t xml:space="preserve">transactional data tied to a specific assessment cycle.</w:t>
      </w:r>
    </w:p>
    <w:p>
      <w:pPr>
        <w:pStyle w:val="BodyText"/>
      </w:pPr>
      <w:r>
        <w:rPr>
          <w:b/>
          <w:bCs/>
        </w:rPr>
        <w:t xml:space="preserve">Table II. Core Oracle Entities</w:t>
      </w:r>
      <w:r>
        <w:t xml:space="preserve"> </w:t>
      </w:r>
      <w:r>
        <w:t xml:space="preserve">(prefix convention explained above)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Entity (suffix)</w:t>
            </w:r>
          </w:p>
        </w:tc>
        <w:tc>
          <w:tcPr/>
          <w:p>
            <w:pPr>
              <w:pStyle w:val="Compact"/>
            </w:pPr>
            <w:r>
              <w:t xml:space="preserve">Domain</w:t>
            </w:r>
          </w:p>
        </w:tc>
      </w:tr>
      <w:tr>
        <w:tc>
          <w:tcPr/>
          <w:p>
            <w:pPr>
              <w:pStyle w:val="Compact"/>
            </w:pPr>
            <w:r>
              <w:t xml:space="preserve">per_trn</w:t>
            </w:r>
          </w:p>
        </w:tc>
        <w:tc>
          <w:tcPr/>
          <w:p>
            <w:pPr>
              <w:pStyle w:val="Compact"/>
            </w:pPr>
            <w:r>
              <w:t xml:space="preserve">identify_risk</w:t>
            </w:r>
          </w:p>
        </w:tc>
        <w:tc>
          <w:tcPr/>
          <w:p>
            <w:pPr>
              <w:pStyle w:val="Compact"/>
            </w:pPr>
            <w:r>
              <w:t xml:space="preserve">RCSA core</w:t>
            </w:r>
          </w:p>
        </w:tc>
      </w:tr>
      <w:tr>
        <w:tc>
          <w:tcPr/>
          <w:p>
            <w:pPr>
              <w:pStyle w:val="Compact"/>
            </w:pPr>
            <w:r>
              <w:t xml:space="preserve">per_trn</w:t>
            </w:r>
          </w:p>
        </w:tc>
        <w:tc>
          <w:tcPr/>
          <w:p>
            <w:pPr>
              <w:pStyle w:val="Compact"/>
            </w:pPr>
            <w:r>
              <w:t xml:space="preserve">inherent_risk_assessment</w:t>
            </w:r>
          </w:p>
        </w:tc>
        <w:tc>
          <w:tcPr/>
          <w:p>
            <w:pPr>
              <w:pStyle w:val="Compact"/>
            </w:pPr>
            <w:r>
              <w:t xml:space="preserve">RCSA core</w:t>
            </w:r>
          </w:p>
        </w:tc>
      </w:tr>
      <w:tr>
        <w:tc>
          <w:tcPr/>
          <w:p>
            <w:pPr>
              <w:pStyle w:val="Compact"/>
            </w:pPr>
            <w:r>
              <w:t xml:space="preserve">per_trn</w:t>
            </w:r>
          </w:p>
        </w:tc>
        <w:tc>
          <w:tcPr/>
          <w:p>
            <w:pPr>
              <w:pStyle w:val="Compact"/>
            </w:pPr>
            <w:r>
              <w:t xml:space="preserve">control_implementation</w:t>
            </w:r>
          </w:p>
        </w:tc>
        <w:tc>
          <w:tcPr/>
          <w:p>
            <w:pPr>
              <w:pStyle w:val="Compact"/>
            </w:pPr>
            <w:r>
              <w:t xml:space="preserve">RCSA core</w:t>
            </w:r>
          </w:p>
        </w:tc>
      </w:tr>
      <w:tr>
        <w:tc>
          <w:tcPr/>
          <w:p>
            <w:pPr>
              <w:pStyle w:val="Compact"/>
            </w:pPr>
            <w:r>
              <w:t xml:space="preserve">per_trn</w:t>
            </w:r>
          </w:p>
        </w:tc>
        <w:tc>
          <w:tcPr/>
          <w:p>
            <w:pPr>
              <w:pStyle w:val="Compact"/>
            </w:pPr>
            <w:r>
              <w:t xml:space="preserve">mitigation_plans</w:t>
            </w:r>
          </w:p>
        </w:tc>
        <w:tc>
          <w:tcPr/>
          <w:p>
            <w:pPr>
              <w:pStyle w:val="Compact"/>
            </w:pPr>
            <w:r>
              <w:t xml:space="preserve">RCSA core</w:t>
            </w:r>
          </w:p>
        </w:tc>
      </w:tr>
      <w:tr>
        <w:tc>
          <w:tcPr/>
          <w:p>
            <w:pPr>
              <w:pStyle w:val="Compact"/>
            </w:pPr>
            <w:r>
              <w:t xml:space="preserve">per_trn</w:t>
            </w:r>
          </w:p>
        </w:tc>
        <w:tc>
          <w:tcPr/>
          <w:p>
            <w:pPr>
              <w:pStyle w:val="Compact"/>
            </w:pPr>
            <w:r>
              <w:t xml:space="preserve">risk_monitoring</w:t>
            </w:r>
          </w:p>
        </w:tc>
        <w:tc>
          <w:tcPr/>
          <w:p>
            <w:pPr>
              <w:pStyle w:val="Compact"/>
            </w:pPr>
            <w:r>
              <w:t xml:space="preserve">RCSA core</w:t>
            </w:r>
          </w:p>
        </w:tc>
      </w:tr>
      <w:tr>
        <w:tc>
          <w:tcPr/>
          <w:p>
            <w:pPr>
              <w:pStyle w:val="Compact"/>
            </w:pPr>
            <w:r>
              <w:t xml:space="preserve">per_mst</w:t>
            </w:r>
          </w:p>
        </w:tc>
        <w:tc>
          <w:tcPr/>
          <w:p>
            <w:pPr>
              <w:pStyle w:val="Compact"/>
            </w:pPr>
            <w:r>
              <w:t xml:space="preserve">risk_category</w:t>
            </w:r>
          </w:p>
        </w:tc>
        <w:tc>
          <w:tcPr/>
          <w:p>
            <w:pPr>
              <w:pStyle w:val="Compact"/>
            </w:pPr>
            <w:r>
              <w:t xml:space="preserve">RCSA core</w:t>
            </w:r>
          </w:p>
        </w:tc>
      </w:tr>
      <w:tr>
        <w:tc>
          <w:tcPr/>
          <w:p>
            <w:pPr>
              <w:pStyle w:val="Compact"/>
            </w:pPr>
            <w:r>
              <w:t xml:space="preserve">per_mst</w:t>
            </w:r>
          </w:p>
        </w:tc>
        <w:tc>
          <w:tcPr/>
          <w:p>
            <w:pPr>
              <w:pStyle w:val="Compact"/>
            </w:pPr>
            <w:r>
              <w:t xml:space="preserve">business_process</w:t>
            </w:r>
          </w:p>
        </w:tc>
        <w:tc>
          <w:tcPr/>
          <w:p>
            <w:pPr>
              <w:pStyle w:val="Compact"/>
            </w:pPr>
            <w:r>
              <w:t xml:space="preserve">RCSA core</w:t>
            </w:r>
          </w:p>
        </w:tc>
      </w:tr>
      <w:tr>
        <w:tc>
          <w:tcPr/>
          <w:p>
            <w:pPr>
              <w:pStyle w:val="Compact"/>
            </w:pPr>
            <w:r>
              <w:t xml:space="preserve">per_mst</w:t>
            </w:r>
          </w:p>
        </w:tc>
        <w:tc>
          <w:tcPr/>
          <w:p>
            <w:pPr>
              <w:pStyle w:val="Compact"/>
            </w:pPr>
            <w:r>
              <w:t xml:space="preserve">control_type</w:t>
            </w:r>
          </w:p>
        </w:tc>
        <w:tc>
          <w:tcPr/>
          <w:p>
            <w:pPr>
              <w:pStyle w:val="Compact"/>
            </w:pPr>
            <w:r>
              <w:t xml:space="preserve">RCSA core</w:t>
            </w:r>
          </w:p>
        </w:tc>
      </w:tr>
      <w:tr>
        <w:tc>
          <w:tcPr/>
          <w:p>
            <w:pPr>
              <w:pStyle w:val="Compact"/>
            </w:pPr>
            <w:r>
              <w:t xml:space="preserve">erm_mst</w:t>
            </w:r>
          </w:p>
        </w:tc>
        <w:tc>
          <w:tcPr/>
          <w:p>
            <w:pPr>
              <w:pStyle w:val="Compact"/>
            </w:pPr>
            <w:r>
              <w:t xml:space="preserve">kri_definition</w:t>
            </w:r>
          </w:p>
        </w:tc>
        <w:tc>
          <w:tcPr/>
          <w:p>
            <w:pPr>
              <w:pStyle w:val="Compact"/>
            </w:pPr>
            <w:r>
              <w:t xml:space="preserve">KRI/KPI monitoring</w:t>
            </w:r>
          </w:p>
        </w:tc>
      </w:tr>
      <w:tr>
        <w:tc>
          <w:tcPr/>
          <w:p>
            <w:pPr>
              <w:pStyle w:val="Compact"/>
            </w:pPr>
            <w:r>
              <w:t xml:space="preserve">erm_mst</w:t>
            </w:r>
          </w:p>
        </w:tc>
        <w:tc>
          <w:tcPr/>
          <w:p>
            <w:pPr>
              <w:pStyle w:val="Compact"/>
            </w:pPr>
            <w:r>
              <w:t xml:space="preserve">kpi_definition</w:t>
            </w:r>
          </w:p>
        </w:tc>
        <w:tc>
          <w:tcPr/>
          <w:p>
            <w:pPr>
              <w:pStyle w:val="Compact"/>
            </w:pPr>
            <w:r>
              <w:t xml:space="preserve">KRI/KPI monitoring</w:t>
            </w:r>
          </w:p>
        </w:tc>
      </w:tr>
      <w:tr>
        <w:tc>
          <w:tcPr/>
          <w:p>
            <w:pPr>
              <w:pStyle w:val="Compact"/>
            </w:pPr>
            <w:r>
              <w:t xml:space="preserve">erm_trn</w:t>
            </w:r>
          </w:p>
        </w:tc>
        <w:tc>
          <w:tcPr/>
          <w:p>
            <w:pPr>
              <w:pStyle w:val="Compact"/>
            </w:pPr>
            <w:r>
              <w:t xml:space="preserve">kri_readings</w:t>
            </w:r>
          </w:p>
        </w:tc>
        <w:tc>
          <w:tcPr/>
          <w:p>
            <w:pPr>
              <w:pStyle w:val="Compact"/>
            </w:pPr>
            <w:r>
              <w:t xml:space="preserve">KRI/KPI monitoring</w:t>
            </w:r>
          </w:p>
        </w:tc>
      </w:tr>
      <w:tr>
        <w:tc>
          <w:tcPr/>
          <w:p>
            <w:pPr>
              <w:pStyle w:val="Compact"/>
            </w:pPr>
            <w:r>
              <w:t xml:space="preserve">erm_trn</w:t>
            </w:r>
          </w:p>
        </w:tc>
        <w:tc>
          <w:tcPr/>
          <w:p>
            <w:pPr>
              <w:pStyle w:val="Compact"/>
            </w:pPr>
            <w:r>
              <w:t xml:space="preserve">kpi_actuals</w:t>
            </w:r>
          </w:p>
        </w:tc>
        <w:tc>
          <w:tcPr/>
          <w:p>
            <w:pPr>
              <w:pStyle w:val="Compact"/>
            </w:pPr>
            <w:r>
              <w:t xml:space="preserve">KRI/KPI monitoring</w:t>
            </w:r>
          </w:p>
        </w:tc>
      </w:tr>
      <w:tr>
        <w:tc>
          <w:tcPr/>
          <w:p>
            <w:pPr>
              <w:pStyle w:val="Compact"/>
            </w:pPr>
            <w:r>
              <w:t xml:space="preserve">erm_trn</w:t>
            </w:r>
          </w:p>
        </w:tc>
        <w:tc>
          <w:tcPr/>
          <w:p>
            <w:pPr>
              <w:pStyle w:val="Compact"/>
            </w:pPr>
            <w:r>
              <w:t xml:space="preserve">assessment_cycle</w:t>
            </w:r>
          </w:p>
        </w:tc>
        <w:tc>
          <w:tcPr/>
          <w:p>
            <w:pPr>
              <w:pStyle w:val="Compact"/>
            </w:pPr>
            <w:r>
              <w:t xml:space="preserve">KRI/KPI monitoring</w:t>
            </w:r>
          </w:p>
        </w:tc>
      </w:tr>
      <w:tr>
        <w:tc>
          <w:tcPr/>
          <w:p>
            <w:pPr>
              <w:pStyle w:val="Compact"/>
            </w:pPr>
            <w:r>
              <w:t xml:space="preserve">erm_trn</w:t>
            </w:r>
          </w:p>
        </w:tc>
        <w:tc>
          <w:tcPr/>
          <w:p>
            <w:pPr>
              <w:pStyle w:val="Compact"/>
            </w:pPr>
            <w:r>
              <w:t xml:space="preserve">audit_log</w:t>
            </w:r>
          </w:p>
        </w:tc>
        <w:tc>
          <w:tcPr/>
          <w:p>
            <w:pPr>
              <w:pStyle w:val="Compact"/>
            </w:pPr>
            <w:r>
              <w:t xml:space="preserve">Governance</w:t>
            </w:r>
          </w:p>
        </w:tc>
      </w:tr>
    </w:tbl>
    <w:bookmarkEnd w:id="21"/>
    <w:bookmarkStart w:id="22" w:name="X72cbf6bfa67d40341c5bfcf349352f6d634a786"/>
    <w:p>
      <w:pPr>
        <w:pStyle w:val="Heading2"/>
      </w:pPr>
      <w:r>
        <w:t xml:space="preserve">Identity, Attribution, and Session Handling</w:t>
      </w:r>
    </w:p>
    <w:p>
      <w:pPr>
        <w:pStyle w:val="FirstParagraph"/>
      </w:pPr>
      <w:r>
        <w:t xml:space="preserve">Every mutating client request carries</w:t>
      </w:r>
      <w:r>
        <w:t xml:space="preserve"> </w:t>
      </w:r>
      <w:r>
        <w:rPr>
          <w:rStyle w:val="VerbatimChar"/>
        </w:rPr>
        <w:t xml:space="preserve">X-User-Id</w:t>
      </w:r>
      <w:r>
        <w:t xml:space="preserve">,</w:t>
      </w:r>
      <w:r>
        <w:t xml:space="preserve"> </w:t>
      </w:r>
      <w:r>
        <w:rPr>
          <w:rStyle w:val="VerbatimChar"/>
        </w:rPr>
        <w:t xml:space="preserve">X-User-Name</w:t>
      </w:r>
      <w:r>
        <w:t xml:space="preserve">, and</w:t>
      </w:r>
      <w:r>
        <w:t xml:space="preserve"> </w:t>
      </w:r>
      <w:r>
        <w:rPr>
          <w:rStyle w:val="VerbatimChar"/>
        </w:rPr>
        <w:t xml:space="preserve">X-User-Role</w:t>
      </w:r>
      <w:r>
        <w:t xml:space="preserve"> </w:t>
      </w:r>
      <w:r>
        <w:t xml:space="preserve">headers,</w:t>
      </w:r>
      <w:r>
        <w:t xml:space="preserve"> </w:t>
      </w:r>
      <w:r>
        <w:t xml:space="preserve">populated from the authenticated session and passed through unchanged to the audit-log writer.</w:t>
      </w:r>
      <w:r>
        <w:t xml:space="preserve"> </w:t>
      </w:r>
      <w:r>
        <w:t xml:space="preserve">This closes a gap that is easy to miss in a naive REST proxy: without per-request attribution,</w:t>
      </w:r>
      <w:r>
        <w:t xml:space="preserve"> </w:t>
      </w:r>
      <w:r>
        <w:t xml:space="preserve">every write looks like it came from a generic service account, and an audit trail that can show</w:t>
      </w:r>
      <w:r>
        <w:t xml:space="preserve"> </w:t>
      </w:r>
      <w:r>
        <w:t xml:space="preserve">a risk was accepted but not by whom fails the evidentiary bar that SOX and ISO 31000 both set</w:t>
      </w:r>
      <w:r>
        <w:t xml:space="preserve"> </w:t>
      </w:r>
      <w:r>
        <w:t xml:space="preserve">(Section II-3).</w:t>
      </w:r>
    </w:p>
    <w:bookmarkEnd w:id="22"/>
    <w:bookmarkEnd w:id="23"/>
    <w:bookmarkStart w:id="27" w:name="risk-quantification-model"/>
    <w:p>
      <w:pPr>
        <w:pStyle w:val="Heading1"/>
      </w:pPr>
      <w:r>
        <w:t xml:space="preserve">Risk Quantification Model</w:t>
      </w:r>
    </w:p>
    <w:p>
      <w:pPr>
        <w:pStyle w:val="FirstParagraph"/>
      </w:pPr>
      <w:r>
        <w:t xml:space="preserve">Pericope ERM scores every risk on two axes at once, so a single assessment produces both a</w:t>
      </w:r>
      <w:r>
        <w:t xml:space="preserve"> </w:t>
      </w:r>
      <w:r>
        <w:t xml:space="preserve">heatmap position and a monetary exposure estimate, instead of asking a risk owner to keep two</w:t>
      </w:r>
      <w:r>
        <w:t xml:space="preserve"> </w:t>
      </w:r>
      <w:r>
        <w:t xml:space="preserve">disconnected views in sync by hand.</w:t>
      </w:r>
    </w:p>
    <w:p>
      <w:pPr>
        <w:pStyle w:val="BodyText"/>
      </w:pPr>
      <w:r>
        <w:rPr>
          <w:b/>
          <w:bCs/>
        </w:rPr>
        <w:t xml:space="preserve">Qualitative composite score.</w:t>
      </w:r>
      <w:r>
        <w:t xml:space="preserve"> </w:t>
      </w:r>
      <w:r>
        <w:t xml:space="preserve">Likelihood</w:t>
      </w:r>
      <w:r>
        <w:t xml:space="preserve"> </w:t>
      </w:r>
      <m:oMath>
        <m:r>
          <m:t>L</m:t>
        </m:r>
      </m:oMath>
      <w:r>
        <w:t xml:space="preserve"> </w:t>
      </w:r>
      <w:r>
        <w:t xml:space="preserve">and Impact</w:t>
      </w:r>
      <w:r>
        <w:t xml:space="preserve"> </w:t>
      </w:r>
      <m:oMath>
        <m:r>
          <m:t>I</m:t>
        </m:r>
      </m:oMath>
      <w:r>
        <w:t xml:space="preserve"> </w:t>
      </w:r>
      <w:r>
        <w:t xml:space="preserve">are each selected from a</w:t>
      </w:r>
      <w:r>
        <w:t xml:space="preserve"> </w:t>
      </w:r>
      <w:r>
        <w:t xml:space="preserve">five-point ordinal scale (1 = Rare/Insignificant through 5 = Almost Certain/Severe), and the</w:t>
      </w:r>
      <w:r>
        <w:t xml:space="preserve"> </w:t>
      </w:r>
      <w:r>
        <w:t xml:space="preserve">composite score is their product:</w:t>
      </w:r>
    </w:p>
    <w:p>
      <w:pPr>
        <w:pStyle w:val="BodyText"/>
      </w:pPr>
      <m:oMathPara>
        <m:oMathParaPr>
          <m:jc m:val="center"/>
        </m:oMathParaPr>
        <m:oMath>
          <m:r>
            <m:t>S</m:t>
          </m:r>
          <m:r>
            <m:rPr>
              <m:sty m:val="p"/>
            </m:rPr>
            <m:t>=</m:t>
          </m:r>
          <m:r>
            <m:t>L</m:t>
          </m:r>
          <m:r>
            <m:rPr>
              <m:sty m:val="p"/>
            </m:rPr>
            <m:t>×</m:t>
          </m:r>
          <m:r>
            <m:t>I</m:t>
          </m:r>
          <m:r>
            <m:rPr>
              <m:sty m:val="p"/>
            </m:rPr>
            <m:t>,</m:t>
          </m:r>
          <m:r>
            <m:t>  </m:t>
          </m:r>
          <m:r>
            <m:t>L</m:t>
          </m:r>
          <m:r>
            <m:rPr>
              <m:sty m:val="p"/>
            </m:rPr>
            <m:t>,</m:t>
          </m:r>
          <m:r>
            <m:t>I</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  </m:t>
          </m:r>
          <m:r>
            <m:rPr>
              <m:nor/>
              <m:sty m:val="p"/>
            </m:rPr>
            <m:t>(1)</m:t>
          </m:r>
        </m:oMath>
      </m:oMathPara>
    </w:p>
    <w:p>
      <w:pPr>
        <w:pStyle w:val="FirstParagraph"/>
      </w:pPr>
      <m:oMath>
        <m:r>
          <m:t>S</m:t>
        </m:r>
      </m:oMath>
      <w:r>
        <w:t xml:space="preserve"> </w:t>
      </w:r>
      <w:r>
        <w:t xml:space="preserve">ranges from 1 to 25 and positions the risk on the 5x5 heatmap in Fig. 2, which also</w:t>
      </w:r>
      <w:r>
        <w:t xml:space="preserve"> </w:t>
      </w:r>
      <w:r>
        <w:t xml:space="preserve">classifies</w:t>
      </w:r>
      <w:r>
        <w:t xml:space="preserve"> </w:t>
      </w:r>
      <m:oMath>
        <m:r>
          <m:t>S</m:t>
        </m:r>
      </m:oMath>
      <w:r>
        <w:t xml:space="preserve"> </w:t>
      </w:r>
      <w:r>
        <w:t xml:space="preserve">into four qualitative bands (Low, Medium, High, Critical) used consistently</w:t>
      </w:r>
      <w:r>
        <w:t xml:space="preserve"> </w:t>
      </w:r>
      <w:r>
        <w:t xml:space="preserve">across the inherent, residual, and monitoring views.</w:t>
      </w:r>
    </w:p>
    <w:p>
      <w:pPr>
        <w:pStyle w:val="CaptionedFigure"/>
      </w:pPr>
      <w:r>
        <w:drawing>
          <wp:inline>
            <wp:extent cx="3018437" cy="2642279"/>
            <wp:effectExtent b="0" l="0" r="0" t="0"/>
            <wp:docPr descr="Composite score and qualitative bands." title="" id="25" name="Picture"/>
            <a:graphic>
              <a:graphicData uri="http://schemas.openxmlformats.org/drawingml/2006/picture">
                <pic:pic>
                  <pic:nvPicPr>
                    <pic:cNvPr descr="figures/fig2_bands.png" id="26" name="Picture"/>
                    <pic:cNvPicPr>
                      <a:picLocks noChangeArrowheads="1" noChangeAspect="1"/>
                    </pic:cNvPicPr>
                  </pic:nvPicPr>
                  <pic:blipFill>
                    <a:blip r:embed="rId24"/>
                    <a:stretch>
                      <a:fillRect/>
                    </a:stretch>
                  </pic:blipFill>
                  <pic:spPr bwMode="auto">
                    <a:xfrm>
                      <a:off x="0" y="0"/>
                      <a:ext cx="3018437" cy="2642279"/>
                    </a:xfrm>
                    <a:prstGeom prst="rect">
                      <a:avLst/>
                    </a:prstGeom>
                    <a:noFill/>
                    <a:ln w="9525">
                      <a:noFill/>
                      <a:headEnd/>
                      <a:tailEnd/>
                    </a:ln>
                  </pic:spPr>
                </pic:pic>
              </a:graphicData>
            </a:graphic>
          </wp:inline>
        </w:drawing>
      </w:r>
    </w:p>
    <w:p>
      <w:pPr>
        <w:pStyle w:val="ImageCaption"/>
      </w:pPr>
      <w:r>
        <w:t xml:space="preserve">Composite score and qualitative bands.</w:t>
      </w:r>
    </w:p>
    <w:p>
      <w:pPr>
        <w:pStyle w:val="BodyText"/>
      </w:pPr>
      <w:r>
        <w:rPr>
          <w:b/>
          <w:bCs/>
        </w:rPr>
        <w:t xml:space="preserve">Quantitative exposure.</w:t>
      </w:r>
      <w:r>
        <w:t xml:space="preserve"> </w:t>
      </w:r>
      <w:r>
        <w:t xml:space="preserve">In parallel, the platform computes a Single Loss Expectancy (SLE)</w:t>
      </w:r>
      <w:r>
        <w:t xml:space="preserve"> </w:t>
      </w:r>
      <w:r>
        <w:t xml:space="preserve">estimate directly from the same qualitative inputs, so every risk gets a first-order monetary</w:t>
      </w:r>
      <w:r>
        <w:t xml:space="preserve"> </w:t>
      </w:r>
      <w:r>
        <w:t xml:space="preserve">figure without the assessor having to separately estimate a dollar value:</w:t>
      </w:r>
    </w:p>
    <w:p>
      <w:pPr>
        <w:pStyle w:val="BodyText"/>
      </w:pPr>
      <m:oMathPara>
        <m:oMathParaPr>
          <m:jc m:val="center"/>
        </m:oMathParaPr>
        <m:oMath>
          <m:r>
            <m:rPr>
              <m:sty m:val="p"/>
            </m:rPr>
            <m:t>S</m:t>
          </m:r>
          <m:r>
            <m:rPr>
              <m:sty m:val="p"/>
            </m:rPr>
            <m:t>L</m:t>
          </m:r>
          <m:r>
            <m:rPr>
              <m:sty m:val="p"/>
            </m:rPr>
            <m:t>E</m:t>
          </m:r>
          <m:r>
            <m:rPr>
              <m:sty m:val="p"/>
            </m:rPr>
            <m:t>=</m:t>
          </m:r>
          <m:r>
            <m:t>L</m:t>
          </m:r>
          <m:r>
            <m:rPr>
              <m:sty m:val="p"/>
            </m:rPr>
            <m:t>×</m:t>
          </m:r>
          <m:r>
            <m:t>I</m:t>
          </m:r>
          <m:r>
            <m:rPr>
              <m:sty m:val="p"/>
            </m:rPr>
            <m:t>×</m:t>
          </m:r>
          <m:r>
            <m:t>10</m:t>
          </m:r>
          <m:r>
            <m:rPr>
              <m:sty m:val="p"/>
            </m:rPr>
            <m:t>,</m:t>
          </m:r>
          <m:r>
            <m:t>000</m:t>
          </m:r>
          <m:r>
            <m:t> </m:t>
          </m:r>
          <m:r>
            <m:t> </m:t>
          </m:r>
          <m:r>
            <m:rPr>
              <m:nor/>
              <m:sty m:val="p"/>
            </m:rPr>
            <m:t>(USD)</m:t>
          </m:r>
          <m:r>
            <m:t>  </m:t>
          </m:r>
          <m:r>
            <m:rPr>
              <m:nor/>
              <m:sty m:val="p"/>
            </m:rPr>
            <m:t>(2)</m:t>
          </m:r>
        </m:oMath>
      </m:oMathPara>
    </w:p>
    <w:p>
      <w:pPr>
        <w:pStyle w:val="FirstParagraph"/>
      </w:pPr>
      <w:r>
        <w:t xml:space="preserve">This is a deliberately simple linear proxy rather than a calibrated loss-distribution model;</w:t>
      </w:r>
      <w:r>
        <w:t xml:space="preserve"> </w:t>
      </w:r>
      <w:r>
        <w:t xml:space="preserve">Section XI discusses replacing it with an actuarial estimate.</w:t>
      </w:r>
    </w:p>
    <w:p>
      <w:pPr>
        <w:pStyle w:val="BodyText"/>
      </w:pPr>
      <w:r>
        <w:rPr>
          <w:b/>
          <w:bCs/>
        </w:rPr>
        <w:t xml:space="preserve">Residual adjustment.</w:t>
      </w:r>
      <w:r>
        <w:t xml:space="preserve"> </w:t>
      </w:r>
      <w:r>
        <w:t xml:space="preserve">When one or more controls are mapped to a risk, the platform’s</w:t>
      </w:r>
      <w:r>
        <w:t xml:space="preserve"> </w:t>
      </w:r>
      <w:r>
        <w:t xml:space="preserve">heatmap module currently applies a single-band step-down heuristic on each axis to derive the</w:t>
      </w:r>
      <w:r>
        <w:t xml:space="preserve"> </w:t>
      </w:r>
      <w:r>
        <w:t xml:space="preserve">residual position:</w:t>
      </w:r>
    </w:p>
    <w:p>
      <w:pPr>
        <w:pStyle w:val="BodyText"/>
      </w:pPr>
      <m:oMathPara>
        <m:oMathParaPr>
          <m:jc m:val="center"/>
        </m:oMathParaPr>
        <m:oMath>
          <m:sSub>
            <m:e>
              <m:r>
                <m:t>L</m:t>
              </m:r>
            </m:e>
            <m:sub>
              <m:r>
                <m:rPr>
                  <m:nor/>
                  <m:sty m:val="p"/>
                </m:rPr>
                <m:t>res</m:t>
              </m:r>
            </m:sub>
          </m:sSub>
          <m:r>
            <m:rPr>
              <m:sty m:val="p"/>
            </m:rPr>
            <m:t>=</m:t>
          </m:r>
          <m:r>
            <m:rPr>
              <m:sty m:val="p"/>
            </m:rPr>
            <m:t>max</m:t>
          </m:r>
          <m:r>
            <m:rPr>
              <m:sty m:val="p"/>
            </m:rPr>
            <m:t>(</m:t>
          </m:r>
          <m:r>
            <m:t>1</m:t>
          </m:r>
          <m:r>
            <m:rPr>
              <m:sty m:val="p"/>
            </m:rPr>
            <m:t>,</m:t>
          </m:r>
          <m:r>
            <m:t> </m:t>
          </m:r>
          <m:r>
            <m:t>L</m:t>
          </m:r>
          <m:r>
            <m:rPr>
              <m:sty m:val="p"/>
            </m:rPr>
            <m:t>−</m:t>
          </m:r>
          <m:r>
            <m:t>1</m:t>
          </m:r>
          <m:r>
            <m:rPr>
              <m:sty m:val="p"/>
            </m:rPr>
            <m:t>)</m:t>
          </m:r>
          <m:r>
            <m:rPr>
              <m:sty m:val="p"/>
            </m:rPr>
            <m:t>,</m:t>
          </m:r>
          <m:r>
            <m:t>  </m:t>
          </m:r>
          <m:sSub>
            <m:e>
              <m:r>
                <m:t>I</m:t>
              </m:r>
            </m:e>
            <m:sub>
              <m:r>
                <m:rPr>
                  <m:nor/>
                  <m:sty m:val="p"/>
                </m:rPr>
                <m:t>res</m:t>
              </m:r>
            </m:sub>
          </m:sSub>
          <m:r>
            <m:rPr>
              <m:sty m:val="p"/>
            </m:rPr>
            <m:t>=</m:t>
          </m:r>
          <m:r>
            <m:rPr>
              <m:sty m:val="p"/>
            </m:rPr>
            <m:t>max</m:t>
          </m:r>
          <m:r>
            <m:rPr>
              <m:sty m:val="p"/>
            </m:rPr>
            <m:t>(</m:t>
          </m:r>
          <m:r>
            <m:t>1</m:t>
          </m:r>
          <m:r>
            <m:rPr>
              <m:sty m:val="p"/>
            </m:rPr>
            <m:t>,</m:t>
          </m:r>
          <m:r>
            <m:t> </m:t>
          </m:r>
          <m:r>
            <m:t>I</m:t>
          </m:r>
          <m:r>
            <m:rPr>
              <m:sty m:val="p"/>
            </m:rPr>
            <m:t>−</m:t>
          </m:r>
          <m:r>
            <m:t>1</m:t>
          </m:r>
          <m:r>
            <m:rPr>
              <m:sty m:val="p"/>
            </m:rPr>
            <m:t>)</m:t>
          </m:r>
          <m:r>
            <m:t>  </m:t>
          </m:r>
          <m:r>
            <m:rPr>
              <m:nor/>
              <m:sty m:val="p"/>
            </m:rPr>
            <m:t>(3)</m:t>
          </m:r>
        </m:oMath>
      </m:oMathPara>
    </w:p>
    <w:p>
      <w:pPr>
        <w:pStyle w:val="FirstParagraph"/>
      </w:pPr>
      <w:r>
        <w:t xml:space="preserve">This adjustment holds regardless of the mapped control’s recorded design-effectiveness</w:t>
      </w:r>
      <w:r>
        <w:t xml:space="preserve"> </w:t>
      </w:r>
      <w:r>
        <w:t xml:space="preserve">percentage, a known simplification rather than a final design choice. Section XI proposes</w:t>
      </w:r>
      <w:r>
        <w:t xml:space="preserve"> </w:t>
      </w:r>
      <w:r>
        <w:t xml:space="preserve">replacing Eq. (3) with a continuous, effectiveness-weighted reduction once the platform has</w:t>
      </w:r>
      <w:r>
        <w:t xml:space="preserve"> </w:t>
      </w:r>
      <w:r>
        <w:t xml:space="preserve">collected enough control-effectiveness history to calibrate one.</w:t>
      </w:r>
    </w:p>
    <w:p>
      <w:pPr>
        <w:pStyle w:val="BodyText"/>
      </w:pPr>
      <w:r>
        <w:rPr>
          <w:b/>
          <w:bCs/>
        </w:rPr>
        <w:t xml:space="preserve">Risk response taxonomy.</w:t>
      </w:r>
      <w:r>
        <w:t xml:space="preserve"> </w:t>
      </w:r>
      <w:r>
        <w:t xml:space="preserve">Once a residual position is established, the risk owner selects a</w:t>
      </w:r>
      <w:r>
        <w:t xml:space="preserve"> </w:t>
      </w:r>
      <w:r>
        <w:t xml:space="preserve">treatment strategy from the ISO 31000-aligned taxonomy in Table III [1].</w:t>
      </w:r>
    </w:p>
    <w:p>
      <w:pPr>
        <w:pStyle w:val="BodyText"/>
      </w:pPr>
      <w:r>
        <w:rPr>
          <w:b/>
          <w:bCs/>
        </w:rPr>
        <w:t xml:space="preserve">Table III. Risk Response Taxonomy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Definition</w:t>
            </w:r>
          </w:p>
        </w:tc>
      </w:tr>
      <w:tr>
        <w:tc>
          <w:tcPr/>
          <w:p>
            <w:pPr>
              <w:pStyle w:val="Compact"/>
            </w:pPr>
            <w:r>
              <w:t xml:space="preserve">Mitigate</w:t>
            </w:r>
          </w:p>
        </w:tc>
        <w:tc>
          <w:tcPr/>
          <w:p>
            <w:pPr>
              <w:pStyle w:val="Compact"/>
            </w:pPr>
            <w:r>
              <w:t xml:space="preserve">Reduce likelihood or impact through additional or strengthened controls</w:t>
            </w:r>
          </w:p>
        </w:tc>
      </w:tr>
      <w:tr>
        <w:tc>
          <w:tcPr/>
          <w:p>
            <w:pPr>
              <w:pStyle w:val="Compact"/>
            </w:pPr>
            <w:r>
              <w:t xml:space="preserve">Accept</w:t>
            </w:r>
          </w:p>
        </w:tc>
        <w:tc>
          <w:tcPr/>
          <w:p>
            <w:pPr>
              <w:pStyle w:val="Compact"/>
            </w:pPr>
            <w:r>
              <w:t xml:space="preserve">Formally acknowledge and retain the risk within stated appetite, with sign-off</w:t>
            </w:r>
          </w:p>
        </w:tc>
      </w:tr>
      <w:tr>
        <w:tc>
          <w:tcPr/>
          <w:p>
            <w:pPr>
              <w:pStyle w:val="Compact"/>
            </w:pPr>
            <w:r>
              <w:t xml:space="preserve">Avoid</w:t>
            </w:r>
          </w:p>
        </w:tc>
        <w:tc>
          <w:tcPr/>
          <w:p>
            <w:pPr>
              <w:pStyle w:val="Compact"/>
            </w:pPr>
            <w:r>
              <w:t xml:space="preserve">Eliminate the risk by discontinuing the underlying activity</w:t>
            </w:r>
          </w:p>
        </w:tc>
      </w:tr>
      <w:tr>
        <w:tc>
          <w:tcPr/>
          <w:p>
            <w:pPr>
              <w:pStyle w:val="Compact"/>
            </w:pPr>
            <w:r>
              <w:t xml:space="preserve">Transfer</w:t>
            </w:r>
          </w:p>
        </w:tc>
        <w:tc>
          <w:tcPr/>
          <w:p>
            <w:pPr>
              <w:pStyle w:val="Compact"/>
            </w:pPr>
            <w:r>
              <w:t xml:space="preserve">Shift the financial consequence via insurance, contract, or outsourcing</w:t>
            </w:r>
          </w:p>
        </w:tc>
      </w:tr>
    </w:tbl>
    <w:bookmarkEnd w:id="27"/>
    <w:bookmarkStart w:id="28" w:name="system-workflow"/>
    <w:p>
      <w:pPr>
        <w:pStyle w:val="Heading1"/>
      </w:pPr>
      <w:r>
        <w:t xml:space="preserve">System Workflow</w:t>
      </w:r>
    </w:p>
    <w:p>
      <w:pPr>
        <w:pStyle w:val="FirstParagraph"/>
      </w:pPr>
      <w:r>
        <w:t xml:space="preserve">A risk moves through the pipeline in Procedure 1 from initial identification to closed-loop</w:t>
      </w:r>
      <w:r>
        <w:t xml:space="preserve"> </w:t>
      </w:r>
      <w:r>
        <w:t xml:space="preserve">monitoring, and every transition along the way is subject to the attribution and audit</w:t>
      </w:r>
      <w:r>
        <w:t xml:space="preserve"> </w:t>
      </w:r>
      <w:r>
        <w:t xml:space="preserve">requirements described in Section IV-C.</w:t>
      </w:r>
    </w:p>
    <w:p>
      <w:pPr>
        <w:pStyle w:val="BodyText"/>
      </w:pPr>
      <w:r>
        <w:rPr>
          <w:b/>
          <w:bCs/>
        </w:rPr>
        <w:t xml:space="preserve">Procedure 1: RCSA-to-Monitoring Pipeline</w:t>
      </w:r>
    </w:p>
    <w:p>
      <w:pPr>
        <w:pStyle w:val="Compact"/>
        <w:numPr>
          <w:ilvl w:val="0"/>
          <w:numId w:val="1002"/>
        </w:numPr>
      </w:pPr>
      <w:r>
        <w:rPr>
          <w:i/>
          <w:iCs/>
        </w:rPr>
        <w:t xml:space="preserve">Identify</w:t>
      </w:r>
      <w:r>
        <w:t xml:space="preserve">: an analyst records a candidate risk against a business process and risk</w:t>
      </w:r>
      <w:r>
        <w:t xml:space="preserve"> </w:t>
      </w:r>
      <w:r>
        <w:t xml:space="preserve">category (</w:t>
      </w:r>
      <w:r>
        <w:rPr>
          <w:rStyle w:val="VerbatimChar"/>
        </w:rPr>
        <w:t xml:space="preserve">per_trn_identify_risk</w:t>
      </w:r>
      <w:r>
        <w:t xml:space="preserve">).</w:t>
      </w:r>
    </w:p>
    <w:p>
      <w:pPr>
        <w:pStyle w:val="Compact"/>
        <w:numPr>
          <w:ilvl w:val="0"/>
          <w:numId w:val="1002"/>
        </w:numPr>
      </w:pPr>
      <w:r>
        <w:rPr>
          <w:i/>
          <w:iCs/>
        </w:rPr>
        <w:t xml:space="preserve">Inherent Assessment</w:t>
      </w:r>
      <w:r>
        <w:t xml:space="preserve">: qualitative Likelihood/Impact are selected;</w:t>
      </w:r>
      <w:r>
        <w:t xml:space="preserve"> </w:t>
      </w:r>
      <m:oMath>
        <m:r>
          <m:t>S</m:t>
        </m:r>
      </m:oMath>
      <w:r>
        <w:t xml:space="preserve"> </w:t>
      </w:r>
      <w:r>
        <w:t xml:space="preserve">and SLE are computed</w:t>
      </w:r>
      <w:r>
        <w:t xml:space="preserve"> </w:t>
      </w:r>
      <w:r>
        <w:t xml:space="preserve">via Eq. (1)-(2) and the risk is plotted on the inherent heatmap.</w:t>
      </w:r>
    </w:p>
    <w:p>
      <w:pPr>
        <w:pStyle w:val="Compact"/>
        <w:numPr>
          <w:ilvl w:val="0"/>
          <w:numId w:val="1002"/>
        </w:numPr>
      </w:pPr>
      <w:r>
        <w:rPr>
          <w:i/>
          <w:iCs/>
        </w:rPr>
        <w:t xml:space="preserve">Control Mapping</w:t>
      </w:r>
      <w:r>
        <w:t xml:space="preserve">: existing or planned controls are linked via</w:t>
      </w:r>
      <w:r>
        <w:t xml:space="preserve"> </w:t>
      </w:r>
      <w:r>
        <w:rPr>
          <w:rStyle w:val="VerbatimChar"/>
        </w:rPr>
        <w:t xml:space="preserve">per_trn_control_implementation</w:t>
      </w:r>
      <w:r>
        <w:t xml:space="preserve">, each carrying a design-effectiveness percentage.</w:t>
      </w:r>
    </w:p>
    <w:p>
      <w:pPr>
        <w:pStyle w:val="Compact"/>
        <w:numPr>
          <w:ilvl w:val="0"/>
          <w:numId w:val="1002"/>
        </w:numPr>
      </w:pPr>
      <w:r>
        <w:rPr>
          <w:i/>
          <w:iCs/>
        </w:rPr>
        <w:t xml:space="preserve">Residual Assessment</w:t>
      </w:r>
      <w:r>
        <w:t xml:space="preserve">: Eq. (3) discounts the inherent position to a residual position,</w:t>
      </w:r>
      <w:r>
        <w:t xml:space="preserve"> </w:t>
      </w:r>
      <w:r>
        <w:t xml:space="preserve">replotted on the residual heatmap.</w:t>
      </w:r>
    </w:p>
    <w:p>
      <w:pPr>
        <w:pStyle w:val="Compact"/>
        <w:numPr>
          <w:ilvl w:val="0"/>
          <w:numId w:val="1002"/>
        </w:numPr>
      </w:pPr>
      <w:r>
        <w:rPr>
          <w:i/>
          <w:iCs/>
        </w:rPr>
        <w:t xml:space="preserve">Response Selection</w:t>
      </w:r>
      <w:r>
        <w:t xml:space="preserve">: the owner selects a strategy from Table III and records a mitigation</w:t>
      </w:r>
      <w:r>
        <w:t xml:space="preserve"> </w:t>
      </w:r>
      <w:r>
        <w:t xml:space="preserve">plan.</w:t>
      </w:r>
    </w:p>
    <w:p>
      <w:pPr>
        <w:pStyle w:val="Compact"/>
        <w:numPr>
          <w:ilvl w:val="0"/>
          <w:numId w:val="1002"/>
        </w:numPr>
      </w:pPr>
      <w:r>
        <w:rPr>
          <w:i/>
          <w:iCs/>
        </w:rPr>
        <w:t xml:space="preserve">Governance Approval</w:t>
      </w:r>
      <w:r>
        <w:t xml:space="preserve">: the change is routed through the maker-checker workflow module, and</w:t>
      </w:r>
      <w:r>
        <w:t xml:space="preserve"> </w:t>
      </w:r>
      <w:r>
        <w:t xml:space="preserve">every approver’s decision (Approved / Rejected / Pending) is appended to the approval chain</w:t>
      </w:r>
      <w:r>
        <w:t xml:space="preserve"> </w:t>
      </w:r>
      <w:r>
        <w:t xml:space="preserve">before the change takes effect.</w:t>
      </w:r>
    </w:p>
    <w:p>
      <w:pPr>
        <w:pStyle w:val="Compact"/>
        <w:numPr>
          <w:ilvl w:val="0"/>
          <w:numId w:val="1002"/>
        </w:numPr>
      </w:pPr>
      <w:r>
        <w:rPr>
          <w:i/>
          <w:iCs/>
        </w:rPr>
        <w:t xml:space="preserve">Monitoring</w:t>
      </w:r>
      <w:r>
        <w:t xml:space="preserve">: once approved, the risk enters continuous monitoring against configured KRI/</w:t>
      </w:r>
      <w:r>
        <w:t xml:space="preserve"> </w:t>
      </w:r>
      <w:r>
        <w:t xml:space="preserve">KPI thresholds (</w:t>
      </w:r>
      <w:r>
        <w:rPr>
          <w:rStyle w:val="VerbatimChar"/>
        </w:rPr>
        <w:t xml:space="preserve">erm_trn_kri_readings</w:t>
      </w:r>
      <w:r>
        <w:t xml:space="preserve">,</w:t>
      </w:r>
      <w:r>
        <w:t xml:space="preserve"> </w:t>
      </w:r>
      <w:r>
        <w:rPr>
          <w:rStyle w:val="VerbatimChar"/>
        </w:rPr>
        <w:t xml:space="preserve">erm_trn_kpi_actuals</w:t>
      </w:r>
      <w:r>
        <w:t xml:space="preserve">), and action plans are tracked</w:t>
      </w:r>
      <w:r>
        <w:t xml:space="preserve"> </w:t>
      </w:r>
      <w:r>
        <w:t xml:space="preserve">to closure.</w:t>
      </w:r>
    </w:p>
    <w:p>
      <w:pPr>
        <w:pStyle w:val="Compact"/>
        <w:numPr>
          <w:ilvl w:val="0"/>
          <w:numId w:val="1002"/>
        </w:numPr>
      </w:pPr>
      <w:r>
        <w:rPr>
          <w:i/>
          <w:iCs/>
        </w:rPr>
        <w:t xml:space="preserve">Audit</w:t>
      </w:r>
      <w:r>
        <w:t xml:space="preserve">: every state transition in steps 1-7 is appended, with actor identity and a</w:t>
      </w:r>
      <w:r>
        <w:t xml:space="preserve"> </w:t>
      </w:r>
      <w:r>
        <w:t xml:space="preserve">before-and-after snapshot, to the audit trail, independent of which architectural tier</w:t>
      </w:r>
      <w:r>
        <w:t xml:space="preserve"> </w:t>
      </w:r>
      <w:r>
        <w:t xml:space="preserve">ultimately serviced the write.</w:t>
      </w:r>
    </w:p>
    <w:bookmarkEnd w:id="28"/>
    <w:bookmarkStart w:id="32" w:name="functional-module-inventory"/>
    <w:p>
      <w:pPr>
        <w:pStyle w:val="Heading1"/>
      </w:pPr>
      <w:r>
        <w:t xml:space="preserve">Functional Module Inventory</w:t>
      </w:r>
    </w:p>
    <w:p>
      <w:pPr>
        <w:pStyle w:val="FirstParagraph"/>
      </w:pPr>
      <w:r>
        <w:t xml:space="preserve">The platform currently comprises 25 routed application areas built across 42 page-level React</w:t>
      </w:r>
      <w:r>
        <w:t xml:space="preserve"> </w:t>
      </w:r>
      <w:r>
        <w:t xml:space="preserve">components, roughly 23,000 lines of TypeScript/TSX in total. Fig. 3 groups them into five</w:t>
      </w:r>
      <w:r>
        <w:t xml:space="preserve"> </w:t>
      </w:r>
      <w:r>
        <w:t xml:space="preserve">functional domains. The core RCSA pipeline, identification through response, accounts for 16</w:t>
      </w:r>
      <w:r>
        <w:t xml:space="preserve"> </w:t>
      </w:r>
      <w:r>
        <w:t xml:space="preserve">components, the largest single group. Monitoring and KRI functionality (KRI configuration, the</w:t>
      </w:r>
      <w:r>
        <w:t xml:space="preserve"> </w:t>
      </w:r>
      <w:r>
        <w:t xml:space="preserve">KRI matrix, KRI intelligence, action-plan and actions-hierarchy monitoring, heatmaps) makes up</w:t>
      </w:r>
      <w:r>
        <w:t xml:space="preserve"> </w:t>
      </w:r>
      <w:r>
        <w:t xml:space="preserve">nine. Governance and appetite (risk appetite, appetite framework, the maker-checker workflow,</w:t>
      </w:r>
      <w:r>
        <w:t xml:space="preserve"> </w:t>
      </w:r>
      <w:r>
        <w:t xml:space="preserve">audit trail, policy management) accounts for six, matched by a separate set of extended GRC</w:t>
      </w:r>
      <w:r>
        <w:t xml:space="preserve"> </w:t>
      </w:r>
      <w:r>
        <w:t xml:space="preserve">domains added after the initial RCSA core: control library, incident management, business</w:t>
      </w:r>
      <w:r>
        <w:t xml:space="preserve"> </w:t>
      </w:r>
      <w:r>
        <w:t xml:space="preserve">continuity planning, vendor/third-party risk, scenario analysis, and asset library. The</w:t>
      </w:r>
      <w:r>
        <w:t xml:space="preserve"> </w:t>
      </w:r>
      <w:r>
        <w:t xml:space="preserve">remaining five components form the administrative layer: dashboard, reports, settings, user</w:t>
      </w:r>
      <w:r>
        <w:t xml:space="preserve"> </w:t>
      </w:r>
      <w:r>
        <w:t xml:space="preserve">management, and authentication.</w:t>
      </w:r>
    </w:p>
    <w:p>
      <w:pPr>
        <w:pStyle w:val="CaptionedFigure"/>
      </w:pPr>
      <w:r>
        <w:drawing>
          <wp:inline>
            <wp:extent cx="2987855" cy="2293645"/>
            <wp:effectExtent b="0" l="0" r="0" t="0"/>
            <wp:docPr descr="Module distribution across five domains." title="" id="30" name="Picture"/>
            <a:graphic>
              <a:graphicData uri="http://schemas.openxmlformats.org/drawingml/2006/picture">
                <pic:pic>
                  <pic:nvPicPr>
                    <pic:cNvPr descr="figures/fig3_modules.png" id="31" name="Picture"/>
                    <pic:cNvPicPr>
                      <a:picLocks noChangeArrowheads="1" noChangeAspect="1"/>
                    </pic:cNvPicPr>
                  </pic:nvPicPr>
                  <pic:blipFill>
                    <a:blip r:embed="rId29"/>
                    <a:stretch>
                      <a:fillRect/>
                    </a:stretch>
                  </pic:blipFill>
                  <pic:spPr bwMode="auto">
                    <a:xfrm>
                      <a:off x="0" y="0"/>
                      <a:ext cx="2987855" cy="2293645"/>
                    </a:xfrm>
                    <a:prstGeom prst="rect">
                      <a:avLst/>
                    </a:prstGeom>
                    <a:noFill/>
                    <a:ln w="9525">
                      <a:noFill/>
                      <a:headEnd/>
                      <a:tailEnd/>
                    </a:ln>
                  </pic:spPr>
                </pic:pic>
              </a:graphicData>
            </a:graphic>
          </wp:inline>
        </w:drawing>
      </w:r>
    </w:p>
    <w:p>
      <w:pPr>
        <w:pStyle w:val="ImageCaption"/>
      </w:pPr>
      <w:r>
        <w:t xml:space="preserve">Module distribution across five domains.</w:t>
      </w:r>
    </w:p>
    <w:bookmarkEnd w:id="32"/>
    <w:bookmarkStart w:id="36" w:name="resilience-and-data-quality-engineering"/>
    <w:p>
      <w:pPr>
        <w:pStyle w:val="Heading1"/>
      </w:pPr>
      <w:r>
        <w:t xml:space="preserve">Resilience and Data-Quality Engineering</w:t>
      </w:r>
    </w:p>
    <w:bookmarkStart w:id="33" w:name="backend-for-frontend-fault-tolerance"/>
    <w:p>
      <w:pPr>
        <w:pStyle w:val="Heading2"/>
      </w:pPr>
      <w:r>
        <w:t xml:space="preserve">Backend-for-Frontend Fault Tolerance</w:t>
      </w:r>
    </w:p>
    <w:p>
      <w:pPr>
        <w:pStyle w:val="FirstParagraph"/>
      </w:pPr>
      <w:r>
        <w:t xml:space="preserve">The Express BFF (Section IV-A) is written so that no single request can hang forever. Every</w:t>
      </w:r>
      <w:r>
        <w:t xml:space="preserve"> </w:t>
      </w:r>
      <w:r>
        <w:t xml:space="preserve">upstream ORDS call sits inside an 8-second timeout, and every successful mutation is mirrored</w:t>
      </w:r>
      <w:r>
        <w:t xml:space="preserve"> </w:t>
      </w:r>
      <w:r>
        <w:t xml:space="preserve">into an in-memory shadow store, so a later read against the same table still returns a</w:t>
      </w:r>
      <w:r>
        <w:t xml:space="preserve"> </w:t>
      </w:r>
      <w:r>
        <w:t xml:space="preserve">deterministic result even if ORDS happens to be unreachable at that exact moment. Bounding</w:t>
      </w:r>
      <w:r>
        <w:t xml:space="preserve"> </w:t>
      </w:r>
      <w:r>
        <w:t xml:space="preserve">failure with an explicit timeout, instead of an indefinite hang, and falling back to something</w:t>
      </w:r>
      <w:r>
        <w:t xml:space="preserve"> </w:t>
      </w:r>
      <w:r>
        <w:t xml:space="preserve">degraded but defined, instead of an opaque error, is not a novel idea on its own. It reflects</w:t>
      </w:r>
      <w:r>
        <w:t xml:space="preserve"> </w:t>
      </w:r>
      <w:r>
        <w:t xml:space="preserve">fairly standard production-resilience practice for any system that depends on an external,</w:t>
      </w:r>
      <w:r>
        <w:t xml:space="preserve"> </w:t>
      </w:r>
      <w:r>
        <w:t xml:space="preserve">occasionally slow upstream [6], [9]. What matters here is that the platform applies it</w:t>
      </w:r>
      <w:r>
        <w:t xml:space="preserve"> </w:t>
      </w:r>
      <w:r>
        <w:t xml:space="preserve">consistently rather than assuming ORDS will always answer promptly.</w:t>
      </w:r>
    </w:p>
    <w:bookmarkEnd w:id="33"/>
    <w:bookmarkStart w:id="34" w:name="documented-defect-remediation"/>
    <w:p>
      <w:pPr>
        <w:pStyle w:val="Heading2"/>
      </w:pPr>
      <w:r>
        <w:t xml:space="preserve">Documented Defect Remediation</w:t>
      </w:r>
    </w:p>
    <w:p>
      <w:pPr>
        <w:pStyle w:val="FirstParagraph"/>
      </w:pPr>
      <w:r>
        <w:t xml:space="preserve">A production QA pass against the platform turned up five defect classes, all now closed and</w:t>
      </w:r>
      <w:r>
        <w:t xml:space="preserve"> </w:t>
      </w:r>
      <w:r>
        <w:t xml:space="preserve">summarized in Table IV. We include this table specifically because it is real evidence of</w:t>
      </w:r>
      <w:r>
        <w:t xml:space="preserve"> </w:t>
      </w:r>
      <w:r>
        <w:t xml:space="preserve">engineering maturity rather than a claimed benchmark. Each row is an actual fix sitting in the</w:t>
      </w:r>
      <w:r>
        <w:t xml:space="preserve"> </w:t>
      </w:r>
      <w:r>
        <w:t xml:space="preserve">current codebase, still referenced there by the same defect identifiers used internally during</w:t>
      </w:r>
      <w:r>
        <w:t xml:space="preserve"> </w:t>
      </w:r>
      <w:r>
        <w:t xml:space="preserve">hardening.</w:t>
      </w:r>
    </w:p>
    <w:p>
      <w:pPr>
        <w:pStyle w:val="BodyText"/>
      </w:pPr>
      <w:r>
        <w:rPr>
          <w:b/>
          <w:bCs/>
        </w:rPr>
        <w:t xml:space="preserve">Table IV. Documented Defect Remediation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Symptom</w:t>
            </w:r>
          </w:p>
        </w:tc>
        <w:tc>
          <w:tcPr/>
          <w:p>
            <w:pPr>
              <w:pStyle w:val="Compact"/>
            </w:pPr>
            <w:r>
              <w:t xml:space="preserve">Remediation</w:t>
            </w:r>
          </w:p>
        </w:tc>
      </w:tr>
      <w:tr>
        <w:tc>
          <w:tcPr/>
          <w:p>
            <w:pPr>
              <w:pStyle w:val="Compact"/>
            </w:pPr>
            <w:r>
              <w:t xml:space="preserve">REC-01</w:t>
            </w:r>
          </w:p>
        </w:tc>
        <w:tc>
          <w:tcPr/>
          <w:p>
            <w:pPr>
              <w:pStyle w:val="Compact"/>
            </w:pPr>
            <w:r>
              <w:t xml:space="preserve">Create/Update requests hung indefinitely when ORDS stalled</w:t>
            </w:r>
          </w:p>
        </w:tc>
        <w:tc>
          <w:tcPr/>
          <w:p>
            <w:pPr>
              <w:pStyle w:val="Compact"/>
            </w:pPr>
            <w:r>
              <w:t xml:space="preserve">Bounded 8s timeout + shadow-store fallback + explicit error response</w:t>
            </w:r>
          </w:p>
        </w:tc>
      </w:tr>
      <w:tr>
        <w:tc>
          <w:tcPr/>
          <w:p>
            <w:pPr>
              <w:pStyle w:val="Compact"/>
            </w:pPr>
            <w:r>
              <w:t xml:space="preserve">REC-04</w:t>
            </w:r>
          </w:p>
        </w:tc>
        <w:tc>
          <w:tcPr/>
          <w:p>
            <w:pPr>
              <w:pStyle w:val="Compact"/>
            </w:pPr>
            <w:r>
              <w:t xml:space="preserve">Report endpoints occasionally bound to empty result sets</w:t>
            </w:r>
          </w:p>
        </w:tc>
        <w:tc>
          <w:tcPr/>
          <w:p>
            <w:pPr>
              <w:pStyle w:val="Compact"/>
            </w:pPr>
            <w:r>
              <w:t xml:space="preserve">Guaranteed non-empty data binding at the report-query layer</w:t>
            </w:r>
          </w:p>
        </w:tc>
      </w:tr>
      <w:tr>
        <w:tc>
          <w:tcPr/>
          <w:p>
            <w:pPr>
              <w:pStyle w:val="Compact"/>
            </w:pPr>
            <w:r>
              <w:t xml:space="preserve">REC-07</w:t>
            </w:r>
          </w:p>
        </w:tc>
        <w:tc>
          <w:tcPr/>
          <w:p>
            <w:pPr>
              <w:pStyle w:val="Compact"/>
            </w:pPr>
            <w:r>
              <w:t xml:space="preserve">Audit entries were attributed to a generic</w:t>
            </w:r>
            <w:r>
              <w:t xml:space="preserve"> </w:t>
            </w:r>
            <w:r>
              <w:t xml:space="preserve">“System”</w:t>
            </w:r>
            <w:r>
              <w:t xml:space="preserve"> </w:t>
            </w:r>
            <w:r>
              <w:t xml:space="preserve">actor</w:t>
            </w:r>
          </w:p>
        </w:tc>
        <w:tc>
          <w:tcPr/>
          <w:p>
            <w:pPr>
              <w:pStyle w:val="Compact"/>
            </w:pPr>
            <w:r>
              <w:t xml:space="preserve">Per-request</w:t>
            </w:r>
            <w:r>
              <w:t xml:space="preserve"> </w:t>
            </w:r>
            <w:r>
              <w:rPr>
                <w:rStyle w:val="VerbatimChar"/>
              </w:rPr>
              <w:t xml:space="preserve">X-User-*</w:t>
            </w:r>
            <w:r>
              <w:t xml:space="preserve"> </w:t>
            </w:r>
            <w:r>
              <w:t xml:space="preserve">headers propagated to every mutating call</w:t>
            </w:r>
          </w:p>
        </w:tc>
      </w:tr>
      <w:tr>
        <w:tc>
          <w:tcPr/>
          <w:p>
            <w:pPr>
              <w:pStyle w:val="Compact"/>
            </w:pPr>
            <w:r>
              <w:t xml:space="preserve">REC-10</w:t>
            </w:r>
          </w:p>
        </w:tc>
        <w:tc>
          <w:tcPr/>
          <w:p>
            <w:pPr>
              <w:pStyle w:val="Compact"/>
            </w:pPr>
            <w:r>
              <w:t xml:space="preserve">Free-text fields accepted keyboard-mash/junk input</w:t>
            </w:r>
          </w:p>
        </w:tc>
        <w:tc>
          <w:tcPr/>
          <w:p>
            <w:pPr>
              <w:pStyle w:val="Compact"/>
            </w:pPr>
            <w:r>
              <w:t xml:space="preserve">Consonant-run and vowel-ratio heuristic rejects low-entropy strings</w:t>
            </w:r>
          </w:p>
        </w:tc>
      </w:tr>
      <w:tr>
        <w:tc>
          <w:tcPr/>
          <w:p>
            <w:pPr>
              <w:pStyle w:val="Compact"/>
            </w:pPr>
            <w:r>
              <w:t xml:space="preserve">SEC-01/06</w:t>
            </w:r>
          </w:p>
        </w:tc>
        <w:tc>
          <w:tcPr/>
          <w:p>
            <w:pPr>
              <w:pStyle w:val="Compact"/>
            </w:pPr>
            <w:r>
              <w:t xml:space="preserve">Missing boundary validation risked malformed upstream writes</w:t>
            </w:r>
          </w:p>
        </w:tc>
        <w:tc>
          <w:tcPr/>
          <w:p>
            <w:pPr>
              <w:pStyle w:val="Compact"/>
            </w:pPr>
            <w:r>
              <w:t xml:space="preserve">Schema-level required-field and type validation before every write</w:t>
            </w:r>
          </w:p>
        </w:tc>
      </w:tr>
    </w:tbl>
    <w:bookmarkEnd w:id="34"/>
    <w:bookmarkStart w:id="35" w:name="database-level-hardening"/>
    <w:p>
      <w:pPr>
        <w:pStyle w:val="Heading2"/>
      </w:pPr>
      <w:r>
        <w:t xml:space="preserve">Database-Level Hardening</w:t>
      </w:r>
    </w:p>
    <w:p>
      <w:pPr>
        <w:pStyle w:val="FirstParagraph"/>
      </w:pPr>
      <w:r>
        <w:t xml:space="preserve">A separate problem surfaced at the database tier itself. An invalid PL/SQL trigger (Oracle</w:t>
      </w:r>
      <w:r>
        <w:t xml:space="preserve"> </w:t>
      </w:r>
      <w:r>
        <w:t xml:space="preserve">error ORA-04098) blocked every INSERT/UPDATE against the</w:t>
      </w:r>
      <w:r>
        <w:t xml:space="preserve"> </w:t>
      </w:r>
      <w:r>
        <w:rPr>
          <w:rStyle w:val="VerbatimChar"/>
        </w:rPr>
        <w:t xml:space="preserve">PER_TRN_*</w:t>
      </w:r>
      <w:r>
        <w:t xml:space="preserve"> </w:t>
      </w:r>
      <w:r>
        <w:t xml:space="preserve">tables. We wrote an</w:t>
      </w:r>
      <w:r>
        <w:t xml:space="preserve"> </w:t>
      </w:r>
      <w:r>
        <w:t xml:space="preserve">idempotent SQL remediation script to address it. The script diagnoses invalid objects and</w:t>
      </w:r>
      <w:r>
        <w:t xml:space="preserve"> </w:t>
      </w:r>
      <w:r>
        <w:t xml:space="preserve">compile errors, recompiles them, and runs eight data-quality checks (DQ-01 through DQ-08) that</w:t>
      </w:r>
      <w:r>
        <w:t xml:space="preserve"> </w:t>
      </w:r>
      <w:r>
        <w:t xml:space="preserve">clean up corrupt or orphaned rows without touching anything that is provably valid. Because the</w:t>
      </w:r>
      <w:r>
        <w:t xml:space="preserve"> </w:t>
      </w:r>
      <w:r>
        <w:t xml:space="preserve">script is idempotent, it can be re-run safely whenever a new data-quality issue turns up,</w:t>
      </w:r>
      <w:r>
        <w:t xml:space="preserve"> </w:t>
      </w:r>
      <w:r>
        <w:t xml:space="preserve">rather than requiring a bespoke fix each time.</w:t>
      </w:r>
    </w:p>
    <w:bookmarkEnd w:id="35"/>
    <w:bookmarkEnd w:id="36"/>
    <w:bookmarkStart w:id="40" w:name="Xde4659a20b57dceda0542a548d889a655d33c22"/>
    <w:p>
      <w:pPr>
        <w:pStyle w:val="Heading1"/>
      </w:pPr>
      <w:r>
        <w:t xml:space="preserve">Comparative Analysis: Pericope ERM vs. Conventional Approaches</w:t>
      </w:r>
    </w:p>
    <w:p>
      <w:pPr>
        <w:pStyle w:val="FirstParagraph"/>
      </w:pPr>
      <w:r>
        <w:t xml:space="preserve">To position Pericope ERM structurally against the two dominant conventional approaches, Table V</w:t>
      </w:r>
      <w:r>
        <w:t xml:space="preserve"> </w:t>
      </w:r>
      <w:r>
        <w:t xml:space="preserve">compares seven governance-relevant dimensions: full risk-lifecycle coverage, combined</w:t>
      </w:r>
      <w:r>
        <w:t xml:space="preserve"> </w:t>
      </w:r>
      <w:r>
        <w:t xml:space="preserve">quantitative and qualitative scoring, an automated and immutable audit trail, maker-checker</w:t>
      </w:r>
      <w:r>
        <w:t xml:space="preserve"> </w:t>
      </w:r>
      <w:r>
        <w:t xml:space="preserve">segregation of duties, real-time KRI/KPI monitoring, resilience under degraded or offline</w:t>
      </w:r>
      <w:r>
        <w:t xml:space="preserve"> </w:t>
      </w:r>
      <w:r>
        <w:t xml:space="preserve">connectivity, and low total cost of ownership. As in Section III, each dimension is scored</w:t>
      </w:r>
      <w:r>
        <w:t xml:space="preserve"> </w:t>
      </w:r>
      <w:r>
        <w:t xml:space="preserve">None = 0, Partial = 1, Full = 2, and summed across all seven for a maximum possible score of 14.</w:t>
      </w:r>
    </w:p>
    <w:p>
      <w:pPr>
        <w:pStyle w:val="BodyText"/>
      </w:pPr>
      <w:r>
        <w:rPr>
          <w:b/>
          <w:bCs/>
        </w:rPr>
        <w:t xml:space="preserve">Table V. Structural Feature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Spreadsheet ERM</w:t>
            </w:r>
          </w:p>
        </w:tc>
        <w:tc>
          <w:tcPr/>
          <w:p>
            <w:pPr>
              <w:pStyle w:val="Compact"/>
            </w:pPr>
            <w:r>
              <w:t xml:space="preserve">Legacy GRC Suite</w:t>
            </w:r>
          </w:p>
        </w:tc>
        <w:tc>
          <w:tcPr/>
          <w:p>
            <w:pPr>
              <w:pStyle w:val="Compact"/>
            </w:pPr>
            <w:r>
              <w:t xml:space="preserve">Pericope ERM</w:t>
            </w:r>
          </w:p>
        </w:tc>
      </w:tr>
      <w:tr>
        <w:tc>
          <w:tcPr/>
          <w:p>
            <w:pPr>
              <w:pStyle w:val="Compact"/>
            </w:pPr>
            <w:r>
              <w:t xml:space="preserve">Full lifecycle coverage</w:t>
            </w:r>
          </w:p>
        </w:tc>
        <w:tc>
          <w:tcPr/>
          <w:p>
            <w:pPr>
              <w:pStyle w:val="Compact"/>
            </w:pPr>
            <w:r>
              <w:t xml:space="preserve">Partial</w:t>
            </w:r>
          </w:p>
        </w:tc>
        <w:tc>
          <w:tcPr/>
          <w:p>
            <w:pPr>
              <w:pStyle w:val="Compact"/>
            </w:pPr>
            <w:r>
              <w:t xml:space="preserve">Full</w:t>
            </w:r>
          </w:p>
        </w:tc>
        <w:tc>
          <w:tcPr/>
          <w:p>
            <w:pPr>
              <w:pStyle w:val="Compact"/>
            </w:pPr>
            <w:r>
              <w:t xml:space="preserve">Full</w:t>
            </w:r>
          </w:p>
        </w:tc>
      </w:tr>
      <w:tr>
        <w:tc>
          <w:tcPr/>
          <w:p>
            <w:pPr>
              <w:pStyle w:val="Compact"/>
            </w:pPr>
            <w:r>
              <w:t xml:space="preserve">Quantitative + qualitative scoring</w:t>
            </w:r>
          </w:p>
        </w:tc>
        <w:tc>
          <w:tcPr/>
          <w:p>
            <w:pPr>
              <w:pStyle w:val="Compact"/>
            </w:pPr>
            <w:r>
              <w:t xml:space="preserve">Partial</w:t>
            </w:r>
          </w:p>
        </w:tc>
        <w:tc>
          <w:tcPr/>
          <w:p>
            <w:pPr>
              <w:pStyle w:val="Compact"/>
            </w:pPr>
            <w:r>
              <w:t xml:space="preserve">Full</w:t>
            </w:r>
          </w:p>
        </w:tc>
        <w:tc>
          <w:tcPr/>
          <w:p>
            <w:pPr>
              <w:pStyle w:val="Compact"/>
            </w:pPr>
            <w:r>
              <w:t xml:space="preserve">Full</w:t>
            </w:r>
          </w:p>
        </w:tc>
      </w:tr>
      <w:tr>
        <w:tc>
          <w:tcPr/>
          <w:p>
            <w:pPr>
              <w:pStyle w:val="Compact"/>
            </w:pPr>
            <w:r>
              <w:t xml:space="preserve">Automated, immutable audit trail</w:t>
            </w:r>
          </w:p>
        </w:tc>
        <w:tc>
          <w:tcPr/>
          <w:p>
            <w:pPr>
              <w:pStyle w:val="Compact"/>
            </w:pPr>
            <w:r>
              <w:t xml:space="preserve">None</w:t>
            </w:r>
          </w:p>
        </w:tc>
        <w:tc>
          <w:tcPr/>
          <w:p>
            <w:pPr>
              <w:pStyle w:val="Compact"/>
            </w:pPr>
            <w:r>
              <w:t xml:space="preserve">Full</w:t>
            </w:r>
          </w:p>
        </w:tc>
        <w:tc>
          <w:tcPr/>
          <w:p>
            <w:pPr>
              <w:pStyle w:val="Compact"/>
            </w:pPr>
            <w:r>
              <w:t xml:space="preserve">Full</w:t>
            </w:r>
          </w:p>
        </w:tc>
      </w:tr>
      <w:tr>
        <w:tc>
          <w:tcPr/>
          <w:p>
            <w:pPr>
              <w:pStyle w:val="Compact"/>
            </w:pPr>
            <w:r>
              <w:t xml:space="preserve">Maker-checker segregation of duties</w:t>
            </w:r>
          </w:p>
        </w:tc>
        <w:tc>
          <w:tcPr/>
          <w:p>
            <w:pPr>
              <w:pStyle w:val="Compact"/>
            </w:pPr>
            <w:r>
              <w:t xml:space="preserve">None</w:t>
            </w:r>
          </w:p>
        </w:tc>
        <w:tc>
          <w:tcPr/>
          <w:p>
            <w:pPr>
              <w:pStyle w:val="Compact"/>
            </w:pPr>
            <w:r>
              <w:t xml:space="preserve">Full</w:t>
            </w:r>
          </w:p>
        </w:tc>
        <w:tc>
          <w:tcPr/>
          <w:p>
            <w:pPr>
              <w:pStyle w:val="Compact"/>
            </w:pPr>
            <w:r>
              <w:t xml:space="preserve">Full</w:t>
            </w:r>
          </w:p>
        </w:tc>
      </w:tr>
      <w:tr>
        <w:tc>
          <w:tcPr/>
          <w:p>
            <w:pPr>
              <w:pStyle w:val="Compact"/>
            </w:pPr>
            <w:r>
              <w:t xml:space="preserve">Real-time KRI/KPI monitoring</w:t>
            </w:r>
          </w:p>
        </w:tc>
        <w:tc>
          <w:tcPr/>
          <w:p>
            <w:pPr>
              <w:pStyle w:val="Compact"/>
            </w:pPr>
            <w:r>
              <w:t xml:space="preserve">None</w:t>
            </w:r>
          </w:p>
        </w:tc>
        <w:tc>
          <w:tcPr/>
          <w:p>
            <w:pPr>
              <w:pStyle w:val="Compact"/>
            </w:pPr>
            <w:r>
              <w:t xml:space="preserve">Partial</w:t>
            </w:r>
          </w:p>
        </w:tc>
        <w:tc>
          <w:tcPr/>
          <w:p>
            <w:pPr>
              <w:pStyle w:val="Compact"/>
            </w:pPr>
            <w:r>
              <w:t xml:space="preserve">Partial</w:t>
            </w:r>
          </w:p>
        </w:tc>
      </w:tr>
      <w:tr>
        <w:tc>
          <w:tcPr/>
          <w:p>
            <w:pPr>
              <w:pStyle w:val="Compact"/>
            </w:pPr>
            <w:r>
              <w:t xml:space="preserve">Offline / degraded-connectivity resilience</w:t>
            </w:r>
          </w:p>
        </w:tc>
        <w:tc>
          <w:tcPr/>
          <w:p>
            <w:pPr>
              <w:pStyle w:val="Compact"/>
            </w:pPr>
            <w:r>
              <w:t xml:space="preserve">Full</w:t>
            </w:r>
          </w:p>
        </w:tc>
        <w:tc>
          <w:tcPr/>
          <w:p>
            <w:pPr>
              <w:pStyle w:val="Compact"/>
            </w:pPr>
            <w:r>
              <w:t xml:space="preserve">None</w:t>
            </w:r>
          </w:p>
        </w:tc>
        <w:tc>
          <w:tcPr/>
          <w:p>
            <w:pPr>
              <w:pStyle w:val="Compact"/>
            </w:pPr>
            <w:r>
              <w:t xml:space="preserve">Full</w:t>
            </w:r>
          </w:p>
        </w:tc>
      </w:tr>
      <w:tr>
        <w:tc>
          <w:tcPr/>
          <w:p>
            <w:pPr>
              <w:pStyle w:val="Compact"/>
            </w:pPr>
            <w:r>
              <w:t xml:space="preserve">Low total cost of ownership</w:t>
            </w:r>
          </w:p>
        </w:tc>
        <w:tc>
          <w:tcPr/>
          <w:p>
            <w:pPr>
              <w:pStyle w:val="Compact"/>
            </w:pPr>
            <w:r>
              <w:t xml:space="preserve">Full</w:t>
            </w:r>
          </w:p>
        </w:tc>
        <w:tc>
          <w:tcPr/>
          <w:p>
            <w:pPr>
              <w:pStyle w:val="Compact"/>
            </w:pPr>
            <w:r>
              <w:t xml:space="preserve">None</w:t>
            </w:r>
          </w:p>
        </w:tc>
        <w:tc>
          <w:tcPr/>
          <w:p>
            <w:pPr>
              <w:pStyle w:val="Compact"/>
            </w:pPr>
            <w:r>
              <w:t xml:space="preserve">Partial</w:t>
            </w:r>
          </w:p>
        </w:tc>
      </w:tr>
      <w:tr>
        <w:tc>
          <w:tcPr/>
          <w:p>
            <w:pPr>
              <w:pStyle w:val="Compact"/>
            </w:pPr>
            <w:r>
              <w:rPr>
                <w:b/>
                <w:bCs/>
              </w:rPr>
              <w:t xml:space="preserve">Aggregate score (max 14)</w:t>
            </w:r>
          </w:p>
        </w:tc>
        <w:tc>
          <w:tcPr/>
          <w:p>
            <w:pPr>
              <w:pStyle w:val="Compact"/>
            </w:pPr>
            <w:r>
              <w:rPr>
                <w:b/>
                <w:bCs/>
              </w:rPr>
              <w:t xml:space="preserve">6</w:t>
            </w:r>
          </w:p>
        </w:tc>
        <w:tc>
          <w:tcPr/>
          <w:p>
            <w:pPr>
              <w:pStyle w:val="Compact"/>
            </w:pPr>
            <w:r>
              <w:rPr>
                <w:b/>
                <w:bCs/>
              </w:rPr>
              <w:t xml:space="preserve">9</w:t>
            </w:r>
          </w:p>
        </w:tc>
        <w:tc>
          <w:tcPr/>
          <w:p>
            <w:pPr>
              <w:pStyle w:val="Compact"/>
            </w:pPr>
            <w:r>
              <w:rPr>
                <w:b/>
                <w:bCs/>
              </w:rPr>
              <w:t xml:space="preserve">12</w:t>
            </w:r>
          </w:p>
        </w:tc>
      </w:tr>
    </w:tbl>
    <w:p>
      <w:pPr>
        <w:pStyle w:val="CaptionedFigure"/>
      </w:pPr>
      <w:r>
        <w:drawing>
          <wp:inline>
            <wp:extent cx="3116299" cy="2174375"/>
            <wp:effectExtent b="0" l="0" r="0" t="0"/>
            <wp:docPr descr="Aggregate structural coverage score." title="" id="38" name="Picture"/>
            <a:graphic>
              <a:graphicData uri="http://schemas.openxmlformats.org/drawingml/2006/picture">
                <pic:pic>
                  <pic:nvPicPr>
                    <pic:cNvPr descr="figures/fig4_coverage.png" id="39" name="Picture"/>
                    <pic:cNvPicPr>
                      <a:picLocks noChangeArrowheads="1" noChangeAspect="1"/>
                    </pic:cNvPicPr>
                  </pic:nvPicPr>
                  <pic:blipFill>
                    <a:blip r:embed="rId37"/>
                    <a:stretch>
                      <a:fillRect/>
                    </a:stretch>
                  </pic:blipFill>
                  <pic:spPr bwMode="auto">
                    <a:xfrm>
                      <a:off x="0" y="0"/>
                      <a:ext cx="3116299" cy="2174375"/>
                    </a:xfrm>
                    <a:prstGeom prst="rect">
                      <a:avLst/>
                    </a:prstGeom>
                    <a:noFill/>
                    <a:ln w="9525">
                      <a:noFill/>
                      <a:headEnd/>
                      <a:tailEnd/>
                    </a:ln>
                  </pic:spPr>
                </pic:pic>
              </a:graphicData>
            </a:graphic>
          </wp:inline>
        </w:drawing>
      </w:r>
    </w:p>
    <w:p>
      <w:pPr>
        <w:pStyle w:val="ImageCaption"/>
      </w:pPr>
      <w:r>
        <w:t xml:space="preserve">Aggregate structural coverage score.</w:t>
      </w:r>
    </w:p>
    <w:p>
      <w:pPr>
        <w:pStyle w:val="BodyText"/>
      </w:pPr>
      <w:r>
        <w:t xml:space="preserve">Fig. 4 makes the trade-off visible. Spreadsheet-based ERM scores well only on cost and offline</w:t>
      </w:r>
      <w:r>
        <w:t xml:space="preserve"> </w:t>
      </w:r>
      <w:r>
        <w:t xml:space="preserve">resilience, not coincidentally the two dimensions that require no backend at all, while legacy</w:t>
      </w:r>
      <w:r>
        <w:t xml:space="preserve"> </w:t>
      </w:r>
      <w:r>
        <w:t xml:space="preserve">GRC suites go the other way, dominating on governance depth at the expense of resilience and</w:t>
      </w:r>
      <w:r>
        <w:t xml:space="preserve"> </w:t>
      </w:r>
      <w:r>
        <w:t xml:space="preserve">price. Pericope ERM’s score sits between the two: it matches commercial-suite governance rigor</w:t>
      </w:r>
      <w:r>
        <w:t xml:space="preserve"> </w:t>
      </w:r>
      <w:r>
        <w:t xml:space="preserve">while keeping the availability characteristics of a local tool, though its real-time-monitoring</w:t>
      </w:r>
      <w:r>
        <w:t xml:space="preserve"> </w:t>
      </w:r>
      <w:r>
        <w:t xml:space="preserve">maturity is still only partial, as Section XI acknowledges. This scoring exercise is a</w:t>
      </w:r>
      <w:r>
        <w:t xml:space="preserve"> </w:t>
      </w:r>
      <w:r>
        <w:t xml:space="preserve">qualitative structural comparison, not a throughput or cost benchmark run against production</w:t>
      </w:r>
      <w:r>
        <w:t xml:space="preserve"> </w:t>
      </w:r>
      <w:r>
        <w:t xml:space="preserve">infrastructure. It is meant to communicate scope, and it complements rather than replaces the</w:t>
      </w:r>
      <w:r>
        <w:t xml:space="preserve"> </w:t>
      </w:r>
      <w:r>
        <w:t xml:space="preserve">kind of formal load or user study described as future work in Section XII.</w:t>
      </w:r>
    </w:p>
    <w:bookmarkEnd w:id="40"/>
    <w:bookmarkStart w:id="41" w:name="applications"/>
    <w:p>
      <w:pPr>
        <w:pStyle w:val="Heading1"/>
      </w:pPr>
      <w:r>
        <w:t xml:space="preserve">Applications</w:t>
      </w:r>
    </w:p>
    <w:p>
      <w:pPr>
        <w:pStyle w:val="FirstParagraph"/>
      </w:pPr>
      <w:r>
        <w:t xml:space="preserve">The architecture and data model described above are not limited to the RCSA workflow used as</w:t>
      </w:r>
      <w:r>
        <w:t xml:space="preserve"> </w:t>
      </w:r>
      <w:r>
        <w:t xml:space="preserve">the running example throughout this paper.</w:t>
      </w:r>
      <w:r>
        <w:t xml:space="preserve"> </w:t>
      </w:r>
      <w:r>
        <w:rPr>
          <w:i/>
          <w:iCs/>
        </w:rPr>
        <w:t xml:space="preserve">SOX / ICFR compliance programs</w:t>
      </w:r>
      <w:r>
        <w:t xml:space="preserve"> </w:t>
      </w:r>
      <w:r>
        <w:t xml:space="preserve">can reuse the same</w:t>
      </w:r>
      <w:r>
        <w:t xml:space="preserve"> </w:t>
      </w:r>
      <w:r>
        <w:t xml:space="preserve">identify-assess-control-respond pipeline and audit trail directly, as evidence for</w:t>
      </w:r>
      <w:r>
        <w:t xml:space="preserve"> </w:t>
      </w:r>
      <w:r>
        <w:t xml:space="preserve">internal-control-over-financial-reporting testing.</w:t>
      </w:r>
      <w:r>
        <w:t xml:space="preserve"> </w:t>
      </w:r>
      <w:r>
        <w:rPr>
          <w:i/>
          <w:iCs/>
        </w:rPr>
        <w:t xml:space="preserve">Third-party and vendor risk management</w:t>
      </w:r>
      <w:r>
        <w:t xml:space="preserve"> </w:t>
      </w:r>
      <w:r>
        <w:t xml:space="preserve">is,</w:t>
      </w:r>
      <w:r>
        <w:t xml:space="preserve"> </w:t>
      </w:r>
      <w:r>
        <w:t xml:space="preserve">in effect, the same scoring model pointed at a vendor register instead of an internal process</w:t>
      </w:r>
      <w:r>
        <w:t xml:space="preserve"> </w:t>
      </w:r>
      <w:r>
        <w:t xml:space="preserve">register; nothing in Section V assumes the risk being scored belongs to the organization’s own</w:t>
      </w:r>
      <w:r>
        <w:t xml:space="preserve"> </w:t>
      </w:r>
      <w:r>
        <w:t xml:space="preserve">operations.</w:t>
      </w:r>
      <w:r>
        <w:t xml:space="preserve"> </w:t>
      </w:r>
      <w:r>
        <w:rPr>
          <w:i/>
          <w:iCs/>
        </w:rPr>
        <w:t xml:space="preserve">Business continuity planning</w:t>
      </w:r>
      <w:r>
        <w:t xml:space="preserve"> </w:t>
      </w:r>
      <w:r>
        <w:t xml:space="preserve">fits naturally too, since the monitoring and</w:t>
      </w:r>
      <w:r>
        <w:t xml:space="preserve"> </w:t>
      </w:r>
      <w:r>
        <w:t xml:space="preserve">action-plan modules can track recovery-time objectives against configured thresholds the same</w:t>
      </w:r>
      <w:r>
        <w:t xml:space="preserve"> </w:t>
      </w:r>
      <w:r>
        <w:t xml:space="preserve">way they track KRIs elsewhere in the system.</w:t>
      </w:r>
      <w:r>
        <w:t xml:space="preserve"> </w:t>
      </w:r>
      <w:r>
        <w:rPr>
          <w:i/>
          <w:iCs/>
        </w:rPr>
        <w:t xml:space="preserve">IT and cyber risk registers</w:t>
      </w:r>
      <w:r>
        <w:t xml:space="preserve"> </w:t>
      </w:r>
      <w:r>
        <w:t xml:space="preserve">map onto the</w:t>
      </w:r>
      <w:r>
        <w:t xml:space="preserve"> </w:t>
      </w:r>
      <w:r>
        <w:t xml:space="preserve">control-library and control-implementation entities without much friction, because those were</w:t>
      </w:r>
      <w:r>
        <w:t xml:space="preserve"> </w:t>
      </w:r>
      <w:r>
        <w:t xml:space="preserve">designed to be protocol-agnostic rather than built around any one control catalog.</w:t>
      </w:r>
      <w:r>
        <w:t xml:space="preserve"> </w:t>
      </w:r>
      <w:r>
        <w:rPr>
          <w:i/>
          <w:iCs/>
        </w:rPr>
        <w:t xml:space="preserve">Internal</w:t>
      </w:r>
      <w:r>
        <w:rPr>
          <w:i/>
          <w:iCs/>
        </w:rPr>
        <w:t xml:space="preserve"> </w:t>
      </w:r>
      <w:r>
        <w:rPr>
          <w:i/>
          <w:iCs/>
        </w:rPr>
        <w:t xml:space="preserve">audit</w:t>
      </w:r>
      <w:r>
        <w:t xml:space="preserve"> </w:t>
      </w:r>
      <w:r>
        <w:t xml:space="preserve">teams get a more direct benefit: the immutable audit trail from Section VIII is close to</w:t>
      </w:r>
      <w:r>
        <w:t xml:space="preserve"> </w:t>
      </w:r>
      <w:r>
        <w:t xml:space="preserve">ready-made evidence, requiring little extra work to produce. And</w:t>
      </w:r>
      <w:r>
        <w:t xml:space="preserve"> </w:t>
      </w:r>
      <w:r>
        <w:rPr>
          <w:i/>
          <w:iCs/>
        </w:rPr>
        <w:t xml:space="preserve">scenario and stress-testing</w:t>
      </w:r>
      <w:r>
        <w:t xml:space="preserve"> </w:t>
      </w:r>
      <w:r>
        <w:t xml:space="preserve">work can reuse the same Likelihood x Impact and SLE model from Section V to evaluate</w:t>
      </w:r>
      <w:r>
        <w:t xml:space="preserve"> </w:t>
      </w:r>
      <w:r>
        <w:t xml:space="preserve">hypothetical risk positions rather than ones currently observed in the register.</w:t>
      </w:r>
    </w:p>
    <w:bookmarkEnd w:id="41"/>
    <w:bookmarkStart w:id="42" w:name="discussion-and-limitations"/>
    <w:p>
      <w:pPr>
        <w:pStyle w:val="Heading1"/>
      </w:pPr>
      <w:r>
        <w:t xml:space="preserve">Discussion and Limitations</w:t>
      </w:r>
    </w:p>
    <w:p>
      <w:pPr>
        <w:pStyle w:val="FirstParagraph"/>
      </w:pPr>
      <w:r>
        <w:t xml:space="preserve">Pericope ERM addresses the fragmentation, traceability, and segregation-of-duties gaps</w:t>
      </w:r>
      <w:r>
        <w:t xml:space="preserve"> </w:t>
      </w:r>
      <w:r>
        <w:t xml:space="preserve">identified in Section II, but several limitations deserve a direct account.</w:t>
      </w:r>
    </w:p>
    <w:p>
      <w:pPr>
        <w:pStyle w:val="BodyText"/>
      </w:pPr>
      <w:r>
        <w:t xml:space="preserve">The residual-risk heuristic in Eq. (3) is probably the largest simplification in the current</w:t>
      </w:r>
      <w:r>
        <w:t xml:space="preserve"> </w:t>
      </w:r>
      <w:r>
        <w:t xml:space="preserve">design. It applies a single-band step-down rather than a continuous function of a mapped</w:t>
      </w:r>
      <w:r>
        <w:t xml:space="preserve"> </w:t>
      </w:r>
      <w:r>
        <w:t xml:space="preserve">control’s recorded design-effectiveness percentage, so two controls of very different quality</w:t>
      </w:r>
      <w:r>
        <w:t xml:space="preserve"> </w:t>
      </w:r>
      <w:r>
        <w:t xml:space="preserve">currently produce exactly the same residual reduction. That outcome is clearly wrong in the</w:t>
      </w:r>
      <w:r>
        <w:t xml:space="preserve"> </w:t>
      </w:r>
      <w:r>
        <w:t xml:space="preserve">general case, which is why it sits first on the roadmap in Section XII.</w:t>
      </w:r>
    </w:p>
    <w:p>
      <w:pPr>
        <w:pStyle w:val="BodyText"/>
      </w:pPr>
      <w:r>
        <w:t xml:space="preserve">The risk-quantification model in Eq. (1)-(2) shares a related weakness: it is a deterministic</w:t>
      </w:r>
      <w:r>
        <w:t xml:space="preserve"> </w:t>
      </w:r>
      <w:r>
        <w:t xml:space="preserve">linear proxy, not a calibrated probabilistic estimate. Unlike the FAIR-based tooling discussed</w:t>
      </w:r>
      <w:r>
        <w:t xml:space="preserve"> </w:t>
      </w:r>
      <w:r>
        <w:t xml:space="preserve">in Section III, it does not propagate uncertainty anywhere and cannot express a confidence</w:t>
      </w:r>
      <w:r>
        <w:t xml:space="preserve"> </w:t>
      </w:r>
      <w:r>
        <w:t xml:space="preserve">interval on the SLE figure it produces.</w:t>
      </w:r>
    </w:p>
    <w:p>
      <w:pPr>
        <w:pStyle w:val="BodyText"/>
      </w:pPr>
      <w:r>
        <w:t xml:space="preserve">An architectural loose end deserves mention as well. The backend currently exists as two</w:t>
      </w:r>
      <w:r>
        <w:t xml:space="preserve"> </w:t>
      </w:r>
      <w:r>
        <w:t xml:space="preserve">parallel implementations: the production Oracle/ORDS-backed BFF described in Section IV, and a</w:t>
      </w:r>
      <w:r>
        <w:t xml:space="preserve"> </w:t>
      </w:r>
      <w:r>
        <w:t xml:space="preserve">separate, in-progress Clean Architecture skeleton (controller, service, repository, and</w:t>
      </w:r>
      <w:r>
        <w:t xml:space="preserve"> </w:t>
      </w:r>
      <w:r>
        <w:t xml:space="preserve">validator layers) intended to eventually replace it. Maintaining two backend code paths at once</w:t>
      </w:r>
      <w:r>
        <w:t xml:space="preserve"> </w:t>
      </w:r>
      <w:r>
        <w:t xml:space="preserve">carries real overhead, and closing that gap is one of the roadmap items in Section XII.</w:t>
      </w:r>
    </w:p>
    <w:p>
      <w:pPr>
        <w:pStyle w:val="BodyText"/>
      </w:pPr>
      <w:r>
        <w:t xml:space="preserve">The offline-tolerant client store from Section IV-A trades availability for eventual</w:t>
      </w:r>
      <w:r>
        <w:t xml:space="preserve"> </w:t>
      </w:r>
      <w:r>
        <w:t xml:space="preserve">consistency, and that trade is not free either. A risk owner editing a record while the BFF is</w:t>
      </w:r>
      <w:r>
        <w:t xml:space="preserve"> </w:t>
      </w:r>
      <w:r>
        <w:t xml:space="preserve">unreachable can, in principle, diverge from a concurrent server-side edit, and reconciliation is</w:t>
      </w:r>
      <w:r>
        <w:t xml:space="preserve"> </w:t>
      </w:r>
      <w:r>
        <w:t xml:space="preserve">not yet conflict-aware.</w:t>
      </w:r>
    </w:p>
    <w:p>
      <w:pPr>
        <w:pStyle w:val="BodyText"/>
      </w:pPr>
      <w:r>
        <w:t xml:space="preserve">Real-time KRI/KPI monitoring, despite the name, is presently poll-based rather than</w:t>
      </w:r>
      <w:r>
        <w:t xml:space="preserve"> </w:t>
      </w:r>
      <w:r>
        <w:t xml:space="preserve">event-driven (Table V), so threshold breaches are not surfaced with the latency a genuinely</w:t>
      </w:r>
      <w:r>
        <w:t xml:space="preserve"> </w:t>
      </w:r>
      <w:r>
        <w:t xml:space="preserve">real-time claim would require.</w:t>
      </w:r>
    </w:p>
    <w:p>
      <w:pPr>
        <w:pStyle w:val="BodyText"/>
      </w:pPr>
      <w:r>
        <w:t xml:space="preserve">Finally, everything reported here is a structural, code-grounded account of the system’s</w:t>
      </w:r>
      <w:r>
        <w:t xml:space="preserve"> </w:t>
      </w:r>
      <w:r>
        <w:t xml:space="preserve">architecture and engineering record. It is not a formal load test, penetration test, or user</w:t>
      </w:r>
      <w:r>
        <w:t xml:space="preserve"> </w:t>
      </w:r>
      <w:r>
        <w:t xml:space="preserve">study, and those remain necessary before any production-readiness claim about the platform can</w:t>
      </w:r>
      <w:r>
        <w:t xml:space="preserve"> </w:t>
      </w:r>
      <w:r>
        <w:t xml:space="preserve">be considered fully validated.</w:t>
      </w:r>
    </w:p>
    <w:bookmarkEnd w:id="42"/>
    <w:bookmarkStart w:id="43" w:name="future-scope"/>
    <w:p>
      <w:pPr>
        <w:pStyle w:val="Heading1"/>
      </w:pPr>
      <w:r>
        <w:t xml:space="preserve">Future Scope</w:t>
      </w:r>
    </w:p>
    <w:p>
      <w:pPr>
        <w:pStyle w:val="FirstParagraph"/>
      </w:pPr>
      <w:r>
        <w:t xml:space="preserve">Future work breaks down into six priorities, roughly in the order we would tackle them. The</w:t>
      </w:r>
      <w:r>
        <w:t xml:space="preserve"> </w:t>
      </w:r>
      <w:r>
        <w:t xml:space="preserve">first, and structurally the most important, is finishing the migration to the Clean</w:t>
      </w:r>
      <w:r>
        <w:t xml:space="preserve"> </w:t>
      </w:r>
      <w:r>
        <w:t xml:space="preserve">Architecture backend touched on in Section XI and extending it to support multi-tenant schema</w:t>
      </w:r>
      <w:r>
        <w:t xml:space="preserve"> </w:t>
      </w:r>
      <w:r>
        <w:t xml:space="preserve">isolation. The second, tied directly to the largest limitation in Section XI, is replacing the</w:t>
      </w:r>
      <w:r>
        <w:t xml:space="preserve"> </w:t>
      </w:r>
      <w:r>
        <w:t xml:space="preserve">deterministic SLE proxy (Eq. (2)) and the single-band residual heuristic (Eq. (3)) with an</w:t>
      </w:r>
      <w:r>
        <w:t xml:space="preserve"> </w:t>
      </w:r>
      <w:r>
        <w:t xml:space="preserve">effectiveness-weighted, Monte Carlo-based quantitative model in the spirit of FAIR [5]. The</w:t>
      </w:r>
      <w:r>
        <w:t xml:space="preserve"> </w:t>
      </w:r>
      <w:r>
        <w:t xml:space="preserve">third is an automated regression and end-to-end test suite gating deployment, which does not</w:t>
      </w:r>
      <w:r>
        <w:t xml:space="preserve"> </w:t>
      </w:r>
      <w:r>
        <w:t xml:space="preserve">exist in any form today. The fourth is moving KRI/KPI monitoring off polling and onto a</w:t>
      </w:r>
      <w:r>
        <w:t xml:space="preserve"> </w:t>
      </w:r>
      <w:r>
        <w:t xml:space="preserve">WebSocket- or event-driven push model, to close the real-time gap flagged in Table V. The fifth</w:t>
      </w:r>
      <w:r>
        <w:t xml:space="preserve"> </w:t>
      </w:r>
      <w:r>
        <w:t xml:space="preserve">is adding conflict-aware reconciliation to the offline client store from Section IV-A. The</w:t>
      </w:r>
      <w:r>
        <w:t xml:space="preserve"> </w:t>
      </w:r>
      <w:r>
        <w:t xml:space="preserve">sixth, before any production compliance claim is made about this platform, is commissioning</w:t>
      </w:r>
      <w:r>
        <w:t xml:space="preserve"> </w:t>
      </w:r>
      <w:r>
        <w:t xml:space="preserve">formal load and penetration testing, together with a user study involving practicing risk</w:t>
      </w:r>
      <w:r>
        <w:t xml:space="preserve"> </w:t>
      </w:r>
      <w:r>
        <w:t xml:space="preserve">managers rather than only the people who built it.</w:t>
      </w:r>
    </w:p>
    <w:bookmarkEnd w:id="43"/>
    <w:bookmarkStart w:id="44" w:name="conclusion"/>
    <w:p>
      <w:pPr>
        <w:pStyle w:val="Heading1"/>
      </w:pPr>
      <w:r>
        <w:t xml:space="preserve">Conclusion</w:t>
      </w:r>
    </w:p>
    <w:p>
      <w:pPr>
        <w:pStyle w:val="FirstParagraph"/>
      </w:pPr>
      <w:r>
        <w:t xml:space="preserve">This paper set out to describe Pericope ERM, a full-stack enterprise risk management platform</w:t>
      </w:r>
      <w:r>
        <w:t xml:space="preserve"> </w:t>
      </w:r>
      <w:r>
        <w:t xml:space="preserve">that digitizes the complete RCSA lifecycle behind a single Oracle-hosted schema, closing the</w:t>
      </w:r>
      <w:r>
        <w:t xml:space="preserve"> </w:t>
      </w:r>
      <w:r>
        <w:t xml:space="preserve">fragmentation, traceability, and segregation-of-duties gaps that persist in spreadsheet-based</w:t>
      </w:r>
      <w:r>
        <w:t xml:space="preserve"> </w:t>
      </w:r>
      <w:r>
        <w:t xml:space="preserve">risk management (Section II) without the licensing and implementation cost of a legacy</w:t>
      </w:r>
      <w:r>
        <w:t xml:space="preserve"> </w:t>
      </w:r>
      <w:r>
        <w:t xml:space="preserve">commercial GRC suite. We described a three-tier, resilience-first architecture that degrades</w:t>
      </w:r>
      <w:r>
        <w:t xml:space="preserve"> </w:t>
      </w:r>
      <w:r>
        <w:t xml:space="preserve">gracefully across two independent failure boundaries (Section IV), formalized the platform’s</w:t>
      </w:r>
      <w:r>
        <w:t xml:space="preserve"> </w:t>
      </w:r>
      <w:r>
        <w:t xml:space="preserve">dual qualitative and quantitative risk-scoring model (Section V), and, somewhat unusually for a</w:t>
      </w:r>
      <w:r>
        <w:t xml:space="preserve"> </w:t>
      </w:r>
      <w:r>
        <w:t xml:space="preserve">paper of this kind, documented a real production defect-remediation and database-hardening</w:t>
      </w:r>
      <w:r>
        <w:t xml:space="preserve"> </w:t>
      </w:r>
      <w:r>
        <w:t xml:space="preserve">exercise as evidence of engineering maturity (Section VIII) rather than leaning on a simulated</w:t>
      </w:r>
      <w:r>
        <w:t xml:space="preserve"> </w:t>
      </w:r>
      <w:r>
        <w:t xml:space="preserve">benchmark. A structural comparison (Section IX) placed the platform between spreadsheet-based</w:t>
      </w:r>
      <w:r>
        <w:t xml:space="preserve"> </w:t>
      </w:r>
      <w:r>
        <w:t xml:space="preserve">and commercial GRC approaches on governance depth, resilience, and cost. The limitations</w:t>
      </w:r>
      <w:r>
        <w:t xml:space="preserve"> </w:t>
      </w:r>
      <w:r>
        <w:t xml:space="preserve">catalogued in Section XI, a simplified residual-risk heuristic, a deterministic rather than</w:t>
      </w:r>
      <w:r>
        <w:t xml:space="preserve"> </w:t>
      </w:r>
      <w:r>
        <w:t xml:space="preserve">probabilistic loss model, and an unfinished backend migration, are not an afterthought. They</w:t>
      </w:r>
      <w:r>
        <w:t xml:space="preserve"> </w:t>
      </w:r>
      <w:r>
        <w:t xml:space="preserve">form the actual roadmap (Section XII) toward a more rigorous, event-driven, multi-tenant</w:t>
      </w:r>
      <w:r>
        <w:t xml:space="preserve"> </w:t>
      </w:r>
      <w:r>
        <w:t xml:space="preserve">successor.</w:t>
      </w:r>
    </w:p>
    <w:bookmarkEnd w:id="44"/>
    <w:bookmarkStart w:id="45" w:name="acknowledgment"/>
    <w:p>
      <w:pPr>
        <w:pStyle w:val="Heading1"/>
      </w:pPr>
      <w:r>
        <w:t xml:space="preserve">Acknowledgment</w:t>
      </w:r>
    </w:p>
    <w:p>
      <w:pPr>
        <w:pStyle w:val="FirstParagraph"/>
      </w:pPr>
      <w:r>
        <w:t xml:space="preserve">The authors thank the Department of Computer Science and Engineering, Atria Institute of</w:t>
      </w:r>
      <w:r>
        <w:t xml:space="preserve"> </w:t>
      </w:r>
      <w:r>
        <w:t xml:space="preserve">Technology, for the guidance and computational resources that supported this work.</w:t>
      </w:r>
    </w:p>
    <w:bookmarkEnd w:id="45"/>
    <w:bookmarkStart w:id="46" w:name="references"/>
    <w:p>
      <w:pPr>
        <w:pStyle w:val="Heading1"/>
      </w:pPr>
      <w:r>
        <w:t xml:space="preserve">References</w:t>
      </w:r>
    </w:p>
    <w:p>
      <w:pPr>
        <w:pStyle w:val="FirstParagraph"/>
      </w:pPr>
      <w:r>
        <w:t xml:space="preserve">[1] International Organization for Standardization,</w:t>
      </w:r>
      <w:r>
        <w:t xml:space="preserve"> </w:t>
      </w:r>
      <w:r>
        <w:t xml:space="preserve">“ISO 31000:2018 Risk Management —</w:t>
      </w:r>
      <w:r>
        <w:t xml:space="preserve"> </w:t>
      </w:r>
      <w:r>
        <w:t xml:space="preserve">Guidelines,”</w:t>
      </w:r>
      <w:r>
        <w:t xml:space="preserve"> </w:t>
      </w:r>
      <w:r>
        <w:t xml:space="preserve">ISO, Geneva, Switzerland, 2018.</w:t>
      </w:r>
    </w:p>
    <w:p>
      <w:pPr>
        <w:pStyle w:val="BodyText"/>
      </w:pPr>
      <w:r>
        <w:t xml:space="preserve">[2] Committee of Sponsoring Organizations of the Treadway Commission (COSO),</w:t>
      </w:r>
      <w:r>
        <w:t xml:space="preserve"> </w:t>
      </w:r>
      <w:r>
        <w:t xml:space="preserve">“Enterprise Risk</w:t>
      </w:r>
      <w:r>
        <w:t xml:space="preserve"> </w:t>
      </w:r>
      <w:r>
        <w:t xml:space="preserve">Management — Integrating with Strategy and Performance,”</w:t>
      </w:r>
      <w:r>
        <w:t xml:space="preserve"> </w:t>
      </w:r>
      <w:r>
        <w:t xml:space="preserve">COSO, 2017.</w:t>
      </w:r>
    </w:p>
    <w:p>
      <w:pPr>
        <w:pStyle w:val="BodyText"/>
      </w:pPr>
      <w:r>
        <w:t xml:space="preserve">[3] Sarbanes-Oxley Act of 2002, Pub. L. No. 107-204, 116 Stat. 745, U.S. Congress, 2002.</w:t>
      </w:r>
    </w:p>
    <w:p>
      <w:pPr>
        <w:pStyle w:val="BodyText"/>
      </w:pPr>
      <w:r>
        <w:t xml:space="preserve">[4] National Institute of Standards and Technology,</w:t>
      </w:r>
      <w:r>
        <w:t xml:space="preserve"> </w:t>
      </w:r>
      <w:r>
        <w:t xml:space="preserve">“Guide for Conducting Risk Assessments,”</w:t>
      </w:r>
      <w:r>
        <w:t xml:space="preserve"> </w:t>
      </w:r>
      <w:r>
        <w:t xml:space="preserve">NIST Special Publication 800-30 Rev. 1, Gaithersburg, MD, 2012.</w:t>
      </w:r>
    </w:p>
    <w:p>
      <w:pPr>
        <w:pStyle w:val="BodyText"/>
      </w:pPr>
      <w:r>
        <w:t xml:space="preserve">[5] The Open Group,</w:t>
      </w:r>
      <w:r>
        <w:t xml:space="preserve"> </w:t>
      </w:r>
      <w:r>
        <w:t xml:space="preserve">“Risk Analysis (O-RA), an Open Group Standard,”</w:t>
      </w:r>
      <w:r>
        <w:t xml:space="preserve"> </w:t>
      </w:r>
      <w:r>
        <w:t xml:space="preserve">based on the Factor</w:t>
      </w:r>
      <w:r>
        <w:t xml:space="preserve"> </w:t>
      </w:r>
      <w:r>
        <w:t xml:space="preserve">Analysis of Information Risk (FAIR) model, The Open Group, 2021.</w:t>
      </w:r>
    </w:p>
    <w:p>
      <w:pPr>
        <w:pStyle w:val="BodyText"/>
      </w:pPr>
      <w:r>
        <w:t xml:space="preserve">[6] M. Nygard,</w:t>
      </w:r>
      <w:r>
        <w:t xml:space="preserve"> </w:t>
      </w:r>
      <w:r>
        <w:rPr>
          <w:i/>
          <w:iCs/>
        </w:rPr>
        <w:t xml:space="preserve">Release It!: Design and Deploy Production-Ready Software</w:t>
      </w:r>
      <w:r>
        <w:t xml:space="preserve">, 2nd ed. Raleigh,</w:t>
      </w:r>
      <w:r>
        <w:t xml:space="preserve"> </w:t>
      </w:r>
      <w:r>
        <w:t xml:space="preserve">NC: Pragmatic Bookshelf, 2018.</w:t>
      </w:r>
    </w:p>
    <w:p>
      <w:pPr>
        <w:pStyle w:val="BodyText"/>
      </w:pPr>
      <w:r>
        <w:t xml:space="preserve">[7] R. T. Fielding,</w:t>
      </w:r>
      <w:r>
        <w:t xml:space="preserve"> </w:t>
      </w:r>
      <w:r>
        <w:t xml:space="preserve">“Architectural Styles and the Design of Network-based Software</w:t>
      </w:r>
      <w:r>
        <w:t xml:space="preserve"> </w:t>
      </w:r>
      <w:r>
        <w:t xml:space="preserve">Architectures,”</w:t>
      </w:r>
      <w:r>
        <w:t xml:space="preserve"> </w:t>
      </w:r>
      <w:r>
        <w:t xml:space="preserve">Ph.D. dissertation, Univ. of California, Irvine, 2000.</w:t>
      </w:r>
    </w:p>
    <w:p>
      <w:pPr>
        <w:pStyle w:val="BodyText"/>
      </w:pPr>
      <w:r>
        <w:t xml:space="preserve">[8] M. Fowler,</w:t>
      </w:r>
      <w:r>
        <w:t xml:space="preserve"> </w:t>
      </w:r>
      <w:r>
        <w:rPr>
          <w:i/>
          <w:iCs/>
        </w:rPr>
        <w:t xml:space="preserve">Patterns of Enterprise Application Architecture</w:t>
      </w:r>
      <w:r>
        <w:t xml:space="preserve">. Boston, MA: Addison-Wesley,</w:t>
      </w:r>
      <w:r>
        <w:t xml:space="preserve"> </w:t>
      </w:r>
      <w:r>
        <w:t xml:space="preserve">2002.</w:t>
      </w:r>
    </w:p>
    <w:p>
      <w:pPr>
        <w:pStyle w:val="BodyText"/>
      </w:pPr>
      <w:r>
        <w:t xml:space="preserve">[9] S. Newman,</w:t>
      </w:r>
      <w:r>
        <w:t xml:space="preserve"> </w:t>
      </w:r>
      <w:r>
        <w:rPr>
          <w:i/>
          <w:iCs/>
        </w:rPr>
        <w:t xml:space="preserve">Building Microservices</w:t>
      </w:r>
      <w:r>
        <w:t xml:space="preserve">, 2nd ed. Sebastopol, CA: O’Reilly Media, 2021.</w:t>
      </w:r>
    </w:p>
    <w:p>
      <w:pPr>
        <w:pStyle w:val="BodyText"/>
      </w:pPr>
      <w:r>
        <w:t xml:space="preserve">[10] Oracle Corporation,</w:t>
      </w:r>
      <w:r>
        <w:t xml:space="preserve"> </w:t>
      </w:r>
      <w:r>
        <w:t xml:space="preserve">“Oracle REST Data Services Documentation,”</w:t>
      </w:r>
      <w:r>
        <w:t xml:space="preserve"> </w:t>
      </w:r>
      <w:r>
        <w:t xml:space="preserve">Oracle Help Center, 2024.</w:t>
      </w:r>
      <w:r>
        <w:t xml:space="preserve"> </w:t>
      </w:r>
      <w:r>
        <w:t xml:space="preserve">[Online]. Available: https://docs.oracle.com/en/database/oracle/oracle-rest-data-services/</w:t>
      </w:r>
    </w:p>
    <w:p>
      <w:pPr>
        <w:pStyle w:val="BodyText"/>
      </w:pPr>
      <w:r>
        <w:t xml:space="preserve">[11] Vercel Inc.,</w:t>
      </w:r>
      <w:r>
        <w:t xml:space="preserve"> </w:t>
      </w:r>
      <w:r>
        <w:t xml:space="preserve">“Next.js Documentation,”</w:t>
      </w:r>
      <w:r>
        <w:t xml:space="preserve"> </w:t>
      </w:r>
      <w:r>
        <w:t xml:space="preserve">2024. [Online]. Available: https://nextjs.org/docs</w:t>
      </w:r>
    </w:p>
    <w:p>
      <w:pPr>
        <w:pStyle w:val="BodyText"/>
      </w:pPr>
      <w:r>
        <w:t xml:space="preserve">[12] TanStack,</w:t>
      </w:r>
      <w:r>
        <w:t xml:space="preserve"> </w:t>
      </w:r>
      <w:r>
        <w:t xml:space="preserve">“TanStack Query Documentation,”</w:t>
      </w:r>
      <w:r>
        <w:t xml:space="preserve"> </w:t>
      </w:r>
      <w:r>
        <w:t xml:space="preserve">2024. [Online]. Available:</w:t>
      </w:r>
      <w:r>
        <w:t xml:space="preserve"> </w:t>
      </w:r>
      <w:r>
        <w:t xml:space="preserve">https://tanstack.com/query</w:t>
      </w:r>
    </w:p>
    <w:p>
      <w:pPr>
        <w:pStyle w:val="BodyText"/>
      </w:pPr>
      <w:r>
        <w:t xml:space="preserve">[13] Committee of Sponsoring Organizations of the Treadway Commission (COSO),</w:t>
      </w:r>
      <w:r>
        <w:t xml:space="preserve"> </w:t>
      </w:r>
      <w:r>
        <w:t xml:space="preserve">“Internal</w:t>
      </w:r>
      <w:r>
        <w:t xml:space="preserve"> </w:t>
      </w:r>
      <w:r>
        <w:t xml:space="preserve">Control — Integrated Framework,”</w:t>
      </w:r>
      <w:r>
        <w:t xml:space="preserve"> </w:t>
      </w:r>
      <w:r>
        <w:t xml:space="preserve">COSO, 2013.</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Pericope ERM: A Resilience-First, Three-Tier Architecture for Full-Lifecycle Enterprise Risk Management</dc:title>
  <dc:creator/>
  <cp:keywords/>
  <dcterms:created xsi:type="dcterms:W3CDTF">2026-08-08T05:23:08Z</dcterms:created>
  <dcterms:modified xsi:type="dcterms:W3CDTF">2026-08-08T05:23:08Z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Most mid-size organizations still run risk management out of spreadsheets, shared drives, and e-mail approval chains. These tools are cheap and familiar, but they give nobody a single source of truth, they never tie a control’s effectiveness to the residual risk it is supposed to reduce, and they leave no real record of who approved what and when. Regulatory frameworks such as the Sarbanes-Oxley Act, ISO 31000, and the COSO Enterprise Risk Management framework expect exactly the kind of traceable, continuously monitored governance that manual tooling cannot deliver at scale, and commercial Governance, Risk and Compliance (GRC) suites meet that bar only at a licensing and implementation cost that puts them out of reach for smaller risk teams. This paper presents Pericope ERM, a full-stack platform that digitizes the entire risk lifecycle (identification, inherent and residual assessment, control mapping, appetite and response selection, key risk indicator (KRI) monitoring, maker-checker approval, and immutable audit logging) on top of a single Oracle Autonomous Database schema exposed through Oracle REST Data Services (ORDS). The system is built around three cooperating tiers rather than one monolithic backend: a Node.js backend-for-frontend (BFF) absorbs Oracle/ORDS outages through bounded timeouts, an in-memory shadow store, and boundary-level validation, while the Next.js/React client keeps a local, offline-tolerant CRUD store running for nine of the platform’s newer governance modules. The scoring model is deliberately dual-natured: a five-point Likelihood x Impact matrix drives the qualitative heatmap, and the same inputs feed a monetary Single Loss Expectancy (SLE) estimate. We document, rather than gloss over, a real production defect-remediation exercise that closed five separate failure classes, including silent write timeouts, unattributed audit entries, and free-text junk input, and we compare Pericope ERM structurally against spreadsheet-based and legacy commercial GRC tooling across seven governance-relevant dimensions. The paper closes with an honest account of where the platform still falls short: an unfinished migration to a layered Clean Architecture backend, a single-band residual-risk heuristic that does not yet weight control effectiveness, and a scoring model that is deterministic rather than probabilistic, along with the roadmap for fixing each of them.</vt:lpwstr>
  </property>
  <property fmtid="{D5CDD505-2E9C-101B-9397-08002B2CF9AE}" pid="3" name="authors">
    <vt:lpwstr/>
  </property>
</Properties>
</file>