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and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always evaluated on recordings that had played no part in training or model tuning. The best classifier identified the correct species for 97.4% of recordings (95% confidence interval 94.8 to 99.5), compared with 83.4% for a conventional fine-tuned convolutional network, and its accuracy fell only to 92.2% when the test audio was degraded with noise as loud as the signal itself. Because a classifier deployed in the field must also ignore the many species it was never trained on, we further tested the system against 1,891 recordings of 28 other Indian endemic species. The plain classifier wrongly flagged 93.7% of these recordings as one of the four target species. Adding a rejection category trained on recordings of other species cut these false detections to 13.4% while still identifying 89.1% of target recordings correctly. Public archives can therefore support accurate classifiers even for birds this rare, and reliable rejection of non-target species is the main remaining requirement for field deployment.</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supports over 1,300 bird species, of which more than 75 occur nowhere else in the world (SoIB 2023). Endemic species with narrow geographic ranges are disproportionately vulnerable to habitat loss, and several Indian endemics are now assessed as Endangered or Critically Endangered on the IUCN Red List (IUCN 2025). Exactly four such species have sound recordings available in the major public archives. The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(Endangered) was known from seven nineteenth-century specimens until its rediscovery in 1997 and retains a small, fragmented, and declining population (Rasmussen and Collar 1998). The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(Endangered) is confined to high-elevation shola forest patches totalling under 57 km² in the Wayanad region of the Western Ghats (Robin et al. 2017). The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(Critically Endangered), described in 2006 from Eaglenest Wildlife Sanctuary in Arunachal Pradesh, is known from a handful of territories holding at most a few tens of individuals (Athreya 2006).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(Critically Endangered), rediscovered in 1986 after 86 years without a record (Bhushan 1986), went unrecorded again from 2008 until August 2025, when its call was captured by an automated recording unit at a previously unknown site (Search for Lost Birds 2025).</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They are nocturnal or skulking, they occupy terrain where visual survey is difficult, and each has distinctive vocalisations. The reconfirmation of Jerdon's Courser in 2025 through an automated recorder illustrates the value of the approach directly.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BirdNET V2.4 (Kahl et al. 2021), and the other three species therefore cannot be detected by it at any confidence threshold. Species-specific classifiers address a concrete operational gap.</w:t>
      </w:r>
    </w:p>
    <w:p>
      <w:pPr>
        <w:spacing w:after="160" w:line="276"/>
        <w:jc w:val="left"/>
      </w:pPr>
      <w:r>
        <w:rPr>
          <w:rFonts w:ascii="Times New Roman" w:cs="Times New Roman" w:eastAsia="Times New Roman" w:hAnsi="Times New Roman"/>
          <w:sz w:val="24"/>
          <w:szCs w:val="24"/>
        </w:rPr>
        <w:t xml:space="preserve">Because these species are so rare, data are scarce, with the complete public record ranging from 12 to 75 recordings per species, and this creates two difficulties, one in training and one in testing. Training suffers because datasets this small cannot support conventional deep networks, so we build on acoustic embeddings from a large pretrained bird sound model instead, which recent work has shown transfer to small datasets far better than training or fine-tuning conventional networks (Ghani et al. 2023). Testing suffers because a model can score highly by recognising recording conditions rather than the species itself, so we use a cross-validation design that keeps the data used for training, model selection, and final testing strictly separate.</w:t>
      </w:r>
    </w:p>
    <w:p>
      <w:pPr>
        <w:spacing w:after="160" w:line="276"/>
        <w:jc w:val="left"/>
      </w:pPr>
      <w:r>
        <w:rPr>
          <w:rFonts w:ascii="Times New Roman" w:cs="Times New Roman" w:eastAsia="Times New Roman" w:hAnsi="Times New Roman"/>
          <w:sz w:val="24"/>
          <w:szCs w:val="24"/>
        </w:rPr>
        <w:t xml:space="preserve">The study comprises five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in order to establish which approach the data scale actually supports. Second, we evaluate every model under two cross-validation schemes, one splitting at the level of the unique recording and a stricter one splitting at the level of the recording session, in order to measure whether performance survives when models cannot exploit any within-session similarity. Third, we test whether adapting the embedding space to Indian endemic birds through supervised contrastive learning on 28 non-target endemic species improves target discrimination. Fourth, we measure open-set behaviour, meaning the ability to reject species outside the four targets, against 1,891 recordings of the 28 non-target endemics, and we test an explicit background class as a remedy, because a deployed detector encounters far more non-target sound than target sound. Fifth, we measure robustness by degrading test audio with additive noise at controlled signal-to-noise ratios. Together with a comparison against BirdNET's own output for the one species it covers, these analyses describe both what the archives can support and what remains missing for deployment.</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Study species and 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have no usable recordings in either major public sound archive, and the Himalayan Quail has not been reliably recorded since the nineteenth century. The remaining four species listed above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 Table 1 summarises the collection.</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are the three-second vocalisation segments described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1170"/>
        <w:gridCol w:w="1170"/>
        <w:gridCol w:w="1170"/>
        <w:gridCol w:w="1170"/>
        <w:gridCol w:w="1170"/>
        <w:gridCol w:w="1170"/>
      </w:tblGrid>
      <w:tr>
        <w:trPr>
          <w:tblHeader/>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IUCN status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EN</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CR</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17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that serves as the single source of truth for all downstream processing. Duplicate detection used both catalogue identifiers and SHA-256 hashes of the file contents. Six byte-identical duplicates were found and removed, including recordings present in both archives under different catalogue numbers. This audit step matters because duplicated audio can otherwise occupy both the training and the evaluation side of a split without being noticed. After deduplication the dataset contained 193 unique recordings totalling approximately 125 minutes, and no audio was duplicated or multiplied at any later stage of the pipeline.</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of BirdNET.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This produced 3,195 analysis windows distributed as shown in Table 1. Segmenting recordings into windows uses the full duration of long recordings and gives all recordings a common analysis unit, whereas representing each recording by a single image would discard most of the available audio (Figure 1 and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 The Jerdon's Courser example reflects the heavy tape noise of the historical source material.</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unit of splitting is never the window. All windows of a recording share that recording's partition in every experiment reported in this paper.</w:t>
      </w:r>
    </w:p>
    <w:p>
      <w:pPr>
        <w:spacing w:after="160" w:line="276"/>
        <w:jc w:val="left"/>
      </w:pPr>
      <w:r>
        <w:rPr>
          <w:rFonts w:ascii="Times New Roman" w:cs="Times New Roman" w:eastAsia="Times New Roman" w:hAnsi="Times New Roman"/>
          <w:sz w:val="24"/>
          <w:szCs w:val="24"/>
        </w:rPr>
        <w:t xml:space="preserve">The primary scheme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 Per-class support is reported in unique recordings throughout.</w:t>
      </w:r>
    </w:p>
    <w:p>
      <w:pPr>
        <w:spacing w:after="160" w:line="276"/>
        <w:jc w:val="left"/>
      </w:pPr>
      <w:r>
        <w:rPr>
          <w:rFonts w:ascii="Times New Roman" w:cs="Times New Roman" w:eastAsia="Times New Roman" w:hAnsi="Times New Roman"/>
          <w:sz w:val="24"/>
          <w:szCs w:val="24"/>
        </w:rPr>
        <w:t xml:space="preserve">The stricter event-level scheme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 the only test of generalisation beyond the known session that the archive permits.</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rather than duplication. Uncertainty on accuracy and macro-F1 is reported as 95% percentile bootstrap confidence intervals over recordings, and paired model comparisons use exact McNemar tests on recording-level outcomes.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An EfficientNet-B0 initialised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 The member probabilities are averaged without any tuned weights, so ensembling introduces no additional model selection.</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A classifier restricted to four output classes will assign one of those four labels to any input, including species it has never seen, so closed-set accuracy alone does not describe field behaviour. We evaluated open-set performance in two ways. In the first, the maximum softmax probability of the closed-set probe was used as a confidence score, with the acceptance threshold calibrated only on validation data as the highest value retaining at least 95% of validation recordings. Separation between target and non-target recordings was summarised by the area under the ROC curve. In the second, a fifth background class was added to the probe. The 28 auxiliary species were split in half, with windows from 14 species (1,077 recordings) forming the background class during training and the remaining 14 species (814 recordings), which no model component had seen in any role, used to measure false acceptance. Evaluating on species held out entirely, rather than on held-out recordings of training species, measures rejection of genuinely novel sound.</w:t>
      </w:r>
    </w:p>
    <w:p>
      <w:pPr>
        <w:pStyle w:val="Heading2"/>
        <w:spacing w:after="120" w:before="240"/>
      </w:pPr>
      <w:r>
        <w:rPr>
          <w:rFonts w:ascii="Times New Roman" w:cs="Times New Roman" w:eastAsia="Times New Roman" w:hAnsi="Times New Roman"/>
          <w:b/>
          <w:bCs/>
          <w:i/>
          <w:iCs/>
          <w:sz w:val="24"/>
          <w:szCs w:val="24"/>
        </w:rPr>
        <w:t xml:space="preserve">Robustness and reference comparison</w:t>
      </w:r>
    </w:p>
    <w:p>
      <w:pPr>
        <w:spacing w:after="160" w:line="276"/>
        <w:jc w:val="left"/>
      </w:pPr>
      <w:r>
        <w:rPr>
          <w:rFonts w:ascii="Times New Roman" w:cs="Times New Roman" w:eastAsia="Times New Roman" w:hAnsi="Times New Roman"/>
          <w:sz w:val="24"/>
          <w:szCs w:val="24"/>
        </w:rPr>
        <w:t xml:space="preserve">To measure noise robustness, test windows were corrupted with additive white noise at 20, 10, 5, and 0 dB signal-to-noise ratio before embedding extraction, and evaluated with single-seed probes trained on clean data under the primary folds. As an external reference, BirdNET's own classifier output was recorded for every window, which provides a deployment-relevant comparison for the Forest Owlet, the one target species in its label set.</w:t>
      </w:r>
    </w:p>
    <w:p>
      <w:pPr>
        <w:pStyle w:val="Heading2"/>
        <w:spacing w:after="120" w:before="240"/>
      </w:pPr>
      <w:r>
        <w:rPr>
          <w:rFonts w:ascii="Times New Roman" w:cs="Times New Roman" w:eastAsia="Times New Roman" w:hAnsi="Times New Roman"/>
          <w:b/>
          <w:bCs/>
          <w:i/>
          <w:iCs/>
          <w:sz w:val="24"/>
          <w:szCs w:val="24"/>
        </w:rPr>
        <w:t xml:space="preserve">Implementation</w:t>
      </w:r>
    </w:p>
    <w:p>
      <w:pPr>
        <w:spacing w:after="160" w:line="276"/>
        <w:jc w:val="left"/>
      </w:pPr>
      <w:r>
        <w:rPr>
          <w:rFonts w:ascii="Times New Roman" w:cs="Times New Roman" w:eastAsia="Times New Roman" w:hAnsi="Times New Roman"/>
          <w:sz w:val="24"/>
          <w:szCs w:val="24"/>
        </w:rPr>
        <w:t xml:space="preserve">The classifiers were implemented in PyTorch 2.13, and embeddings were extracted with the BirdNET-Analyzer reference implementation. All experiments ran on a single consumer laptop. The full pipeline, from audit and windowing through splitting, embedding, training, and figure generation, is reproducible from the scripts in the accompanying repository. The audio itself is not redistributed, in accordance with archive terms, and the manifest lists every catalogue identifier so the exact dataset can be reassembled from the source archives.</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Closed-set identification</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changed nothing.</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Depositing the 2025 reconfirmation recordings in a public archive would multiply the available evidence, and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Comparison with the global classifier</w:t>
      </w:r>
    </w:p>
    <w:p>
      <w:pPr>
        <w:spacing w:after="160" w:line="276"/>
        <w:jc w:val="left"/>
      </w:pPr>
      <w:r>
        <w:rPr>
          <w:rFonts w:ascii="Times New Roman" w:cs="Times New Roman" w:eastAsia="Times New Roman" w:hAnsi="Times New Roman"/>
          <w:sz w:val="24"/>
          <w:szCs w:val="24"/>
        </w:rPr>
        <w:t xml:space="preserve">BirdNET V2.4 contains a label for only the Forest Owlet among the four species. Its classifier assigned that label a mean confidence of 0.17 on windows that truly contain the species, reaching 1.0 only on the clearest calls, which is usable for coarse screening but well short of a reliable detector, and no equivalent output exists for the other three species. The probe operating on BirdNET's embeddings identified Forest Owlet recordings with an F1 of 0.98. The comparison shows that the embedding representation carries the information needed for these species even where the classifier itself has no corresponding output, which is the situation of most range-restricted threatened birds worldwide.</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rejection</w:t>
      </w:r>
    </w:p>
    <w:p>
      <w:pPr>
        <w:spacing w:after="160" w:line="276"/>
        <w:jc w:val="left"/>
      </w:pPr>
      <w:r>
        <w:rPr>
          <w:rFonts w:ascii="Times New Roman" w:cs="Times New Roman" w:eastAsia="Times New Roman" w:hAnsi="Times New Roman"/>
          <w:sz w:val="24"/>
          <w:szCs w:val="24"/>
        </w:rPr>
        <w:t xml:space="preserve">Confidence thresholding on the closed-set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mean and standard deviation over folds). Deployed as it stands, the closed-set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Open-set behaviour at the recording level. MSP denotes the maximum softmax probability of the closed-set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closed-set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and for the one covered species the global classifier's native confidence averaged 0.17 on genuine vocalisations while a probe on its own embeddings reached an F1 of 0.98.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open-set results define the boundary between a classification study and a deployable detector. A model with 97.4% closed-set accuracy accepted 93.7% of recordings of other endemic species when guarded only by a confidence threshold, and a background class trained on species held disjoint from the evaluation brought false acceptance down to 13.4% at a cost of 8.8% of target recordings. Closed-set accuracy alone therefore overstates field readiness by a wide margin, and we would encourage studies proposing classifiers for conservation use to report open-set metrics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and the Forest Owlet, for which acoustic survey is already operational practice, would allow a direct comparison between embedding-based detectors and BirdNET's native output on existing survey audio.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closed-set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open-set rejection,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Athreya, R. (2006). A new species of Liocichla (Aves: Timaliidae) from Eaglenest Wildlife Sanctuary, Arunachal Pradesh, India. </w:t>
      </w:r>
      <w:r>
        <w:rPr>
          <w:rFonts w:ascii="Times New Roman" w:cs="Times New Roman" w:eastAsia="Times New Roman" w:hAnsi="Times New Roman"/>
          <w:i/>
          <w:iCs/>
          <w:sz w:val="24"/>
          <w:szCs w:val="24"/>
        </w:rPr>
        <w:t xml:space="preserve">Indian Birds</w:t>
      </w:r>
      <w:r>
        <w:rPr>
          <w:rFonts w:ascii="Times New Roman" w:cs="Times New Roman" w:eastAsia="Times New Roman" w:hAnsi="Times New Roman"/>
          <w:sz w:val="24"/>
          <w:szCs w:val="24"/>
        </w:rPr>
        <w:t xml:space="preserve"> 2, 82–94.</w:t>
      </w:r>
    </w:p>
    <w:p>
      <w:pPr>
        <w:spacing w:after="160" w:line="276"/>
        <w:jc w:val="left"/>
      </w:pPr>
      <w:r>
        <w:rPr>
          <w:rFonts w:ascii="Times New Roman" w:cs="Times New Roman" w:eastAsia="Times New Roman" w:hAnsi="Times New Roman"/>
          <w:sz w:val="24"/>
          <w:szCs w:val="24"/>
        </w:rPr>
        <w:t xml:space="preserve">Bhushan, B. (1986). Rediscovery of the Jerdon's Courser </w:t>
      </w:r>
      <w:r>
        <w:rPr>
          <w:rFonts w:ascii="Times New Roman" w:cs="Times New Roman" w:eastAsia="Times New Roman" w:hAnsi="Times New Roman"/>
          <w:i/>
          <w:iCs/>
          <w:sz w:val="24"/>
          <w:szCs w:val="24"/>
        </w:rPr>
        <w:t xml:space="preserve">Cursorius bitorquatus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Journal of the Bombay Natural History Society</w:t>
      </w:r>
      <w:r>
        <w:rPr>
          <w:rFonts w:ascii="Times New Roman" w:cs="Times New Roman" w:eastAsia="Times New Roman" w:hAnsi="Times New Roman"/>
          <w:sz w:val="24"/>
          <w:szCs w:val="24"/>
        </w:rPr>
        <w:t xml:space="preserve"> 83, 1–14.</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Rasmussen, P.C. and Collar, N.J. (1998). Identification, distribution and status of the Forest Owlet </w:t>
      </w:r>
      <w:r>
        <w:rPr>
          <w:rFonts w:ascii="Times New Roman" w:cs="Times New Roman" w:eastAsia="Times New Roman" w:hAnsi="Times New Roman"/>
          <w:i/>
          <w:iCs/>
          <w:sz w:val="24"/>
          <w:szCs w:val="24"/>
        </w:rPr>
        <w:t xml:space="preserve">Athene (Heteroglaux)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Forktail</w:t>
      </w:r>
      <w:r>
        <w:rPr>
          <w:rFonts w:ascii="Times New Roman" w:cs="Times New Roman" w:eastAsia="Times New Roman" w:hAnsi="Times New Roman"/>
          <w:sz w:val="24"/>
          <w:szCs w:val="24"/>
        </w:rPr>
        <w:t xml:space="preserve"> 14, 41–49.</w:t>
      </w:r>
    </w:p>
    <w:p>
      <w:pPr>
        <w:spacing w:after="160" w:line="276"/>
        <w:jc w:val="left"/>
      </w:pPr>
      <w:r>
        <w:rPr>
          <w:rFonts w:ascii="Times New Roman" w:cs="Times New Roman" w:eastAsia="Times New Roman" w:hAnsi="Times New Roman"/>
          <w:sz w:val="24"/>
          <w:szCs w:val="24"/>
        </w:rPr>
        <w:t xml:space="preserve">Robin, V.V., Vishnudas, C.K., Gupta, P., Rheindt, F.E., Hooper, D.M., Ramakrishnan, U. et al. (2017). Two new genera of songbirds represent endemic radiations from the Shola Sky Islands of the Western Ghats, India. </w:t>
      </w:r>
      <w:r>
        <w:rPr>
          <w:rFonts w:ascii="Times New Roman" w:cs="Times New Roman" w:eastAsia="Times New Roman" w:hAnsi="Times New Roman"/>
          <w:i/>
          <w:iCs/>
          <w:sz w:val="24"/>
          <w:szCs w:val="24"/>
        </w:rPr>
        <w:t xml:space="preserve">BMC Evolutionary Biology</w:t>
      </w:r>
      <w:r>
        <w:rPr>
          <w:rFonts w:ascii="Times New Roman" w:cs="Times New Roman" w:eastAsia="Times New Roman" w:hAnsi="Times New Roman"/>
          <w:sz w:val="24"/>
          <w:szCs w:val="24"/>
        </w:rPr>
        <w:t xml:space="preserve"> 17, 31. https://doi.org/10.1186/s12862-017-0882-6.</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2026-08-26T13:50:48.393Z</dcterms:created>
  <dcterms:modified xsi:type="dcterms:W3CDTF">2026-08-26T13:50:48.393Z</dcterms:modified>
</cp:coreProperties>
</file>

<file path=docProps/custom.xml><?xml version="1.0" encoding="utf-8"?>
<Properties xmlns="http://schemas.openxmlformats.org/officeDocument/2006/custom-properties" xmlns:vt="http://schemas.openxmlformats.org/officeDocument/2006/docPropsVTypes"/>
</file>