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occupy terrain where visual survey is difficult, and have distinctive vocalisations.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the most widely used bird song classification system, and the other three species therefore cannot be detected by it at any confidence threshold. Therefore, there exists a need for classifiers specifically trained to classify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 Small datasets also allow a model to score well by memorising recording conditions rather than the species, so we use a cross-validation design that keeps the data for training, model selection, and final testing strictly separate.</w:t>
      </w:r>
    </w:p>
    <w:p>
      <w:pPr>
        <w:spacing w:after="160" w:line="276"/>
        <w:jc w:val="left"/>
      </w:pPr>
      <w:r>
        <w:rPr>
          <w:rFonts w:ascii="Times New Roman" w:cs="Times New Roman" w:eastAsia="Times New Roman" w:hAnsi="Times New Roman"/>
          <w:sz w:val="24"/>
          <w:szCs w:val="24"/>
        </w:rPr>
        <w:t xml:space="preserve">The study comprises five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in order to establish which approach the data scale actually supports. Second, we evaluate every model under two cross-validation schemes, one splitting at the level of the unique recording and a stricter one splitting at the level of the recording session, in order to measure whether performance survives when models cannot exploit any within-session similarity. Third, we test whether adapting the embedding space to Indian endemic birds through supervised contrastive learning on 28 non-target endemic species improves target discrimination. Fourth, we measure open-set behaviour, meaning the ability to reject species outside the four targets, against 1,891 recordings of the 28 non-target endemics, and we test an explicit background class as a remedy, because a deployed detector encounters far more non-target sound than target sound. Fifth, we measure robustness by degrading test audio with additive noise at controlled signal-to-noise ratios. Together with a comparison against BirdNET's own output for the one species it covers, these analyses describe both what the archives can support and what remains missing for deployment.</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Study species and 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have no usable recordings in either major public sound archive, and the Himalayan Quail has not been reliably recorded since the nineteenth century. The remaining four species listed above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 Table 1 summarises the collection.</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are the three-second vocalisation segments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IUCN status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that serves as the single source of truth for all downstream processing. Duplicate detection used both catalogue identifiers and SHA-256 hashes of the file contents. Six byte-identical duplicates were found and removed, including recordings present in both archives under different catalogue numbers. This audit step matters because duplicated audio can otherwise occupy both the training and the evaluation side of a split without being noticed. After deduplication the dataset contained 193 unique recordings totalling approximately 125 minutes, and no audio was duplicated or multiplied at any later stage of the pipeline.</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of BirdNET.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This produced 3,195 analysis windows distributed as shown in Table 1. Segmenting recordings into windows uses the full duration of long recordings and gives all recordings a common analysis unit, whereas representing each recording by a single image would discard most of the available audio (Figure 1 and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 The Jerdon's Courser example reflects the heavy tape noise of the historical source material.</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closed-set accuracy alone does not describe field behaviour. We evaluated open-set performance in two ways. In the first, the maximum softmax probability of the closed-set probe was used as a confidence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Closed-set identification</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Confidence thresholding on the closed-set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closed-set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Open-set behaviour at the recording level. MSP denotes the maximum softmax probability of the closed-set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closed-set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open-set results define the boundary between a classification study and a deployable detector. A model with 97.4% closed-set accuracy accepted 93.7% of recordings of other endemic species when guarded only by a confidence threshold, and a background class trained on species held disjoint from the evaluation brought false acceptance down to 13.4% at a cost of 8.8% of target recordings. Closed-set accuracy alone therefore overstates field readiness by a wide margin, and we would encourage studies proposing classifiers for conservation use to report open-set metrics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closed-set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open-set rejection,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2026-08-26T13:59:22.683Z</dcterms:created>
  <dcterms:modified xsi:type="dcterms:W3CDTF">2026-08-26T13:59:22.684Z</dcterms:modified>
</cp:coreProperties>
</file>

<file path=docProps/custom.xml><?xml version="1.0" encoding="utf-8"?>
<Properties xmlns="http://schemas.openxmlformats.org/officeDocument/2006/custom-properties" xmlns:vt="http://schemas.openxmlformats.org/officeDocument/2006/docPropsVTypes"/>
</file>