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rPr>
          <w:rFonts w:ascii="Times New Roman" w:cs="Times New Roman" w:eastAsia="Times New Roman" w:hAnsi="Times New Roman"/>
          <w:b/>
          <w:bCs/>
          <w:sz w:val="32"/>
          <w:szCs w:val="32"/>
        </w:rPr>
        <w:t xml:space="preserve">Acoustic identification of India's Endangered and Critically Endangered endemic birds using bioacoustic foundation model embeddings</w:t>
      </w:r>
    </w:p>
    <w:p>
      <w:pPr>
        <w:spacing w:after="160" w:line="276"/>
        <w:jc w:val="left"/>
      </w:pPr>
      <w:r>
        <w:rPr>
          <w:rFonts w:ascii="Times New Roman" w:cs="Times New Roman" w:eastAsia="Times New Roman" w:hAnsi="Times New Roman"/>
          <w:b/>
          <w:bCs/>
          <w:sz w:val="24"/>
          <w:szCs w:val="24"/>
        </w:rPr>
        <w:t xml:space="preserve">Srivatsav Kannan¹, Valliappan Raman¹, Shanmugapriya K.R.¹</w:t>
      </w:r>
    </w:p>
    <w:p>
      <w:pPr>
        <w:spacing w:after="160" w:line="276"/>
        <w:jc w:val="left"/>
      </w:pPr>
      <w:r>
        <w:rPr>
          <w:rFonts w:ascii="Times New Roman" w:cs="Times New Roman" w:eastAsia="Times New Roman" w:hAnsi="Times New Roman"/>
          <w:sz w:val="24"/>
          <w:szCs w:val="24"/>
        </w:rPr>
        <w:t xml:space="preserve">¹ Department of Artificial Intelligence and Data Science, Coimbatore Institute of Technology, Coimbatore, India</w:t>
      </w:r>
    </w:p>
    <w:p>
      <w:pPr>
        <w:pStyle w:val="Heading1"/>
        <w:spacing w:after="160" w:before="280"/>
      </w:pPr>
      <w:r>
        <w:rPr>
          <w:rFonts w:ascii="Times New Roman" w:cs="Times New Roman" w:eastAsia="Times New Roman" w:hAnsi="Times New Roman"/>
          <w:b/>
          <w:bCs/>
          <w:sz w:val="28"/>
          <w:szCs w:val="28"/>
        </w:rPr>
        <w:t xml:space="preserve">Summary</w:t>
      </w:r>
    </w:p>
    <w:p>
      <w:pPr>
        <w:spacing w:after="160" w:line="276"/>
        <w:jc w:val="left"/>
      </w:pPr>
      <w:r>
        <w:rPr>
          <w:rFonts w:ascii="Times New Roman" w:cs="Times New Roman" w:eastAsia="Times New Roman" w:hAnsi="Times New Roman"/>
          <w:sz w:val="24"/>
          <w:szCs w:val="24"/>
        </w:rPr>
        <w:t xml:space="preserve">Passive acoustic monitoring is one of the few survey methods that scales to rare and cryptic birds, but it depends on automated identification, and the global classifiers that support most bioacoustic monitoring do not cover most highly threatened range-restricted species. Four bird species endemic to India and listed as Endangered or Critically Endangered have sound recordings in public archives, and only one of them appears in the 6,000-species label set of BirdNET, the most widely used bird sound classifier. We assembled the complete public acoustic record of these four species from the Macaulay Library and Xeno-canto, comprising 193 unique recordings and approximately 125 minutes of audio after duplicate removal, and we evaluated whether this material can support reliable automated identification. Recordings were segmented into three-second windows screened for vocal activity, and classifiers were trained on acoustic embeddings extracted with BirdNET, including a multiple instance learning model that classifies whole recordings through an attention mechanism. Evaluation used stratified five-fold cross-validation with the unique recording as the unit of splitting, model selection confined to inner validation sets, and a stricter companion scheme that kept recordings from the same recording session on the same side of every partition. The embedding-based classifier achieved 97.4% recording-level accuracy (95% confidence interval 94.8 to 99.5, macro-F1 0.973), compared with 83.4% for a fine-tuned convolutional network, and accuracy remained at 98.9% under the session-level scheme and 92.2% under additive noise at 0 dB signal-to-noise ratio. A confidence threshold alone accepted 93.7% of 1,891 recordings of 28 non-target endemic species, and adding a background class trained on held-out species reduced this false acceptance to 13.4% while retaining 89.1% of target recordings. Public archives can therefore support accurate classifiers for these species, and open-set rejection is the main requirement remaining for field deployment.</w:t>
      </w:r>
    </w:p>
    <w:p>
      <w:pPr>
        <w:spacing w:after="160" w:line="276"/>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Athene blewitti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Montecincla jerdoni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Liocichla bugunorum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 passive acoustic monitoring, transfer learning, open-set recognition</w:t>
      </w:r>
    </w:p>
    <w:p>
      <w:pPr>
        <w:pStyle w:val="Heading1"/>
        <w:spacing w:after="160" w:before="280"/>
      </w:pPr>
      <w:r>
        <w:rPr>
          <w:rFonts w:ascii="Times New Roman" w:cs="Times New Roman" w:eastAsia="Times New Roman" w:hAnsi="Times New Roman"/>
          <w:b/>
          <w:bCs/>
          <w:sz w:val="28"/>
          <w:szCs w:val="28"/>
        </w:rPr>
        <w:t xml:space="preserve">Introduction</w:t>
      </w:r>
    </w:p>
    <w:p>
      <w:pPr>
        <w:spacing w:after="160" w:line="276"/>
        <w:jc w:val="left"/>
      </w:pPr>
      <w:r>
        <w:rPr>
          <w:rFonts w:ascii="Times New Roman" w:cs="Times New Roman" w:eastAsia="Times New Roman" w:hAnsi="Times New Roman"/>
          <w:sz w:val="24"/>
          <w:szCs w:val="24"/>
        </w:rPr>
        <w:t xml:space="preserve">India supports over 1,300 bird species, of which more than 75 occur nowhere else in the world (SoIB 2023). Endemic species with narrow geographic ranges are disproportionately vulnerable to habitat loss, and several Indian endemics are now assessed as Endangered or Critically Endangered on the IUCN Red List (IUCN 2025). Exactly four such species have sound recordings available in the major public archives. The Forest Owlet </w:t>
      </w:r>
      <w:r>
        <w:rPr>
          <w:rFonts w:ascii="Times New Roman" w:cs="Times New Roman" w:eastAsia="Times New Roman" w:hAnsi="Times New Roman"/>
          <w:i/>
          <w:iCs/>
          <w:sz w:val="24"/>
          <w:szCs w:val="24"/>
        </w:rPr>
        <w:t xml:space="preserve">Athene blewitti</w:t>
      </w:r>
      <w:r>
        <w:rPr>
          <w:rFonts w:ascii="Times New Roman" w:cs="Times New Roman" w:eastAsia="Times New Roman" w:hAnsi="Times New Roman"/>
          <w:sz w:val="24"/>
          <w:szCs w:val="24"/>
        </w:rPr>
        <w:t xml:space="preserve"> (Endangered) was known from seven nineteenth-century specimens until its rediscovery in 1997 and retains a small, fragmented, and declining population (Rasmussen and Collar 1998). The Banasura Laughingthrush </w:t>
      </w:r>
      <w:r>
        <w:rPr>
          <w:rFonts w:ascii="Times New Roman" w:cs="Times New Roman" w:eastAsia="Times New Roman" w:hAnsi="Times New Roman"/>
          <w:i/>
          <w:iCs/>
          <w:sz w:val="24"/>
          <w:szCs w:val="24"/>
        </w:rPr>
        <w:t xml:space="preserve">Montecincla jerdoni</w:t>
      </w:r>
      <w:r>
        <w:rPr>
          <w:rFonts w:ascii="Times New Roman" w:cs="Times New Roman" w:eastAsia="Times New Roman" w:hAnsi="Times New Roman"/>
          <w:sz w:val="24"/>
          <w:szCs w:val="24"/>
        </w:rPr>
        <w:t xml:space="preserve"> (Endangered) is confined to high-elevation shola forest patches totalling under 57 km² in the Wayanad region of the Western Ghats (Robin et al. 2017). The Bugun Liocichla </w:t>
      </w:r>
      <w:r>
        <w:rPr>
          <w:rFonts w:ascii="Times New Roman" w:cs="Times New Roman" w:eastAsia="Times New Roman" w:hAnsi="Times New Roman"/>
          <w:i/>
          <w:iCs/>
          <w:sz w:val="24"/>
          <w:szCs w:val="24"/>
        </w:rPr>
        <w:t xml:space="preserve">Liocichla bugunorum</w:t>
      </w:r>
      <w:r>
        <w:rPr>
          <w:rFonts w:ascii="Times New Roman" w:cs="Times New Roman" w:eastAsia="Times New Roman" w:hAnsi="Times New Roman"/>
          <w:sz w:val="24"/>
          <w:szCs w:val="24"/>
        </w:rPr>
        <w:t xml:space="preserve"> (Critically Endangered), described in 2006 from Eaglenest Wildlife Sanctuary in Arunachal Pradesh, is known from a handful of territories holding at most a few tens of individuals (Athreya 2006). Jerdon's Courser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 (Critically Endangered), rediscovered in 1986 after 86 years without a record (Bhushan 1986), went unrecorded again from 2008 until August 2025, when its call was captured by an automated recording unit at a previously unknown site (Search for Lost Birds 2025).</w:t>
      </w:r>
    </w:p>
    <w:p>
      <w:pPr>
        <w:spacing w:after="160" w:line="276"/>
        <w:jc w:val="left"/>
      </w:pPr>
      <w:r>
        <w:rPr>
          <w:rFonts w:ascii="Times New Roman" w:cs="Times New Roman" w:eastAsia="Times New Roman" w:hAnsi="Times New Roman"/>
          <w:sz w:val="24"/>
          <w:szCs w:val="24"/>
        </w:rPr>
        <w:t xml:space="preserve">These four species are natural candidates for passive acoustic monitoring. They are nocturnal or skulking, they occupy terrain where visual survey is difficult, and each has distinctive vocalisations. The reconfirmation of Jerdon's Courser in 2025 through an automated recorder illustrates the value of the approach directly. Acoustic monitoring at useful scales, however, requires automated identification, because continuous recorders produce far more audio than observers can review. The classifiers that currently dominate applied bioacoustics cannot provide this identification for these species. We verified that only the Forest Owlet is present in the label set of BirdNET V2.4 (Kahl et al. 2021), and the other three species therefore cannot be detected by it at any confidence threshold. Species-specific classifiers address a concrete operational gap.</w:t>
      </w:r>
    </w:p>
    <w:p>
      <w:pPr>
        <w:spacing w:after="160" w:line="276"/>
        <w:jc w:val="left"/>
      </w:pPr>
      <w:r>
        <w:rPr>
          <w:rFonts w:ascii="Times New Roman" w:cs="Times New Roman" w:eastAsia="Times New Roman" w:hAnsi="Times New Roman"/>
          <w:sz w:val="24"/>
          <w:szCs w:val="24"/>
        </w:rPr>
        <w:t xml:space="preserve">Training classifiers for species this rare presents two methodological difficulties that shape the design of this study. The first is data scale, since the complete public acoustic record of each species ranges from 12 to 75 recordings. Recent work has shown that acoustic embeddings from large pretrained bird sound models transfer to small datasets far more effectively than training or fine-tuning conventional networks does (Ghani et al. 2023), which suggests a practical route around the scale problem. The second difficulty is evaluation validity. When all available recordings of a species come from a few recordists, sites, and seasons, a model can score highly by recognising recording conditions rather than the species, and results reported without strict separation between the data used for training, for model selection, and for testing overstate real performance. Our evaluation design addresses both the unit of independence and the separation of selection from reporting.</w:t>
      </w:r>
    </w:p>
    <w:p>
      <w:pPr>
        <w:spacing w:after="160" w:line="276"/>
        <w:jc w:val="left"/>
      </w:pPr>
      <w:r>
        <w:rPr>
          <w:rFonts w:ascii="Times New Roman" w:cs="Times New Roman" w:eastAsia="Times New Roman" w:hAnsi="Times New Roman"/>
          <w:sz w:val="24"/>
          <w:szCs w:val="24"/>
        </w:rPr>
        <w:t xml:space="preserve">The study comprises five analyses. First, we compare three classifier families on the four-species identification task, a fine-tuned convolutional network on spectrograms representing standard practice, a lightweight classifier on frozen BirdNET embeddings, and a multiple instance learning model with attention that classifies whole recordings, in order to establish which approach the data scale actually supports. Second, we evaluate every model under two cross-validation schemes, one splitting at the level of the unique recording and a stricter one splitting at the level of the recording session, in order to measure whether performance survives when models cannot exploit any within-session similarity. Third, we test whether adapting the embedding space to Indian endemic birds through supervised contrastive learning on 28 non-target endemic species improves target discrimination. Fourth, we measure open-set behaviour, meaning the ability to reject species outside the four targets, against 1,891 recordings of the 28 non-target endemics, and we test an explicit background class as a remedy, because a deployed detector encounters far more non-target sound than target sound. Fifth, we measure robustness by degrading test audio with additive noise at controlled signal-to-noise ratios. Together with a comparison against BirdNET's own output for the one species it covers, these analyses describe both what the archives can support and what remains missing for deployment.</w:t>
      </w:r>
    </w:p>
    <w:p>
      <w:pPr>
        <w:pStyle w:val="Heading1"/>
        <w:spacing w:after="160" w:before="280"/>
      </w:pPr>
      <w:r>
        <w:rPr>
          <w:rFonts w:ascii="Times New Roman" w:cs="Times New Roman" w:eastAsia="Times New Roman" w:hAnsi="Times New Roman"/>
          <w:b/>
          <w:bCs/>
          <w:sz w:val="28"/>
          <w:szCs w:val="28"/>
        </w:rPr>
        <w:t xml:space="preserve">Methods</w:t>
      </w:r>
    </w:p>
    <w:p>
      <w:pPr>
        <w:pStyle w:val="Heading2"/>
        <w:spacing w:after="120" w:before="240"/>
      </w:pPr>
      <w:r>
        <w:rPr>
          <w:rFonts w:ascii="Times New Roman" w:cs="Times New Roman" w:eastAsia="Times New Roman" w:hAnsi="Times New Roman"/>
          <w:b/>
          <w:bCs/>
          <w:i/>
          <w:iCs/>
          <w:sz w:val="24"/>
          <w:szCs w:val="24"/>
        </w:rPr>
        <w:t xml:space="preserve">Study species and data sources</w:t>
      </w:r>
    </w:p>
    <w:p>
      <w:pPr>
        <w:spacing w:after="160" w:line="276"/>
        <w:jc w:val="left"/>
      </w:pPr>
      <w:r>
        <w:rPr>
          <w:rFonts w:ascii="Times New Roman" w:cs="Times New Roman" w:eastAsia="Times New Roman" w:hAnsi="Times New Roman"/>
          <w:sz w:val="24"/>
          <w:szCs w:val="24"/>
        </w:rPr>
        <w:t xml:space="preserve">We filtered the IUCN Red List for bird species endemic to India and listed as Endangered or Critically Endangered. Seven species qualified. The Great Nicobar Serpent Eagle </w:t>
      </w:r>
      <w:r>
        <w:rPr>
          <w:rFonts w:ascii="Times New Roman" w:cs="Times New Roman" w:eastAsia="Times New Roman" w:hAnsi="Times New Roman"/>
          <w:i/>
          <w:iCs/>
          <w:sz w:val="24"/>
          <w:szCs w:val="24"/>
        </w:rPr>
        <w:t xml:space="preserve">Spilornis klossi</w:t>
      </w:r>
      <w:r>
        <w:rPr>
          <w:rFonts w:ascii="Times New Roman" w:cs="Times New Roman" w:eastAsia="Times New Roman" w:hAnsi="Times New Roman"/>
          <w:sz w:val="24"/>
          <w:szCs w:val="24"/>
        </w:rPr>
        <w:t xml:space="preserve">, the Himalayan Quail </w:t>
      </w:r>
      <w:r>
        <w:rPr>
          <w:rFonts w:ascii="Times New Roman" w:cs="Times New Roman" w:eastAsia="Times New Roman" w:hAnsi="Times New Roman"/>
          <w:i/>
          <w:iCs/>
          <w:sz w:val="24"/>
          <w:szCs w:val="24"/>
        </w:rPr>
        <w:t xml:space="preserve">Ophrysia superciliosa</w:t>
      </w:r>
      <w:r>
        <w:rPr>
          <w:rFonts w:ascii="Times New Roman" w:cs="Times New Roman" w:eastAsia="Times New Roman" w:hAnsi="Times New Roman"/>
          <w:sz w:val="24"/>
          <w:szCs w:val="24"/>
        </w:rPr>
        <w:t xml:space="preserve">, and the Manipur Bush Quail </w:t>
      </w:r>
      <w:r>
        <w:rPr>
          <w:rFonts w:ascii="Times New Roman" w:cs="Times New Roman" w:eastAsia="Times New Roman" w:hAnsi="Times New Roman"/>
          <w:i/>
          <w:iCs/>
          <w:sz w:val="24"/>
          <w:szCs w:val="24"/>
        </w:rPr>
        <w:t xml:space="preserve">Perdicula manipurensis</w:t>
      </w:r>
      <w:r>
        <w:rPr>
          <w:rFonts w:ascii="Times New Roman" w:cs="Times New Roman" w:eastAsia="Times New Roman" w:hAnsi="Times New Roman"/>
          <w:sz w:val="24"/>
          <w:szCs w:val="24"/>
        </w:rPr>
        <w:t xml:space="preserve"> have no usable recordings in either major public sound archive, and the Himalayan Quail has not been reliably recorded since the nineteenth century. The remaining four species listed above form the study set.</w:t>
      </w:r>
    </w:p>
    <w:p>
      <w:pPr>
        <w:spacing w:after="160" w:line="276"/>
        <w:jc w:val="left"/>
      </w:pPr>
      <w:r>
        <w:rPr>
          <w:rFonts w:ascii="Times New Roman" w:cs="Times New Roman" w:eastAsia="Times New Roman" w:hAnsi="Times New Roman"/>
          <w:sz w:val="24"/>
          <w:szCs w:val="24"/>
        </w:rPr>
        <w:t xml:space="preserve">All available recordings of the four species were obtained from the Macaulay Library and Xeno-canto. Table 1 summarises the collection.</w:t>
      </w:r>
    </w:p>
    <w:p>
      <w:pPr>
        <w:spacing w:after="160" w:line="276"/>
        <w:jc w:val="left"/>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The assembled dataset. Recording counts are unique recordings after duplicate removal, and windows are the three-second vocalisation segments described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1170"/>
        <w:gridCol w:w="1170"/>
        <w:gridCol w:w="1170"/>
        <w:gridCol w:w="1170"/>
        <w:gridCol w:w="1170"/>
        <w:gridCol w:w="1170"/>
      </w:tblGrid>
      <w:tr>
        <w:trPr>
          <w:tblHeader/>
        </w:trP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Species</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IUCN status</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Macaulay Library</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Xeno-canto</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Total recordings</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Total audio (min)</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Windows</w:t>
            </w:r>
          </w:p>
        </w:tc>
      </w:tr>
      <w:t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Forest Owlet</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EN</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46</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29</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75</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46.6</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1,116</w:t>
            </w:r>
          </w:p>
        </w:tc>
      </w:tr>
      <w:t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Banasura Laughingthrush</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EN</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71</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74</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37.3</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976</w:t>
            </w:r>
          </w:p>
        </w:tc>
      </w:tr>
      <w:t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Bugun Liocichla</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CR</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30.3</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877</w:t>
            </w:r>
          </w:p>
        </w:tc>
      </w:tr>
      <w:t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Jerdon's Courser</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CR</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12</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11.1</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226</w:t>
            </w:r>
          </w:p>
        </w:tc>
      </w:tr>
    </w:tbl>
    <w:p>
      <w:pPr>
        <w:spacing w:after="120"/>
      </w:pPr>
    </w:p>
    <w:p>
      <w:pPr>
        <w:pStyle w:val="Heading2"/>
        <w:spacing w:after="120" w:before="240"/>
      </w:pPr>
      <w:r>
        <w:rPr>
          <w:rFonts w:ascii="Times New Roman" w:cs="Times New Roman" w:eastAsia="Times New Roman" w:hAnsi="Times New Roman"/>
          <w:b/>
          <w:bCs/>
          <w:i/>
          <w:iCs/>
          <w:sz w:val="24"/>
          <w:szCs w:val="24"/>
        </w:rPr>
        <w:t xml:space="preserve">Data processing</w:t>
      </w:r>
    </w:p>
    <w:p>
      <w:pPr>
        <w:spacing w:after="160" w:line="276"/>
        <w:jc w:val="left"/>
      </w:pPr>
      <w:r>
        <w:rPr>
          <w:rFonts w:ascii="Times New Roman" w:cs="Times New Roman" w:eastAsia="Times New Roman" w:hAnsi="Times New Roman"/>
          <w:sz w:val="24"/>
          <w:szCs w:val="24"/>
        </w:rPr>
        <w:t xml:space="preserve">Every file was assigned its archive catalogue identifier, and its provenance (species, source archive, Xeno-canto quality grade, duration, and sample rate) was recorded in a manifest that serves as the single source of truth for all downstream processing. Duplicate detection used both catalogue identifiers and SHA-256 hashes of the file contents. Six byte-identical duplicates were found and removed, including recordings present in both archives under different catalogue numbers. This audit step matters because duplicated audio can otherwise occupy both the training and the evaluation side of a split without being noticed. After deduplication the dataset contained 193 unique recordings totalling approximately 125 minutes, and no audio was duplicated or multiplied at any later stage of the pipeline.</w:t>
      </w:r>
    </w:p>
    <w:p>
      <w:pPr>
        <w:spacing w:after="160" w:line="276"/>
        <w:jc w:val="left"/>
      </w:pPr>
      <w:r>
        <w:rPr>
          <w:rFonts w:ascii="Times New Roman" w:cs="Times New Roman" w:eastAsia="Times New Roman" w:hAnsi="Times New Roman"/>
          <w:sz w:val="24"/>
          <w:szCs w:val="24"/>
        </w:rPr>
        <w:t xml:space="preserve">Each recording was decoded to mono 48 kHz audio and segmented into windows of three seconds with 50% overlap, matching the native analysis window of BirdNET. Each window was scored for vocal activity using its spectral energy in the 150 Hz to 11 kHz band relative to the noise floor of its own recording, estimated as the tenth percentile of frame energy. Windows at least 3 dB above the floor were retained, and every recording was guaranteed to contribute at least its highest-scoring window so that no recording dropped out of the dataset. This produced 3,195 analysis windows distributed as shown in Table 1. Segmenting recordings into windows uses the full duration of long recordings and gives all recordings a common analysis unit, whereas representing each recording by a single image would discard most of the available audio (Figure 1 and Figure 2).</w:t>
      </w:r>
    </w:p>
    <w:p>
      <w:pPr>
        <w:spacing w:after="80" w:before="160"/>
        <w:jc w:val="center"/>
      </w:pPr>
      <w:r>
        <w:drawing>
          <wp:inline distT="0" distB="0" distL="0" distR="0">
            <wp:extent cx="59436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17335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1. Unique recordings per species and source archive, total audio per species, and extracted vocalisation windows.</w:t>
      </w:r>
    </w:p>
    <w:p>
      <w:pPr>
        <w:spacing w:after="80" w:before="160"/>
        <w:jc w:val="center"/>
      </w:pPr>
      <w:r>
        <w:drawing>
          <wp:inline distT="0" distB="0" distL="0" distR="0">
            <wp:extent cx="59436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3906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2. Example three-second log-mel spectrogram windows for each species. The Jerdon's Courser example reflects the heavy tape noise of the historical source material.</w:t>
      </w:r>
    </w:p>
    <w:p>
      <w:pPr>
        <w:spacing w:after="160" w:line="276"/>
        <w:jc w:val="left"/>
      </w:pPr>
      <w:r>
        <w:rPr>
          <w:rFonts w:ascii="Times New Roman" w:cs="Times New Roman" w:eastAsia="Times New Roman" w:hAnsi="Times New Roman"/>
          <w:sz w:val="24"/>
          <w:szCs w:val="24"/>
        </w:rPr>
        <w:t xml:space="preserve">Catalogue numbers encode provenance structure that the evaluation must respect. All 11 Macaulay Library recordings of Jerdon's Courser occupy one consecutive catalogue block (ML274533 to ML274543). These are the recordings made during the 2001 to 2002 surveys in Sri Lankamalleswara Wildlife Sanctuary (Jeganathan et al. 2002), and they therefore represent a single recording effort. To make such structure explicit for all species, we grouped recordings into recording events, defined as recordings of the same species from the same archive whose catalogue numbers lie within 1,000 of one another, as a proxy for same-session origin. These groups are the unit of splitting in the stricter evaluation scheme described next.</w:t>
      </w:r>
    </w:p>
    <w:p>
      <w:pPr>
        <w:pStyle w:val="Heading2"/>
        <w:spacing w:after="120" w:before="240"/>
      </w:pPr>
      <w:r>
        <w:rPr>
          <w:rFonts w:ascii="Times New Roman" w:cs="Times New Roman" w:eastAsia="Times New Roman" w:hAnsi="Times New Roman"/>
          <w:b/>
          <w:bCs/>
          <w:i/>
          <w:iCs/>
          <w:sz w:val="24"/>
          <w:szCs w:val="24"/>
        </w:rPr>
        <w:t xml:space="preserve">Evaluation design</w:t>
      </w:r>
    </w:p>
    <w:p>
      <w:pPr>
        <w:spacing w:after="160" w:line="276"/>
        <w:jc w:val="left"/>
      </w:pPr>
      <w:r>
        <w:rPr>
          <w:rFonts w:ascii="Times New Roman" w:cs="Times New Roman" w:eastAsia="Times New Roman" w:hAnsi="Times New Roman"/>
          <w:sz w:val="24"/>
          <w:szCs w:val="24"/>
        </w:rPr>
        <w:t xml:space="preserve">The unit of splitting is never the window. All windows of a recording share that recording's partition in every experiment reported in this paper.</w:t>
      </w:r>
    </w:p>
    <w:p>
      <w:pPr>
        <w:spacing w:after="160" w:line="276"/>
        <w:jc w:val="left"/>
      </w:pPr>
      <w:r>
        <w:rPr>
          <w:rFonts w:ascii="Times New Roman" w:cs="Times New Roman" w:eastAsia="Times New Roman" w:hAnsi="Times New Roman"/>
          <w:sz w:val="24"/>
          <w:szCs w:val="24"/>
        </w:rPr>
        <w:t xml:space="preserve">The primary scheme is stratified five-fold cross-validation over unique recordings. Within each outer fold, the recordings outside the test fold were divided further, again at the recording level and stratified by species, into a training set of approximately 80% and a validation set of approximately 20%. Early stopping and every other model selection decision used only this inner validation set, and each outer test fold was evaluated exactly once after all decisions were frozen. Across the five folds every recording is tested exactly once, so the reported metrics cover all 193 recordings. We chose cross-validation rather than a single held-out test set because, with 12 recordings of Jerdon's Courser, a single test set would either starve training or leave test metrics for that species resting on two or three files, whereas cross-validated held-out folds evaluate every recording exactly once while preserving independence. Per-class support is reported in unique recordings throughout.</w:t>
      </w:r>
    </w:p>
    <w:p>
      <w:pPr>
        <w:spacing w:after="160" w:line="276"/>
        <w:jc w:val="left"/>
      </w:pPr>
      <w:r>
        <w:rPr>
          <w:rFonts w:ascii="Times New Roman" w:cs="Times New Roman" w:eastAsia="Times New Roman" w:hAnsi="Times New Roman"/>
          <w:sz w:val="24"/>
          <w:szCs w:val="24"/>
        </w:rPr>
        <w:t xml:space="preserve">The stricter event-level scheme is constructed identically except that the unit assigned to folds is the recording event rather than the individual recording, so no two recordings from the same session can appear on opposite sides of any partition. This scheme tests generalisation across recording sessions rather than only across files. For Jerdon's Courser the scheme is constrained by the data, because the species has exactly two events, the Macaulay block and a single Xeno-canto recording. We assigned the Macaulay block to training, which leaves the Xeno-canto recording as a one-recording cross-source test, the only test of generalisation beyond the known session that the archive permits.</w:t>
      </w:r>
    </w:p>
    <w:p>
      <w:pPr>
        <w:spacing w:after="160" w:line="276"/>
        <w:jc w:val="left"/>
      </w:pPr>
      <w:r>
        <w:rPr>
          <w:rFonts w:ascii="Times New Roman" w:cs="Times New Roman" w:eastAsia="Times New Roman" w:hAnsi="Times New Roman"/>
          <w:sz w:val="24"/>
          <w:szCs w:val="24"/>
        </w:rPr>
        <w:t xml:space="preserve">Every experiment was repeated with three random seeds, and we report seed-averaged predictions together with the spread across seeds. Class imbalance was handled with inverse-frequency loss weighting rather than duplication. Uncertainty on accuracy and macro-F1 is reported as 95% percentile bootstrap confidence intervals over recordings, and paired model comparisons use exact McNemar tests on recording-level outcomes. The serialised splits, together with their generating seed, are distributed with the code.</w:t>
      </w:r>
    </w:p>
    <w:p>
      <w:pPr>
        <w:pStyle w:val="Heading2"/>
        <w:spacing w:after="120" w:before="240"/>
      </w:pPr>
      <w:r>
        <w:rPr>
          <w:rFonts w:ascii="Times New Roman" w:cs="Times New Roman" w:eastAsia="Times New Roman" w:hAnsi="Times New Roman"/>
          <w:b/>
          <w:bCs/>
          <w:i/>
          <w:iCs/>
          <w:sz w:val="24"/>
          <w:szCs w:val="24"/>
        </w:rPr>
        <w:t xml:space="preserve">Classification models</w:t>
      </w:r>
    </w:p>
    <w:p>
      <w:pPr>
        <w:spacing w:after="160" w:line="276"/>
        <w:jc w:val="left"/>
      </w:pPr>
      <w:r>
        <w:rPr>
          <w:rFonts w:ascii="Times New Roman" w:cs="Times New Roman" w:eastAsia="Times New Roman" w:hAnsi="Times New Roman"/>
          <w:sz w:val="24"/>
          <w:szCs w:val="24"/>
        </w:rPr>
        <w:t xml:space="preserve">The first model is a fine-tuned convolutional network representing standard practice in bioacoustic classification. An EfficientNet-B0 initialised from ImageNet weights was fine-tuned end to end on log-mel spectrograms of the three-second windows (128 mel bands, 32 kHz sample rate, 12 kHz frequency cap), with time and frequency masking, gain jitter, circular time shifting, and white noise injection applied to training data only. Model selection followed the same inner-validation protocol as all other models.</w:t>
      </w:r>
    </w:p>
    <w:p>
      <w:pPr>
        <w:spacing w:after="160" w:line="276"/>
        <w:jc w:val="left"/>
      </w:pPr>
      <w:r>
        <w:rPr>
          <w:rFonts w:ascii="Times New Roman" w:cs="Times New Roman" w:eastAsia="Times New Roman" w:hAnsi="Times New Roman"/>
          <w:sz w:val="24"/>
          <w:szCs w:val="24"/>
        </w:rPr>
        <w:t xml:space="preserve">The second model classifies foundation model embeddings. Each window was encoded by BirdNET V2.4, with its weights frozen, into a 1,024-dimensional embedding, which is a compact numerical summary of the acoustic content of the window learnt by BirdNET during its training on several thousand species. A two-layer feed-forward network with layer normalisation and dropout classified individual windows, and recording-level predictions were obtained by averaging window probabilities within each recording. We refer to this model as the embedding probe.</w:t>
      </w:r>
    </w:p>
    <w:p>
      <w:pPr>
        <w:spacing w:after="160" w:line="276"/>
        <w:jc w:val="left"/>
      </w:pPr>
      <w:r>
        <w:rPr>
          <w:rFonts w:ascii="Times New Roman" w:cs="Times New Roman" w:eastAsia="Times New Roman" w:hAnsi="Times New Roman"/>
          <w:sz w:val="24"/>
          <w:szCs w:val="24"/>
        </w:rPr>
        <w:t xml:space="preserve">The third model applies multiple instance learning (MIL). A recording is treated as a bag of its window embeddings, and a gated attention mechanism (Ilse et al. 2018) assigns each window a weight, forms the weighted sum of the encoded windows, and classifies the recording in one step. This makes the recording the native decision unit, and because the attention weights are inspectable, the model shows which seconds of audio contributed to each decision.</w:t>
      </w:r>
    </w:p>
    <w:p>
      <w:pPr>
        <w:spacing w:after="160" w:line="276"/>
        <w:jc w:val="left"/>
      </w:pPr>
      <w:r>
        <w:rPr>
          <w:rFonts w:ascii="Times New Roman" w:cs="Times New Roman" w:eastAsia="Times New Roman" w:hAnsi="Times New Roman"/>
          <w:sz w:val="24"/>
          <w:szCs w:val="24"/>
        </w:rPr>
        <w:t xml:space="preserve">We also evaluated a domain-adapted variant of the embeddings. A projection network mapping the 1,024-dimensional embeddings to 256 dimensions was trained with a supervised contrastive loss (Khosla et al. 2020) on an auxiliary corpus of 28 endemic Indian species outside the study set, assembled with the identical audit and windowing pipeline (1,891 unique recordings and 13,810 windows), and then frozen and inserted before the probe and MIL classifiers. The auxiliary corpus contains no target species, so it cannot leak into target evaluation. The hypothesis was that reshaping the embedding space around Indian endemic birds would sharpen target discrimination.</w:t>
      </w:r>
    </w:p>
    <w:p>
      <w:pPr>
        <w:spacing w:after="160" w:line="276"/>
        <w:jc w:val="left"/>
      </w:pPr>
      <w:r>
        <w:rPr>
          <w:rFonts w:ascii="Times New Roman" w:cs="Times New Roman" w:eastAsia="Times New Roman" w:hAnsi="Times New Roman"/>
          <w:sz w:val="24"/>
          <w:szCs w:val="24"/>
        </w:rPr>
        <w:t xml:space="preserve">Finally, we evaluated equal-weight soft-vote ensembles of the models above. The member probabilities are averaged without any tuned weights, so ensembling introduces no additional model selection.</w:t>
      </w:r>
    </w:p>
    <w:p>
      <w:pPr>
        <w:pStyle w:val="Heading2"/>
        <w:spacing w:after="120" w:before="240"/>
      </w:pPr>
      <w:r>
        <w:rPr>
          <w:rFonts w:ascii="Times New Roman" w:cs="Times New Roman" w:eastAsia="Times New Roman" w:hAnsi="Times New Roman"/>
          <w:b/>
          <w:bCs/>
          <w:i/>
          <w:iCs/>
          <w:sz w:val="24"/>
          <w:szCs w:val="24"/>
        </w:rPr>
        <w:t xml:space="preserve">Open-set rejection</w:t>
      </w:r>
    </w:p>
    <w:p>
      <w:pPr>
        <w:spacing w:after="160" w:line="276"/>
        <w:jc w:val="left"/>
      </w:pPr>
      <w:r>
        <w:rPr>
          <w:rFonts w:ascii="Times New Roman" w:cs="Times New Roman" w:eastAsia="Times New Roman" w:hAnsi="Times New Roman"/>
          <w:sz w:val="24"/>
          <w:szCs w:val="24"/>
        </w:rPr>
        <w:t xml:space="preserve">A classifier restricted to four output classes will assign one of those four labels to any input, including species it has never seen, so closed-set accuracy alone does not describe field behaviour. We evaluated open-set performance in two ways. In the first, the maximum softmax probability of the closed-set probe was used as a confidence score, with the acceptance threshold calibrated only on validation data as the highest value retaining at least 95% of validation recordings. Separation between target and non-target recordings was summarised by the area under the ROC curve. In the second, a fifth background class was added to the probe. The 28 auxiliary species were split in half, with windows from 14 species (1,077 recordings) forming the background class during training and the remaining 14 species (814 recordings), which no model component had seen in any role, used to measure false acceptance. Evaluating on species held out entirely, rather than on held-out recordings of training species, measures rejection of genuinely novel sound.</w:t>
      </w:r>
    </w:p>
    <w:p>
      <w:pPr>
        <w:pStyle w:val="Heading2"/>
        <w:spacing w:after="120" w:before="240"/>
      </w:pPr>
      <w:r>
        <w:rPr>
          <w:rFonts w:ascii="Times New Roman" w:cs="Times New Roman" w:eastAsia="Times New Roman" w:hAnsi="Times New Roman"/>
          <w:b/>
          <w:bCs/>
          <w:i/>
          <w:iCs/>
          <w:sz w:val="24"/>
          <w:szCs w:val="24"/>
        </w:rPr>
        <w:t xml:space="preserve">Robustness and reference comparison</w:t>
      </w:r>
    </w:p>
    <w:p>
      <w:pPr>
        <w:spacing w:after="160" w:line="276"/>
        <w:jc w:val="left"/>
      </w:pPr>
      <w:r>
        <w:rPr>
          <w:rFonts w:ascii="Times New Roman" w:cs="Times New Roman" w:eastAsia="Times New Roman" w:hAnsi="Times New Roman"/>
          <w:sz w:val="24"/>
          <w:szCs w:val="24"/>
        </w:rPr>
        <w:t xml:space="preserve">To measure noise robustness, test windows were corrupted with additive white noise at 20, 10, 5, and 0 dB signal-to-noise ratio before embedding extraction, and evaluated with single-seed probes trained on clean data under the primary folds. As an external reference, BirdNET's own classifier output was recorded for every window, which provides a deployment-relevant comparison for the Forest Owlet, the one target species in its label set.</w:t>
      </w:r>
    </w:p>
    <w:p>
      <w:pPr>
        <w:pStyle w:val="Heading2"/>
        <w:spacing w:after="120" w:before="240"/>
      </w:pPr>
      <w:r>
        <w:rPr>
          <w:rFonts w:ascii="Times New Roman" w:cs="Times New Roman" w:eastAsia="Times New Roman" w:hAnsi="Times New Roman"/>
          <w:b/>
          <w:bCs/>
          <w:i/>
          <w:iCs/>
          <w:sz w:val="24"/>
          <w:szCs w:val="24"/>
        </w:rPr>
        <w:t xml:space="preserve">Implementation</w:t>
      </w:r>
    </w:p>
    <w:p>
      <w:pPr>
        <w:spacing w:after="160" w:line="276"/>
        <w:jc w:val="left"/>
      </w:pPr>
      <w:r>
        <w:rPr>
          <w:rFonts w:ascii="Times New Roman" w:cs="Times New Roman" w:eastAsia="Times New Roman" w:hAnsi="Times New Roman"/>
          <w:sz w:val="24"/>
          <w:szCs w:val="24"/>
        </w:rPr>
        <w:t xml:space="preserve">The classifiers were implemented in PyTorch 2.13, and embeddings were extracted with the BirdNET-Analyzer reference implementation. All experiments ran on a single consumer laptop. The full pipeline, from audit and windowing through splitting, embedding, training, and figure generation, is reproducible from the scripts in the accompanying repository. The audio itself is not redistributed, in accordance with archive terms, and the manifest lists every catalogue identifier so the exact dataset can be reassembled from the source archives.</w:t>
      </w:r>
    </w:p>
    <w:p>
      <w:pPr>
        <w:pStyle w:val="Heading1"/>
        <w:spacing w:after="160" w:before="280"/>
      </w:pPr>
      <w:r>
        <w:rPr>
          <w:rFonts w:ascii="Times New Roman" w:cs="Times New Roman" w:eastAsia="Times New Roman" w:hAnsi="Times New Roman"/>
          <w:b/>
          <w:bCs/>
          <w:sz w:val="28"/>
          <w:szCs w:val="28"/>
        </w:rPr>
        <w:t xml:space="preserve">Results</w:t>
      </w:r>
    </w:p>
    <w:p>
      <w:pPr>
        <w:pStyle w:val="Heading2"/>
        <w:spacing w:after="120" w:before="240"/>
      </w:pPr>
      <w:r>
        <w:rPr>
          <w:rFonts w:ascii="Times New Roman" w:cs="Times New Roman" w:eastAsia="Times New Roman" w:hAnsi="Times New Roman"/>
          <w:b/>
          <w:bCs/>
          <w:i/>
          <w:iCs/>
          <w:sz w:val="24"/>
          <w:szCs w:val="24"/>
        </w:rPr>
        <w:t xml:space="preserve">Closed-set identification</w:t>
      </w:r>
    </w:p>
    <w:p>
      <w:pPr>
        <w:spacing w:after="160" w:line="276"/>
        <w:jc w:val="left"/>
      </w:pPr>
      <w:r>
        <w:rPr>
          <w:rFonts w:ascii="Times New Roman" w:cs="Times New Roman" w:eastAsia="Times New Roman" w:hAnsi="Times New Roman"/>
          <w:sz w:val="24"/>
          <w:szCs w:val="24"/>
        </w:rPr>
        <w:t xml:space="preserve">Table 2 reports recording-level performance under the primary scheme, and Table 3 reports per-class metrics for the strongest single model. The embedding probe achieved 97.4% accuracy (95% CI 94.8 to 99.5, macro-F1 0.973 with CI 0.938 to 0.996) over all 193 recordings, and the attention-MIL model achieved 96.4% (CI 93.8 to 99.0, macro-F1 0.964). Accuracy varied by at most half a percentage point across seeds for both models. The fine-tuned convolutional network reached 83.4% (CI 77.7 to 88.6, macro-F1 0.826) with roughly four times the seed variance. Exact McNemar tests found the probe clearly superior to the network, with 30 recordings correct only under the probe against three correct only under the network (p = 1.4 × 10⁻⁶), and similarly for the MIL model (29 against four, p = 1.1 × 10⁻⁵), while the probe and the MIL model did not differ significantly from each other (p = 0.69). We attribute the gap to data scale, since roughly 150 training recordings remain too few for end-to-end fine-tuning even with regularisation and augmentation, whereas the frozen embeddings already encode most of the discriminative information.</w:t>
      </w:r>
    </w:p>
    <w:p>
      <w:pPr>
        <w:spacing w:after="160" w:line="276"/>
        <w:jc w:val="left"/>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Recording-level performance under the primary scheme, five-fold cross-validation over all 193 unique recordings, with bootstrap 95% confidence intervals and the standard deviation of accuracy across three seeds. Soft votes average member probabilities with equal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5"/>
        <w:gridCol w:w="1337"/>
        <w:gridCol w:w="1337"/>
        <w:gridCol w:w="1337"/>
        <w:gridCol w:w="1337"/>
        <w:gridCol w:w="1337"/>
      </w:tblGrid>
      <w:tr>
        <w:trPr>
          <w:tblHeader/>
        </w:trP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Model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Accuracy</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95% CI</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Macro-F1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95% CI</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Seed SD</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Fine-tuned CNN (EfficientNet-B0)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83.4%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77.7 to 88.6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0.826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0.750 to 0.889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0.011</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Embedding probe (BirdNET + MLP)</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94.8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0.938 to 0.996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0.002</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Attention-MIL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93.8 to 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0.927 to 0.990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0.005</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Probe on adapted embeddings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92.7%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89.1 to 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0.905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0.843 to 0.953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0.006</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MIL on adapted embeddings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90.2%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86.0 to 94.3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0.870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0.800 to 0.926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0.004</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CNN + probe</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96.9%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94.3 to 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0.939 to 0.993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probe + 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95.9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0.967 to 0.997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CNN + probe + 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95.9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0.967 to 0.997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bl>
    <w:p>
      <w:pPr>
        <w:spacing w:after="120"/>
      </w:pPr>
    </w:p>
    <w:p>
      <w:pPr>
        <w:spacing w:after="160" w:line="276"/>
        <w:jc w:val="left"/>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Per-class metrics of the embedding probe under the primary scheme. Support is the number of unique recordings.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20"/>
        <w:gridCol w:w="1560"/>
        <w:gridCol w:w="1560"/>
        <w:gridCol w:w="1560"/>
        <w:gridCol w:w="1560"/>
      </w:tblGrid>
      <w:tr>
        <w:trPr>
          <w:tblHeader/>
        </w:trP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Species</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Precision</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Recall</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F1</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Recordings</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Banasura Laughingthrush</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0.959</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74</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Bugun Liocichla</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1.000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0.985</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Forest Owlet</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75</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Jerdon's Courser</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0.923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1.000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12</w:t>
            </w:r>
          </w:p>
        </w:tc>
      </w:tr>
    </w:tbl>
    <w:p>
      <w:pPr>
        <w:spacing w:after="120"/>
      </w:pPr>
    </w:p>
    <w:p>
      <w:pPr>
        <w:spacing w:after="160" w:line="276"/>
        <w:jc w:val="left"/>
      </w:pPr>
      <w:r>
        <w:rPr>
          <w:rFonts w:ascii="Times New Roman" w:cs="Times New Roman" w:eastAsia="Times New Roman" w:hAnsi="Times New Roman"/>
          <w:sz w:val="24"/>
          <w:szCs w:val="24"/>
        </w:rPr>
        <w:t xml:space="preserve">The soft vote of the probe and the MIL model reached 97.9% accuracy with a macro-F1 of 0.984, a gain over the probe alone that is not statistically significant (p = 0.375). Equal-weight combination is nevertheless the appropriate form of ensembling at this data scale, because it combines complementary decision rules without spending any data on weight selection. Adding the network to this vote changed nothing.</w:t>
      </w:r>
    </w:p>
    <w:p>
      <w:pPr>
        <w:pStyle w:val="Heading2"/>
        <w:spacing w:after="120" w:before="240"/>
      </w:pPr>
      <w:r>
        <w:rPr>
          <w:rFonts w:ascii="Times New Roman" w:cs="Times New Roman" w:eastAsia="Times New Roman" w:hAnsi="Times New Roman"/>
          <w:b/>
          <w:bCs/>
          <w:i/>
          <w:iCs/>
          <w:sz w:val="24"/>
          <w:szCs w:val="24"/>
        </w:rPr>
        <w:t xml:space="preserve">Generalisation across recording sessions</w:t>
      </w:r>
    </w:p>
    <w:p>
      <w:pPr>
        <w:spacing w:after="160" w:line="276"/>
        <w:jc w:val="left"/>
      </w:pPr>
      <w:r>
        <w:rPr>
          <w:rFonts w:ascii="Times New Roman" w:cs="Times New Roman" w:eastAsia="Times New Roman" w:hAnsi="Times New Roman"/>
          <w:sz w:val="24"/>
          <w:szCs w:val="24"/>
        </w:rPr>
        <w:t xml:space="preserve">Under the event-level scheme, in which no two recordings from the same session may appear on opposite sides of a partition, the probe reached 98.9% accuracy (CI 97.3 to 100) over the 182 recordings testable under this scheme, the MIL model reached 95.1%, and the fine-tuned network fell to 75.8%. Per-class F1 for the probe was 0.993 for the Banasura Laughingthrush, 1.000 for the Bugun Liocichla, and 0.986 for the Forest Owlet, essentially unchanged from the primary scheme (Figure 3). The close agreement between the two schemes for the embedding models shows that their performance does not depend on within-session similarity, while the widening gap for the network suggests that part of its performance did.</w:t>
      </w:r>
    </w:p>
    <w:p>
      <w:pPr>
        <w:spacing w:after="80" w:before="160"/>
        <w:jc w:val="center"/>
      </w:pPr>
      <w:r>
        <w:drawing>
          <wp:inline distT="0" distB="0" distL="0" distR="0">
            <wp:extent cx="59436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4193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3. Recording-level confusion matrices of the embedding probe under the primary recording-level scheme (left) and the stricter event-level scheme (right). The single event-level Jerdon's Courser test recording is the cross-source Xeno-canto file, which is classified correctly.</w:t>
      </w:r>
    </w:p>
    <w:p>
      <w:pPr>
        <w:spacing w:after="160" w:line="276"/>
        <w:jc w:val="left"/>
      </w:pPr>
      <w:r>
        <w:rPr>
          <w:rFonts w:ascii="Times New Roman" w:cs="Times New Roman" w:eastAsia="Times New Roman" w:hAnsi="Times New Roman"/>
          <w:sz w:val="24"/>
          <w:szCs w:val="24"/>
        </w:rPr>
        <w:t xml:space="preserve">Jerdon's Courser requires separate interpretation because its situation is a property of the archive rather than of any model. The public record of the species consists of one recording session from 2001 to 2002 (the 11 Macaulay recordings in a single catalogue block) plus one Xeno-canto recording. Under the event-level scheme the Macaulay block trains the model and the Xeno-canto recording provides the only possible test of generalisation beyond that session. This recording was classified correctly and confidently, with the probe assigning between 89% and 94% probability to Jerdon's Courser across seeds and the MIL model behaving equivalently. We checked whether the result might be trivial in the sense of the Xeno-canto file being a reprocessed copy of the Macaulay audio. The content hashes differ, and the maximum cosine similarity between its embedding and any Macaulay window is 0.69, below the maximum of 0.84 observed between different recordings within the Macaulay session itself, so the evidence is consistent with genuinely distinct audio. The conclusion must nevertheless remain limited, because a single recording cannot establish generalisation, and no evaluation design can extract more from an archive whose record of the species traces to one recording effort. Depositing the 2025 reconfirmation recordings in a public archive would multiply the available evidence, and we return to this point in the Discussion.</w:t>
      </w:r>
    </w:p>
    <w:p>
      <w:pPr>
        <w:pStyle w:val="Heading2"/>
        <w:spacing w:after="120" w:before="240"/>
      </w:pPr>
      <w:r>
        <w:rPr>
          <w:rFonts w:ascii="Times New Roman" w:cs="Times New Roman" w:eastAsia="Times New Roman" w:hAnsi="Times New Roman"/>
          <w:b/>
          <w:bCs/>
          <w:i/>
          <w:iCs/>
          <w:sz w:val="24"/>
          <w:szCs w:val="24"/>
        </w:rPr>
        <w:t xml:space="preserve">Comparison with the global classifier</w:t>
      </w:r>
    </w:p>
    <w:p>
      <w:pPr>
        <w:spacing w:after="160" w:line="276"/>
        <w:jc w:val="left"/>
      </w:pPr>
      <w:r>
        <w:rPr>
          <w:rFonts w:ascii="Times New Roman" w:cs="Times New Roman" w:eastAsia="Times New Roman" w:hAnsi="Times New Roman"/>
          <w:sz w:val="24"/>
          <w:szCs w:val="24"/>
        </w:rPr>
        <w:t xml:space="preserve">BirdNET V2.4 contains a label for only the Forest Owlet among the four species. Its classifier assigned that label a mean confidence of 0.17 on windows that truly contain the species, reaching 1.0 only on the clearest calls, which is usable for coarse screening but well short of a reliable detector, and no equivalent output exists for the other three species. The probe operating on BirdNET's embeddings identified Forest Owlet recordings with an F1 of 0.98. The comparison shows that the embedding representation carries the information needed for these species even where the classifier itself has no corresponding output, which is the situation of most range-restricted threatened birds worldwide.</w:t>
      </w:r>
    </w:p>
    <w:p>
      <w:pPr>
        <w:pStyle w:val="Heading2"/>
        <w:spacing w:after="120" w:before="240"/>
      </w:pPr>
      <w:r>
        <w:rPr>
          <w:rFonts w:ascii="Times New Roman" w:cs="Times New Roman" w:eastAsia="Times New Roman" w:hAnsi="Times New Roman"/>
          <w:b/>
          <w:bCs/>
          <w:i/>
          <w:iCs/>
          <w:sz w:val="24"/>
          <w:szCs w:val="24"/>
        </w:rPr>
        <w:t xml:space="preserve">Embedding adaptation on auxiliary species</w:t>
      </w:r>
    </w:p>
    <w:p>
      <w:pPr>
        <w:spacing w:after="160" w:line="276"/>
        <w:jc w:val="left"/>
      </w:pPr>
      <w:r>
        <w:rPr>
          <w:rFonts w:ascii="Times New Roman" w:cs="Times New Roman" w:eastAsia="Times New Roman" w:hAnsi="Times New Roman"/>
          <w:sz w:val="24"/>
          <w:szCs w:val="24"/>
        </w:rPr>
        <w:t xml:space="preserve">The supervised contrastive projection trained on the 28 auxiliary endemic species reduced probe accuracy from 97.4% to 92.7% (McNemar p = 0.022) and MIL accuracy from 96.4% to 90.2% (p = 0.0075). Figure 4 illustrates the cause. In the raw BirdNET space the four target species already form well-separated clusters, and the adapted projection, optimised to separate 28 other species, collapses much of that structure. The embeddings already encode the detail required to distinguish the targets, and a projection fitted to an auxiliary task at this scale removes information rather than adding it. The practical implication is that adaptation of foundation embeddings on related species should be validated against a frozen-embedding baseline before being adopted.</w:t>
      </w:r>
    </w:p>
    <w:p>
      <w:pPr>
        <w:spacing w:after="80" w:before="160"/>
        <w:jc w:val="center"/>
      </w:pPr>
      <w:r>
        <w:drawing>
          <wp:inline distT="0" distB="0" distL="0" distR="0">
            <wp:extent cx="59436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4955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4. UMAP projections of the window embeddings of the four target species in the raw BirdNET space (left) and after auxiliary-species contrastive adaptation (right).</w:t>
      </w:r>
    </w:p>
    <w:p>
      <w:pPr>
        <w:pStyle w:val="Heading2"/>
        <w:spacing w:after="120" w:before="240"/>
      </w:pPr>
      <w:r>
        <w:rPr>
          <w:rFonts w:ascii="Times New Roman" w:cs="Times New Roman" w:eastAsia="Times New Roman" w:hAnsi="Times New Roman"/>
          <w:b/>
          <w:bCs/>
          <w:i/>
          <w:iCs/>
          <w:sz w:val="24"/>
          <w:szCs w:val="24"/>
        </w:rPr>
        <w:t xml:space="preserve">Open-set rejection</w:t>
      </w:r>
    </w:p>
    <w:p>
      <w:pPr>
        <w:spacing w:after="160" w:line="276"/>
        <w:jc w:val="left"/>
      </w:pPr>
      <w:r>
        <w:rPr>
          <w:rFonts w:ascii="Times New Roman" w:cs="Times New Roman" w:eastAsia="Times New Roman" w:hAnsi="Times New Roman"/>
          <w:sz w:val="24"/>
          <w:szCs w:val="24"/>
        </w:rPr>
        <w:t xml:space="preserve">Confidence thresholding on the closed-set probe separated target from non-target recordings poorly. At the validation-calibrated threshold of 0.61, which retained 97.4% of target recordings, 93.7% of the 1,891 non-target recordings were also accepted, taking the worst case over folds, and the recording-level area under the ROC curve was 0.746 (window-level AUROC 0.868 ± 0.045 for maximum softmax probability and 0.878 ± 0.065 for the energy score, mean and standard deviation over folds). Deployed as it stands, the closed-set model would produce confident false detections on most non-target species it heard.</w:t>
      </w:r>
    </w:p>
    <w:p>
      <w:pPr>
        <w:spacing w:after="160" w:line="276"/>
        <w:jc w:val="left"/>
      </w:pPr>
      <w:r>
        <w:rPr>
          <w:rFonts w:ascii="Times New Roman" w:cs="Times New Roman" w:eastAsia="Times New Roman" w:hAnsi="Times New Roman"/>
          <w:sz w:val="24"/>
          <w:szCs w:val="24"/>
        </w:rPr>
        <w:t xml:space="preserve">The explicit background class changed this picture substantially (Table 4). Trained with windows from 14 auxiliary species and evaluated against the 814 recordings of 14 species it had never seen, the five-class probe reduced recording-level false acceptance from 93.7% to 13.4% ± 2.5%, while 89.1% ± 3.9% of target recordings remained correctly identified and 8.8% ± 2.1% were diverted to the background class. The exchange of a modest amount of target recall for a sevenfold reduction in false positives on unseen species is the trade-off that a monitoring programme would tune in practice, and in our judgement it is the most operationally significant result in this study.</w:t>
      </w:r>
    </w:p>
    <w:p>
      <w:pPr>
        <w:spacing w:after="160" w:line="276"/>
        <w:jc w:val="left"/>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Open-set behaviour at the recording level. MSP denotes the maximum softmax probability of the closed-set probe, with the threshold calibrated on validation data only. The background-class model is trained with 14 auxiliary species and evaluated for false acceptance on 14 entirely unseen species. Target retention counts recordings accepted for the MSP row, and recordings both accepted and correctly identified for the background-class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tblHeader/>
        </w:trP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Approach</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Target recordings retained</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False acceptance of non-target recordings</w:t>
            </w:r>
          </w:p>
        </w:tc>
      </w:tr>
      <w:t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MSP threshold on the closed-set probe</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97.4%</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93.7% (all 1,891 auxiliary recordings, worst case over folds)</w:t>
            </w:r>
          </w:p>
        </w:tc>
      </w:tr>
      <w:t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Explicit background class, species-disjoint</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89.1% ± 3.9%</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13.4% ± 2.5% (814 unseen-species recordings)</w:t>
            </w:r>
          </w:p>
        </w:tc>
      </w:tr>
    </w:tbl>
    <w:p>
      <w:pPr>
        <w:spacing w:after="120"/>
      </w:pPr>
    </w:p>
    <w:p>
      <w:pPr>
        <w:pStyle w:val="Heading2"/>
        <w:spacing w:after="120" w:before="240"/>
      </w:pPr>
      <w:r>
        <w:rPr>
          <w:rFonts w:ascii="Times New Roman" w:cs="Times New Roman" w:eastAsia="Times New Roman" w:hAnsi="Times New Roman"/>
          <w:b/>
          <w:bCs/>
          <w:i/>
          <w:iCs/>
          <w:sz w:val="24"/>
          <w:szCs w:val="24"/>
        </w:rPr>
        <w:t xml:space="preserve">Noise robustness</w:t>
      </w:r>
    </w:p>
    <w:p>
      <w:pPr>
        <w:spacing w:after="160" w:line="276"/>
        <w:jc w:val="left"/>
      </w:pPr>
      <w:r>
        <w:rPr>
          <w:rFonts w:ascii="Times New Roman" w:cs="Times New Roman" w:eastAsia="Times New Roman" w:hAnsi="Times New Roman"/>
          <w:sz w:val="24"/>
          <w:szCs w:val="24"/>
        </w:rPr>
        <w:t xml:space="preserve">Corrupting the test audio with additive white noise before embedding extraction degraded performance gradually (Figure 5). Recording-level accuracy under the single-seed robustness protocol was 96.9% on clean audio, 96.4% at 20 dB signal-to-noise ratio, 94.3% at 10 dB, 93.3% at 5 dB, and 92.2% at 0 dB, with macro-F1 declining from 0.965 to 0.925 over the same range. The embedding model, trained on heterogeneous field recordings, absorbs much of the corruption before it reaches the classifier.</w:t>
      </w:r>
    </w:p>
    <w:p>
      <w:pPr>
        <w:spacing w:after="80" w:before="160"/>
        <w:jc w:val="center"/>
      </w:pPr>
      <w:r>
        <w:drawing>
          <wp:inline distT="0" distB="0" distL="0" distR="0">
            <wp:extent cx="5943600" cy="413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1338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5. Recording-level accuracy and macro-F1 of the embedding probe as additive white noise increases from none to 0 dB signal-to-noise ratio.</w:t>
      </w:r>
    </w:p>
    <w:p>
      <w:pPr>
        <w:pStyle w:val="Heading2"/>
        <w:spacing w:after="120" w:before="240"/>
      </w:pPr>
      <w:r>
        <w:rPr>
          <w:rFonts w:ascii="Times New Roman" w:cs="Times New Roman" w:eastAsia="Times New Roman" w:hAnsi="Times New Roman"/>
          <w:b/>
          <w:bCs/>
          <w:i/>
          <w:iCs/>
          <w:sz w:val="24"/>
          <w:szCs w:val="24"/>
        </w:rPr>
        <w:t xml:space="preserve">Attention analysis</w:t>
      </w:r>
    </w:p>
    <w:p>
      <w:pPr>
        <w:spacing w:after="160" w:line="276"/>
        <w:jc w:val="left"/>
      </w:pPr>
      <w:r>
        <w:rPr>
          <w:rFonts w:ascii="Times New Roman" w:cs="Times New Roman" w:eastAsia="Times New Roman" w:hAnsi="Times New Roman"/>
          <w:sz w:val="24"/>
          <w:szCs w:val="24"/>
        </w:rPr>
        <w:t xml:space="preserve">The attention weights of the MIL model concentrated on windows containing vocalisations and assigned near-zero weight to ambient segments (Figure 6). Recording-level decisions therefore rest on the target sound rather than on background characteristics, and each decision can be audited by inspecting which seconds of audio received weight. Window-voting pipelines do not offer an equivalent per-decision audit.</w:t>
      </w:r>
    </w:p>
    <w:p>
      <w:pPr>
        <w:spacing w:after="80" w:before="160"/>
        <w:jc w:val="center"/>
      </w:pPr>
      <w:r>
        <w:drawing>
          <wp:inline distT="0" distB="0" distL="0" distR="0">
            <wp:extent cx="59436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63842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6. Attention of the MIL model across a ten-minute Bugun Liocichla recording. The upper panel shows the spectrogram and the lower panel the attention assigned to each three-second window.</w:t>
      </w:r>
    </w:p>
    <w:p>
      <w:pPr>
        <w:pStyle w:val="Heading1"/>
        <w:spacing w:after="160" w:before="280"/>
      </w:pPr>
      <w:r>
        <w:rPr>
          <w:rFonts w:ascii="Times New Roman" w:cs="Times New Roman" w:eastAsia="Times New Roman" w:hAnsi="Times New Roman"/>
          <w:b/>
          <w:bCs/>
          <w:sz w:val="28"/>
          <w:szCs w:val="28"/>
        </w:rPr>
        <w:t xml:space="preserve">Discussion</w:t>
      </w:r>
    </w:p>
    <w:p>
      <w:pPr>
        <w:spacing w:after="160" w:line="276"/>
        <w:jc w:val="left"/>
      </w:pPr>
      <w:r>
        <w:rPr>
          <w:rFonts w:ascii="Times New Roman" w:cs="Times New Roman" w:eastAsia="Times New Roman" w:hAnsi="Times New Roman"/>
          <w:sz w:val="24"/>
          <w:szCs w:val="24"/>
        </w:rPr>
        <w:t xml:space="preserve">The central result is that the complete public acoustic record of India's four most threatened endemic birds, small as it is, supports accurate automated identification when the representation and the evaluation are chosen carefully. Frozen embeddings from a large pretrained bird sound model, with a lightweight classifier trained on a laptop in minutes, reached 97.4% recording-level accuracy and outperformed an end-to-end fine-tuned network by 14 percentage points, and the advantage grew under the stricter session-level evaluation. This extends the evidence in Ghani et al. (2023) to an unusually data-poor, conservation-critical setting, and it carries a practical message for range-country institutions, which can build detectors for nationally important species with modest computation instead of waiting for global model updates.</w:t>
      </w:r>
    </w:p>
    <w:p>
      <w:pPr>
        <w:spacing w:after="160" w:line="276"/>
        <w:jc w:val="left"/>
      </w:pPr>
      <w:r>
        <w:rPr>
          <w:rFonts w:ascii="Times New Roman" w:cs="Times New Roman" w:eastAsia="Times New Roman" w:hAnsi="Times New Roman"/>
          <w:sz w:val="24"/>
          <w:szCs w:val="24"/>
        </w:rPr>
        <w:t xml:space="preserve">The coverage gap that motivated the study deserves emphasis in its own right. Three of the four species examined here are absent from the label set of the most widely deployed global classifier, and for the one covered species the global classifier's native confidence averaged 0.17 on genuine vocalisations while a probe on its own embeddings reached an F1 of 0.98. Global models are trained where data are plentiful, and the species that conservation most urgently needs to monitor are precisely those for which little audio exists, so this mismatch is likely to be general rather than particular to India. Embedding-based probes offer a workable route across that gap.</w:t>
      </w:r>
    </w:p>
    <w:p>
      <w:pPr>
        <w:spacing w:after="160" w:line="276"/>
        <w:jc w:val="left"/>
      </w:pPr>
      <w:r>
        <w:rPr>
          <w:rFonts w:ascii="Times New Roman" w:cs="Times New Roman" w:eastAsia="Times New Roman" w:hAnsi="Times New Roman"/>
          <w:sz w:val="24"/>
          <w:szCs w:val="24"/>
        </w:rPr>
        <w:t xml:space="preserve">The open-set results define the boundary between a classification study and a deployable detector. A model with 97.4% closed-set accuracy accepted 93.7% of recordings of other endemic species when guarded only by a confidence threshold, and a background class trained on species held disjoint from the evaluation brought false acceptance down to 13.4% at a cost of 8.8% of target recordings. Closed-set accuracy alone therefore overstates field readiness by a wide margin, and we would encourage studies proposing classifiers for conservation use to report open-set metrics against realistic regional distractors, particularly because the auxiliary data required are typically easier to obtain than the target data.</w:t>
      </w:r>
    </w:p>
    <w:p>
      <w:pPr>
        <w:spacing w:after="160" w:line="276"/>
        <w:jc w:val="left"/>
      </w:pPr>
      <w:r>
        <w:rPr>
          <w:rFonts w:ascii="Times New Roman" w:cs="Times New Roman" w:eastAsia="Times New Roman" w:hAnsi="Times New Roman"/>
          <w:sz w:val="24"/>
          <w:szCs w:val="24"/>
        </w:rPr>
        <w:t xml:space="preserve">The evaluation design itself carries a transferable lesson. Catalogue numbers revealed that the entire Macaulay Library record of Jerdon's Courser derives from a single recording session, and grouping recordings into sessions changed the meaning of the evaluation for that species entirely. Recording-level splits are necessary in bioacoustics, but they are not sufficient when an archive's holdings cluster into a few recording efforts, and session-level grouping from catalogue structure costs nothing to implement. For Jerdon's Courser specifically, every piece of evidence the archive permits is positive, including the correct and confident classification of the single independent recording, but the quantity of that evidence is one recording, and only new field material can change this. The recordings from the 2025 reconfirmation would, if deposited publicly, provide the first opportunity in two decades to test any detector for this species on independent material, and we regard such deposition as the highest-value action available for its acoustic monitoring.</w:t>
      </w:r>
    </w:p>
    <w:p>
      <w:pPr>
        <w:spacing w:after="160" w:line="276"/>
        <w:jc w:val="left"/>
      </w:pPr>
      <w:r>
        <w:rPr>
          <w:rFonts w:ascii="Times New Roman" w:cs="Times New Roman" w:eastAsia="Times New Roman" w:hAnsi="Times New Roman"/>
          <w:sz w:val="24"/>
          <w:szCs w:val="24"/>
        </w:rPr>
        <w:t xml:space="preserve">The negative result on embedding adaptation is worth reporting because the underlying intuition is common. Reshaping the embedding space with supervised contrastive learning on 28 related species reduced accuracy by around five to six percentage points, because the pretrained space already separated the targets and the adaptation discarded useful structure. At small data scales, adaptation of foundation embeddings should be treated as a hypothesis to test rather than an assumed improvement.</w:t>
      </w:r>
    </w:p>
    <w:p>
      <w:pPr>
        <w:spacing w:after="160" w:line="276"/>
        <w:jc w:val="left"/>
      </w:pPr>
      <w:r>
        <w:rPr>
          <w:rFonts w:ascii="Times New Roman" w:cs="Times New Roman" w:eastAsia="Times New Roman" w:hAnsi="Times New Roman"/>
          <w:sz w:val="24"/>
          <w:szCs w:val="24"/>
        </w:rPr>
        <w:t xml:space="preserve">Several limitations bound these conclusions. BirdNET's training corpus includes Xeno-canto material, so for the Forest Owlet some of the recordings used here may have contributed to its pretraining and could inflate embedding quality for that species, although the other three species have no labels in BirdNET and cannot have served as labelled positives. Archive recordings are focal and comparatively clean, so performance on soundscape audio from autonomous recorders will be lower than reported here, and additive white noise only approximates that difference. Field validation on continuous recordings at occupied sites is the necessary next step, and the Forest Owlet, for which acoustic survey is already operational practice, would allow a direct comparison between embedding-based detectors and BirdNET's native output on existing survey audio. The recording-event grouping is inferred from catalogue adjacency, and explicit recordist, site, and date metadata would sharpen it. Finally, with 12 to 75 recordings per class, all metrics carry wide confidence intervals, which we report throughout.</w:t>
      </w:r>
    </w:p>
    <w:p>
      <w:pPr>
        <w:pStyle w:val="Heading1"/>
        <w:spacing w:after="160" w:before="280"/>
      </w:pPr>
      <w:r>
        <w:rPr>
          <w:rFonts w:ascii="Times New Roman" w:cs="Times New Roman" w:eastAsia="Times New Roman" w:hAnsi="Times New Roman"/>
          <w:b/>
          <w:bCs/>
          <w:sz w:val="28"/>
          <w:szCs w:val="28"/>
        </w:rPr>
        <w:t xml:space="preserve">Conclusions</w:t>
      </w:r>
    </w:p>
    <w:p>
      <w:pPr>
        <w:spacing w:after="160" w:line="276"/>
        <w:jc w:val="left"/>
      </w:pPr>
      <w:r>
        <w:rPr>
          <w:rFonts w:ascii="Times New Roman" w:cs="Times New Roman" w:eastAsia="Times New Roman" w:hAnsi="Times New Roman"/>
          <w:sz w:val="24"/>
          <w:szCs w:val="24"/>
        </w:rPr>
        <w:t xml:space="preserve">The complete public acoustic record of the four Endangered and Critically Endangered Indian endemic birds with archived recordings supports reliable closed-set identification, with 97.4% recording-level accuracy that persists under session-level splits and degrades only mildly under heavy noise. The strongest models are small classifiers on frozen foundation model embeddings, which outperform fine-tuned networks at this data scale and remain trainable with minimal computation. Field deployment additionally requires open-set rejection, for which an explicit background class trained on regional non-target species reduced false acceptance sevenfold in species-disjoint evaluation. The manifest, splits, code, and results accompanying this paper allow every reported number to be reproduced from the public archives.</w:t>
      </w:r>
    </w:p>
    <w:p>
      <w:pPr>
        <w:pStyle w:val="Heading1"/>
        <w:spacing w:after="160" w:before="280"/>
      </w:pPr>
      <w:r>
        <w:rPr>
          <w:rFonts w:ascii="Times New Roman" w:cs="Times New Roman" w:eastAsia="Times New Roman" w:hAnsi="Times New Roman"/>
          <w:b/>
          <w:bCs/>
          <w:sz w:val="28"/>
          <w:szCs w:val="28"/>
        </w:rPr>
        <w:t xml:space="preserve">Acknowledgements</w:t>
      </w:r>
    </w:p>
    <w:p>
      <w:pPr>
        <w:spacing w:after="160" w:line="276"/>
        <w:jc w:val="left"/>
      </w:pPr>
      <w:r>
        <w:rPr>
          <w:rFonts w:ascii="Times New Roman" w:cs="Times New Roman" w:eastAsia="Times New Roman" w:hAnsi="Times New Roman"/>
          <w:sz w:val="24"/>
          <w:szCs w:val="24"/>
        </w:rPr>
        <w:t xml:space="preserve">We thank the recordists whose deposits in the Macaulay Library and Xeno-canto make work on these species possible.</w:t>
      </w:r>
    </w:p>
    <w:p>
      <w:pPr>
        <w:pStyle w:val="Heading1"/>
        <w:spacing w:after="160" w:before="280"/>
      </w:pPr>
      <w:r>
        <w:rPr>
          <w:rFonts w:ascii="Times New Roman" w:cs="Times New Roman" w:eastAsia="Times New Roman" w:hAnsi="Times New Roman"/>
          <w:b/>
          <w:bCs/>
          <w:sz w:val="28"/>
          <w:szCs w:val="28"/>
        </w:rPr>
        <w:t xml:space="preserve">Data and code availability</w:t>
      </w:r>
    </w:p>
    <w:p>
      <w:pPr>
        <w:spacing w:after="160" w:line="276"/>
        <w:jc w:val="left"/>
      </w:pPr>
      <w:r>
        <w:rPr>
          <w:rFonts w:ascii="Times New Roman" w:cs="Times New Roman" w:eastAsia="Times New Roman" w:hAnsi="Times New Roman"/>
          <w:sz w:val="24"/>
          <w:szCs w:val="24"/>
        </w:rPr>
        <w:t xml:space="preserve">All code, the recording manifest with every Macaulay Library and Xeno-canto catalogue identifier, the split definitions, and the result files are available at https://github.com/srivatsav-kannan/birdSong. Audio is not redistributed, in accordance with archive terms, and the manifest permits exact reconstruction of the dataset from the source archives.</w:t>
      </w:r>
    </w:p>
    <w:p>
      <w:pPr>
        <w:pStyle w:val="Heading1"/>
        <w:spacing w:after="160" w:before="280"/>
      </w:pPr>
      <w:r>
        <w:rPr>
          <w:rFonts w:ascii="Times New Roman" w:cs="Times New Roman" w:eastAsia="Times New Roman" w:hAnsi="Times New Roman"/>
          <w:b/>
          <w:bCs/>
          <w:sz w:val="28"/>
          <w:szCs w:val="28"/>
        </w:rPr>
        <w:t xml:space="preserve">References</w:t>
      </w:r>
    </w:p>
    <w:p>
      <w:pPr>
        <w:spacing w:after="160" w:line="276"/>
        <w:jc w:val="left"/>
      </w:pPr>
      <w:r>
        <w:rPr>
          <w:rFonts w:ascii="Times New Roman" w:cs="Times New Roman" w:eastAsia="Times New Roman" w:hAnsi="Times New Roman"/>
          <w:sz w:val="24"/>
          <w:szCs w:val="24"/>
        </w:rPr>
        <w:t xml:space="preserve">Athreya, R. (2006). A new species of Liocichla (Aves: Timaliidae) from Eaglenest Wildlife Sanctuary, Arunachal Pradesh, India. </w:t>
      </w:r>
      <w:r>
        <w:rPr>
          <w:rFonts w:ascii="Times New Roman" w:cs="Times New Roman" w:eastAsia="Times New Roman" w:hAnsi="Times New Roman"/>
          <w:i/>
          <w:iCs/>
          <w:sz w:val="24"/>
          <w:szCs w:val="24"/>
        </w:rPr>
        <w:t xml:space="preserve">Indian Birds</w:t>
      </w:r>
      <w:r>
        <w:rPr>
          <w:rFonts w:ascii="Times New Roman" w:cs="Times New Roman" w:eastAsia="Times New Roman" w:hAnsi="Times New Roman"/>
          <w:sz w:val="24"/>
          <w:szCs w:val="24"/>
        </w:rPr>
        <w:t xml:space="preserve"> 2, 82–94.</w:t>
      </w:r>
    </w:p>
    <w:p>
      <w:pPr>
        <w:spacing w:after="160" w:line="276"/>
        <w:jc w:val="left"/>
      </w:pPr>
      <w:r>
        <w:rPr>
          <w:rFonts w:ascii="Times New Roman" w:cs="Times New Roman" w:eastAsia="Times New Roman" w:hAnsi="Times New Roman"/>
          <w:sz w:val="24"/>
          <w:szCs w:val="24"/>
        </w:rPr>
        <w:t xml:space="preserve">Bhushan, B. (1986). Rediscovery of the Jerdon's Courser </w:t>
      </w:r>
      <w:r>
        <w:rPr>
          <w:rFonts w:ascii="Times New Roman" w:cs="Times New Roman" w:eastAsia="Times New Roman" w:hAnsi="Times New Roman"/>
          <w:i/>
          <w:iCs/>
          <w:sz w:val="24"/>
          <w:szCs w:val="24"/>
        </w:rPr>
        <w:t xml:space="preserve">Cursorius bitorquatus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Journal of the Bombay Natural History Society</w:t>
      </w:r>
      <w:r>
        <w:rPr>
          <w:rFonts w:ascii="Times New Roman" w:cs="Times New Roman" w:eastAsia="Times New Roman" w:hAnsi="Times New Roman"/>
          <w:sz w:val="24"/>
          <w:szCs w:val="24"/>
        </w:rPr>
        <w:t xml:space="preserve"> 83, 1–14.</w:t>
      </w:r>
    </w:p>
    <w:p>
      <w:pPr>
        <w:spacing w:after="160" w:line="276"/>
        <w:jc w:val="left"/>
      </w:pPr>
      <w:r>
        <w:rPr>
          <w:rFonts w:ascii="Times New Roman" w:cs="Times New Roman" w:eastAsia="Times New Roman" w:hAnsi="Times New Roman"/>
          <w:sz w:val="24"/>
          <w:szCs w:val="24"/>
        </w:rPr>
        <w:t xml:space="preserve">Ghani, B., Denton, T., Kahl, S. and Klinck, H. (2023). Global birdsong embeddings enable superior transfer learning for bioacoustic classification. </w:t>
      </w:r>
      <w:r>
        <w:rPr>
          <w:rFonts w:ascii="Times New Roman" w:cs="Times New Roman" w:eastAsia="Times New Roman" w:hAnsi="Times New Roman"/>
          <w:i/>
          <w:iCs/>
          <w:sz w:val="24"/>
          <w:szCs w:val="24"/>
        </w:rPr>
        <w:t xml:space="preserve">Scientific Reports</w:t>
      </w:r>
      <w:r>
        <w:rPr>
          <w:rFonts w:ascii="Times New Roman" w:cs="Times New Roman" w:eastAsia="Times New Roman" w:hAnsi="Times New Roman"/>
          <w:sz w:val="24"/>
          <w:szCs w:val="24"/>
        </w:rPr>
        <w:t xml:space="preserve"> 13, 22876. https://doi.org/10.1038/s41598-023-49989-z.</w:t>
      </w:r>
    </w:p>
    <w:p>
      <w:pPr>
        <w:spacing w:after="160" w:line="276"/>
        <w:jc w:val="left"/>
      </w:pPr>
      <w:r>
        <w:rPr>
          <w:rFonts w:ascii="Times New Roman" w:cs="Times New Roman" w:eastAsia="Times New Roman" w:hAnsi="Times New Roman"/>
          <w:sz w:val="24"/>
          <w:szCs w:val="24"/>
        </w:rPr>
        <w:t xml:space="preserve">Ilse, M., Tomczak, J.M. and Welling, M. (2018). Attention-based deep multiple instance learning. </w:t>
      </w:r>
      <w:r>
        <w:rPr>
          <w:rFonts w:ascii="Times New Roman" w:cs="Times New Roman" w:eastAsia="Times New Roman" w:hAnsi="Times New Roman"/>
          <w:i/>
          <w:iCs/>
          <w:sz w:val="24"/>
          <w:szCs w:val="24"/>
        </w:rPr>
        <w:t xml:space="preserve">Proceedings of the 35th International Conference on Machine Learning</w:t>
      </w:r>
      <w:r>
        <w:rPr>
          <w:rFonts w:ascii="Times New Roman" w:cs="Times New Roman" w:eastAsia="Times New Roman" w:hAnsi="Times New Roman"/>
          <w:sz w:val="24"/>
          <w:szCs w:val="24"/>
        </w:rPr>
        <w:t xml:space="preserve">, 2127–2136.</w:t>
      </w:r>
    </w:p>
    <w:p>
      <w:pPr>
        <w:spacing w:after="160" w:line="276"/>
        <w:jc w:val="left"/>
      </w:pPr>
      <w:r>
        <w:rPr>
          <w:rFonts w:ascii="Times New Roman" w:cs="Times New Roman" w:eastAsia="Times New Roman" w:hAnsi="Times New Roman"/>
          <w:sz w:val="24"/>
          <w:szCs w:val="24"/>
        </w:rPr>
        <w:t xml:space="preserve">IUCN (2025). </w:t>
      </w:r>
      <w:r>
        <w:rPr>
          <w:rFonts w:ascii="Times New Roman" w:cs="Times New Roman" w:eastAsia="Times New Roman" w:hAnsi="Times New Roman"/>
          <w:i/>
          <w:iCs/>
          <w:sz w:val="24"/>
          <w:szCs w:val="24"/>
        </w:rPr>
        <w:t xml:space="preserve">The IUCN Red List of Threatened Species</w:t>
      </w:r>
      <w:r>
        <w:rPr>
          <w:rFonts w:ascii="Times New Roman" w:cs="Times New Roman" w:eastAsia="Times New Roman" w:hAnsi="Times New Roman"/>
          <w:sz w:val="24"/>
          <w:szCs w:val="24"/>
        </w:rPr>
        <w:t xml:space="preserve">. https://www.iucnredlist.org (accessed 2026).</w:t>
      </w:r>
    </w:p>
    <w:p>
      <w:pPr>
        <w:spacing w:after="160" w:line="276"/>
        <w:jc w:val="left"/>
      </w:pPr>
      <w:r>
        <w:rPr>
          <w:rFonts w:ascii="Times New Roman" w:cs="Times New Roman" w:eastAsia="Times New Roman" w:hAnsi="Times New Roman"/>
          <w:sz w:val="24"/>
          <w:szCs w:val="24"/>
        </w:rPr>
        <w:t xml:space="preserve">Jeganathan, P., Green, R.E., Bowden, C.G.R., Norris, K., Pain, D. and Rahmani, A. (2002). Use of tracking strips and automatic cameras for detecting Critically Endangered Jerdon's coursers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 in scrub jungle in Andhra Pradesh, India. </w:t>
      </w:r>
      <w:r>
        <w:rPr>
          <w:rFonts w:ascii="Times New Roman" w:cs="Times New Roman" w:eastAsia="Times New Roman" w:hAnsi="Times New Roman"/>
          <w:i/>
          <w:iCs/>
          <w:sz w:val="24"/>
          <w:szCs w:val="24"/>
        </w:rPr>
        <w:t xml:space="preserve">Oryx</w:t>
      </w:r>
      <w:r>
        <w:rPr>
          <w:rFonts w:ascii="Times New Roman" w:cs="Times New Roman" w:eastAsia="Times New Roman" w:hAnsi="Times New Roman"/>
          <w:sz w:val="24"/>
          <w:szCs w:val="24"/>
        </w:rPr>
        <w:t xml:space="preserve"> 36, 182–188.</w:t>
      </w:r>
    </w:p>
    <w:p>
      <w:pPr>
        <w:spacing w:after="160" w:line="276"/>
        <w:jc w:val="left"/>
      </w:pPr>
      <w:r>
        <w:rPr>
          <w:rFonts w:ascii="Times New Roman" w:cs="Times New Roman" w:eastAsia="Times New Roman" w:hAnsi="Times New Roman"/>
          <w:sz w:val="24"/>
          <w:szCs w:val="24"/>
        </w:rPr>
        <w:t xml:space="preserve">Kahl, S., Wood, C.M., Eibl, M. and Klinck, H. (2021). BirdNET: A deep learning solution for avian diversity monitoring. </w:t>
      </w:r>
      <w:r>
        <w:rPr>
          <w:rFonts w:ascii="Times New Roman" w:cs="Times New Roman" w:eastAsia="Times New Roman" w:hAnsi="Times New Roman"/>
          <w:i/>
          <w:iCs/>
          <w:sz w:val="24"/>
          <w:szCs w:val="24"/>
        </w:rPr>
        <w:t xml:space="preserve">Ecological Informatics</w:t>
      </w:r>
      <w:r>
        <w:rPr>
          <w:rFonts w:ascii="Times New Roman" w:cs="Times New Roman" w:eastAsia="Times New Roman" w:hAnsi="Times New Roman"/>
          <w:sz w:val="24"/>
          <w:szCs w:val="24"/>
        </w:rPr>
        <w:t xml:space="preserve"> 61, 101236. https://doi.org/10.1016/j.ecoinf.2021.101236.</w:t>
      </w:r>
    </w:p>
    <w:p>
      <w:pPr>
        <w:spacing w:after="160" w:line="276"/>
        <w:jc w:val="left"/>
      </w:pPr>
      <w:r>
        <w:rPr>
          <w:rFonts w:ascii="Times New Roman" w:cs="Times New Roman" w:eastAsia="Times New Roman" w:hAnsi="Times New Roman"/>
          <w:sz w:val="24"/>
          <w:szCs w:val="24"/>
        </w:rPr>
        <w:t xml:space="preserve">Khosla, P., Teterwak, P., Wang, C., Sarna, A., Tian, Y., Isola, P. et al. (2020). Supervised contrastive learning.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33, 18661–18673.</w:t>
      </w:r>
    </w:p>
    <w:p>
      <w:pPr>
        <w:spacing w:after="160" w:line="276"/>
        <w:jc w:val="left"/>
      </w:pPr>
      <w:r>
        <w:rPr>
          <w:rFonts w:ascii="Times New Roman" w:cs="Times New Roman" w:eastAsia="Times New Roman" w:hAnsi="Times New Roman"/>
          <w:sz w:val="24"/>
          <w:szCs w:val="24"/>
        </w:rPr>
        <w:t xml:space="preserve">Rasmussen, P.C. and Collar, N.J. (1998). Identification, distribution and status of the Forest Owlet </w:t>
      </w:r>
      <w:r>
        <w:rPr>
          <w:rFonts w:ascii="Times New Roman" w:cs="Times New Roman" w:eastAsia="Times New Roman" w:hAnsi="Times New Roman"/>
          <w:i/>
          <w:iCs/>
          <w:sz w:val="24"/>
          <w:szCs w:val="24"/>
        </w:rPr>
        <w:t xml:space="preserve">Athene (Heteroglaux) blewitti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Forktail</w:t>
      </w:r>
      <w:r>
        <w:rPr>
          <w:rFonts w:ascii="Times New Roman" w:cs="Times New Roman" w:eastAsia="Times New Roman" w:hAnsi="Times New Roman"/>
          <w:sz w:val="24"/>
          <w:szCs w:val="24"/>
        </w:rPr>
        <w:t xml:space="preserve"> 14, 41–49.</w:t>
      </w:r>
    </w:p>
    <w:p>
      <w:pPr>
        <w:spacing w:after="160" w:line="276"/>
        <w:jc w:val="left"/>
      </w:pPr>
      <w:r>
        <w:rPr>
          <w:rFonts w:ascii="Times New Roman" w:cs="Times New Roman" w:eastAsia="Times New Roman" w:hAnsi="Times New Roman"/>
          <w:sz w:val="24"/>
          <w:szCs w:val="24"/>
        </w:rPr>
        <w:t xml:space="preserve">Robin, V.V., Vishnudas, C.K., Gupta, P., Rheindt, F.E., Hooper, D.M., Ramakrishnan, U. et al. (2017). Two new genera of songbirds represent endemic radiations from the Shola Sky Islands of the Western Ghats, India. </w:t>
      </w:r>
      <w:r>
        <w:rPr>
          <w:rFonts w:ascii="Times New Roman" w:cs="Times New Roman" w:eastAsia="Times New Roman" w:hAnsi="Times New Roman"/>
          <w:i/>
          <w:iCs/>
          <w:sz w:val="24"/>
          <w:szCs w:val="24"/>
        </w:rPr>
        <w:t xml:space="preserve">BMC Evolutionary Biology</w:t>
      </w:r>
      <w:r>
        <w:rPr>
          <w:rFonts w:ascii="Times New Roman" w:cs="Times New Roman" w:eastAsia="Times New Roman" w:hAnsi="Times New Roman"/>
          <w:sz w:val="24"/>
          <w:szCs w:val="24"/>
        </w:rPr>
        <w:t xml:space="preserve"> 17, 31. https://doi.org/10.1186/s12862-017-0882-6.</w:t>
      </w:r>
    </w:p>
    <w:p>
      <w:pPr>
        <w:spacing w:after="160" w:line="276"/>
        <w:jc w:val="left"/>
      </w:pPr>
      <w:r>
        <w:rPr>
          <w:rFonts w:ascii="Times New Roman" w:cs="Times New Roman" w:eastAsia="Times New Roman" w:hAnsi="Times New Roman"/>
          <w:sz w:val="24"/>
          <w:szCs w:val="24"/>
        </w:rPr>
        <w:t xml:space="preserve">Search for Lost Birds (2025). Jerdon's Courser. https://searchforlostbirds.org/birds/jerdons-courser (accessed 2026).</w:t>
      </w:r>
    </w:p>
    <w:p>
      <w:pPr>
        <w:spacing w:after="160" w:line="276"/>
        <w:jc w:val="left"/>
      </w:pPr>
      <w:r>
        <w:rPr>
          <w:rFonts w:ascii="Times New Roman" w:cs="Times New Roman" w:eastAsia="Times New Roman" w:hAnsi="Times New Roman"/>
          <w:sz w:val="24"/>
          <w:szCs w:val="24"/>
        </w:rPr>
        <w:t xml:space="preserve">SoIB (2023). </w:t>
      </w:r>
      <w:r>
        <w:rPr>
          <w:rFonts w:ascii="Times New Roman" w:cs="Times New Roman" w:eastAsia="Times New Roman" w:hAnsi="Times New Roman"/>
          <w:i/>
          <w:iCs/>
          <w:sz w:val="24"/>
          <w:szCs w:val="24"/>
        </w:rPr>
        <w:t xml:space="preserve">State of India's Birds, 2023: Range, Trends, and Conservation Status</w:t>
      </w:r>
      <w:r>
        <w:rPr>
          <w:rFonts w:ascii="Times New Roman" w:cs="Times New Roman" w:eastAsia="Times New Roman" w:hAnsi="Times New Roman"/>
          <w:sz w:val="24"/>
          <w:szCs w:val="24"/>
        </w:rPr>
        <w:t xml:space="preserve">. Zenodo. https://doi.org/10.5281/zenodo.11124590.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rFonts w:ascii="Times New Roman" w:cs="Times New Roman" w:eastAsia="Times New Roman" w:hAnsi="Times New Roman"/>
      <w:b/>
      <w:bCs/>
      <w:color w:val="000000"/>
      <w:sz w:val="32"/>
      <w:szCs w:val="32"/>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i/>
      <w:i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816d08e860b07307d0e7982eaf6e1ba9485f12.png"/><Relationship Id="rId8" Type="http://schemas.openxmlformats.org/officeDocument/2006/relationships/image" Target="media/636e954615bf6499b48020050d20123046ab23e7.png"/><Relationship Id="rId9" Type="http://schemas.openxmlformats.org/officeDocument/2006/relationships/image" Target="media/2fd53465cf0fdda08af27ed886498efc645ba935.png"/><Relationship Id="rId10" Type="http://schemas.openxmlformats.org/officeDocument/2006/relationships/image" Target="media/785e9506e8c042f4c3a8e3307c48818af72ef397.png"/><Relationship Id="rId11" Type="http://schemas.openxmlformats.org/officeDocument/2006/relationships/image" Target="media/e1922cc2b3eecf0d5f2329a8270b0df6be36c823.png"/><Relationship Id="rId12" Type="http://schemas.openxmlformats.org/officeDocument/2006/relationships/image" Target="media/e2897f89ca24a70c55a4b959c938c46c9d5cd87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2026-08-26T13:23:00.391Z</dcterms:created>
  <dcterms:modified xsi:type="dcterms:W3CDTF">2026-08-26T13:23:00.391Z</dcterms:modified>
</cp:coreProperties>
</file>

<file path=docProps/custom.xml><?xml version="1.0" encoding="utf-8"?>
<Properties xmlns="http://schemas.openxmlformats.org/officeDocument/2006/custom-properties" xmlns:vt="http://schemas.openxmlformats.org/officeDocument/2006/docPropsVTypes"/>
</file>