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yet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By adding to the model a rejection category trained on recordings of other species, we reduced the false positive rate to 13.4% while still identifying 89.1% of target recordings correctly. As a result, we conclude that reliable classifiers can be developed using publicly available data to aid in the monitoring of endangered birds.</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is home to over 1,300 bird species, of which more than 75 are considered endemic, occurring nowhere else in the world (SoIB 2023). Endemic species with narrow geographic ranges are disproportionately vulnerable to habitat loss (Myers et al. 2000), and several Indian endemics are now assessed as Endangered or Critically Endangered on the IUCN Red List (IUCN 2025). While rarely spotted in the wild, four such species have sound recordings available in the major public archives: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and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(Sugai et al. 2019). They are elusive, occupy terrain where visual survey is difficult, and have distinctive vocalisations. Automated recorders have already been deployed to search for one of them, Jerdon's Courser (Arvind et al. 2023). Acoustic monitoring at useful scales, however, requires automated identification, because continuous recorders produce far more audio than observers can review (Gibb et al. 2019). The classifiers that currently dominate applied bioacoustics cannot provide this identification for these species. We verified that only the Forest Owlet is present in the label set of BirdNET V2.4 (Kahl et al. 2021), the most widely used bird song classification system (Pérez-Granados 2023), and the other three species therefore cannot be detected by it at any confidence threshold. As a result, there exists a need for classifiers specifically trained to identify these four species.</w:t>
      </w:r>
    </w:p>
    <w:p>
      <w:pPr>
        <w:spacing w:after="160" w:line="276"/>
        <w:jc w:val="left"/>
      </w:pPr>
      <w:r>
        <w:rPr>
          <w:rFonts w:ascii="Times New Roman" w:cs="Times New Roman" w:eastAsia="Times New Roman" w:hAnsi="Times New Roman"/>
          <w:sz w:val="24"/>
          <w:szCs w:val="24"/>
        </w:rPr>
        <w:t xml:space="preserve">However, training classifiers for endangered species with a limited number of recordings presents multiple methodological difficulties. The complete public record of these four species ranges from just 12 to 75 recordings per species. Datasets this small cannot support training conventional deep networks, so we instead build on acoustic embeddings from a large pretrained bird sound model, which transfer to small datasets far more effectively (Ghani et al. 2023).</w:t>
      </w:r>
    </w:p>
    <w:p>
      <w:pPr>
        <w:spacing w:after="160" w:line="276"/>
        <w:jc w:val="left"/>
      </w:pPr>
      <w:r>
        <w:rPr>
          <w:rFonts w:ascii="Times New Roman" w:cs="Times New Roman" w:eastAsia="Times New Roman" w:hAnsi="Times New Roman"/>
          <w:sz w:val="24"/>
          <w:szCs w:val="24"/>
        </w:rPr>
        <w:t xml:space="preserve">The study comprises four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We evaluate every model under two cross-validation schemes, one splitting at the level of the unique recording and a stricter one splitting at the level of the recording session. Then, we test whether retraining the embeddings on 28 other endemic Indian species makes the four target species easier to distinguish. We also evaluate whether the classifier can identify and reject species not included in our study, by testing it against 1,891 recordings of the 28 non-target endemics and adding an explicit background class as a remedy. Finally, we measure robustness by degrading test audio with additive noise at controlled signal-to-noise ratios. These analyses effectively build and evaluate bird sound classifiers using publicly available data, acting as a critical step towards full automated acoustic monitoring.</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Data sources</w:t>
      </w:r>
    </w:p>
    <w:p>
      <w:pPr>
        <w:spacing w:after="160" w:line="276"/>
        <w:jc w:val="left"/>
      </w:pPr>
      <w:r>
        <w:rPr>
          <w:rFonts w:ascii="Times New Roman" w:cs="Times New Roman" w:eastAsia="Times New Roman" w:hAnsi="Times New Roman"/>
          <w:sz w:val="24"/>
          <w:szCs w:val="24"/>
        </w:rPr>
        <w:t xml:space="preserve">We filtered the IUCN Red List (IUCN 2025) for bird species endemic to India and listed as Endangered or Critically Endangered. Seven species qualified, of which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had no usable recordings. The remaining four species listed in Table 1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refer to the numbers of three-second vocalisation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After deduplication using both archive identifiers and SHA-256 hashes of the recordings, the dataset contained 193 unique recordings totalling approximately 125 minutes (Figure 1).</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commonly used by classifier systems such as BirdNET (Kahl et al. 2021).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Arvind et al. 2023),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primary train-test splitting method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w:t>
      </w:r>
    </w:p>
    <w:p>
      <w:pPr>
        <w:spacing w:after="160" w:line="276"/>
        <w:jc w:val="left"/>
      </w:pPr>
      <w:r>
        <w:rPr>
          <w:rFonts w:ascii="Times New Roman" w:cs="Times New Roman" w:eastAsia="Times New Roman" w:hAnsi="Times New Roman"/>
          <w:sz w:val="24"/>
          <w:szCs w:val="24"/>
        </w:rPr>
        <w:t xml:space="preserve">The stricter session-level train-test splitting method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Uncertainty on accuracy and macro-F1 is reported as 95% percentile bootstrap confidence intervals over recordings (Efron and Tibshirani 1993), and paired model comparisons use exact McNemar tests on recording-level outcomes (Dietterich 1998).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(Stowell 2022). An EfficientNet-B0 (Tan and Le 2019) initialised from ImageNet weights (Deng et al. 2009) was fine-tuned end to end on log-mel spectrograms of the three-second windows (128 mel bands, 32 kHz sample rate, 12 kHz frequency cap), with time and frequency masking (Park et al. 2019),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a compact numerical summary of the window's acoustic content learnt during BirdNET's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A classifier with four output classes will assign one of those four labels to every input it receives, including recordings of species it has never seen (Scheirer et al. 2013). A model can therefore be highly accurate on the four target species and still be unusable in the field, where most sounds come from other species. We evaluated two approaches to this problem, using the 1,891 recordings of the 28 auxiliary species as realistic non-target material.</w:t>
      </w:r>
    </w:p>
    <w:p>
      <w:pPr>
        <w:spacing w:after="160" w:line="276"/>
        <w:jc w:val="left"/>
      </w:pPr>
      <w:r>
        <w:rPr>
          <w:rFonts w:ascii="Times New Roman" w:cs="Times New Roman" w:eastAsia="Times New Roman" w:hAnsi="Times New Roman"/>
          <w:sz w:val="24"/>
          <w:szCs w:val="24"/>
        </w:rPr>
        <w:t xml:space="preserve">The first approach uses the classifier's own confidence (Hendrycks and Gimpel 2017). For every window, the probe outputs a probability for each of the four species, the highest of the four serves as a confidence score, and recordings scoring below a minimum threshold are rejected. The threshold was calibrated on validation data alone, as the highest value retaining at least 95% of validation recordings. Overall separation between target and non-target recordings was summarised with the area under the ROC curve.</w:t>
      </w:r>
    </w:p>
    <w:p>
      <w:pPr>
        <w:spacing w:after="160" w:line="276"/>
        <w:jc w:val="left"/>
      </w:pPr>
      <w:r>
        <w:rPr>
          <w:rFonts w:ascii="Times New Roman" w:cs="Times New Roman" w:eastAsia="Times New Roman" w:hAnsi="Times New Roman"/>
          <w:sz w:val="24"/>
          <w:szCs w:val="24"/>
        </w:rPr>
        <w:t xml:space="preserve">The second approach makes rejection part of the classifier itself by adding a fifth output class for background species. The 28 auxiliary species were split in half, with windows from 14 species (1,077 recordings) forming the background class during training and the remaining 14 species (814 recordings) acting as the test set for the false positive rate. The test species were never seen during training, so the measured false positive rate reflects rejection of genuinely unfamiliar species.</w:t>
      </w: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Archive recordings are mostly focal recordings made at close range, whereas autonomous recorders capture distant birds against wind, rain, and insect noise (Pérez-Granados 2023). To estimate how performance degrades under such conditions, we corrupted the test windows with additive white noise before extracting their embeddings, scaling the noise against the energy of each window to produce signal-to-noise ratios of 20, 10, 5, and 0 dB. At 20 dB the added noise is faint, and at 0 dB it is as loud as the recording itself. The corrupted windows were evaluated with probes that had been trained on clean audio under the primary cross-validation folds, so the results measure how a model trained on archive material copes with degraded input it has never encountered.</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Identification of the four target species</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five times the seed variance of the probe. Exact McNemar tests found the probe significantly more accurate than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did not alter the results.</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The species went unrecorded from 2008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(McInnes et al. 2018)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Confidence thresholding on the four-class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(Liu et al. 2020), mean and standard deviation over folds). Deployed as it stands, the four-class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Rejection of non-target species at the recording level. MSP denotes the maximum softmax probability of the four-class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four-class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rejection results define the boundary between a classification study and a deployable detector. A model with 97.4% accuracy on the four target species accepted 93.7% of recordings of other endemic species when guarded only by a confidence threshold, and a background class trained on species held disjoint from the evaluation brought false acceptance down to 13.4% at a cost of 8.8% of target recordings. Accuracy on the target species alone therefore overstates field readiness by a wide margin, and we would encourage studies proposing classifiers for conservation use to report rejection performance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presents another important finding.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(Kahl et al. 2021),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rejection of species outside the target set,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Financial support</w:t>
      </w:r>
    </w:p>
    <w:p>
      <w:pPr>
        <w:spacing w:after="160" w:line="276"/>
        <w:jc w:val="left"/>
      </w:pPr>
      <w:r>
        <w:rPr>
          <w:rFonts w:ascii="Times New Roman" w:cs="Times New Roman" w:eastAsia="Times New Roman" w:hAnsi="Times New Roman"/>
          <w:sz w:val="24"/>
          <w:szCs w:val="24"/>
        </w:rPr>
        <w:t xml:space="preserve">This research received no specific grant from any funding agency or commercial or not-for-profit sector.</w:t>
      </w:r>
    </w:p>
    <w:p>
      <w:pPr>
        <w:pStyle w:val="Heading1"/>
        <w:spacing w:after="160" w:before="280"/>
      </w:pPr>
      <w:r>
        <w:rPr>
          <w:rFonts w:ascii="Times New Roman" w:cs="Times New Roman" w:eastAsia="Times New Roman" w:hAnsi="Times New Roman"/>
          <w:b/>
          <w:bCs/>
          <w:sz w:val="28"/>
          <w:szCs w:val="28"/>
        </w:rPr>
        <w:t xml:space="preserve">Competing interests</w:t>
      </w:r>
    </w:p>
    <w:p>
      <w:pPr>
        <w:spacing w:after="160" w:line="276"/>
        <w:jc w:val="left"/>
      </w:pPr>
      <w:r>
        <w:rPr>
          <w:rFonts w:ascii="Times New Roman" w:cs="Times New Roman" w:eastAsia="Times New Roman" w:hAnsi="Times New Roman"/>
          <w:sz w:val="24"/>
          <w:szCs w:val="24"/>
        </w:rPr>
        <w:t xml:space="preserve">The authors declare none.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Arvind, C., Joshi, V., Charif, R., Jeganathan, P. and Robin, V.V. (2023). Species detection framework using automated recording units: a case study of the Critically Endangered Jerdon's courser.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57, 55–62. https://doi.org/10.1017/S0030605321000995.</w:t>
      </w:r>
    </w:p>
    <w:p>
      <w:pPr>
        <w:spacing w:after="160" w:line="276"/>
        <w:jc w:val="left"/>
      </w:pPr>
      <w:r>
        <w:rPr>
          <w:rFonts w:ascii="Times New Roman" w:cs="Times New Roman" w:eastAsia="Times New Roman" w:hAnsi="Times New Roman"/>
          <w:sz w:val="24"/>
          <w:szCs w:val="24"/>
        </w:rPr>
        <w:t xml:space="preserve">Deng, J., Dong, W., Socher, R., Li, L.-J., Li, K. and Fei-Fei, L. (2009). ImageNet: A large-scale hierarchical image database. </w:t>
      </w:r>
      <w:r>
        <w:rPr>
          <w:rFonts w:ascii="Times New Roman" w:cs="Times New Roman" w:eastAsia="Times New Roman" w:hAnsi="Times New Roman"/>
          <w:i/>
          <w:iCs/>
          <w:sz w:val="24"/>
          <w:szCs w:val="24"/>
        </w:rPr>
        <w:t xml:space="preserve">Proceedings of the IEEE Conference on Computer Vision and Pattern Recognition</w:t>
      </w:r>
      <w:r>
        <w:rPr>
          <w:rFonts w:ascii="Times New Roman" w:cs="Times New Roman" w:eastAsia="Times New Roman" w:hAnsi="Times New Roman"/>
          <w:sz w:val="24"/>
          <w:szCs w:val="24"/>
        </w:rPr>
        <w:t xml:space="preserve">, 248–255.</w:t>
      </w:r>
    </w:p>
    <w:p>
      <w:pPr>
        <w:spacing w:after="160" w:line="276"/>
        <w:jc w:val="left"/>
      </w:pPr>
      <w:r>
        <w:rPr>
          <w:rFonts w:ascii="Times New Roman" w:cs="Times New Roman" w:eastAsia="Times New Roman" w:hAnsi="Times New Roman"/>
          <w:sz w:val="24"/>
          <w:szCs w:val="24"/>
        </w:rPr>
        <w:t xml:space="preserve">Dietterich, T.G.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w:t>
      </w:r>
      <w:r>
        <w:rPr>
          <w:rFonts w:ascii="Times New Roman" w:cs="Times New Roman" w:eastAsia="Times New Roman" w:hAnsi="Times New Roman"/>
          <w:sz w:val="24"/>
          <w:szCs w:val="24"/>
        </w:rPr>
        <w:t xml:space="preserve"> 10, 1895–1923.</w:t>
      </w:r>
    </w:p>
    <w:p>
      <w:pPr>
        <w:spacing w:after="160" w:line="276"/>
        <w:jc w:val="left"/>
      </w:pPr>
      <w:r>
        <w:rPr>
          <w:rFonts w:ascii="Times New Roman" w:cs="Times New Roman" w:eastAsia="Times New Roman" w:hAnsi="Times New Roman"/>
          <w:sz w:val="24"/>
          <w:szCs w:val="24"/>
        </w:rPr>
        <w:t xml:space="preserve">Efron, B. and Tibshirani, R.J.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New York: Chapman and Hall.</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Gibb, R., Browning, E., Glover-Kapfer, P. and Jones, K.E. (2019). Emerging opportunities and challenges for passive acoustics in ecological assessment and monitoring. </w:t>
      </w:r>
      <w:r>
        <w:rPr>
          <w:rFonts w:ascii="Times New Roman" w:cs="Times New Roman" w:eastAsia="Times New Roman" w:hAnsi="Times New Roman"/>
          <w:i/>
          <w:iCs/>
          <w:sz w:val="24"/>
          <w:szCs w:val="24"/>
        </w:rPr>
        <w:t xml:space="preserve">Methods in Ecology and Evolution</w:t>
      </w:r>
      <w:r>
        <w:rPr>
          <w:rFonts w:ascii="Times New Roman" w:cs="Times New Roman" w:eastAsia="Times New Roman" w:hAnsi="Times New Roman"/>
          <w:sz w:val="24"/>
          <w:szCs w:val="24"/>
        </w:rPr>
        <w:t xml:space="preserve"> 10, 169–185.</w:t>
      </w:r>
    </w:p>
    <w:p>
      <w:pPr>
        <w:spacing w:after="160" w:line="276"/>
        <w:jc w:val="left"/>
      </w:pPr>
      <w:r>
        <w:rPr>
          <w:rFonts w:ascii="Times New Roman" w:cs="Times New Roman" w:eastAsia="Times New Roman" w:hAnsi="Times New Roman"/>
          <w:sz w:val="24"/>
          <w:szCs w:val="24"/>
        </w:rPr>
        <w:t xml:space="preserve">Hendrycks, D. and Gimpel, K. (2017). A baseline for detecting misclassified and out-of-distribution examples in neural networks. </w:t>
      </w:r>
      <w:r>
        <w:rPr>
          <w:rFonts w:ascii="Times New Roman" w:cs="Times New Roman" w:eastAsia="Times New Roman" w:hAnsi="Times New Roman"/>
          <w:i/>
          <w:iCs/>
          <w:sz w:val="24"/>
          <w:szCs w:val="24"/>
        </w:rPr>
        <w:t xml:space="preserve">Proceedings of the International Conference on Learning Representations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26 August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Liu, W., Wang, X., Owens, J. and Li, Y. (2020). Energy-based out-of-distribution detection.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21464–21475.</w:t>
      </w:r>
    </w:p>
    <w:p>
      <w:pPr>
        <w:spacing w:after="160" w:line="276"/>
        <w:jc w:val="left"/>
      </w:pPr>
      <w:r>
        <w:rPr>
          <w:rFonts w:ascii="Times New Roman" w:cs="Times New Roman" w:eastAsia="Times New Roman" w:hAnsi="Times New Roman"/>
          <w:sz w:val="24"/>
          <w:szCs w:val="24"/>
        </w:rPr>
        <w:t xml:space="preserve">McInnes, L., Healy, J. and Melville, J. (2018). UMAP: Uniform manifold approximation and projection for dimension reduction. arXiv:1802.03426.</w:t>
      </w:r>
    </w:p>
    <w:p>
      <w:pPr>
        <w:spacing w:after="160" w:line="276"/>
        <w:jc w:val="left"/>
      </w:pPr>
      <w:r>
        <w:rPr>
          <w:rFonts w:ascii="Times New Roman" w:cs="Times New Roman" w:eastAsia="Times New Roman" w:hAnsi="Times New Roman"/>
          <w:sz w:val="24"/>
          <w:szCs w:val="24"/>
        </w:rPr>
        <w:t xml:space="preserve">Myers, N., Mittermeier, R.A., Mittermeier, C.G., da Fonseca, G.A.B. and Kent, J. (2000). Biodiversity hotspots for conservation priorities.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403, 853–858.</w:t>
      </w:r>
    </w:p>
    <w:p>
      <w:pPr>
        <w:spacing w:after="160" w:line="276"/>
        <w:jc w:val="left"/>
      </w:pPr>
      <w:r>
        <w:rPr>
          <w:rFonts w:ascii="Times New Roman" w:cs="Times New Roman" w:eastAsia="Times New Roman" w:hAnsi="Times New Roman"/>
          <w:sz w:val="24"/>
          <w:szCs w:val="24"/>
        </w:rPr>
        <w:t xml:space="preserve">Park, D.S., Chan, W., Zhang, Y., Chiu, C.-C., Zoph, B., Cubuk, E.D. and Le, Q.V. (2019). SpecAugment: A simple data augmentation method for automatic speech recognition. </w:t>
      </w:r>
      <w:r>
        <w:rPr>
          <w:rFonts w:ascii="Times New Roman" w:cs="Times New Roman" w:eastAsia="Times New Roman" w:hAnsi="Times New Roman"/>
          <w:i/>
          <w:iCs/>
          <w:sz w:val="24"/>
          <w:szCs w:val="24"/>
        </w:rPr>
        <w:t xml:space="preserve">Proceedings of Interspeech 2019</w:t>
      </w:r>
      <w:r>
        <w:rPr>
          <w:rFonts w:ascii="Times New Roman" w:cs="Times New Roman" w:eastAsia="Times New Roman" w:hAnsi="Times New Roman"/>
          <w:sz w:val="24"/>
          <w:szCs w:val="24"/>
        </w:rPr>
        <w:t xml:space="preserve">, 2613–2617.</w:t>
      </w:r>
    </w:p>
    <w:p>
      <w:pPr>
        <w:spacing w:after="160" w:line="276"/>
        <w:jc w:val="left"/>
      </w:pPr>
      <w:r>
        <w:rPr>
          <w:rFonts w:ascii="Times New Roman" w:cs="Times New Roman" w:eastAsia="Times New Roman" w:hAnsi="Times New Roman"/>
          <w:sz w:val="24"/>
          <w:szCs w:val="24"/>
        </w:rPr>
        <w:t xml:space="preserve">Pérez-Granados, C. (2023). BirdNET: applications, performance, pitfalls and future opportunities. </w:t>
      </w:r>
      <w:r>
        <w:rPr>
          <w:rFonts w:ascii="Times New Roman" w:cs="Times New Roman" w:eastAsia="Times New Roman" w:hAnsi="Times New Roman"/>
          <w:i/>
          <w:iCs/>
          <w:sz w:val="24"/>
          <w:szCs w:val="24"/>
        </w:rPr>
        <w:t xml:space="preserve">Ibis</w:t>
      </w:r>
      <w:r>
        <w:rPr>
          <w:rFonts w:ascii="Times New Roman" w:cs="Times New Roman" w:eastAsia="Times New Roman" w:hAnsi="Times New Roman"/>
          <w:sz w:val="24"/>
          <w:szCs w:val="24"/>
        </w:rPr>
        <w:t xml:space="preserve"> 165, 1068–1075. https://doi.org/10.1111/ibi.13193.</w:t>
      </w:r>
    </w:p>
    <w:p>
      <w:pPr>
        <w:spacing w:after="160" w:line="276"/>
        <w:jc w:val="left"/>
      </w:pPr>
      <w:r>
        <w:rPr>
          <w:rFonts w:ascii="Times New Roman" w:cs="Times New Roman" w:eastAsia="Times New Roman" w:hAnsi="Times New Roman"/>
          <w:sz w:val="24"/>
          <w:szCs w:val="24"/>
        </w:rPr>
        <w:t xml:space="preserve">Scheirer, W.J., de Rezende Rocha, A., Sapkota, A. and Boult, T.E. (2013). Toward open set recognition. </w:t>
      </w:r>
      <w:r>
        <w:rPr>
          <w:rFonts w:ascii="Times New Roman" w:cs="Times New Roman" w:eastAsia="Times New Roman" w:hAnsi="Times New Roman"/>
          <w:i/>
          <w:iCs/>
          <w:sz w:val="24"/>
          <w:szCs w:val="24"/>
        </w:rPr>
        <w:t xml:space="preserve">IEEE Transactions on Pattern Analysis and Machine Intelligence</w:t>
      </w:r>
      <w:r>
        <w:rPr>
          <w:rFonts w:ascii="Times New Roman" w:cs="Times New Roman" w:eastAsia="Times New Roman" w:hAnsi="Times New Roman"/>
          <w:sz w:val="24"/>
          <w:szCs w:val="24"/>
        </w:rPr>
        <w:t xml:space="preserve"> 35, 1757–1772.</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26 August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p>
      <w:pPr>
        <w:spacing w:after="160" w:line="276"/>
        <w:jc w:val="left"/>
      </w:pPr>
      <w:r>
        <w:rPr>
          <w:rFonts w:ascii="Times New Roman" w:cs="Times New Roman" w:eastAsia="Times New Roman" w:hAnsi="Times New Roman"/>
          <w:sz w:val="24"/>
          <w:szCs w:val="24"/>
        </w:rPr>
        <w:t xml:space="preserve">Stowell, D. (2022). Computational bioacoustics with deep learning: a review and roadmap. </w:t>
      </w:r>
      <w:r>
        <w:rPr>
          <w:rFonts w:ascii="Times New Roman" w:cs="Times New Roman" w:eastAsia="Times New Roman" w:hAnsi="Times New Roman"/>
          <w:i/>
          <w:iCs/>
          <w:sz w:val="24"/>
          <w:szCs w:val="24"/>
        </w:rPr>
        <w:t xml:space="preserve">PeerJ</w:t>
      </w:r>
      <w:r>
        <w:rPr>
          <w:rFonts w:ascii="Times New Roman" w:cs="Times New Roman" w:eastAsia="Times New Roman" w:hAnsi="Times New Roman"/>
          <w:sz w:val="24"/>
          <w:szCs w:val="24"/>
        </w:rPr>
        <w:t xml:space="preserve"> 10, e13152. https://doi.org/10.7717/peerj.13152.</w:t>
      </w:r>
    </w:p>
    <w:p>
      <w:pPr>
        <w:spacing w:after="160" w:line="276"/>
        <w:jc w:val="left"/>
      </w:pPr>
      <w:r>
        <w:rPr>
          <w:rFonts w:ascii="Times New Roman" w:cs="Times New Roman" w:eastAsia="Times New Roman" w:hAnsi="Times New Roman"/>
          <w:sz w:val="24"/>
          <w:szCs w:val="24"/>
        </w:rPr>
        <w:t xml:space="preserve">Sugai, L.S.M., Silva, T.S.F., Ribeiro, J.W. and Llusia, D. (2019). Terrestrial passive acoustic monitoring: review and perspectives. </w:t>
      </w:r>
      <w:r>
        <w:rPr>
          <w:rFonts w:ascii="Times New Roman" w:cs="Times New Roman" w:eastAsia="Times New Roman" w:hAnsi="Times New Roman"/>
          <w:i/>
          <w:iCs/>
          <w:sz w:val="24"/>
          <w:szCs w:val="24"/>
        </w:rPr>
        <w:t xml:space="preserve">BioScience</w:t>
      </w:r>
      <w:r>
        <w:rPr>
          <w:rFonts w:ascii="Times New Roman" w:cs="Times New Roman" w:eastAsia="Times New Roman" w:hAnsi="Times New Roman"/>
          <w:sz w:val="24"/>
          <w:szCs w:val="24"/>
        </w:rPr>
        <w:t xml:space="preserve"> 69, 15–25.</w:t>
      </w:r>
    </w:p>
    <w:p>
      <w:pPr>
        <w:spacing w:after="160" w:line="276"/>
        <w:jc w:val="left"/>
      </w:pPr>
      <w:r>
        <w:rPr>
          <w:rFonts w:ascii="Times New Roman" w:cs="Times New Roman" w:eastAsia="Times New Roman" w:hAnsi="Times New Roman"/>
          <w:sz w:val="24"/>
          <w:szCs w:val="24"/>
        </w:rPr>
        <w:t xml:space="preserve">Tan, M. and Le, Q.V. (2019). EfficientNet: Rethinking model scaling for convolutional neural networks. </w:t>
      </w:r>
      <w:r>
        <w:rPr>
          <w:rFonts w:ascii="Times New Roman" w:cs="Times New Roman" w:eastAsia="Times New Roman" w:hAnsi="Times New Roman"/>
          <w:i/>
          <w:iCs/>
          <w:sz w:val="24"/>
          <w:szCs w:val="24"/>
        </w:rPr>
        <w:t xml:space="preserve">Proceedings of the 36th International Conference on Machine Learning</w:t>
      </w:r>
      <w:r>
        <w:rPr>
          <w:rFonts w:ascii="Times New Roman" w:cs="Times New Roman" w:eastAsia="Times New Roman" w:hAnsi="Times New Roman"/>
          <w:sz w:val="24"/>
          <w:szCs w:val="24"/>
        </w:rPr>
        <w:t xml:space="preserve">, 6105–6114.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2026-08-26T17:47:50.007Z</dcterms:created>
  <dcterms:modified xsi:type="dcterms:W3CDTF">2026-08-26T17:47:50.007Z</dcterms:modified>
</cp:coreProperties>
</file>

<file path=docProps/custom.xml><?xml version="1.0" encoding="utf-8"?>
<Properties xmlns="http://schemas.openxmlformats.org/officeDocument/2006/custom-properties" xmlns:vt="http://schemas.openxmlformats.org/officeDocument/2006/docPropsVTypes"/>
</file>