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occupy terrain where visual survey is difficult, and have distinctive vocalisations.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the most widely used bird song classification system, and the other three species therefore cannot be detected by it at any confidence threshold. Therefore, there exists a need for classifiers specifically trained to classify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evaluating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like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A model can therefore be highly accurate on the four target species and still be unusable in the field, where most sounds come from other species. The problem of detecting that an input belongs to none of the trained classes is called open-set recognition, and we evaluated two approaches to it,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For every window, the probe outputs a probability for each of the four species, and the highest of the four serves as a confidence score. If the model were less confident on unfamiliar species than on its targets, a minimum-confidence threshold would filter them out. We calibrated the threshold on validation data alone, choosing the highest value that still retained at least 95% of validation recordings, so neither the test folds nor the auxiliary recordings influenced the choice. Overall separation between target and non-target recordings was summarised with the area under the ROC curve, which equals 1.0 for perfect separation and 0.5 for chance.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so that non-target sound receives a label of its own instead of being forced into one of the four targets. To measure this fairly, the 28 auxiliary species were split in half. Windows from 14 species (1,077 recordings) formed the background class during training, and the remaining 14 species (814 recordings) acted as the test set for the false positive rate. The species in the test half were never seen by the model in any role, so the measured false positive rate reflects rejection of genuinely unfamiliar species rather than memory of specific training species.</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2"/>
        <w:spacing w:after="120" w:before="240"/>
      </w:pPr>
      <w:r>
        <w:rPr>
          <w:rFonts w:ascii="Times New Roman" w:cs="Times New Roman" w:eastAsia="Times New Roman" w:hAnsi="Times New Roman"/>
          <w:b/>
          <w:bCs/>
          <w:i/>
          <w:iCs/>
          <w:sz w:val="24"/>
          <w:szCs w:val="24"/>
        </w:rPr>
        <w:t xml:space="preserve">External baseline</w:t>
      </w:r>
    </w:p>
    <w:p>
      <w:pPr>
        <w:spacing w:after="160" w:line="276"/>
        <w:jc w:val="left"/>
      </w:pPr>
      <w:r>
        <w:rPr>
          <w:rFonts w:ascii="Times New Roman" w:cs="Times New Roman" w:eastAsia="Times New Roman" w:hAnsi="Times New Roman"/>
          <w:sz w:val="24"/>
          <w:szCs w:val="24"/>
        </w:rPr>
        <w:t xml:space="preserve">BirdNET's own classification output was recorded for every window alongside the embeddings. The Forest Owlet is the one target species present in BirdNET's label set, so this output provides a direct comparison between our classifiers and the tool a practitioner could use today, and it documents what the other three species currently lack.</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2026-08-26T15:52:39.773Z</dcterms:created>
  <dcterms:modified xsi:type="dcterms:W3CDTF">2026-08-26T15:52:39.774Z</dcterms:modified>
</cp:coreProperties>
</file>

<file path=docProps/custom.xml><?xml version="1.0" encoding="utf-8"?>
<Properties xmlns="http://schemas.openxmlformats.org/officeDocument/2006/custom-properties" xmlns:vt="http://schemas.openxmlformats.org/officeDocument/2006/docPropsVTypes"/>
</file>