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Times New Roman" w:cs="Times New Roman" w:eastAsia="Times New Roman" w:hAnsi="Times New Roman"/>
          <w:b/>
          <w:bCs/>
          <w:sz w:val="32"/>
          <w:szCs w:val="32"/>
        </w:rPr>
        <w:t xml:space="preserve">Acoustic identification of India's Endangered and Critically Endangered endemic birds using bioacoustic foundation model embeddings</w:t>
      </w:r>
    </w:p>
    <w:p>
      <w:pPr>
        <w:spacing w:after="160" w:line="276"/>
        <w:jc w:val="left"/>
      </w:pPr>
      <w:r>
        <w:rPr>
          <w:rFonts w:ascii="Times New Roman" w:cs="Times New Roman" w:eastAsia="Times New Roman" w:hAnsi="Times New Roman"/>
          <w:b/>
          <w:bCs/>
          <w:sz w:val="24"/>
          <w:szCs w:val="24"/>
        </w:rPr>
        <w:t xml:space="preserve">Srivatsav Kannan¹, Valliappan Raman¹, Shanmugapriya K.R.¹</w:t>
      </w:r>
    </w:p>
    <w:p>
      <w:pPr>
        <w:spacing w:after="160" w:line="276"/>
        <w:jc w:val="left"/>
      </w:pPr>
      <w:r>
        <w:rPr>
          <w:rFonts w:ascii="Times New Roman" w:cs="Times New Roman" w:eastAsia="Times New Roman" w:hAnsi="Times New Roman"/>
          <w:sz w:val="24"/>
          <w:szCs w:val="24"/>
        </w:rPr>
        <w:t xml:space="preserve">¹ Department of Artificial Intelligence and Data Science, Coimbatore Institute of Technology, Coimbatore, India</w:t>
      </w:r>
    </w:p>
    <w:p>
      <w:pPr>
        <w:pStyle w:val="Heading1"/>
        <w:spacing w:after="160" w:before="280"/>
      </w:pPr>
      <w:r>
        <w:rPr>
          <w:rFonts w:ascii="Times New Roman" w:cs="Times New Roman" w:eastAsia="Times New Roman" w:hAnsi="Times New Roman"/>
          <w:b/>
          <w:bCs/>
          <w:sz w:val="28"/>
          <w:szCs w:val="28"/>
        </w:rPr>
        <w:t xml:space="preserve">Summary</w:t>
      </w:r>
    </w:p>
    <w:p>
      <w:pPr>
        <w:spacing w:after="160" w:line="276"/>
        <w:jc w:val="left"/>
      </w:pPr>
      <w:r>
        <w:rPr>
          <w:rFonts w:ascii="Times New Roman" w:cs="Times New Roman" w:eastAsia="Times New Roman" w:hAnsi="Times New Roman"/>
          <w:sz w:val="24"/>
          <w:szCs w:val="24"/>
        </w:rPr>
        <w:t xml:space="preserve">Automated acoustic monitoring is one of the few practical ways to survey rare and cryptic birds, but it depends on software that can recognise the target species, and the global classifiers that power most such monitoring do not cover the species that need it most. Four bird species endemic to India and listed as Endangered or Critically Endangered have sound recordings in public archives, the Forest Owlet, the Banasura Laughingthrush, the Bugun Liocichla, and Jerdon's Courser, yet only the Forest Owlet is recognised by BirdNET, the most widely used bird sound classifier. We gathered every public recording of these four species from the Macaulay Library and Xeno-canto, 193 unique recordings totalling approximately 125 minutes, and tested whether this material is sufficient to train reliable classifiers. Classifiers were trained on acoustic embeddings extracted with BirdNET and were evaluated on a held-out set of recordings that had played no part in training or model tuning. The best classifier identified the correct species for 97.4% of recordings (95% confidence interval 94.8 to 99.5), and its accuracy fell only to 92.2% when the test audio was degraded with synthetic noise as loud as the original recording itself. Because a classifier deployed in the field must also ignore the many species it was never trained on, we further tested the system against 1,891 recordings of 28 other Indian endemic species, and at worst 93.7% of these recordings were wrongly accepted as one of the target species. By adding to the model a rejection category trained on recordings of other species, we reduced this false positive rate to 13.4% while still identifying 89.1% of target recordings correctly. As a result, we conclude that reliable classifiers can be developed using publicly available data to aid in the monitoring of endangered birds.</w:t>
      </w:r>
    </w:p>
    <w:p>
      <w:pPr>
        <w:spacing w:after="160" w:line="276"/>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passive acoustic monitoring, transfer learning, open-set recognition</w:t>
      </w:r>
    </w:p>
    <w:p>
      <w:pPr>
        <w:pStyle w:val="Heading1"/>
        <w:spacing w:after="160" w:before="280"/>
      </w:pPr>
      <w:r>
        <w:rPr>
          <w:rFonts w:ascii="Times New Roman" w:cs="Times New Roman" w:eastAsia="Times New Roman" w:hAnsi="Times New Roman"/>
          <w:b/>
          <w:bCs/>
          <w:sz w:val="28"/>
          <w:szCs w:val="28"/>
        </w:rPr>
        <w:t xml:space="preserve">Introduction</w:t>
      </w:r>
    </w:p>
    <w:p>
      <w:pPr>
        <w:spacing w:after="160" w:line="276"/>
        <w:jc w:val="left"/>
      </w:pPr>
      <w:r>
        <w:rPr>
          <w:rFonts w:ascii="Times New Roman" w:cs="Times New Roman" w:eastAsia="Times New Roman" w:hAnsi="Times New Roman"/>
          <w:sz w:val="24"/>
          <w:szCs w:val="24"/>
        </w:rPr>
        <w:t xml:space="preserve">India is home to over 1,300 bird species, of which more than 75 are considered endemic, occurring nowhere else in the world (SoIB 2023). Endemic species with narrow geographic ranges are disproportionately vulnerable to habitat loss (Myers et al. 2000), and several Indian endemics are now assessed as Endangered or Critically Endangered on the IUCN Red List (IUCN 2025). While rarely spotted in the wild, four such species have sound recordings available in the major public archives: Forest Owlet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Banasura Laughingthrush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Bugun Liocichla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and Jerdon's Courser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These four species are natural candidates for passive acoustic monitoring (Sugai et al. 2019). They are elusive, occupy terrain where visual survey is difficult, and have distinctive vocalisations. Automated recorders have already been deployed to search for one of them, Jerdon's Courser (Arvind et al. 2023). Acoustic monitoring at useful scales, however, requires automated identification, because continuous recorders produce far more audio than observers can review (Gibb et al. 2019). The classifiers that currently dominate applied bioacoustics cannot provide this identification for these species. We verified that only the Forest Owlet is present in the label set of BirdNET V2.4 (Kahl et al. 2021), the most widely used bird song classification system (Pérez-Granados 2023), and the other three species therefore cannot be detected by it at any confidence threshold. As a result, there exists a need for classifiers specifically trained to identify these four species.</w:t>
      </w:r>
    </w:p>
    <w:p>
      <w:pPr>
        <w:spacing w:after="160" w:line="276"/>
        <w:jc w:val="left"/>
      </w:pPr>
      <w:r>
        <w:rPr>
          <w:rFonts w:ascii="Times New Roman" w:cs="Times New Roman" w:eastAsia="Times New Roman" w:hAnsi="Times New Roman"/>
          <w:sz w:val="24"/>
          <w:szCs w:val="24"/>
        </w:rPr>
        <w:t xml:space="preserve">However, training classifiers for endangered species with a limited number of recordings presents multiple methodological difficulties. The complete public record of these four species ranges from just 12 to 75 recordings per species. Datasets this small poorly support training conventional deep networks, so we instead build on acoustic embeddings from a large pretrained bird sound model, which transfer to small datasets far more effectively (Ghani et al. 2023).</w:t>
      </w:r>
    </w:p>
    <w:p>
      <w:pPr>
        <w:spacing w:after="160" w:line="276"/>
        <w:jc w:val="left"/>
      </w:pPr>
      <w:r>
        <w:rPr>
          <w:rFonts w:ascii="Times New Roman" w:cs="Times New Roman" w:eastAsia="Times New Roman" w:hAnsi="Times New Roman"/>
          <w:sz w:val="24"/>
          <w:szCs w:val="24"/>
        </w:rPr>
        <w:t xml:space="preserve">The study comprises four analyses. First, we compare three classifier families on the four-species identification task, a fine-tuned convolutional network on spectrograms representing standard practice, a lightweight classifier on frozen BirdNET embeddings, and a multiple instance learning model with attention that classifies whole recordings. We evaluate every model under two cross-validation schemes, one splitting at the level of the unique recording and a stricter one splitting at the level of the recording session. Then, we test whether retraining the embeddings on 28 other endemic Indian species makes the four target species easier to distinguish. We also evaluate whether the classifier can identify and reject species not included in our study, by testing it against 1,891 recordings of the 28 non-target endemics and adding an explicit background class as a remedy. Finally, we measure robustness by degrading test audio with additive noise at controlled signal-to-noise ratios. These analyses effectively build and evaluate bird sound classifiers using publicly available data, acting as a critical step towards full automated acoustic monitoring.</w:t>
      </w:r>
    </w:p>
    <w:p>
      <w:pPr>
        <w:pStyle w:val="Heading1"/>
        <w:spacing w:after="160" w:before="280"/>
      </w:pPr>
      <w:r>
        <w:rPr>
          <w:rFonts w:ascii="Times New Roman" w:cs="Times New Roman" w:eastAsia="Times New Roman" w:hAnsi="Times New Roman"/>
          <w:b/>
          <w:bCs/>
          <w:sz w:val="28"/>
          <w:szCs w:val="28"/>
        </w:rPr>
        <w:t xml:space="preserve">Methods</w:t>
      </w:r>
    </w:p>
    <w:p>
      <w:pPr>
        <w:pStyle w:val="Heading2"/>
        <w:spacing w:after="120" w:before="240"/>
      </w:pPr>
      <w:r>
        <w:rPr>
          <w:rFonts w:ascii="Times New Roman" w:cs="Times New Roman" w:eastAsia="Times New Roman" w:hAnsi="Times New Roman"/>
          <w:b/>
          <w:bCs/>
          <w:i/>
          <w:iCs/>
          <w:sz w:val="24"/>
          <w:szCs w:val="24"/>
        </w:rPr>
        <w:t xml:space="preserve">Data sources</w:t>
      </w:r>
    </w:p>
    <w:p>
      <w:pPr>
        <w:spacing w:after="160" w:line="276"/>
        <w:jc w:val="left"/>
      </w:pPr>
      <w:r>
        <w:rPr>
          <w:rFonts w:ascii="Times New Roman" w:cs="Times New Roman" w:eastAsia="Times New Roman" w:hAnsi="Times New Roman"/>
          <w:sz w:val="24"/>
          <w:szCs w:val="24"/>
        </w:rPr>
        <w:t xml:space="preserve">We filtered the IUCN Red List (IUCN 2025), as accessed in early 2025, for bird species endemic to India and listed as Endangered or Critically Endangered, treating a species as endemic when the Red List gives India as its only range state. Seven species qualified, of which the Great Nicobar Serpent Eagle (</w:t>
      </w:r>
      <w:r>
        <w:rPr>
          <w:rFonts w:ascii="Times New Roman" w:cs="Times New Roman" w:eastAsia="Times New Roman" w:hAnsi="Times New Roman"/>
          <w:i/>
          <w:iCs/>
          <w:sz w:val="24"/>
          <w:szCs w:val="24"/>
        </w:rPr>
        <w:t xml:space="preserve">Spilornis klossi</w:t>
      </w:r>
      <w:r>
        <w:rPr>
          <w:rFonts w:ascii="Times New Roman" w:cs="Times New Roman" w:eastAsia="Times New Roman" w:hAnsi="Times New Roman"/>
          <w:sz w:val="24"/>
          <w:szCs w:val="24"/>
        </w:rPr>
        <w:t xml:space="preserve">), the Himalayan Quail (</w:t>
      </w:r>
      <w:r>
        <w:rPr>
          <w:rFonts w:ascii="Times New Roman" w:cs="Times New Roman" w:eastAsia="Times New Roman" w:hAnsi="Times New Roman"/>
          <w:i/>
          <w:iCs/>
          <w:sz w:val="24"/>
          <w:szCs w:val="24"/>
        </w:rPr>
        <w:t xml:space="preserve">Ophrysia superciliosa</w:t>
      </w:r>
      <w:r>
        <w:rPr>
          <w:rFonts w:ascii="Times New Roman" w:cs="Times New Roman" w:eastAsia="Times New Roman" w:hAnsi="Times New Roman"/>
          <w:sz w:val="24"/>
          <w:szCs w:val="24"/>
        </w:rPr>
        <w:t xml:space="preserve">), and the Manipur Bush Quail (</w:t>
      </w:r>
      <w:r>
        <w:rPr>
          <w:rFonts w:ascii="Times New Roman" w:cs="Times New Roman" w:eastAsia="Times New Roman" w:hAnsi="Times New Roman"/>
          <w:i/>
          <w:iCs/>
          <w:sz w:val="24"/>
          <w:szCs w:val="24"/>
        </w:rPr>
        <w:t xml:space="preserve">Perdicula manipurensis</w:t>
      </w:r>
      <w:r>
        <w:rPr>
          <w:rFonts w:ascii="Times New Roman" w:cs="Times New Roman" w:eastAsia="Times New Roman" w:hAnsi="Times New Roman"/>
          <w:sz w:val="24"/>
          <w:szCs w:val="24"/>
        </w:rPr>
        <w:t xml:space="preserve">) had too few recordings to use (four archive recordings existed for the serpent eagle and none for the two quails). The remaining four species listed in Table 1 form the study set.</w:t>
      </w:r>
    </w:p>
    <w:p>
      <w:pPr>
        <w:spacing w:after="160" w:line="276"/>
        <w:jc w:val="left"/>
      </w:pPr>
      <w:r>
        <w:rPr>
          <w:rFonts w:ascii="Times New Roman" w:cs="Times New Roman" w:eastAsia="Times New Roman" w:hAnsi="Times New Roman"/>
          <w:sz w:val="24"/>
          <w:szCs w:val="24"/>
        </w:rPr>
        <w:t xml:space="preserve">All available recordings of the four species were obtained from the Macaulay Library and Xeno-canto.</w:t>
      </w:r>
    </w:p>
    <w:p>
      <w:pPr>
        <w:spacing w:after="160" w:line="276"/>
        <w:jc w:val="left"/>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The assembled dataset. Recording counts are unique recordings after duplicate removal, windows refer to the numbers of three-second vocalisation segments, and events are the same-session recording groups defined under Data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1170"/>
        <w:gridCol w:w="1170"/>
        <w:gridCol w:w="1170"/>
        <w:gridCol w:w="1170"/>
        <w:gridCol w:w="1170"/>
        <w:gridCol w:w="1170"/>
      </w:tblGrid>
      <w:tr>
        <w:trPr>
          <w:tblHeader/>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Macaulay Library</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Xeno-canto</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recordings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 events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audio (min)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Windows</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29</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55</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46.6</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1,116</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38</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37.3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976</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30.3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877</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226</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Data processing</w:t>
      </w:r>
    </w:p>
    <w:p>
      <w:pPr>
        <w:spacing w:after="160" w:line="276"/>
        <w:jc w:val="left"/>
      </w:pPr>
      <w:r>
        <w:rPr>
          <w:rFonts w:ascii="Times New Roman" w:cs="Times New Roman" w:eastAsia="Times New Roman" w:hAnsi="Times New Roman"/>
          <w:sz w:val="24"/>
          <w:szCs w:val="24"/>
        </w:rPr>
        <w:t xml:space="preserve">Every file was assigned its archive catalogue identifier, and its provenance (species, source archive, Xeno-canto quality grade, duration, and sample rate) was recorded in a manifest. Deduplication using archive identifiers and SHA-256 hashes of the recordings removed six byte-identical duplicate files, leaving 193 unique recordings totalling approximately 125 minutes (Figure 1). Because the same cut can be deposited in both archives at different encodings, which defeats hash comparison, we also screened every cross-archive pair of same-species recordings by embedding similarity. Nine Xeno-canto recordings were near-identical to Macaulay Library material (cosine similarity above 0.99). We retained them as catalogued but assess their effect on the results directly in the Results section.</w:t>
      </w:r>
    </w:p>
    <w:p>
      <w:pPr>
        <w:spacing w:after="160" w:line="276"/>
        <w:jc w:val="left"/>
      </w:pPr>
      <w:r>
        <w:rPr>
          <w:rFonts w:ascii="Times New Roman" w:cs="Times New Roman" w:eastAsia="Times New Roman" w:hAnsi="Times New Roman"/>
          <w:sz w:val="24"/>
          <w:szCs w:val="24"/>
        </w:rPr>
        <w:t xml:space="preserve">Each recording was decoded to mono 48 kHz audio and segmented into windows of three seconds with 50% overlap, matching BirdNET's native analysis window (Kahl et al. 2021).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(Figure 2). Two properties of this procedure deserve note. Long recordings contribute many more windows than short ones, so window-level training is weighted towards them, although recording-level evaluation is not. And window labels are inherited from the recording, so a window containing a non-target species vocalising in the background carries the target label, a form of label noise we cannot exclude for focal archive material.</w:t>
      </w:r>
    </w:p>
    <w:p>
      <w:pPr>
        <w:spacing w:after="80" w:before="160"/>
        <w:jc w:val="center"/>
      </w:pPr>
      <w:r>
        <w:drawing>
          <wp:inline distT="0" distB="0" distL="0" distR="0">
            <wp:extent cx="59436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3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1. Unique recordings per species and source archive, total audio per species, and extracted vocalisation windows.</w:t>
      </w:r>
    </w:p>
    <w:p>
      <w:pPr>
        <w:spacing w:after="8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2. Example three-second log-mel spectrogram windows for each species.</w:t>
      </w:r>
    </w:p>
    <w:p>
      <w:pPr>
        <w:spacing w:after="160" w:line="276"/>
        <w:jc w:val="left"/>
      </w:pPr>
      <w:r>
        <w:rPr>
          <w:rFonts w:ascii="Times New Roman" w:cs="Times New Roman" w:eastAsia="Times New Roman" w:hAnsi="Times New Roman"/>
          <w:sz w:val="24"/>
          <w:szCs w:val="24"/>
        </w:rP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Lankamalleswara Wildlife Sanctuary (Jeganathan et al. 2002, Arvind et al. 2023),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Varying this 1,000 threshold between 500 and 2,000 changes the total number of events by less than 10%. These groups are the unit of splitting in the stricter evaluation scheme described next.</w:t>
      </w:r>
    </w:p>
    <w:p>
      <w:pPr>
        <w:pStyle w:val="Heading2"/>
        <w:spacing w:after="120" w:before="240"/>
      </w:pPr>
      <w:r>
        <w:rPr>
          <w:rFonts w:ascii="Times New Roman" w:cs="Times New Roman" w:eastAsia="Times New Roman" w:hAnsi="Times New Roman"/>
          <w:b/>
          <w:bCs/>
          <w:i/>
          <w:iCs/>
          <w:sz w:val="24"/>
          <w:szCs w:val="24"/>
        </w:rPr>
        <w:t xml:space="preserve">Evaluation design</w:t>
      </w:r>
    </w:p>
    <w:p>
      <w:pPr>
        <w:spacing w:after="160" w:line="276"/>
        <w:jc w:val="left"/>
      </w:pPr>
      <w:r>
        <w:rPr>
          <w:rFonts w:ascii="Times New Roman" w:cs="Times New Roman" w:eastAsia="Times New Roman" w:hAnsi="Times New Roman"/>
          <w:sz w:val="24"/>
          <w:szCs w:val="24"/>
        </w:rPr>
        <w:t xml:space="preserve">The primary train-test splitting method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 For the same reason, the inner validation set for Jerdon's Courser rests on roughly two recordings per fold, which we note as an unavoidable consequence of the archive.</w:t>
      </w:r>
    </w:p>
    <w:p>
      <w:pPr>
        <w:spacing w:after="160" w:line="276"/>
        <w:jc w:val="left"/>
      </w:pPr>
      <w:r>
        <w:rPr>
          <w:rFonts w:ascii="Times New Roman" w:cs="Times New Roman" w:eastAsia="Times New Roman" w:hAnsi="Times New Roman"/>
          <w:sz w:val="24"/>
          <w:szCs w:val="24"/>
        </w:rPr>
        <w:t xml:space="preserve">The stricter session-level train-test splitting method is constructed identically except that the unit assigned to folds is the recording event rather than the individual recording, so no two recordings from the same session can appear on opposite sides of any partition. This scheme tests generalisation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w:t>
      </w:r>
    </w:p>
    <w:p>
      <w:pPr>
        <w:spacing w:after="160" w:line="276"/>
        <w:jc w:val="left"/>
      </w:pPr>
      <w:r>
        <w:rPr>
          <w:rFonts w:ascii="Times New Roman" w:cs="Times New Roman" w:eastAsia="Times New Roman" w:hAnsi="Times New Roman"/>
          <w:sz w:val="24"/>
          <w:szCs w:val="24"/>
        </w:rPr>
        <w:t xml:space="preserve">Every experiment was repeated with three random seeds, and we report seed-averaged predictions together with the spread across seeds. Class imbalance was handled with inverse-frequency loss weighting. Uncertainty on accuracy and macro-F1 is reported as 95% percentile bootstrap confidence intervals over recordings (Efron and Tibshirani 1993), and, because recordings from the same session are not independent, we also report intervals from a cluster bootstrap that resamples whole recording events. Paired model comparisons use exact McNemar tests on recording-level outcomes (Dietterich 1998). The serialised splits, together with their generating seed, are distributed with the code.</w:t>
      </w:r>
    </w:p>
    <w:p>
      <w:pPr>
        <w:pStyle w:val="Heading2"/>
        <w:spacing w:after="120" w:before="240"/>
      </w:pPr>
      <w:r>
        <w:rPr>
          <w:rFonts w:ascii="Times New Roman" w:cs="Times New Roman" w:eastAsia="Times New Roman" w:hAnsi="Times New Roman"/>
          <w:b/>
          <w:bCs/>
          <w:i/>
          <w:iCs/>
          <w:sz w:val="24"/>
          <w:szCs w:val="24"/>
        </w:rPr>
        <w:t xml:space="preserve">Classification models</w:t>
      </w:r>
    </w:p>
    <w:p>
      <w:pPr>
        <w:spacing w:after="160" w:line="276"/>
        <w:jc w:val="left"/>
      </w:pPr>
      <w:r>
        <w:rPr>
          <w:rFonts w:ascii="Times New Roman" w:cs="Times New Roman" w:eastAsia="Times New Roman" w:hAnsi="Times New Roman"/>
          <w:sz w:val="24"/>
          <w:szCs w:val="24"/>
        </w:rPr>
        <w:t xml:space="preserve">The first model is a fine-tuned convolutional network representing standard practice in bioacoustic classification (Stowell 2022). An EfficientNet-B0 (Tan and Le 2019) initialised from ImageNet weights (Deng et al. 2009) was fine-tuned end to end on log-mel spectrograms of the three-second windows (resampled to 32 kHz, 128 mel bands, 12 kHz frequency cap), with time and frequency masking (Park et al. 2019), gain jitter, circular time shifting, and white noise injection applied to training data only. Model selection followed the same inner-validation protocol as all other models.</w:t>
      </w:r>
    </w:p>
    <w:p>
      <w:pPr>
        <w:spacing w:after="160" w:line="276"/>
        <w:jc w:val="left"/>
      </w:pPr>
      <w:r>
        <w:rPr>
          <w:rFonts w:ascii="Times New Roman" w:cs="Times New Roman" w:eastAsia="Times New Roman" w:hAnsi="Times New Roman"/>
          <w:sz w:val="24"/>
          <w:szCs w:val="24"/>
        </w:rPr>
        <w:t xml:space="preserve">The second model classifies foundation model embeddings. Each window was encoded by BirdNET V2.4, with its weights frozen, into a 1,024-dimensional embedding, a compact numerical summary of the window's acoustic content learnt during BirdNET's training on more than 6,000 species and sound classes. A two-layer feed-forward network with layer normalisation and dropout classified individual windows, and recording-level predictions were obtained by averaging window probabilities within each recording. We refer to this model as the embedding probe.</w:t>
      </w:r>
    </w:p>
    <w:p>
      <w:pPr>
        <w:spacing w:after="160" w:line="276"/>
        <w:jc w:val="left"/>
      </w:pPr>
      <w:r>
        <w:rPr>
          <w:rFonts w:ascii="Times New Roman" w:cs="Times New Roman" w:eastAsia="Times New Roman" w:hAnsi="Times New Roman"/>
          <w:sz w:val="24"/>
          <w:szCs w:val="24"/>
        </w:rPr>
        <w:t xml:space="preserve">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pPr>
        <w:spacing w:after="160" w:line="276"/>
        <w:jc w:val="left"/>
      </w:pPr>
      <w:r>
        <w:rPr>
          <w:rFonts w:ascii="Times New Roman" w:cs="Times New Roman" w:eastAsia="Times New Roman" w:hAnsi="Times New Roman"/>
          <w:sz w:val="24"/>
          <w:szCs w:val="24"/>
        </w:rPr>
        <w:t xml:space="preserve">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pPr>
        <w:spacing w:after="160" w:line="276"/>
        <w:jc w:val="left"/>
      </w:pPr>
      <w:r>
        <w:rPr>
          <w:rFonts w:ascii="Times New Roman" w:cs="Times New Roman" w:eastAsia="Times New Roman" w:hAnsi="Times New Roman"/>
          <w:sz w:val="24"/>
          <w:szCs w:val="24"/>
        </w:rPr>
        <w:t xml:space="preserve">Finally, we evaluated equal-weight soft-vote ensembles of the models above. BirdNET's own classification output for the Forest Owlet, the one target species in its label set, was also recorded for every window as an off-the-shelf reference.</w:t>
      </w:r>
    </w:p>
    <w:p>
      <w:pPr>
        <w:pStyle w:val="Heading2"/>
        <w:spacing w:after="120" w:before="240"/>
      </w:pPr>
      <w:r>
        <w:rPr>
          <w:rFonts w:ascii="Times New Roman" w:cs="Times New Roman" w:eastAsia="Times New Roman" w:hAnsi="Times New Roman"/>
          <w:b/>
          <w:bCs/>
          <w:i/>
          <w:iCs/>
          <w:sz w:val="24"/>
          <w:szCs w:val="24"/>
        </w:rPr>
        <w:t xml:space="preserve">Open-set recognition</w:t>
      </w:r>
    </w:p>
    <w:p>
      <w:pPr>
        <w:spacing w:after="160" w:line="276"/>
        <w:jc w:val="left"/>
      </w:pPr>
      <w:r>
        <w:rPr>
          <w:rFonts w:ascii="Times New Roman" w:cs="Times New Roman" w:eastAsia="Times New Roman" w:hAnsi="Times New Roman"/>
          <w:sz w:val="24"/>
          <w:szCs w:val="24"/>
        </w:rPr>
        <w:t xml:space="preserve">A classifier with four output classes will assign one of those four labels to every input it receives, including recordings of species it has never seen (Scheirer et al. 2013). A model can therefore be highly accurate on the four target species and still be unusable in the field, where most sounds come from other species. We evaluated two approaches to this problem, using the 1,891 recordings of the 28 auxiliary species as realistic non-target material.</w:t>
      </w:r>
    </w:p>
    <w:p>
      <w:pPr>
        <w:spacing w:after="160" w:line="276"/>
        <w:jc w:val="left"/>
      </w:pPr>
      <w:r>
        <w:rPr>
          <w:rFonts w:ascii="Times New Roman" w:cs="Times New Roman" w:eastAsia="Times New Roman" w:hAnsi="Times New Roman"/>
          <w:sz w:val="24"/>
          <w:szCs w:val="24"/>
        </w:rPr>
        <w:t xml:space="preserve">The first approach uses the classifier's own confidence (Hendrycks and Gimpel 2017). For every window, the probe outputs a probability for each of the four species, the highest of the four serves as a confidence score, and recordings scoring below a minimum threshold are rejected. Recording-level scores are the mean of window confidences within the recording. The threshold was calibrated on validation data alone, as the highest value retaining at least 95% of validation recordings. Overall separation between target and non-target recordings was summarised with the area under the ROC curve.</w:t>
      </w:r>
    </w:p>
    <w:p>
      <w:pPr>
        <w:spacing w:after="160" w:line="276"/>
        <w:jc w:val="left"/>
      </w:pPr>
      <w:r>
        <w:rPr>
          <w:rFonts w:ascii="Times New Roman" w:cs="Times New Roman" w:eastAsia="Times New Roman" w:hAnsi="Times New Roman"/>
          <w:sz w:val="24"/>
          <w:szCs w:val="24"/>
        </w:rPr>
        <w:t xml:space="preserve">The second approach makes rejection part of the classifier itself by adding a fifth output class for background species, trained with the same inverse-frequency class weighting as the other models. The 28 auxiliary species were split in half, with windows from 14 species forming the background class during training and the remaining 14 species acting as the test set for the false positive rate. The test species were never seen during training, so the measured false positive rate reflects rejection of genuinely unfamiliar species, and the species split was repeated five times with different random assignments to check that no single split drives the result.</w:t>
      </w: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Archive recordings are mostly focal recordings made at close range, whereas autonomous recorders capture distant birds against wind, rain, and insect noise (Pérez-Granados 2023). To estimate how performance degrades under such conditions, we corrupted the test windows with additive white noise before extracting their embeddings, scaling the noise against the energy of each window to produce signal-to-noise ratios of 20, 10, 5, and 0 dB. At 20 dB the added noise is faint, and at 0 dB it is as loud as the recording itself. The corrupted windows were evaluated with probes that had been trained on clean audio under the primary cross-validation folds, so the results measure how a model trained on archive material copes with degraded input it has never encountered.</w:t>
      </w:r>
    </w:p>
    <w:p>
      <w:pPr>
        <w:pStyle w:val="Heading1"/>
        <w:spacing w:after="160" w:before="280"/>
      </w:pPr>
      <w:r>
        <w:rPr>
          <w:rFonts w:ascii="Times New Roman" w:cs="Times New Roman" w:eastAsia="Times New Roman" w:hAnsi="Times New Roman"/>
          <w:b/>
          <w:bCs/>
          <w:sz w:val="28"/>
          <w:szCs w:val="28"/>
        </w:rPr>
        <w:t xml:space="preserve">Results</w:t>
      </w:r>
    </w:p>
    <w:p>
      <w:pPr>
        <w:pStyle w:val="Heading2"/>
        <w:spacing w:after="120" w:before="240"/>
      </w:pPr>
      <w:r>
        <w:rPr>
          <w:rFonts w:ascii="Times New Roman" w:cs="Times New Roman" w:eastAsia="Times New Roman" w:hAnsi="Times New Roman"/>
          <w:b/>
          <w:bCs/>
          <w:i/>
          <w:iCs/>
          <w:sz w:val="24"/>
          <w:szCs w:val="24"/>
        </w:rPr>
        <w:t xml:space="preserve">Identification of the four target species</w:t>
      </w:r>
    </w:p>
    <w:p>
      <w:pPr>
        <w:spacing w:after="160" w:line="276"/>
        <w:jc w:val="left"/>
      </w:pPr>
      <w:r>
        <w:rPr>
          <w:rFonts w:ascii="Times New Roman" w:cs="Times New Roman" w:eastAsia="Times New Roman" w:hAnsi="Times New Roman"/>
          <w:sz w:val="24"/>
          <w:szCs w:val="24"/>
        </w:rP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five times the seed variance of the probe. Exact McNemar tests found the probe significantly more accurate than the network, with 30 recordings correct only under the probe against three correct only under the network (p = 1.4 × 10⁻⁶), and similarly for the MIL model (29 against four, p = 1.1 × 10⁻⁵), while the probe and the MIL model did not differ significantly from each other (p = 0.69). We attribute the gap to data scale, since roughly 150 training recordings remain too few for end-to-end fine-tuning even with regularisation and augmentation, whereas the frozen embeddings already encode most of the discriminative information. Two robustness checks bound these figures. Excluding all twelve recordings involved in the nine cross-archive near-duplicate pairs identified during data processing changes probe accuracy from 97.4% to 97.2% and macro-F1 from 0.973 to 0.972, so duplicate leakage does not drive the result. And a cluster bootstrap that resamples whole recording events rather than individual recordings gives an accuracy interval of 95.1 to 99.5% and a macro-F1 interval of 0.73 to 0.99, the latter wide because Jerdon's Courser contributes only two events.</w:t>
      </w:r>
    </w:p>
    <w:p>
      <w:pPr>
        <w:spacing w:after="160" w:line="276"/>
        <w:jc w:val="left"/>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 and are deterministic given their members, hence no seed SD.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Model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Accuracy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Macro-F1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Seed SD</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Fine-tuned CNN (EfficientNet-B0)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77.7 to 88.6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0.750 to 0.889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0.011</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Embedding probe (BirdNET + MLP)</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94.8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0.938 to 0.996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0.002</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Attention-MIL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93.8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0.927 to 0.990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0.005</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Probe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92.7%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to 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0.843 to 0.953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MIL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90.2%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86.0 to 94.3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0.870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0.800 to 0.926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0.004</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94.3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0.939 to 0.993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bl>
    <w:p>
      <w:pPr>
        <w:spacing w:after="120"/>
      </w:pPr>
    </w:p>
    <w:p>
      <w:pPr>
        <w:spacing w:after="160" w:line="276"/>
        <w:jc w:val="left"/>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Per-class metrics of the embedding probe under the primary scheme. Support is the number of unique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1560"/>
        <w:gridCol w:w="1560"/>
        <w:gridCol w:w="1560"/>
        <w:gridCol w:w="1560"/>
      </w:tblGrid>
      <w:tr>
        <w:trPr>
          <w:tblHeader/>
        </w:trP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Precision</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Recall</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Recordings</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0.959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r>
    </w:tbl>
    <w:p>
      <w:pPr>
        <w:spacing w:after="120"/>
      </w:pPr>
    </w:p>
    <w:p>
      <w:pPr>
        <w:spacing w:after="160" w:line="276"/>
        <w:jc w:val="left"/>
      </w:pPr>
      <w:r>
        <w:rPr>
          <w:rFonts w:ascii="Times New Roman" w:cs="Times New Roman" w:eastAsia="Times New Roman" w:hAnsi="Times New Roman"/>
          <w:sz w:val="24"/>
          <w:szCs w:val="24"/>
        </w:rPr>
        <w:t xml:space="preserve">The soft vote of the probe and the MIL model reached 97.9% accuracy with a macro-F1 of 0.984, a gain over the probe alone that is not statistically significant (p = 0.375). Equal-weight combination is nevertheless a conservative form of ensembling at this data scale, because it combines complementary decision rules without spending any data on weight selection. Adding the network to this vote did not alter the results.</w:t>
      </w:r>
    </w:p>
    <w:p>
      <w:pPr>
        <w:spacing w:after="160" w:line="276"/>
        <w:jc w:val="left"/>
      </w:pPr>
      <w:r>
        <w:rPr>
          <w:rFonts w:ascii="Times New Roman" w:cs="Times New Roman" w:eastAsia="Times New Roman" w:hAnsi="Times New Roman"/>
          <w:sz w:val="24"/>
          <w:szCs w:val="24"/>
        </w:rPr>
        <w:t xml:space="preserve">For the Forest Owlet, BirdNET's own classifier offers an off-the-shelf alternative, and the comparison is instructive. Its maximum window confidence for the species exceeded the conventional 0.5 threshold in 53% of Forest Owlet recordings, rising to 75% at a permissive threshold of 0.1, with no false positives among recordings of the other three species. The probe trained on the same embeddings identified the species with an F1 of 0.98. For the one species where both options exist, a small bespoke classifier therefore roughly halves the missed detections relative to the global tool, and for the other three species no off-the-shelf option exists at all.</w:t>
      </w:r>
    </w:p>
    <w:p>
      <w:pPr>
        <w:pStyle w:val="Heading2"/>
        <w:spacing w:after="120" w:before="240"/>
      </w:pPr>
      <w:r>
        <w:rPr>
          <w:rFonts w:ascii="Times New Roman" w:cs="Times New Roman" w:eastAsia="Times New Roman" w:hAnsi="Times New Roman"/>
          <w:b/>
          <w:bCs/>
          <w:i/>
          <w:iCs/>
          <w:sz w:val="24"/>
          <w:szCs w:val="24"/>
        </w:rPr>
        <w:t xml:space="preserve">Generalisation across recording sessions</w:t>
      </w:r>
    </w:p>
    <w:p>
      <w:pPr>
        <w:spacing w:after="160" w:line="276"/>
        <w:jc w:val="left"/>
      </w:pPr>
      <w:r>
        <w:rPr>
          <w:rFonts w:ascii="Times New Roman" w:cs="Times New Roman" w:eastAsia="Times New Roman" w:hAnsi="Times New Roman"/>
          <w:sz w:val="24"/>
          <w:szCs w:val="24"/>
        </w:rP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Bugun Liocichla,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pPr>
        <w:spacing w:after="80" w:before="160"/>
        <w:jc w:val="center"/>
      </w:pPr>
      <w:r>
        <w:drawing>
          <wp:inline distT="0" distB="0" distL="0" distR="0">
            <wp:extent cx="59436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193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3. Recording-level confusion matrices of the embedding probe under the primary recording-level scheme (left, all 193 recordings) and the stricter event-level scheme (right, the 182 recordings testable under that scheme, with a single Jerdon's Courser test recording).</w:t>
      </w:r>
    </w:p>
    <w:p>
      <w:pPr>
        <w:spacing w:after="160" w:line="276"/>
        <w:jc w:val="left"/>
      </w:pPr>
      <w:r>
        <w:rPr>
          <w:rFonts w:ascii="Times New Roman" w:cs="Times New Roman" w:eastAsia="Times New Roman" w:hAnsi="Times New Roman"/>
          <w:sz w:val="24"/>
          <w:szCs w:val="24"/>
        </w:rP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model and the Xeno-canto recording provides the only possible test of generalisation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A further check showed why caution is warranted. Ambient windows from the same Macaulay session that contain no vocalisation, when passed through the trained classifier, were assigned to Jerdon's Courser in 88% of cases with a mean probability of 0.85, so within-archive recall for this species partly reflects the recording chain rather than the call alone. The correctly classified cross-source recording is therefore the only evidence that call recognition, and not channel recognition, transfers. The conclusion must remain limited, because a single recording cannot establish generalisation, and no evaluation design can extract more from an archive whose record of the species traces to one recording effort. The species went unrecorded from 2008 (Arvind et al. 2023) until August 2025, when its call was captured by an automated recording unit at a previously unknown site (Search for Lost Birds 2025), and depositing those reconfirmation recordings in a public archive would multiply the available evidence. We return to this point in the Discussion.</w:t>
      </w:r>
    </w:p>
    <w:p>
      <w:pPr>
        <w:pStyle w:val="Heading2"/>
        <w:spacing w:after="120" w:before="240"/>
      </w:pPr>
      <w:r>
        <w:rPr>
          <w:rFonts w:ascii="Times New Roman" w:cs="Times New Roman" w:eastAsia="Times New Roman" w:hAnsi="Times New Roman"/>
          <w:b/>
          <w:bCs/>
          <w:i/>
          <w:iCs/>
          <w:sz w:val="24"/>
          <w:szCs w:val="24"/>
        </w:rPr>
        <w:t xml:space="preserve">Embedding adaptation on auxiliary species</w:t>
      </w:r>
    </w:p>
    <w:p>
      <w:pPr>
        <w:spacing w:after="160" w:line="276"/>
        <w:jc w:val="left"/>
      </w:pPr>
      <w:r>
        <w:rPr>
          <w:rFonts w:ascii="Times New Roman" w:cs="Times New Roman" w:eastAsia="Times New Roman" w:hAnsi="Times New Roman"/>
          <w:sz w:val="24"/>
          <w:szCs w:val="24"/>
        </w:rPr>
        <w:t xml:space="preserve">The supervised contrastive projection trained on the 28 auxiliary endemic species reduced probe accuracy from 97.4% to 92.7% (McNemar p = 0.022) and MIL accuracy from 96.4% to 90.2% (p = 0.0075). Figure 4 illustrates the cause. In the raw BirdNET space the four target species already form well-separated clusters, and the adapted projection, optimised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pPr>
        <w:spacing w:after="80" w:before="160"/>
        <w:jc w:val="center"/>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4. UMAP projections (McInnes et al. 2018) of the window embeddings of the four target species in the raw BirdNET space (left) and after auxiliary-species contrastive adaptation (right). Distances in UMAP projections are not directly interpretable and the panels support only the qualitative contrast.</w:t>
      </w:r>
    </w:p>
    <w:p>
      <w:pPr>
        <w:pStyle w:val="Heading2"/>
        <w:spacing w:after="120" w:before="240"/>
      </w:pPr>
      <w:r>
        <w:rPr>
          <w:rFonts w:ascii="Times New Roman" w:cs="Times New Roman" w:eastAsia="Times New Roman" w:hAnsi="Times New Roman"/>
          <w:b/>
          <w:bCs/>
          <w:i/>
          <w:iCs/>
          <w:sz w:val="24"/>
          <w:szCs w:val="24"/>
        </w:rPr>
        <w:t xml:space="preserve">Open-set recognition</w:t>
      </w:r>
    </w:p>
    <w:p>
      <w:pPr>
        <w:spacing w:after="160" w:line="276"/>
        <w:jc w:val="left"/>
      </w:pPr>
      <w:r>
        <w:rPr>
          <w:rFonts w:ascii="Times New Roman" w:cs="Times New Roman" w:eastAsia="Times New Roman" w:hAnsi="Times New Roman"/>
          <w:sz w:val="24"/>
          <w:szCs w:val="24"/>
        </w:rPr>
        <w:t xml:space="preserve">Confidence thresholding on the four-class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softmax probability and 0.878 ± 0.065 for the energy score (Liu et al. 2020), mean and standard deviation over folds). Recording-level scores average window confidences, which pulls typical target and distractor recordings towards similar values and explains why aggregation lowers the AUROC here. Deployed as it stands, the four-class model would produce confident false detections on most non-target species it heard.</w:t>
      </w:r>
    </w:p>
    <w:p>
      <w:pPr>
        <w:spacing w:after="160" w:line="276"/>
        <w:jc w:val="left"/>
      </w:pPr>
      <w:r>
        <w:rPr>
          <w:rFonts w:ascii="Times New Roman" w:cs="Times New Roman" w:eastAsia="Times New Roman" w:hAnsi="Times New Roman"/>
          <w:sz w:val="24"/>
          <w:szCs w:val="24"/>
        </w:rPr>
        <w:t xml:space="preserve">The explicit background class changed this picture substantially (Table 4). Trained with windows from 14 auxiliary species and evaluated against the recordings of 14 species it had never seen, the five-class probe reduced recording-level false acceptance from 93.7% to 13.4% ± 2.5% over folds, while 89.1% ± 3.9% of target recordings remained correctly identified and 8.8% ± 2.1% were diverted to the background class. Repeating the species split five times with different random assignments gave a false positive rate of 13.0% ± 2.2% across splits, so no single assignment drives the result. The residual false acceptances are not spread evenly. They concentrate in the three other </w:t>
      </w:r>
      <w:r>
        <w:rPr>
          <w:rFonts w:ascii="Times New Roman" w:cs="Times New Roman" w:eastAsia="Times New Roman" w:hAnsi="Times New Roman"/>
          <w:i/>
          <w:iCs/>
          <w:sz w:val="24"/>
          <w:szCs w:val="24"/>
        </w:rPr>
        <w:t xml:space="preserve">Montecincla</w:t>
      </w:r>
      <w:r>
        <w:rPr>
          <w:rFonts w:ascii="Times New Roman" w:cs="Times New Roman" w:eastAsia="Times New Roman" w:hAnsi="Times New Roman"/>
          <w:sz w:val="24"/>
          <w:szCs w:val="24"/>
        </w:rPr>
        <w:t xml:space="preserve"> laughingthrushes, congeners of the Banasura Laughingthrush, which were accepted at rates between 28% and 59%, while most unrelated species were rejected almost entirely. The remaining open-set problem is therefore specifically a congener problem, which is what a field deployment in the Western Ghats would need to solve. The exchange of a modest amount of target recall for a sevenfold reduction in false positives on unseen species is the trade-off that a monitoring programme would tune in practice.</w:t>
      </w:r>
    </w:p>
    <w:p>
      <w:pPr>
        <w:spacing w:after="160" w:line="276"/>
        <w:jc w:val="left"/>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Rejection of non-target species at the recording level. MSP denotes the maximum softmax probability of the four-class probe, with the threshold calibrated on validation data only, and its false acceptance is the worst case over the five outer folds. Background-class figures are means ± standard deviations over the five outer folds. Target retention counts recordings accepted for the MSP row, and recordings both accepted and correctly identified for the background-class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Approach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Target recordings retained</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False acceptance of non-target recordings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MSP threshold on the four-class probe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93.7% (all 1,891 auxiliary recordings, worst case over folds)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Explicit background class, species-disjoint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 3.9%</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13.4% ± 2.5% (814 unseen-species recordings)</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Corrupting the test audio with additive white noise before embedding extraction degraded performance gradually (Figure 5). Recording-level accuracy under this single-seed protocol was 96.9% on clean audio (the small difference from Table 2 reflects the single seed), 96.4% at 20 dB signal-to-noise ratio, 94.3% at 10 dB, 93.3% at 5 dB, and 92.2% at 0 dB, with macro-F1 declining from 0.965 to 0.925 over the same range. The embedding representation evidently retains most of the species-diagnostic structure under substantial added noise.</w:t>
      </w:r>
    </w:p>
    <w:p>
      <w:pPr>
        <w:spacing w:after="80" w:before="160"/>
        <w:jc w:val="center"/>
      </w:pPr>
      <w:r>
        <w:drawing>
          <wp:inline distT="0" distB="0" distL="0" distR="0">
            <wp:extent cx="59436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338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5. Recording-level accuracy and macro-F1 of the embedding probe as additive white noise increases from none to 0 dB signal-to-noise ratio. Error bars are bootstrap 95% confidence intervals over recordings.</w:t>
      </w:r>
    </w:p>
    <w:p>
      <w:pPr>
        <w:pStyle w:val="Heading2"/>
        <w:spacing w:after="120" w:before="240"/>
      </w:pPr>
      <w:r>
        <w:rPr>
          <w:rFonts w:ascii="Times New Roman" w:cs="Times New Roman" w:eastAsia="Times New Roman" w:hAnsi="Times New Roman"/>
          <w:b/>
          <w:bCs/>
          <w:i/>
          <w:iCs/>
          <w:sz w:val="24"/>
          <w:szCs w:val="24"/>
        </w:rPr>
        <w:t xml:space="preserve">Attention analysis</w:t>
      </w:r>
    </w:p>
    <w:p>
      <w:pPr>
        <w:spacing w:after="160" w:line="276"/>
        <w:jc w:val="left"/>
      </w:pPr>
      <w:r>
        <w:rPr>
          <w:rFonts w:ascii="Times New Roman" w:cs="Times New Roman" w:eastAsia="Times New Roman" w:hAnsi="Times New Roman"/>
          <w:sz w:val="24"/>
          <w:szCs w:val="24"/>
        </w:rPr>
        <w:t xml:space="preserve">The attention weights of the MIL model distribute over the vocalisation-bearing windows of each recording and can be inspected per decision (Figure 6). Attention is not simply a proxy for loudness, correlating only weakly and negatively with window signal-to-noise ratio across all test recordings (Spearman rho = -0.12), so the model weighting reflects more than signal energy. The practical value is that any individual decision can be audited by inspecting which seconds of audio received weight.</w:t>
      </w:r>
    </w:p>
    <w:p>
      <w:pPr>
        <w:spacing w:after="80" w:before="16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6. Attention of the MIL model across a ten-minute Bugun Liocichla recording. The upper panel shows the spectrogram, with vertical dark bands corresponding to silent passages of the source recording, and the lower panel shows the attention assigned to each retained three-second window.</w:t>
      </w:r>
    </w:p>
    <w:p>
      <w:pPr>
        <w:pStyle w:val="Heading1"/>
        <w:spacing w:after="160" w:before="280"/>
      </w:pPr>
      <w:r>
        <w:rPr>
          <w:rFonts w:ascii="Times New Roman" w:cs="Times New Roman" w:eastAsia="Times New Roman" w:hAnsi="Times New Roman"/>
          <w:b/>
          <w:bCs/>
          <w:sz w:val="28"/>
          <w:szCs w:val="28"/>
        </w:rPr>
        <w:t xml:space="preserve">Discussion</w:t>
      </w:r>
    </w:p>
    <w:p>
      <w:pPr>
        <w:spacing w:after="160" w:line="276"/>
        <w:jc w:val="left"/>
      </w:pPr>
      <w:r>
        <w:rPr>
          <w:rFonts w:ascii="Times New Roman" w:cs="Times New Roman" w:eastAsia="Times New Roman" w:hAnsi="Times New Roman"/>
          <w:sz w:val="24"/>
          <w:szCs w:val="24"/>
        </w:rPr>
        <w:t xml:space="preserve">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institutions in the species' range countries, which can build detectors for nationally important species with modest computation instead of waiting for global model updates.</w:t>
      </w:r>
    </w:p>
    <w:p>
      <w:pPr>
        <w:spacing w:after="160" w:line="276"/>
        <w:jc w:val="left"/>
      </w:pPr>
      <w:r>
        <w:rPr>
          <w:rFonts w:ascii="Times New Roman" w:cs="Times New Roman" w:eastAsia="Times New Roman" w:hAnsi="Times New Roman"/>
          <w:sz w:val="24"/>
          <w:szCs w:val="24"/>
        </w:rPr>
        <w:t xml:space="preserve">The coverage gap that motivated the study deserves emphasis in its own right. Three of the four species examined here are absent from the label set of the most widely deployed global classifier.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pPr>
        <w:spacing w:after="160" w:line="276"/>
        <w:jc w:val="left"/>
      </w:pPr>
      <w:r>
        <w:rPr>
          <w:rFonts w:ascii="Times New Roman" w:cs="Times New Roman" w:eastAsia="Times New Roman" w:hAnsi="Times New Roman"/>
          <w:sz w:val="24"/>
          <w:szCs w:val="24"/>
        </w:rPr>
        <w:t xml:space="preserve">The rejection results define the boundary between a classification study and a deployable detector. A model with 97.4% accuracy on the four target species accepted 93.7% of recordings of other endemic species when guarded only by a confidence threshold, and a background class trained on species held disjoint from the evaluation brought false acceptance down to 13.4% at a cost of 8.8% of target recordings. Accuracy on the target species alone therefore overstates field readiness by a wide margin, and we would encourage studies proposing classifiers for conservation use to report rejection performance against realistic regional distractors, particularly because the auxiliary data required are typically easier to obtain than the target data.</w:t>
      </w:r>
    </w:p>
    <w:p>
      <w:pPr>
        <w:spacing w:after="160" w:line="276"/>
        <w:jc w:val="left"/>
      </w:pPr>
      <w:r>
        <w:rPr>
          <w:rFonts w:ascii="Times New Roman" w:cs="Times New Roman" w:eastAsia="Times New Roman" w:hAnsi="Times New Roman"/>
          <w:sz w:val="24"/>
          <w:szCs w:val="24"/>
        </w:rPr>
        <w:t xml:space="preserve">The evaluation design itself presents another important finding.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Session-level grouping can be implemented directly from catalogue structure, and recordist, date, and location metadata would give stronger grouping still where they are available. For Jerdon's Courser specifically, the single independent recording is classified correctly and confidently, but one recording cannot establish generalisation, and the channel test above shows how much of the within-archive performance the recording chain could explain.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pPr>
        <w:spacing w:after="160" w:line="276"/>
        <w:jc w:val="left"/>
      </w:pPr>
      <w:r>
        <w:rPr>
          <w:rFonts w:ascii="Times New Roman" w:cs="Times New Roman" w:eastAsia="Times New Roman" w:hAnsi="Times New Roman"/>
          <w:sz w:val="24"/>
          <w:szCs w:val="24"/>
        </w:rPr>
        <w:t xml:space="preserve">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pPr>
        <w:spacing w:after="160" w:line="276"/>
        <w:jc w:val="left"/>
      </w:pPr>
      <w:r>
        <w:rPr>
          <w:rFonts w:ascii="Times New Roman" w:cs="Times New Roman" w:eastAsia="Times New Roman" w:hAnsi="Times New Roman"/>
          <w:sz w:val="24"/>
          <w:szCs w:val="24"/>
        </w:rPr>
        <w:t xml:space="preserve">Several limitations bound these conclusions. BirdNET's training corpus includes Xeno-canto material (Kahl et al. 2021), so for the Forest Owlet some of the recordings used here may have contributed to its pretraining and could inflate embedding quality for that species, although the other three species have no labels in BirdNET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The recording-event grouping is inferred from catalogue adjacency, and explicit recordist, site, and date metadata would sharpen it. The channel test for Jerdon's Courser shows that recording-chain characteristics contribute to within-archive performance for classes whose material comes from few sessions, and the near-duplicate screen shows that cross-archive re-deposits survive hash-level deduplication, two hazards that any study built on archive audio should check for. Finally, with 12 to 75 recordings per class, all metrics carry wide confidence intervals, which we report throughout.</w:t>
      </w:r>
    </w:p>
    <w:p>
      <w:pPr>
        <w:pStyle w:val="Heading1"/>
        <w:spacing w:after="160" w:before="280"/>
      </w:pPr>
      <w:r>
        <w:rPr>
          <w:rFonts w:ascii="Times New Roman" w:cs="Times New Roman" w:eastAsia="Times New Roman" w:hAnsi="Times New Roman"/>
          <w:b/>
          <w:bCs/>
          <w:sz w:val="28"/>
          <w:szCs w:val="28"/>
        </w:rPr>
        <w:t xml:space="preserve">Conclusions</w:t>
      </w:r>
    </w:p>
    <w:p>
      <w:pPr>
        <w:spacing w:after="160" w:line="276"/>
        <w:jc w:val="left"/>
      </w:pPr>
      <w:r>
        <w:rPr>
          <w:rFonts w:ascii="Times New Roman" w:cs="Times New Roman" w:eastAsia="Times New Roman" w:hAnsi="Times New Roman"/>
          <w:sz w:val="24"/>
          <w:szCs w:val="24"/>
        </w:rPr>
        <w:t xml:space="preserve">The complete public acoustic record of the four Endangered and Critically Endangered Indian endemic birds with archived recordings supports reliable identification, with 97.4% recording-level accuracy, consistent results under stricter session-level splits covering 182 of the 193 recordings, and only mild degradation under heavy noise. The strongest models are small classifiers on frozen foundation model embeddings, which outperform fine-tuned networks at this data scale and remain trainable with minimal computation. Field deployment additionally requires rejection of species outside the target set,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pPr>
        <w:pStyle w:val="Heading1"/>
        <w:spacing w:after="160" w:before="280"/>
      </w:pPr>
      <w:r>
        <w:rPr>
          <w:rFonts w:ascii="Times New Roman" w:cs="Times New Roman" w:eastAsia="Times New Roman" w:hAnsi="Times New Roman"/>
          <w:b/>
          <w:bCs/>
          <w:sz w:val="28"/>
          <w:szCs w:val="28"/>
        </w:rPr>
        <w:t xml:space="preserve">Acknowledgements</w:t>
      </w:r>
    </w:p>
    <w:p>
      <w:pPr>
        <w:spacing w:after="160" w:line="276"/>
        <w:jc w:val="left"/>
      </w:pPr>
      <w:r>
        <w:rPr>
          <w:rFonts w:ascii="Times New Roman" w:cs="Times New Roman" w:eastAsia="Times New Roman" w:hAnsi="Times New Roman"/>
          <w:sz w:val="24"/>
          <w:szCs w:val="24"/>
        </w:rPr>
        <w:t xml:space="preserve">We thank the recordists whose deposits in the Macaulay Library and Xeno-canto make work on these species possible.</w:t>
      </w:r>
    </w:p>
    <w:p>
      <w:pPr>
        <w:pStyle w:val="Heading1"/>
        <w:spacing w:after="160" w:before="280"/>
      </w:pPr>
      <w:r>
        <w:rPr>
          <w:rFonts w:ascii="Times New Roman" w:cs="Times New Roman" w:eastAsia="Times New Roman" w:hAnsi="Times New Roman"/>
          <w:b/>
          <w:bCs/>
          <w:sz w:val="28"/>
          <w:szCs w:val="28"/>
        </w:rPr>
        <w:t xml:space="preserve">Financial support</w:t>
      </w:r>
    </w:p>
    <w:p>
      <w:pPr>
        <w:spacing w:after="160" w:line="276"/>
        <w:jc w:val="left"/>
      </w:pPr>
      <w:r>
        <w:rPr>
          <w:rFonts w:ascii="Times New Roman" w:cs="Times New Roman" w:eastAsia="Times New Roman" w:hAnsi="Times New Roman"/>
          <w:sz w:val="24"/>
          <w:szCs w:val="24"/>
        </w:rPr>
        <w:t xml:space="preserve">This research received no specific grant from any funding agency or commercial or not-for-profit sector.</w:t>
      </w:r>
    </w:p>
    <w:p>
      <w:pPr>
        <w:pStyle w:val="Heading1"/>
        <w:spacing w:after="160" w:before="280"/>
      </w:pPr>
      <w:r>
        <w:rPr>
          <w:rFonts w:ascii="Times New Roman" w:cs="Times New Roman" w:eastAsia="Times New Roman" w:hAnsi="Times New Roman"/>
          <w:b/>
          <w:bCs/>
          <w:sz w:val="28"/>
          <w:szCs w:val="28"/>
        </w:rPr>
        <w:t xml:space="preserve">Competing interests</w:t>
      </w:r>
    </w:p>
    <w:p>
      <w:pPr>
        <w:spacing w:after="160" w:line="276"/>
        <w:jc w:val="left"/>
      </w:pPr>
      <w:r>
        <w:rPr>
          <w:rFonts w:ascii="Times New Roman" w:cs="Times New Roman" w:eastAsia="Times New Roman" w:hAnsi="Times New Roman"/>
          <w:sz w:val="24"/>
          <w:szCs w:val="24"/>
        </w:rPr>
        <w:t xml:space="preserve">The authors declare none.</w:t>
      </w:r>
    </w:p>
    <w:p>
      <w:pPr>
        <w:pStyle w:val="Heading1"/>
        <w:spacing w:after="160" w:before="280"/>
      </w:pPr>
      <w:r>
        <w:rPr>
          <w:rFonts w:ascii="Times New Roman" w:cs="Times New Roman" w:eastAsia="Times New Roman" w:hAnsi="Times New Roman"/>
          <w:b/>
          <w:bCs/>
          <w:sz w:val="28"/>
          <w:szCs w:val="28"/>
        </w:rPr>
        <w:t xml:space="preserve">Data and code availability</w:t>
      </w:r>
    </w:p>
    <w:p>
      <w:pPr>
        <w:spacing w:after="160" w:line="276"/>
        <w:jc w:val="left"/>
      </w:pPr>
      <w:r>
        <w:rPr>
          <w:rFonts w:ascii="Times New Roman" w:cs="Times New Roman" w:eastAsia="Times New Roman" w:hAnsi="Times New Roman"/>
          <w:sz w:val="24"/>
          <w:szCs w:val="24"/>
        </w:rPr>
        <w:t xml:space="preserve">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pPr>
        <w:pStyle w:val="Heading1"/>
        <w:spacing w:after="160" w:before="280"/>
      </w:pPr>
      <w:r>
        <w:rPr>
          <w:rFonts w:ascii="Times New Roman" w:cs="Times New Roman" w:eastAsia="Times New Roman" w:hAnsi="Times New Roman"/>
          <w:b/>
          <w:bCs/>
          <w:sz w:val="28"/>
          <w:szCs w:val="28"/>
        </w:rPr>
        <w:t xml:space="preserve">References</w:t>
      </w:r>
    </w:p>
    <w:p>
      <w:pPr>
        <w:spacing w:after="160" w:line="276"/>
        <w:jc w:val="left"/>
      </w:pPr>
      <w:r>
        <w:rPr>
          <w:rFonts w:ascii="Times New Roman" w:cs="Times New Roman" w:eastAsia="Times New Roman" w:hAnsi="Times New Roman"/>
          <w:sz w:val="24"/>
          <w:szCs w:val="24"/>
        </w:rPr>
        <w:t xml:space="preserve">Arvind, C., Joshi, V., Charif, R., Jeganathan, P. and Robin, V.V. (2023). Species detection framework using automated recording units: a case study of the Critically Endangered Jerdon's courser.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57, 55–62. https://doi.org/10.1017/S0030605321000995.</w:t>
      </w:r>
    </w:p>
    <w:p>
      <w:pPr>
        <w:spacing w:after="160" w:line="276"/>
        <w:jc w:val="left"/>
      </w:pPr>
      <w:r>
        <w:rPr>
          <w:rFonts w:ascii="Times New Roman" w:cs="Times New Roman" w:eastAsia="Times New Roman" w:hAnsi="Times New Roman"/>
          <w:sz w:val="24"/>
          <w:szCs w:val="24"/>
        </w:rPr>
        <w:t xml:space="preserve">Deng, J., Dong, W., Socher, R., Li, L.-J., Li, K. and Fei-Fei, L. (2009). ImageNet: A large-scale hierarchical image database. </w:t>
      </w:r>
      <w:r>
        <w:rPr>
          <w:rFonts w:ascii="Times New Roman" w:cs="Times New Roman" w:eastAsia="Times New Roman" w:hAnsi="Times New Roman"/>
          <w:i/>
          <w:iCs/>
          <w:sz w:val="24"/>
          <w:szCs w:val="24"/>
        </w:rPr>
        <w:t xml:space="preserve">Proceedings of the IEEE Conference on Computer Vision and Pattern Recognition</w:t>
      </w:r>
      <w:r>
        <w:rPr>
          <w:rFonts w:ascii="Times New Roman" w:cs="Times New Roman" w:eastAsia="Times New Roman" w:hAnsi="Times New Roman"/>
          <w:sz w:val="24"/>
          <w:szCs w:val="24"/>
        </w:rPr>
        <w:t xml:space="preserve">, 248–255.</w:t>
      </w:r>
    </w:p>
    <w:p>
      <w:pPr>
        <w:spacing w:after="160" w:line="276"/>
        <w:jc w:val="left"/>
      </w:pPr>
      <w:r>
        <w:rPr>
          <w:rFonts w:ascii="Times New Roman" w:cs="Times New Roman" w:eastAsia="Times New Roman" w:hAnsi="Times New Roman"/>
          <w:sz w:val="24"/>
          <w:szCs w:val="24"/>
        </w:rPr>
        <w:t xml:space="preserve">Dietterich, T.G.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w:t>
      </w:r>
      <w:r>
        <w:rPr>
          <w:rFonts w:ascii="Times New Roman" w:cs="Times New Roman" w:eastAsia="Times New Roman" w:hAnsi="Times New Roman"/>
          <w:sz w:val="24"/>
          <w:szCs w:val="24"/>
        </w:rPr>
        <w:t xml:space="preserve"> 10, 1895–1923.</w:t>
      </w:r>
    </w:p>
    <w:p>
      <w:pPr>
        <w:spacing w:after="160" w:line="276"/>
        <w:jc w:val="left"/>
      </w:pPr>
      <w:r>
        <w:rPr>
          <w:rFonts w:ascii="Times New Roman" w:cs="Times New Roman" w:eastAsia="Times New Roman" w:hAnsi="Times New Roman"/>
          <w:sz w:val="24"/>
          <w:szCs w:val="24"/>
        </w:rPr>
        <w:t xml:space="preserve">Efron, B. and Tibshirani, R.J.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New York: Chapman and Hall.</w:t>
      </w:r>
    </w:p>
    <w:p>
      <w:pPr>
        <w:spacing w:after="160" w:line="276"/>
        <w:jc w:val="left"/>
      </w:pPr>
      <w:r>
        <w:rPr>
          <w:rFonts w:ascii="Times New Roman" w:cs="Times New Roman" w:eastAsia="Times New Roman" w:hAnsi="Times New Roman"/>
          <w:sz w:val="24"/>
          <w:szCs w:val="24"/>
        </w:rPr>
        <w:t xml:space="preserve">Ghani, B., Denton, T., Kahl, S. and Klinck, H. (2023). Global birdsong embeddings enable superior transfer learning for bioacoustic classification.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13, 22876. https://doi.org/10.1038/s41598-023-49989-z.</w:t>
      </w:r>
    </w:p>
    <w:p>
      <w:pPr>
        <w:spacing w:after="160" w:line="276"/>
        <w:jc w:val="left"/>
      </w:pPr>
      <w:r>
        <w:rPr>
          <w:rFonts w:ascii="Times New Roman" w:cs="Times New Roman" w:eastAsia="Times New Roman" w:hAnsi="Times New Roman"/>
          <w:sz w:val="24"/>
          <w:szCs w:val="24"/>
        </w:rPr>
        <w:t xml:space="preserve">Gibb, R., Browning, E., Glover-Kapfer, P. and Jones, K.E. (2019). Emerging opportunities and challenges for passive acoustics in ecological assessment and monitoring. </w:t>
      </w:r>
      <w:r>
        <w:rPr>
          <w:rFonts w:ascii="Times New Roman" w:cs="Times New Roman" w:eastAsia="Times New Roman" w:hAnsi="Times New Roman"/>
          <w:i/>
          <w:iCs/>
          <w:sz w:val="24"/>
          <w:szCs w:val="24"/>
        </w:rPr>
        <w:t xml:space="preserve">Methods in Ecology and Evolution</w:t>
      </w:r>
      <w:r>
        <w:rPr>
          <w:rFonts w:ascii="Times New Roman" w:cs="Times New Roman" w:eastAsia="Times New Roman" w:hAnsi="Times New Roman"/>
          <w:sz w:val="24"/>
          <w:szCs w:val="24"/>
        </w:rPr>
        <w:t xml:space="preserve"> 10, 169–185.</w:t>
      </w:r>
    </w:p>
    <w:p>
      <w:pPr>
        <w:spacing w:after="160" w:line="276"/>
        <w:jc w:val="left"/>
      </w:pPr>
      <w:r>
        <w:rPr>
          <w:rFonts w:ascii="Times New Roman" w:cs="Times New Roman" w:eastAsia="Times New Roman" w:hAnsi="Times New Roman"/>
          <w:sz w:val="24"/>
          <w:szCs w:val="24"/>
        </w:rPr>
        <w:t xml:space="preserve">Hendrycks, D. and Gimpel, K. (2017). A baseline for detecting misclassified and out-of-distribution examples in neural networks. </w:t>
      </w:r>
      <w:r>
        <w:rPr>
          <w:rFonts w:ascii="Times New Roman" w:cs="Times New Roman" w:eastAsia="Times New Roman" w:hAnsi="Times New Roman"/>
          <w:i/>
          <w:iCs/>
          <w:sz w:val="24"/>
          <w:szCs w:val="24"/>
        </w:rPr>
        <w:t xml:space="preserve">Proceedings of the International Conference on Learning Representations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Ilse, M., Tomczak, J.M. and Welling, M. (2018). Attention-based deep multiple instance learning. </w:t>
      </w:r>
      <w:r>
        <w:rPr>
          <w:rFonts w:ascii="Times New Roman" w:cs="Times New Roman" w:eastAsia="Times New Roman" w:hAnsi="Times New Roman"/>
          <w:i/>
          <w:iCs/>
          <w:sz w:val="24"/>
          <w:szCs w:val="24"/>
        </w:rPr>
        <w:t xml:space="preserve">Proceedings of the 35th International Conference on Machine Learning</w:t>
      </w:r>
      <w:r>
        <w:rPr>
          <w:rFonts w:ascii="Times New Roman" w:cs="Times New Roman" w:eastAsia="Times New Roman" w:hAnsi="Times New Roman"/>
          <w:sz w:val="24"/>
          <w:szCs w:val="24"/>
        </w:rPr>
        <w:t xml:space="preserve">, 2127–2136.</w:t>
      </w:r>
    </w:p>
    <w:p>
      <w:pPr>
        <w:spacing w:after="160" w:line="276"/>
        <w:jc w:val="left"/>
      </w:pPr>
      <w:r>
        <w:rPr>
          <w:rFonts w:ascii="Times New Roman" w:cs="Times New Roman" w:eastAsia="Times New Roman" w:hAnsi="Times New Roman"/>
          <w:sz w:val="24"/>
          <w:szCs w:val="24"/>
        </w:rPr>
        <w:t xml:space="preserve">IUCN (2025). </w:t>
      </w:r>
      <w:r>
        <w:rPr>
          <w:rFonts w:ascii="Times New Roman" w:cs="Times New Roman" w:eastAsia="Times New Roman" w:hAnsi="Times New Roman"/>
          <w:i/>
          <w:iCs/>
          <w:sz w:val="24"/>
          <w:szCs w:val="24"/>
        </w:rPr>
        <w:t xml:space="preserve">The IUCN Red List of Threatened Species</w:t>
      </w:r>
      <w:r>
        <w:rPr>
          <w:rFonts w:ascii="Times New Roman" w:cs="Times New Roman" w:eastAsia="Times New Roman" w:hAnsi="Times New Roman"/>
          <w:sz w:val="24"/>
          <w:szCs w:val="24"/>
        </w:rPr>
        <w:t xml:space="preserve">. https://www.iucnredlist.org (accessed 26 August 2026).</w:t>
      </w:r>
    </w:p>
    <w:p>
      <w:pPr>
        <w:spacing w:after="160" w:line="276"/>
        <w:jc w:val="left"/>
      </w:pPr>
      <w:r>
        <w:rPr>
          <w:rFonts w:ascii="Times New Roman" w:cs="Times New Roman" w:eastAsia="Times New Roman" w:hAnsi="Times New Roman"/>
          <w:sz w:val="24"/>
          <w:szCs w:val="24"/>
        </w:rPr>
        <w:t xml:space="preserve">Jeganathan, P., Green, R.E., Bowden, C.G.R., Norris, K., Pain, D. and Rahmani, A. (2002). Use of tracking strips and automatic cameras for detecting Critically Endangered Jerdon's coursers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in scrub jungle in Andhra Pradesh, India.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36, 182–188.</w:t>
      </w:r>
    </w:p>
    <w:p>
      <w:pPr>
        <w:spacing w:after="160" w:line="276"/>
        <w:jc w:val="left"/>
      </w:pPr>
      <w:r>
        <w:rPr>
          <w:rFonts w:ascii="Times New Roman" w:cs="Times New Roman" w:eastAsia="Times New Roman" w:hAnsi="Times New Roman"/>
          <w:sz w:val="24"/>
          <w:szCs w:val="24"/>
        </w:rPr>
        <w:t xml:space="preserve">Kahl, S., Wood, C.M., Eibl, M. and Klinck, H. (2021). BirdNET: A deep learning solution for avian diversity monitoring. </w:t>
      </w:r>
      <w:r>
        <w:rPr>
          <w:rFonts w:ascii="Times New Roman" w:cs="Times New Roman" w:eastAsia="Times New Roman" w:hAnsi="Times New Roman"/>
          <w:i/>
          <w:iCs/>
          <w:sz w:val="24"/>
          <w:szCs w:val="24"/>
        </w:rPr>
        <w:t xml:space="preserve">Ecological Informatics</w:t>
      </w:r>
      <w:r>
        <w:rPr>
          <w:rFonts w:ascii="Times New Roman" w:cs="Times New Roman" w:eastAsia="Times New Roman" w:hAnsi="Times New Roman"/>
          <w:sz w:val="24"/>
          <w:szCs w:val="24"/>
        </w:rPr>
        <w:t xml:space="preserve"> 61, 101236. https://doi.org/10.1016/j.ecoinf.2021.101236.</w:t>
      </w:r>
    </w:p>
    <w:p>
      <w:pPr>
        <w:spacing w:after="160" w:line="276"/>
        <w:jc w:val="left"/>
      </w:pPr>
      <w:r>
        <w:rPr>
          <w:rFonts w:ascii="Times New Roman" w:cs="Times New Roman" w:eastAsia="Times New Roman" w:hAnsi="Times New Roman"/>
          <w:sz w:val="24"/>
          <w:szCs w:val="24"/>
        </w:rPr>
        <w:t xml:space="preserve">Khosla, P., Teterwak, P., Wang, C., Sarna, A., Tian, Y., Isola, P. et al. (2020). Supervised contrastive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18661–18673.</w:t>
      </w:r>
    </w:p>
    <w:p>
      <w:pPr>
        <w:spacing w:after="160" w:line="276"/>
        <w:jc w:val="left"/>
      </w:pPr>
      <w:r>
        <w:rPr>
          <w:rFonts w:ascii="Times New Roman" w:cs="Times New Roman" w:eastAsia="Times New Roman" w:hAnsi="Times New Roman"/>
          <w:sz w:val="24"/>
          <w:szCs w:val="24"/>
        </w:rPr>
        <w:t xml:space="preserve">Liu, W., Wang, X., Owens, J. and Li, Y. (2020). Energy-based out-of-distribution detection.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21464–21475.</w:t>
      </w:r>
    </w:p>
    <w:p>
      <w:pPr>
        <w:spacing w:after="160" w:line="276"/>
        <w:jc w:val="left"/>
      </w:pPr>
      <w:r>
        <w:rPr>
          <w:rFonts w:ascii="Times New Roman" w:cs="Times New Roman" w:eastAsia="Times New Roman" w:hAnsi="Times New Roman"/>
          <w:sz w:val="24"/>
          <w:szCs w:val="24"/>
        </w:rPr>
        <w:t xml:space="preserve">McInnes, L., Healy, J. and Melville, J. (2018). UMAP: Uniform manifold approximation and projection for dimension reduction. arXiv:1802.03426.</w:t>
      </w:r>
    </w:p>
    <w:p>
      <w:pPr>
        <w:spacing w:after="160" w:line="276"/>
        <w:jc w:val="left"/>
      </w:pPr>
      <w:r>
        <w:rPr>
          <w:rFonts w:ascii="Times New Roman" w:cs="Times New Roman" w:eastAsia="Times New Roman" w:hAnsi="Times New Roman"/>
          <w:sz w:val="24"/>
          <w:szCs w:val="24"/>
        </w:rPr>
        <w:t xml:space="preserve">Myers, N., Mittermeier, R.A., Mittermeier, C.G., da Fonseca, G.A.B. and Kent, J. (2000). Biodiversity hotspots for conservation priorities. </w:t>
      </w:r>
      <w:r>
        <w:rPr>
          <w:rFonts w:ascii="Times New Roman" w:cs="Times New Roman" w:eastAsia="Times New Roman" w:hAnsi="Times New Roman"/>
          <w:i/>
          <w:iCs/>
          <w:sz w:val="24"/>
          <w:szCs w:val="24"/>
        </w:rPr>
        <w:t xml:space="preserve">Nature</w:t>
      </w:r>
      <w:r>
        <w:rPr>
          <w:rFonts w:ascii="Times New Roman" w:cs="Times New Roman" w:eastAsia="Times New Roman" w:hAnsi="Times New Roman"/>
          <w:sz w:val="24"/>
          <w:szCs w:val="24"/>
        </w:rPr>
        <w:t xml:space="preserve"> 403, 853–858.</w:t>
      </w:r>
    </w:p>
    <w:p>
      <w:pPr>
        <w:spacing w:after="160" w:line="276"/>
        <w:jc w:val="left"/>
      </w:pPr>
      <w:r>
        <w:rPr>
          <w:rFonts w:ascii="Times New Roman" w:cs="Times New Roman" w:eastAsia="Times New Roman" w:hAnsi="Times New Roman"/>
          <w:sz w:val="24"/>
          <w:szCs w:val="24"/>
        </w:rPr>
        <w:t xml:space="preserve">Park, D.S., Chan, W., Zhang, Y., Chiu, C.-C., Zoph, B., Cubuk, E.D. and Le, Q.V. (2019). SpecAugment: A simple data augmentation method for automatic speech recognition. </w:t>
      </w:r>
      <w:r>
        <w:rPr>
          <w:rFonts w:ascii="Times New Roman" w:cs="Times New Roman" w:eastAsia="Times New Roman" w:hAnsi="Times New Roman"/>
          <w:i/>
          <w:iCs/>
          <w:sz w:val="24"/>
          <w:szCs w:val="24"/>
        </w:rPr>
        <w:t xml:space="preserve">Proceedings of Interspeech 2019</w:t>
      </w:r>
      <w:r>
        <w:rPr>
          <w:rFonts w:ascii="Times New Roman" w:cs="Times New Roman" w:eastAsia="Times New Roman" w:hAnsi="Times New Roman"/>
          <w:sz w:val="24"/>
          <w:szCs w:val="24"/>
        </w:rPr>
        <w:t xml:space="preserve">, 2613–2617.</w:t>
      </w:r>
    </w:p>
    <w:p>
      <w:pPr>
        <w:spacing w:after="160" w:line="276"/>
        <w:jc w:val="left"/>
      </w:pPr>
      <w:r>
        <w:rPr>
          <w:rFonts w:ascii="Times New Roman" w:cs="Times New Roman" w:eastAsia="Times New Roman" w:hAnsi="Times New Roman"/>
          <w:sz w:val="24"/>
          <w:szCs w:val="24"/>
        </w:rPr>
        <w:t xml:space="preserve">Pérez-Granados, C. (2023). BirdNET: applications, performance, pitfalls and future opportunities. </w:t>
      </w:r>
      <w:r>
        <w:rPr>
          <w:rFonts w:ascii="Times New Roman" w:cs="Times New Roman" w:eastAsia="Times New Roman" w:hAnsi="Times New Roman"/>
          <w:i/>
          <w:iCs/>
          <w:sz w:val="24"/>
          <w:szCs w:val="24"/>
        </w:rPr>
        <w:t xml:space="preserve">Ibis</w:t>
      </w:r>
      <w:r>
        <w:rPr>
          <w:rFonts w:ascii="Times New Roman" w:cs="Times New Roman" w:eastAsia="Times New Roman" w:hAnsi="Times New Roman"/>
          <w:sz w:val="24"/>
          <w:szCs w:val="24"/>
        </w:rPr>
        <w:t xml:space="preserve"> 165, 1068–1075. https://doi.org/10.1111/ibi.13193.</w:t>
      </w:r>
    </w:p>
    <w:p>
      <w:pPr>
        <w:spacing w:after="160" w:line="276"/>
        <w:jc w:val="left"/>
      </w:pPr>
      <w:r>
        <w:rPr>
          <w:rFonts w:ascii="Times New Roman" w:cs="Times New Roman" w:eastAsia="Times New Roman" w:hAnsi="Times New Roman"/>
          <w:sz w:val="24"/>
          <w:szCs w:val="24"/>
        </w:rPr>
        <w:t xml:space="preserve">Scheirer, W.J., de Rezende Rocha, A., Sapkota, A. and Boult, T.E. (2013). Toward open set recognition. </w:t>
      </w:r>
      <w:r>
        <w:rPr>
          <w:rFonts w:ascii="Times New Roman" w:cs="Times New Roman" w:eastAsia="Times New Roman" w:hAnsi="Times New Roman"/>
          <w:i/>
          <w:iCs/>
          <w:sz w:val="24"/>
          <w:szCs w:val="24"/>
        </w:rPr>
        <w:t xml:space="preserve">IEEE Transactions on Pattern Analysis and Machine Intelligence</w:t>
      </w:r>
      <w:r>
        <w:rPr>
          <w:rFonts w:ascii="Times New Roman" w:cs="Times New Roman" w:eastAsia="Times New Roman" w:hAnsi="Times New Roman"/>
          <w:sz w:val="24"/>
          <w:szCs w:val="24"/>
        </w:rPr>
        <w:t xml:space="preserve"> 35, 1757–1772.</w:t>
      </w:r>
    </w:p>
    <w:p>
      <w:pPr>
        <w:spacing w:after="160" w:line="276"/>
        <w:jc w:val="left"/>
      </w:pPr>
      <w:r>
        <w:rPr>
          <w:rFonts w:ascii="Times New Roman" w:cs="Times New Roman" w:eastAsia="Times New Roman" w:hAnsi="Times New Roman"/>
          <w:sz w:val="24"/>
          <w:szCs w:val="24"/>
        </w:rPr>
        <w:t xml:space="preserve">Search for Lost Birds (2025). Jerdon's Courser. https://searchforlostbirds.org/birds/jerdons-courser (accessed 26 August 2026).</w:t>
      </w:r>
    </w:p>
    <w:p>
      <w:pPr>
        <w:spacing w:after="160" w:line="276"/>
        <w:jc w:val="left"/>
      </w:pPr>
      <w:r>
        <w:rPr>
          <w:rFonts w:ascii="Times New Roman" w:cs="Times New Roman" w:eastAsia="Times New Roman" w:hAnsi="Times New Roman"/>
          <w:sz w:val="24"/>
          <w:szCs w:val="24"/>
        </w:rPr>
        <w:t xml:space="preserve">SoIB (2023). </w:t>
      </w:r>
      <w:r>
        <w:rPr>
          <w:rFonts w:ascii="Times New Roman" w:cs="Times New Roman" w:eastAsia="Times New Roman" w:hAnsi="Times New Roman"/>
          <w:i/>
          <w:iCs/>
          <w:sz w:val="24"/>
          <w:szCs w:val="24"/>
        </w:rPr>
        <w:t xml:space="preserve">State of India's Birds, 2023: Range, Trends, and Conservation Status</w:t>
      </w:r>
      <w:r>
        <w:rPr>
          <w:rFonts w:ascii="Times New Roman" w:cs="Times New Roman" w:eastAsia="Times New Roman" w:hAnsi="Times New Roman"/>
          <w:sz w:val="24"/>
          <w:szCs w:val="24"/>
        </w:rPr>
        <w:t xml:space="preserve">. Zenodo. https://doi.org/10.5281/zenodo.11124590.</w:t>
      </w:r>
    </w:p>
    <w:p>
      <w:pPr>
        <w:spacing w:after="160" w:line="276"/>
        <w:jc w:val="left"/>
      </w:pPr>
      <w:r>
        <w:rPr>
          <w:rFonts w:ascii="Times New Roman" w:cs="Times New Roman" w:eastAsia="Times New Roman" w:hAnsi="Times New Roman"/>
          <w:sz w:val="24"/>
          <w:szCs w:val="24"/>
        </w:rPr>
        <w:t xml:space="preserve">Stowell, D. (2022). Computational bioacoustics with deep learning: a review and roadmap. </w:t>
      </w:r>
      <w:r>
        <w:rPr>
          <w:rFonts w:ascii="Times New Roman" w:cs="Times New Roman" w:eastAsia="Times New Roman" w:hAnsi="Times New Roman"/>
          <w:i/>
          <w:iCs/>
          <w:sz w:val="24"/>
          <w:szCs w:val="24"/>
        </w:rPr>
        <w:t xml:space="preserve">PeerJ</w:t>
      </w:r>
      <w:r>
        <w:rPr>
          <w:rFonts w:ascii="Times New Roman" w:cs="Times New Roman" w:eastAsia="Times New Roman" w:hAnsi="Times New Roman"/>
          <w:sz w:val="24"/>
          <w:szCs w:val="24"/>
        </w:rPr>
        <w:t xml:space="preserve"> 10, e13152. https://doi.org/10.7717/peerj.13152.</w:t>
      </w:r>
    </w:p>
    <w:p>
      <w:pPr>
        <w:spacing w:after="160" w:line="276"/>
        <w:jc w:val="left"/>
      </w:pPr>
      <w:r>
        <w:rPr>
          <w:rFonts w:ascii="Times New Roman" w:cs="Times New Roman" w:eastAsia="Times New Roman" w:hAnsi="Times New Roman"/>
          <w:sz w:val="24"/>
          <w:szCs w:val="24"/>
        </w:rPr>
        <w:t xml:space="preserve">Sugai, L.S.M., Silva, T.S.F., Ribeiro, J.W. and Llusia, D. (2019). Terrestrial passive acoustic monitoring: review and perspectives. </w:t>
      </w:r>
      <w:r>
        <w:rPr>
          <w:rFonts w:ascii="Times New Roman" w:cs="Times New Roman" w:eastAsia="Times New Roman" w:hAnsi="Times New Roman"/>
          <w:i/>
          <w:iCs/>
          <w:sz w:val="24"/>
          <w:szCs w:val="24"/>
        </w:rPr>
        <w:t xml:space="preserve">BioScience</w:t>
      </w:r>
      <w:r>
        <w:rPr>
          <w:rFonts w:ascii="Times New Roman" w:cs="Times New Roman" w:eastAsia="Times New Roman" w:hAnsi="Times New Roman"/>
          <w:sz w:val="24"/>
          <w:szCs w:val="24"/>
        </w:rPr>
        <w:t xml:space="preserve"> 69, 15–25.</w:t>
      </w:r>
    </w:p>
    <w:p>
      <w:pPr>
        <w:spacing w:after="160" w:line="276"/>
        <w:jc w:val="left"/>
      </w:pPr>
      <w:r>
        <w:rPr>
          <w:rFonts w:ascii="Times New Roman" w:cs="Times New Roman" w:eastAsia="Times New Roman" w:hAnsi="Times New Roman"/>
          <w:sz w:val="24"/>
          <w:szCs w:val="24"/>
        </w:rPr>
        <w:t xml:space="preserve">Tan, M. and Le, Q.V. (2019). EfficientNet: Rethinking model scaling for convolutional neural networks. </w:t>
      </w:r>
      <w:r>
        <w:rPr>
          <w:rFonts w:ascii="Times New Roman" w:cs="Times New Roman" w:eastAsia="Times New Roman" w:hAnsi="Times New Roman"/>
          <w:i/>
          <w:iCs/>
          <w:sz w:val="24"/>
          <w:szCs w:val="24"/>
        </w:rPr>
        <w:t xml:space="preserve">Proceedings of the 36th International Conference on Machine Learning</w:t>
      </w:r>
      <w:r>
        <w:rPr>
          <w:rFonts w:ascii="Times New Roman" w:cs="Times New Roman" w:eastAsia="Times New Roman" w:hAnsi="Times New Roman"/>
          <w:sz w:val="24"/>
          <w:szCs w:val="24"/>
        </w:rPr>
        <w:t xml:space="preserve">, 6105–6114.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ca1a7047375bb8a595eacd999e5efac5bb038af.png"/><Relationship Id="rId8" Type="http://schemas.openxmlformats.org/officeDocument/2006/relationships/image" Target="media/99f0d7622a30fafa4d043ad4d336727f299053fe.png"/><Relationship Id="rId9" Type="http://schemas.openxmlformats.org/officeDocument/2006/relationships/image" Target="media/2fd53465cf0fdda08af27ed886498efc645ba935.png"/><Relationship Id="rId10" Type="http://schemas.openxmlformats.org/officeDocument/2006/relationships/image" Target="media/4fd09c0005a8e8f52c3d509822b0181973d9e378.png"/><Relationship Id="rId11" Type="http://schemas.openxmlformats.org/officeDocument/2006/relationships/image" Target="media/ae7deaa0303e4d081f980b31c2214a5b8deeb139.png"/><Relationship Id="rId12" Type="http://schemas.openxmlformats.org/officeDocument/2006/relationships/image" Target="media/c89d221c96bafe1f36ea08a93d4fc3c18ccc542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2026-08-26T18:40:43.912Z</dcterms:created>
  <dcterms:modified xsi:type="dcterms:W3CDTF">2026-08-26T18:40:43.913Z</dcterms:modified>
</cp:coreProperties>
</file>

<file path=docProps/custom.xml><?xml version="1.0" encoding="utf-8"?>
<Properties xmlns="http://schemas.openxmlformats.org/officeDocument/2006/custom-properties" xmlns:vt="http://schemas.openxmlformats.org/officeDocument/2006/docPropsVTypes"/>
</file>