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IN"/>
        </w:rPr>
        <w:t xml:space="preserve">Problem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4</w:t>
      </w:r>
      <w:r>
        <w:rPr>
          <w:rFonts w:hint="default" w:ascii="Times New Roman" w:hAnsi="Times New Roman" w:cs="Times New Roman"/>
          <w:lang w:val="en-IN"/>
        </w:rPr>
        <w:t>: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The query of the module 2 assignment: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select Name, Zip, CalQuarter, sum(ExtCost) as tot_cost, count(*) as Cnt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from inventory_fact i, cust_vendor_dim c, date_dim d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where TransTypeKey = 5 and d.Calyear BETWEEN 2011 AND 2012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AND i.CustVendorKey = c.CustVendorKey AND i.DateKey = d.DateKey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group by CUBE(c.Name, Zip, d.CalQuarter);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Notes to the rewriting: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SymbolMT" w:cs="Times New Roman"/>
          <w:sz w:val="23"/>
        </w:rPr>
        <w:t xml:space="preserve"> </w:t>
      </w:r>
      <w:r>
        <w:rPr>
          <w:rFonts w:hint="default" w:ascii="Times New Roman" w:hAnsi="Times New Roman" w:eastAsia="Times New Roman" w:cs="Times New Roman"/>
          <w:sz w:val="23"/>
        </w:rPr>
        <w:t>Rewriting with the union of the two views is possible – the first view contributes the data of 2011, the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second view the data of 2012. Futhermore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o Selection criteria on the transtypekey in the where clause match exactly.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o Grouping attributes match because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 xml:space="preserve">datekey </w:t>
      </w:r>
      <w:r>
        <w:rPr>
          <w:rFonts w:hint="default" w:ascii="Times New Roman" w:hAnsi="Times New Roman" w:eastAsia="Wingdings-Regular" w:cs="Times New Roman"/>
          <w:sz w:val="23"/>
        </w:rPr>
        <w:t xml:space="preserve"> </w:t>
      </w:r>
      <w:r>
        <w:rPr>
          <w:rFonts w:hint="default" w:ascii="Times New Roman" w:hAnsi="Times New Roman" w:eastAsia="Times New Roman" w:cs="Times New Roman"/>
          <w:sz w:val="23"/>
        </w:rPr>
        <w:t xml:space="preserve">calquarter and custvendorkey </w:t>
      </w:r>
      <w:r>
        <w:rPr>
          <w:rFonts w:hint="default" w:ascii="Times New Roman" w:hAnsi="Times New Roman" w:eastAsia="Wingdings-Regular" w:cs="Times New Roman"/>
          <w:sz w:val="23"/>
        </w:rPr>
        <w:t xml:space="preserve"> </w:t>
      </w:r>
      <w:r>
        <w:rPr>
          <w:rFonts w:hint="default" w:ascii="Times New Roman" w:hAnsi="Times New Roman" w:eastAsia="Times New Roman" w:cs="Times New Roman"/>
          <w:sz w:val="23"/>
        </w:rPr>
        <w:t>name, zip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o aggregation sum(ExtCost) matches with sum(ExtCost) in the views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o aggregation count(*) matches with count(*) in the view definition.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SymbolMT" w:cs="Times New Roman"/>
          <w:sz w:val="23"/>
        </w:rPr>
        <w:t xml:space="preserve"> </w:t>
      </w:r>
      <w:r>
        <w:rPr>
          <w:rFonts w:hint="default" w:ascii="Times New Roman" w:hAnsi="Times New Roman" w:eastAsia="Times New Roman" w:cs="Times New Roman"/>
          <w:sz w:val="23"/>
        </w:rPr>
        <w:t>The grouping with aggregation and cube operator has to be done again on the required level (name, zip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calquarter). The number of transactions results from the sum of the number of transactions retrieved in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the views.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SQL: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SELECT Name, Zip, CalQuarter,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SUM(totalextcost) as tot_cost, SUM(notrans) as Cnt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FROM (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SELECT name, zip, calquarter, totalextcost, notrans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FROM SalesByVendorDateKeyMV2011 v11, cust_vendor_dim cv, date_dim d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WHERE cv.custvendorkey = v11.custvendorkey AND d.datekey = v11.datekey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UNION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SELECT name, zip, calquarter, totalextcost, notrans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FROM SalesByVendorDateKeyMV2012 v12, cust_vendor_dim cv, date_dim d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WHERE cv.custvendorkey = v12.custvendorkey AND d.datekey = v12.datekey )</w:t>
      </w:r>
    </w:p>
    <w:p>
      <w:pPr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GROUP BY CUBE(name, zip, calquarter);</w:t>
      </w: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/>
          <w:sz w:val="23"/>
        </w:rPr>
      </w:pPr>
      <w:r>
        <w:rPr>
          <w:rFonts w:hint="default" w:ascii="Times New Roman" w:hAnsi="Times New Roman" w:eastAsia="Times New Roman"/>
          <w:sz w:val="23"/>
        </w:rPr>
        <w:t>Results screenshot (305 result rows):</w:t>
      </w:r>
    </w:p>
    <w:p>
      <w:pPr>
        <w:rPr>
          <w:rFonts w:hint="default" w:ascii="Times New Roman" w:hAnsi="Times New Roman" w:eastAsia="Times New Roman"/>
          <w:sz w:val="23"/>
        </w:rPr>
      </w:pPr>
      <w:r>
        <w:drawing>
          <wp:inline distT="0" distB="0" distL="114300" distR="114300">
            <wp:extent cx="5269230" cy="35547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3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MT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83EA7"/>
    <w:rsid w:val="4F883E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2017-07-16T12:03:00Z</dcterms:created>
  <dc:creator>Sriveda</dc:creator>
  <cp:lastModifiedBy>Sriveda</cp:lastModifiedBy>
  <dcterms:modified xsi:type="dcterms:W3CDTF">2017-07-16T12:03:50Z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