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br/>
      </w:r>
      <w:r>
        <w:rPr>
          <w:b/>
          <w:sz w:val="30"/>
        </w:rPr>
        <w:t>Empathize &amp; Discover</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r>
        <w:tc>
          <w:tcPr>
            <w:tcW w:type="dxa" w:w="5184"/>
          </w:tcPr>
          <w:p>
            <w:r>
              <w:rPr>
                <w:b/>
              </w:rPr>
              <w:t>Project Name</w:t>
            </w:r>
          </w:p>
        </w:tc>
        <w:tc>
          <w:tcPr>
            <w:tcW w:type="dxa" w:w="5184"/>
          </w:tcPr>
          <w:p>
            <w:r>
              <w:t>LegalEase</w:t>
            </w:r>
          </w:p>
        </w:tc>
      </w:tr>
      <w:tr>
        <w:tc>
          <w:tcPr>
            <w:tcW w:type="dxa" w:w="5184"/>
          </w:tcPr>
          <w:p>
            <w:r>
              <w:rPr>
                <w:b/>
              </w:rPr>
              <w:t>Team ID</w:t>
            </w:r>
          </w:p>
        </w:tc>
        <w:tc>
          <w:tcPr>
            <w:tcW w:type="dxa" w:w="5184"/>
          </w:tcPr>
          <w:p>
            <w:r>
              <w:t>SWTID-2026-6529</w:t>
            </w:r>
          </w:p>
        </w:tc>
      </w:tr>
      <w:tr>
        <w:tc>
          <w:tcPr>
            <w:tcW w:type="dxa" w:w="5184"/>
          </w:tcPr>
          <w:p>
            <w:r>
              <w:rPr>
                <w:b/>
              </w:rPr>
              <w:t>Maximum Marks</w:t>
            </w:r>
          </w:p>
        </w:tc>
        <w:tc>
          <w:tcPr>
            <w:tcW w:type="dxa" w:w="5184"/>
          </w:tcPr>
          <w:p>
            <w:r>
              <w:t>4 Marks</w:t>
            </w:r>
          </w:p>
        </w:tc>
      </w:tr>
    </w:tbl>
    <w:p>
      <w:pPr>
        <w:pStyle w:val="Heading1"/>
      </w:pPr>
      <w:r>
        <w:t>Empathy Map Canvas</w:t>
      </w:r>
    </w:p>
    <w:p>
      <w:r>
        <w:t>An empathy map is a simple, easy-to-digest visual that captures knowledge about a user's behaviours and attitudes. It helps the LegalEase team understand users from their perspective, including their goals, expectations and challenges.</w:t>
      </w:r>
    </w:p>
    <w:p>
      <w:pPr>
        <w:pStyle w:val="Heading1"/>
      </w:pPr>
      <w:r>
        <w:t>Empathy Map – LegalEase</w:t>
      </w:r>
    </w:p>
    <w:p>
      <w:r>
        <w:t>College: C.T.T.E. College for Women</w:t>
        <w:br/>
        <w:t>Team Leader: Sri Vijitha M</w:t>
        <w:br/>
        <w:t>Team Members: Sree Harini P, Subalakshmi P, Sumaiya A</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b/>
                <w:sz w:val="24"/>
              </w:rPr>
              <w:t>THINK &amp; FEEL</w:t>
              <w:br/>
            </w:r>
            <w:r>
              <w:t>Wants faster and easier legal document creation, reliable document generation, convenient editing, professional formatting, and secure handling of legal information. Feels concerned about the time required for manual drafting, formatting accuracy, document quality, and protecting sensitive information.</w:t>
            </w:r>
          </w:p>
        </w:tc>
        <w:tc>
          <w:tcPr>
            <w:tcW w:type="dxa" w:w="5184"/>
            <w:vAlign w:val="top"/>
          </w:tcPr>
          <w:p>
            <w:r/>
            <w:r>
              <w:rPr>
                <w:b/>
                <w:sz w:val="24"/>
              </w:rPr>
              <w:t>SEE</w:t>
              <w:br/>
            </w:r>
            <w:r>
              <w:t>Sees lengthy manual drafting processes, repeated document-formatting tasks, different types of legal documents requiring different structures, and the need to review and edit documents before final use.</w:t>
            </w:r>
          </w:p>
        </w:tc>
      </w:tr>
      <w:tr>
        <w:tc>
          <w:tcPr>
            <w:tcW w:type="dxa" w:w="5184"/>
            <w:vAlign w:val="top"/>
          </w:tcPr>
          <w:p>
            <w:r/>
            <w:r>
              <w:rPr>
                <w:b/>
                <w:sz w:val="24"/>
              </w:rPr>
              <w:t>HEAR</w:t>
              <w:br/>
            </w:r>
            <w:r>
              <w:t>Hears requests for faster document preparation, easy customization, properly structured legal documents, simple editing, and convenient document downloads in commonly used formats.</w:t>
            </w:r>
          </w:p>
        </w:tc>
        <w:tc>
          <w:tcPr>
            <w:tcW w:type="dxa" w:w="5184"/>
            <w:vAlign w:val="top"/>
          </w:tcPr>
          <w:p>
            <w:r/>
            <w:r>
              <w:rPr>
                <w:b/>
                <w:sz w:val="24"/>
              </w:rPr>
              <w:t>SAY &amp; DO</w:t>
              <w:br/>
            </w:r>
            <w:r>
              <w:t>Provides document type, parties, terms and effective date; reviews generated content; edits the document when required; selects the required output format; and downloads the final TXT, DOCX or PDF document.</w:t>
            </w:r>
          </w:p>
        </w:tc>
      </w:tr>
      <w:tr>
        <w:tc>
          <w:tcPr>
            <w:tcW w:type="dxa" w:w="5184"/>
            <w:vAlign w:val="top"/>
          </w:tcPr>
          <w:p>
            <w:r/>
            <w:r>
              <w:rPr>
                <w:b/>
                <w:sz w:val="24"/>
              </w:rPr>
              <w:t>PAINS</w:t>
              <w:br/>
            </w:r>
            <w:r>
              <w:t>Manual legal-document preparation is time-consuming; formatting can require additional effort; users may find it difficult to organize clauses and terms consistently; reviewing and editing manually can take time; and handling sensitive legal information requires careful input and security practices.</w:t>
            </w:r>
          </w:p>
        </w:tc>
        <w:tc>
          <w:tcPr>
            <w:tcW w:type="dxa" w:w="5184"/>
            <w:vAlign w:val="top"/>
          </w:tcPr>
          <w:p>
            <w:r/>
            <w:r>
              <w:rPr>
                <w:b/>
                <w:sz w:val="24"/>
              </w:rPr>
              <w:t>GAINS</w:t>
              <w:br/>
            </w:r>
            <w:r>
              <w:t>AI-assisted legal document generation, reusable document types, structured content, preview and editing, input validation, professional formatting, and TXT/DOCX/PDF export improve convenience and reduce manual effort.</w:t>
            </w:r>
          </w:p>
        </w:tc>
      </w:tr>
    </w:tbl>
    <w:p>
      <w:pPr>
        <w:pStyle w:val="Heading1"/>
      </w:pPr>
      <w:r>
        <w:t>LegalEase User Perspective Summary</w:t>
      </w:r>
    </w:p>
    <w:p>
      <w:r>
        <w:t>The empathy map shows that LegalEase users are primarily looking for a convenient way to transform their legal-document requirements into structured, editable and downloadable documents. The major pain points relate to manual drafting, formatting, reviewing and conversion. The expected gains are faster preparation, easier customization, better organization and convenient multi-format export.</w:t>
      </w:r>
    </w:p>
    <w:p>
      <w:pPr>
        <w:pStyle w:val="Heading1"/>
      </w:pPr>
      <w:r>
        <w:t>Team Details</w:t>
      </w:r>
    </w:p>
    <w:tbl>
      <w:tblPr>
        <w:tblStyle w:val="TableGrid"/>
        <w:tblW w:type="auto" w:w="0"/>
        <w:tblLook w:firstColumn="1" w:firstRow="1" w:lastColumn="0" w:lastRow="0" w:noHBand="0" w:noVBand="1" w:val="04A0"/>
      </w:tblPr>
      <w:tblGrid>
        <w:gridCol w:w="5184"/>
        <w:gridCol w:w="5184"/>
      </w:tblGrid>
      <w:tr>
        <w:tc>
          <w:tcPr>
            <w:tcW w:type="dxa" w:w="5184"/>
          </w:tcPr>
          <w:p>
            <w:r>
              <w:rPr>
                <w:b/>
              </w:rPr>
              <w:t>Team ID</w:t>
            </w:r>
          </w:p>
        </w:tc>
        <w:tc>
          <w:tcPr>
            <w:tcW w:type="dxa" w:w="5184"/>
          </w:tcPr>
          <w:p>
            <w:r>
              <w:t>SWTID-2026-6529</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r>
        <w:tc>
          <w:tcPr>
            <w:tcW w:type="dxa" w:w="5184"/>
          </w:tcPr>
          <w:p>
            <w:r>
              <w:rPr>
                <w:b/>
              </w:rPr>
              <w:t>College</w:t>
            </w:r>
          </w:p>
        </w:tc>
        <w:tc>
          <w:tcPr>
            <w:tcW w:type="dxa" w:w="5184"/>
          </w:tcPr>
          <w:p>
            <w:r>
              <w:t>C.T.T.E. College for Women</w:t>
            </w:r>
          </w:p>
        </w:tc>
      </w:tr>
    </w:tbl>
    <w:p>
      <w:pPr>
        <w:pStyle w:val="Heading1"/>
      </w:pPr>
      <w:r>
        <w:t>Reference</w:t>
      </w:r>
    </w:p>
    <w:p>
      <w:r>
        <w:t>Empathy Map Canvas structure adapted from the uploaded template.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