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LAB 1: REQUIREMENTS ENGINEERING &amp; UML USE-CASE MODELLING</w:t>
      </w:r>
    </w:p>
    <w:p>
      <w:pPr>
        <w:jc w:val="center"/>
      </w:pPr>
      <w:r>
        <w:rPr>
          <w:b/>
          <w:sz w:val="26"/>
        </w:rPr>
        <w:t>Problem Statement #41 — OpenAPI Mock Server Generator</w:t>
      </w:r>
    </w:p>
    <w:p>
      <w:r>
        <w:rPr>
          <w:b/>
        </w:rPr>
        <w:t xml:space="preserve">Problem Context: </w:t>
      </w:r>
      <w:r>
        <w:t>A developer productivity tool that ingests OpenAPI 3.0 YAML/JSON specifications, creates dynamic mock REST endpoints with schema validation, and simulates configurable response latency. Target stakeholders/actors: API Developer and QA Engineer.</w:t>
      </w:r>
    </w:p>
    <w:p>
      <w:pPr>
        <w:pStyle w:val="Heading1"/>
      </w:pPr>
      <w:r>
        <w:t>1. Requirements Table</w:t>
      </w:r>
    </w:p>
    <w:p>
      <w:r>
        <w:rPr>
          <w:b/>
        </w:rPr>
        <w:t>Functional Requirements — exactly 5 (FR-001 to FR-005)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ID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1728"/>
          </w:tcPr>
          <w:p>
            <w:r>
              <w:rPr>
                <w:b/>
              </w:rPr>
              <w:t>Acceptance Criteria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Rationale</w:t>
            </w:r>
          </w:p>
        </w:tc>
      </w:tr>
      <w:tr>
        <w:tc>
          <w:tcPr>
            <w:tcW w:type="dxa" w:w="1728"/>
            <w:vAlign w:val="center"/>
          </w:tcPr>
          <w:p>
            <w:r>
              <w:t>FR-001</w:t>
            </w:r>
          </w:p>
        </w:tc>
        <w:tc>
          <w:tcPr>
            <w:tcW w:type="dxa" w:w="1728"/>
            <w:vAlign w:val="center"/>
          </w:tcPr>
          <w:p>
            <w:r>
              <w:t>Functional</w:t>
            </w:r>
          </w:p>
        </w:tc>
        <w:tc>
          <w:tcPr>
            <w:tcW w:type="dxa" w:w="1728"/>
            <w:vAlign w:val="center"/>
          </w:tcPr>
          <w:p>
            <w:r>
              <w:t>The system shall parse OpenAPI 3.0 YAML/JSON schema definitions.</w:t>
            </w:r>
          </w:p>
        </w:tc>
        <w:tc>
          <w:tcPr>
            <w:tcW w:type="dxa" w:w="1728"/>
            <w:vAlign w:val="center"/>
          </w:tcPr>
          <w:p>
            <w:r>
              <w:t>High</w:t>
            </w:r>
          </w:p>
        </w:tc>
        <w:tc>
          <w:tcPr>
            <w:tcW w:type="dxa" w:w="1728"/>
            <w:vAlign w:val="center"/>
          </w:tcPr>
          <w:p>
            <w:r>
              <w:t>A valid OpenAPI 3.0 specification is parsed successfully; invalid syntax is rejected.</w:t>
            </w:r>
          </w:p>
        </w:tc>
        <w:tc>
          <w:tcPr>
            <w:tcW w:type="dxa" w:w="1728"/>
            <w:vAlign w:val="center"/>
          </w:tcPr>
          <w:p>
            <w:r>
              <w:t>Parsing is necessary before endpoints and schemas can be used.</w:t>
            </w:r>
          </w:p>
        </w:tc>
      </w:tr>
      <w:tr>
        <w:tc>
          <w:tcPr>
            <w:tcW w:type="dxa" w:w="1728"/>
            <w:vAlign w:val="center"/>
          </w:tcPr>
          <w:p>
            <w:r>
              <w:t>FR-002</w:t>
            </w:r>
          </w:p>
        </w:tc>
        <w:tc>
          <w:tcPr>
            <w:tcW w:type="dxa" w:w="1728"/>
            <w:vAlign w:val="center"/>
          </w:tcPr>
          <w:p>
            <w:r>
              <w:t>Functional</w:t>
            </w:r>
          </w:p>
        </w:tc>
        <w:tc>
          <w:tcPr>
            <w:tcW w:type="dxa" w:w="1728"/>
            <w:vAlign w:val="center"/>
          </w:tcPr>
          <w:p>
            <w:r>
              <w:t>The system shall generate dynamic HTTP mock endpoints from the parsed OpenAPI specification.</w:t>
            </w:r>
          </w:p>
        </w:tc>
        <w:tc>
          <w:tcPr>
            <w:tcW w:type="dxa" w:w="1728"/>
            <w:vAlign w:val="center"/>
          </w:tcPr>
          <w:p>
            <w:r>
              <w:t>High</w:t>
            </w:r>
          </w:p>
        </w:tc>
        <w:tc>
          <w:tcPr>
            <w:tcW w:type="dxa" w:w="1728"/>
            <w:vAlign w:val="center"/>
          </w:tcPr>
          <w:p>
            <w:r>
              <w:t>Each valid endpoint path and HTTP method can be accessed as a mock endpoint.</w:t>
            </w:r>
          </w:p>
        </w:tc>
        <w:tc>
          <w:tcPr>
            <w:tcW w:type="dxa" w:w="1728"/>
            <w:vAlign w:val="center"/>
          </w:tcPr>
          <w:p>
            <w:r>
              <w:t>Dynamic endpoint generation is the core purpose of the tool.</w:t>
            </w:r>
          </w:p>
        </w:tc>
      </w:tr>
      <w:tr>
        <w:tc>
          <w:tcPr>
            <w:tcW w:type="dxa" w:w="1728"/>
            <w:vAlign w:val="center"/>
          </w:tcPr>
          <w:p>
            <w:r>
              <w:t>FR-003</w:t>
            </w:r>
          </w:p>
        </w:tc>
        <w:tc>
          <w:tcPr>
            <w:tcW w:type="dxa" w:w="1728"/>
            <w:vAlign w:val="center"/>
          </w:tcPr>
          <w:p>
            <w:r>
              <w:t>Functional</w:t>
            </w:r>
          </w:p>
        </w:tc>
        <w:tc>
          <w:tcPr>
            <w:tcW w:type="dxa" w:w="1728"/>
            <w:vAlign w:val="center"/>
          </w:tcPr>
          <w:p>
            <w:r>
              <w:t>The system shall generate randomized JSON payloads that comply with the schemas defined in the OpenAPI specification.</w:t>
            </w:r>
          </w:p>
        </w:tc>
        <w:tc>
          <w:tcPr>
            <w:tcW w:type="dxa" w:w="1728"/>
            <w:vAlign w:val="center"/>
          </w:tcPr>
          <w:p>
            <w:r>
              <w:t>High</w:t>
            </w:r>
          </w:p>
        </w:tc>
        <w:tc>
          <w:tcPr>
            <w:tcW w:type="dxa" w:w="1728"/>
            <w:vAlign w:val="center"/>
          </w:tcPr>
          <w:p>
            <w:r>
              <w:t>Mock responses contain the correct schema-defined structure and data types.</w:t>
            </w:r>
          </w:p>
        </w:tc>
        <w:tc>
          <w:tcPr>
            <w:tcW w:type="dxa" w:w="1728"/>
            <w:vAlign w:val="center"/>
          </w:tcPr>
          <w:p>
            <w:r>
              <w:t>Provides realistic schema-compliant API responses for development and testing.</w:t>
            </w:r>
          </w:p>
        </w:tc>
      </w:tr>
      <w:tr>
        <w:tc>
          <w:tcPr>
            <w:tcW w:type="dxa" w:w="1728"/>
            <w:vAlign w:val="center"/>
          </w:tcPr>
          <w:p>
            <w:r>
              <w:t>FR-004</w:t>
            </w:r>
          </w:p>
        </w:tc>
        <w:tc>
          <w:tcPr>
            <w:tcW w:type="dxa" w:w="1728"/>
            <w:vAlign w:val="center"/>
          </w:tcPr>
          <w:p>
            <w:r>
              <w:t>Functional</w:t>
            </w:r>
          </w:p>
        </w:tc>
        <w:tc>
          <w:tcPr>
            <w:tcW w:type="dxa" w:w="1728"/>
            <w:vAlign w:val="center"/>
          </w:tcPr>
          <w:p>
            <w:r>
              <w:t>The system shall allow users to configure simulated response latency for mock endpoints.</w:t>
            </w:r>
          </w:p>
        </w:tc>
        <w:tc>
          <w:tcPr>
            <w:tcW w:type="dxa" w:w="1728"/>
            <w:vAlign w:val="center"/>
          </w:tcPr>
          <w:p>
            <w:r>
              <w:t>Medium</w:t>
            </w:r>
          </w:p>
        </w:tc>
        <w:tc>
          <w:tcPr>
            <w:tcW w:type="dxa" w:w="1728"/>
            <w:vAlign w:val="center"/>
          </w:tcPr>
          <w:p>
            <w:r>
              <w:t>The configured latency is applied to mock responses within the required tolerance.</w:t>
            </w:r>
          </w:p>
        </w:tc>
        <w:tc>
          <w:tcPr>
            <w:tcW w:type="dxa" w:w="1728"/>
            <w:vAlign w:val="center"/>
          </w:tcPr>
          <w:p>
            <w:r>
              <w:t>Allows users to simulate different network/API response conditions.</w:t>
            </w:r>
          </w:p>
        </w:tc>
      </w:tr>
      <w:tr>
        <w:tc>
          <w:tcPr>
            <w:tcW w:type="dxa" w:w="1728"/>
            <w:vAlign w:val="center"/>
          </w:tcPr>
          <w:p>
            <w:r>
              <w:t>FR-005</w:t>
            </w:r>
          </w:p>
        </w:tc>
        <w:tc>
          <w:tcPr>
            <w:tcW w:type="dxa" w:w="1728"/>
            <w:vAlign w:val="center"/>
          </w:tcPr>
          <w:p>
            <w:r>
              <w:t>Functional</w:t>
            </w:r>
          </w:p>
        </w:tc>
        <w:tc>
          <w:tcPr>
            <w:tcW w:type="dxa" w:w="1728"/>
            <w:vAlign w:val="center"/>
          </w:tcPr>
          <w:p>
            <w:r>
              <w:t>The system shall validate mock API requests and responses against the relevant OpenAPI schemas.</w:t>
            </w:r>
          </w:p>
        </w:tc>
        <w:tc>
          <w:tcPr>
            <w:tcW w:type="dxa" w:w="1728"/>
            <w:vAlign w:val="center"/>
          </w:tcPr>
          <w:p>
            <w:r>
              <w:t>High</w:t>
            </w:r>
          </w:p>
        </w:tc>
        <w:tc>
          <w:tcPr>
            <w:tcW w:type="dxa" w:w="1728"/>
            <w:vAlign w:val="center"/>
          </w:tcPr>
          <w:p>
            <w:r>
              <w:t>Valid requests/responses pass schema validation and invalid ones are identified.</w:t>
            </w:r>
          </w:p>
        </w:tc>
        <w:tc>
          <w:tcPr>
            <w:tcW w:type="dxa" w:w="1728"/>
            <w:vAlign w:val="center"/>
          </w:tcPr>
          <w:p>
            <w:r>
              <w:t>Supports API contract testing and QA validation.</w:t>
            </w:r>
          </w:p>
        </w:tc>
      </w:tr>
    </w:tbl>
    <w:p/>
    <w:p>
      <w:r>
        <w:rPr>
          <w:b/>
        </w:rPr>
        <w:t>Non-Functional Requirements — exactly 2 (NFR-001 &amp; NFR-002)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ID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1728"/>
          </w:tcPr>
          <w:p>
            <w:r>
              <w:rPr>
                <w:b/>
              </w:rPr>
              <w:t>Acceptance Criteria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Rationale</w:t>
            </w:r>
          </w:p>
        </w:tc>
      </w:tr>
      <w:tr>
        <w:tc>
          <w:tcPr>
            <w:tcW w:type="dxa" w:w="1728"/>
            <w:vAlign w:val="center"/>
          </w:tcPr>
          <w:p>
            <w:r>
              <w:t>NFR-001</w:t>
            </w:r>
          </w:p>
        </w:tc>
        <w:tc>
          <w:tcPr>
            <w:tcW w:type="dxa" w:w="1728"/>
            <w:vAlign w:val="center"/>
          </w:tcPr>
          <w:p>
            <w:r>
              <w:t>Performance</w:t>
            </w:r>
          </w:p>
        </w:tc>
        <w:tc>
          <w:tcPr>
            <w:tcW w:type="dxa" w:w="1728"/>
            <w:vAlign w:val="center"/>
          </w:tcPr>
          <w:p>
            <w:r>
              <w:t>The mock server engine must sustain 1,000 mock API requests per second with user-configured simulated latency accurate within ±10 ms.</w:t>
            </w:r>
          </w:p>
        </w:tc>
        <w:tc>
          <w:tcPr>
            <w:tcW w:type="dxa" w:w="1728"/>
            <w:vAlign w:val="center"/>
          </w:tcPr>
          <w:p>
            <w:r>
              <w:t>High</w:t>
            </w:r>
          </w:p>
        </w:tc>
        <w:tc>
          <w:tcPr>
            <w:tcW w:type="dxa" w:w="1728"/>
            <w:vAlign w:val="center"/>
          </w:tcPr>
          <w:p>
            <w:r>
              <w:t>Benchmarking tests confirm the target throughput and latency under simulated peak load.</w:t>
            </w:r>
          </w:p>
        </w:tc>
        <w:tc>
          <w:tcPr>
            <w:tcW w:type="dxa" w:w="1728"/>
            <w:vAlign w:val="center"/>
          </w:tcPr>
          <w:p>
            <w:r>
              <w:t>Directly addresses the performance requirement specified in the problem statement.</w:t>
            </w:r>
          </w:p>
        </w:tc>
      </w:tr>
      <w:tr>
        <w:tc>
          <w:tcPr>
            <w:tcW w:type="dxa" w:w="1728"/>
            <w:vAlign w:val="center"/>
          </w:tcPr>
          <w:p>
            <w:r>
              <w:t>NFR-002</w:t>
            </w:r>
          </w:p>
        </w:tc>
        <w:tc>
          <w:tcPr>
            <w:tcW w:type="dxa" w:w="1728"/>
            <w:vAlign w:val="center"/>
          </w:tcPr>
          <w:p>
            <w:r>
              <w:t>Security</w:t>
            </w:r>
          </w:p>
        </w:tc>
        <w:tc>
          <w:tcPr>
            <w:tcW w:type="dxa" w:w="1728"/>
            <w:vAlign w:val="center"/>
          </w:tcPr>
          <w:p>
            <w:r>
              <w:t>The mock server shall reject malformed or invalid API requests without exposing sensitive server information.</w:t>
            </w:r>
          </w:p>
        </w:tc>
        <w:tc>
          <w:tcPr>
            <w:tcW w:type="dxa" w:w="1728"/>
            <w:vAlign w:val="center"/>
          </w:tcPr>
          <w:p>
            <w:r>
              <w:t>High</w:t>
            </w:r>
          </w:p>
        </w:tc>
        <w:tc>
          <w:tcPr>
            <w:tcW w:type="dxa" w:w="1728"/>
            <w:vAlign w:val="center"/>
          </w:tcPr>
          <w:p>
            <w:r>
              <w:t>Security testing confirms invalid requests are rejected and implementation details are not leaked.</w:t>
            </w:r>
          </w:p>
        </w:tc>
        <w:tc>
          <w:tcPr>
            <w:tcW w:type="dxa" w:w="1728"/>
            <w:vAlign w:val="center"/>
          </w:tcPr>
          <w:p>
            <w:r>
              <w:t>Supports safe operation of the mock server during development and QA testing.</w:t>
            </w:r>
          </w:p>
        </w:tc>
      </w:tr>
    </w:tbl>
    <w:p>
      <w:r>
        <w:br w:type="page"/>
      </w:r>
    </w:p>
    <w:p>
      <w:pPr>
        <w:pStyle w:val="Heading1"/>
      </w:pPr>
      <w:r>
        <w:t>2. UML Use-Case Diagram</w:t>
      </w:r>
    </w:p>
    <w:p>
      <w:r>
        <w:t>The diagram models both required actors, the primary use cases, and includes both «include» and «extend» relationships.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92240" cy="43091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penAPI_Mock_Server_UML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43091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3. Use-Case Flow Specification</w:t>
      </w:r>
    </w:p>
    <w:p>
      <w:r>
        <w:rPr>
          <w:b/>
        </w:rPr>
        <w:t xml:space="preserve">Core Use Case: </w:t>
      </w:r>
      <w:r>
        <w:t>Generate Dynamic Mock Endpoints</w:t>
      </w:r>
    </w:p>
    <w:p>
      <w:r>
        <w:rPr>
          <w:b/>
        </w:rPr>
        <w:t xml:space="preserve">Primary Actors: </w:t>
      </w:r>
      <w:r>
        <w:t>API Developer, QA Engineer</w:t>
      </w:r>
    </w:p>
    <w:p>
      <w:pPr>
        <w:pStyle w:val="Heading2"/>
      </w:pPr>
      <w:r>
        <w:t>Preconditions</w:t>
      </w:r>
    </w:p>
    <w:p>
      <w:pPr>
        <w:pStyle w:val="ListNumber"/>
      </w:pPr>
      <w:r>
        <w:t>The OpenAPI Mock Server Generator is available and running.</w:t>
      </w:r>
    </w:p>
    <w:p>
      <w:pPr>
        <w:pStyle w:val="ListNumber"/>
      </w:pPr>
      <w:r>
        <w:t>The user has an OpenAPI 3.0 YAML/JSON specification.</w:t>
      </w:r>
    </w:p>
    <w:p>
      <w:pPr>
        <w:pStyle w:val="ListNumber"/>
      </w:pPr>
      <w:r>
        <w:t>The specification is accessible to the system.</w:t>
      </w:r>
    </w:p>
    <w:p>
      <w:pPr>
        <w:pStyle w:val="Heading2"/>
      </w:pPr>
      <w:r>
        <w:t>Postconditions</w:t>
      </w:r>
    </w:p>
    <w:p>
      <w:pPr>
        <w:pStyle w:val="ListNumber"/>
      </w:pPr>
      <w:r>
        <w:t>The OpenAPI specification has been successfully parsed and validated.</w:t>
      </w:r>
    </w:p>
    <w:p>
      <w:pPr>
        <w:pStyle w:val="ListNumber"/>
      </w:pPr>
      <w:r>
        <w:t>Dynamic mock HTTP endpoints corresponding to the specification are generated.</w:t>
      </w:r>
    </w:p>
    <w:p>
      <w:pPr>
        <w:pStyle w:val="ListNumber"/>
      </w:pPr>
      <w:r>
        <w:t>Schema-compliant randomized JSON responses can be returned by the generated endpoints.</w:t>
      </w:r>
    </w:p>
    <w:p>
      <w:pPr>
        <w:pStyle w:val="Heading2"/>
      </w:pPr>
      <w:r>
        <w:t>Main Success Scenario</w:t>
      </w:r>
    </w:p>
    <w:p>
      <w:pPr>
        <w:pStyle w:val="ListNumber"/>
      </w:pPr>
      <w:r>
        <w:t>The user imports an OpenAPI 3.0 YAML/JSON specification.</w:t>
      </w:r>
    </w:p>
    <w:p>
      <w:pPr>
        <w:pStyle w:val="ListNumber"/>
      </w:pPr>
      <w:r>
        <w:t>The system parses the specification.</w:t>
      </w:r>
    </w:p>
    <w:p>
      <w:pPr>
        <w:pStyle w:val="ListNumber"/>
      </w:pPr>
      <w:r>
        <w:t>The system validates the OpenAPI schema definitions and endpoint information.</w:t>
      </w:r>
    </w:p>
    <w:p>
      <w:pPr>
        <w:pStyle w:val="ListNumber"/>
      </w:pPr>
      <w:r>
        <w:t>The system identifies the API paths, HTTP methods, request/response schemas, and related definitions.</w:t>
      </w:r>
    </w:p>
    <w:p>
      <w:pPr>
        <w:pStyle w:val="ListNumber"/>
      </w:pPr>
      <w:r>
        <w:t>The system generates dynamic mock HTTP endpoints.</w:t>
      </w:r>
    </w:p>
    <w:p>
      <w:pPr>
        <w:pStyle w:val="ListNumber"/>
      </w:pPr>
      <w:r>
        <w:t>The system generates randomized JSON payloads that comply with the defined schemas.</w:t>
      </w:r>
    </w:p>
    <w:p>
      <w:pPr>
        <w:pStyle w:val="ListNumber"/>
      </w:pPr>
      <w:r>
        <w:t>The user sends a request to a generated mock endpoint.</w:t>
      </w:r>
    </w:p>
    <w:p>
      <w:pPr>
        <w:pStyle w:val="ListNumber"/>
      </w:pPr>
      <w:r>
        <w:t>The system validates the request/response against the relevant schema.</w:t>
      </w:r>
    </w:p>
    <w:p>
      <w:pPr>
        <w:pStyle w:val="ListNumber"/>
      </w:pPr>
      <w:r>
        <w:t>The system applies the configured simulated response latency, when configured.</w:t>
      </w:r>
    </w:p>
    <w:p>
      <w:pPr>
        <w:pStyle w:val="ListNumber"/>
      </w:pPr>
      <w:r>
        <w:t>The system returns the schema-compliant mock response to the user.</w:t>
      </w:r>
    </w:p>
    <w:p>
      <w:pPr>
        <w:pStyle w:val="Heading2"/>
      </w:pPr>
      <w:r>
        <w:t>Alternate Flow</w:t>
      </w:r>
    </w:p>
    <w:p>
      <w:pPr>
        <w:pStyle w:val="ListNumber"/>
      </w:pPr>
      <w:r>
        <w:t>The user imports an OpenAPI 3.0 specification.</w:t>
      </w:r>
    </w:p>
    <w:p>
      <w:pPr>
        <w:pStyle w:val="ListNumber"/>
      </w:pPr>
      <w:r>
        <w:t>The system attempts to parse and validate the specification.</w:t>
      </w:r>
    </w:p>
    <w:p>
      <w:pPr>
        <w:pStyle w:val="ListNumber"/>
      </w:pPr>
      <w:r>
        <w:t>The system detects invalid syntax, an invalid endpoint definition, or an invalid schema.</w:t>
      </w:r>
    </w:p>
    <w:p>
      <w:pPr>
        <w:pStyle w:val="ListNumber"/>
      </w:pPr>
      <w:r>
        <w:t>The system rejects the invalid specification and reports the validation/parsing error.</w:t>
      </w:r>
    </w:p>
    <w:p>
      <w:pPr>
        <w:pStyle w:val="ListNumber"/>
      </w:pPr>
      <w:r>
        <w:t>The system does not generate the affected mock endpoints.</w:t>
      </w:r>
    </w:p>
    <w:p>
      <w:pPr>
        <w:pStyle w:val="ListNumber"/>
      </w:pPr>
      <w:r>
        <w:t>The user corrects the specification and imports it again.</w:t>
      </w:r>
    </w:p>
    <w:p>
      <w:pPr>
        <w:pStyle w:val="ListNumber"/>
      </w:pPr>
      <w:r>
        <w:t>The system reprocesses the corrected specification and continues with the Main Success Scenario.</w:t>
      </w:r>
    </w:p>
    <w:p/>
    <w:p>
      <w:r>
        <w:rPr>
          <w:b/>
        </w:rPr>
        <w:t xml:space="preserve">Source basis: </w:t>
      </w:r>
      <w:r>
        <w:t>Problem Statement #41 supplied in the course PDF. The deliverables require exactly five functional requirements, two non-functional requirements, a UML use-case diagram with at least one «include» and one «extend» relationship, and a one-page use-case flow specification containing preconditions, postconditions, a main success scenario, and one alternate flow.</w:t>
      </w:r>
    </w:p>
    <w:sectPr w:rsidR="00FC693F" w:rsidRPr="0006063C" w:rsidSect="00034616">
      <w:pgSz w:w="12240" w:h="15840"/>
      <w:pgMar w:top="864" w:right="936" w:bottom="864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