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600"/>
        <w:jc w:val="center"/>
      </w:pPr>
      <w:r>
        <w:rPr>
          <w:rFonts w:ascii="Times New Roman" w:hAnsi="Times New Roman" w:eastAsia="Times New Roman"/>
          <w:b/>
          <w:i w:val="0"/>
          <w:sz w:val="32"/>
        </w:rPr>
        <w:t>Detection and Prevention of Selective Forwarding and</w:t>
        <w:br/>
        <w:t>Black Hole Attacks in RPL-Based 6LoWPAN IoT Networks</w:t>
        <w:br/>
        <w:t>Using Adaptive Trust Management</w:t>
      </w:r>
    </w:p>
    <w:p>
      <w:pPr>
        <w:spacing w:after="1200"/>
        <w:jc w:val="center"/>
      </w:pPr>
      <w:r>
        <w:rPr>
          <w:rFonts w:ascii="Times New Roman" w:hAnsi="Times New Roman" w:eastAsia="Times New Roman"/>
          <w:b w:val="0"/>
          <w:i/>
          <w:sz w:val="24"/>
        </w:rPr>
        <w:t>An Undergraduate Project Report</w:t>
      </w:r>
    </w:p>
    <w:p>
      <w:pPr>
        <w:spacing w:after="160"/>
        <w:jc w:val="center"/>
      </w:pPr>
      <w:r>
        <w:rPr>
          <w:rFonts w:ascii="Times New Roman" w:hAnsi="Times New Roman" w:eastAsia="Times New Roman"/>
          <w:b w:val="0"/>
          <w:i w:val="0"/>
          <w:sz w:val="22"/>
        </w:rPr>
        <w:t>Student Name: [Your Name]</w:t>
      </w:r>
    </w:p>
    <w:p>
      <w:pPr>
        <w:spacing w:after="160"/>
        <w:jc w:val="center"/>
      </w:pPr>
      <w:r>
        <w:rPr>
          <w:rFonts w:ascii="Times New Roman" w:hAnsi="Times New Roman" w:eastAsia="Times New Roman"/>
          <w:b w:val="0"/>
          <w:i w:val="0"/>
          <w:sz w:val="22"/>
        </w:rPr>
        <w:t>Register Number: [Your Register Number]</w:t>
      </w:r>
    </w:p>
    <w:p>
      <w:pPr>
        <w:spacing w:after="160"/>
        <w:jc w:val="center"/>
      </w:pPr>
      <w:r>
        <w:rPr>
          <w:rFonts w:ascii="Times New Roman" w:hAnsi="Times New Roman" w:eastAsia="Times New Roman"/>
          <w:b w:val="0"/>
          <w:i w:val="0"/>
          <w:sz w:val="22"/>
        </w:rPr>
        <w:t>Department: [Your Department]</w:t>
      </w:r>
    </w:p>
    <w:p>
      <w:pPr>
        <w:spacing w:after="160"/>
        <w:jc w:val="center"/>
      </w:pPr>
      <w:r>
        <w:rPr>
          <w:rFonts w:ascii="Times New Roman" w:hAnsi="Times New Roman" w:eastAsia="Times New Roman"/>
          <w:b w:val="0"/>
          <w:i w:val="0"/>
          <w:sz w:val="22"/>
        </w:rPr>
        <w:t>Institution: [Your Institution]</w:t>
      </w:r>
    </w:p>
    <w:p>
      <w:pPr>
        <w:spacing w:after="160"/>
        <w:jc w:val="center"/>
      </w:pPr>
      <w:r>
        <w:rPr>
          <w:rFonts w:ascii="Times New Roman" w:hAnsi="Times New Roman" w:eastAsia="Times New Roman"/>
          <w:b w:val="0"/>
          <w:i w:val="0"/>
          <w:sz w:val="22"/>
        </w:rPr>
        <w:t>Project Guide: [Guide Name]</w:t>
      </w:r>
    </w:p>
    <w:p>
      <w:pPr>
        <w:spacing w:after="160"/>
        <w:jc w:val="center"/>
      </w:pPr>
      <w:r>
        <w:rPr>
          <w:rFonts w:ascii="Times New Roman" w:hAnsi="Times New Roman" w:eastAsia="Times New Roman"/>
          <w:b w:val="0"/>
          <w:i w:val="0"/>
          <w:sz w:val="22"/>
        </w:rPr>
        <w:t>Academic Year: [Academic Year]</w:t>
      </w:r>
    </w:p>
    <w:p>
      <w:r>
        <w:br w:type="page"/>
      </w:r>
    </w:p>
    <w:p>
      <w:pPr>
        <w:spacing w:before="320" w:after="160"/>
      </w:pPr>
      <w:r>
        <w:rPr>
          <w:rFonts w:ascii="Times New Roman" w:hAnsi="Times New Roman" w:eastAsia="Times New Roman"/>
          <w:b/>
          <w:i w:val="0"/>
          <w:sz w:val="24"/>
        </w:rPr>
        <w:t>1. Abstract</w:t>
      </w:r>
    </w:p>
    <w:p>
      <w:pPr>
        <w:spacing w:after="120" w:before="0" w:line="276" w:lineRule="auto"/>
        <w:jc w:val="both"/>
      </w:pPr>
      <w:r>
        <w:rPr>
          <w:rFonts w:ascii="Times New Roman" w:hAnsi="Times New Roman" w:eastAsia="Times New Roman"/>
          <w:b w:val="0"/>
          <w:i w:val="0"/>
          <w:sz w:val="20"/>
        </w:rPr>
        <w:t>This project studies a selective-forwarding attack in an RPL-based 6LoWPAN network and evaluates an adaptive trust-based mechanism built to detect and reduce the damage caused by it, without knowing in advance which node is malicious. A fifteen-mote network (one root and fourteen clients) was simulated in Cooja using Contiki-NG's RPL-lite stack. One client, node 6, was configured to drop about 20% of the packets it is asked to forward for other nodes at the IP layer. A trust engine was added inside RPL's objective function (MRHOF): every node keeps a trust score for its neighbours, built from indirect UDP echo evidence, and moves a suspicious neighbour through a five-state process (NORMAL, SUSPECT, EXCLUDED, PROBATION, RECOVERED) before rejecting it as a routing parent. A threshold that adapts within fixed bounds, separate from the trust score itself, decides when a node's trust is low enough to exclude it. Four scenarios were run on the same topology, duration, and random seed: no attack, attack with no mitigation, attack with adaptive trust, and attack with a static blacklist used only as a reference point. The adaptive mechanism improved packet delivery ratio (PDR) from 91.62% (unmitigated attack) to 94.65%, and reduced the number of actual forwarding-drop events from 152 to 64, with no confirmed false exclusion of an honest node. Detection took between about 39 and 66 seconds in the reported run. The static blacklist, which already knows the attacker in advance, reached 99.39% PDR, but this is a best-case reference, not a measure of detection quality. A separate, simpler black-hole test scenario was also implemented and evaluated, and is reported separately from the main result. The report also states honestly where the project falls short: full recovery of an excluded node was never observed to complete, and the evidence used for detection is indirect (missing UDP replies), not a true radio-level watchdog.</w:t>
      </w:r>
    </w:p>
    <w:p>
      <w:r>
        <w:br w:type="page"/>
      </w:r>
    </w:p>
    <w:p>
      <w:pPr>
        <w:spacing w:before="320" w:after="160"/>
      </w:pPr>
      <w:r>
        <w:rPr>
          <w:rFonts w:ascii="Times New Roman" w:hAnsi="Times New Roman" w:eastAsia="Times New Roman"/>
          <w:b/>
          <w:i w:val="0"/>
          <w:sz w:val="24"/>
        </w:rPr>
        <w:t>2. Introduction</w:t>
      </w:r>
    </w:p>
    <w:p>
      <w:pPr>
        <w:spacing w:after="120" w:before="0" w:line="276" w:lineRule="auto"/>
        <w:jc w:val="both"/>
      </w:pPr>
      <w:r>
        <w:rPr>
          <w:rFonts w:ascii="Times New Roman" w:hAnsi="Times New Roman" w:eastAsia="Times New Roman"/>
          <w:b w:val="0"/>
          <w:i w:val="0"/>
          <w:sz w:val="20"/>
        </w:rPr>
        <w:t>The Internet of Things (IoT) connects a large number of small, battery-powered devices that usually have limited memory, processing power, and radio range. 6LoWPAN allows these constrained devices to use IPv6 by compressing packet headers so that they fit over low-power radios such as IEEE 802.15.4 [4], [5]. Because most devices cannot reach a central gateway directly, packets usually travel through several intermediate devices before reaching their destination. RPL (Routing Protocol for Low-Power and Lossy Networks) is the standard routing protocol used to build this multi-hop structure. It organises the network as a tree rooted at a sink node, and every node picks a preferred parent based on a routing cost, most commonly computed using the Expected Transmission Count (ETX) metric through the Minimum Rank with Hysteresis Objective Function, or MRHOF [1], [2], [3].</w:t>
      </w:r>
    </w:p>
    <w:p>
      <w:pPr>
        <w:spacing w:after="120" w:before="0" w:line="276" w:lineRule="auto"/>
        <w:jc w:val="both"/>
      </w:pPr>
      <w:r>
        <w:rPr>
          <w:rFonts w:ascii="Times New Roman" w:hAnsi="Times New Roman" w:eastAsia="Times New Roman"/>
          <w:b w:val="0"/>
          <w:i w:val="0"/>
          <w:sz w:val="20"/>
        </w:rPr>
        <w:t>Because every intermediate node in this tree is trusted to forward traffic faithfully, RPL networks are exposed to attacks where a compromised relay does not forward all of the traffic it receives. This project focuses on selective forwarding, where the malicious node drops only a fraction of the packets it relays, which makes it harder to notice than a node that stops working completely [6].</w:t>
      </w:r>
    </w:p>
    <w:p>
      <w:pPr>
        <w:spacing w:before="320" w:after="160"/>
      </w:pPr>
      <w:r>
        <w:rPr>
          <w:rFonts w:ascii="Times New Roman" w:hAnsi="Times New Roman" w:eastAsia="Times New Roman"/>
          <w:b/>
          <w:i w:val="0"/>
          <w:sz w:val="24"/>
        </w:rPr>
        <w:t>3. Problem Statement</w:t>
      </w:r>
    </w:p>
    <w:p>
      <w:pPr>
        <w:spacing w:after="120" w:before="0" w:line="276" w:lineRule="auto"/>
        <w:jc w:val="both"/>
      </w:pPr>
      <w:r>
        <w:rPr>
          <w:rFonts w:ascii="Times New Roman" w:hAnsi="Times New Roman" w:eastAsia="Times New Roman"/>
          <w:b w:val="0"/>
          <w:i w:val="0"/>
          <w:sz w:val="20"/>
        </w:rPr>
        <w:t>In a selective-forwarding attack, a malicious node silently drops some of the packets it is supposed to relay instead of forwarding them, while a black-hole attacker drops nearly all or all such packets. Both attacks reduce packet delivery and increase packet loss for every node whose traffic passes through the attacker, without necessarily breaking the network at the radio level. This matters because the malicious node can still send and receive link-layer acknowledgements normally; the drop happens one layer above, at the IP forwarding step. As a result, the ETX metric that RPL already uses for choosing a parent does not change when this attack is active, since ETX is based on link-layer delivery statistics, not end-to-end application delivery. A routing protocol that only looks at ETX cannot see this attack at all.</w:t>
      </w:r>
    </w:p>
    <w:p>
      <w:pPr>
        <w:spacing w:after="120" w:before="0" w:line="276" w:lineRule="auto"/>
        <w:jc w:val="both"/>
      </w:pPr>
      <w:r>
        <w:rPr>
          <w:rFonts w:ascii="Times New Roman" w:hAnsi="Times New Roman" w:eastAsia="Times New Roman"/>
          <w:b w:val="0"/>
          <w:i w:val="0"/>
          <w:sz w:val="20"/>
        </w:rPr>
        <w:t>This project investigates whether a trust score built from end-to-end delivery evidence, rather than link-layer statistics, can detect a selective-forwarding attacker, and whether RPL's own parent-selection logic can then be used to stop routing traffic through that node, without knowing in advance which node is malicious. The project implements and evaluates this mechanism for the selective-forwarding case in detail; a simpler, separate black-hole scenario is also implemented and evaluated, but to a smaller extent, and the two results are not merged together. The objectives of the project are to build the attack itself in a controllable way, to design a trust score and a five-state detection process around indirect delivery evidence, to connect this into RPL's parent-selection logic so that an excluded node is actually avoided rather than only logged, and to measure the real effect of this mechanism on packet delivery using actual Cooja simulation logs, compared against an unmitigated baseline and a static oracle-style blacklist.</w:t>
      </w:r>
    </w:p>
    <w:p>
      <w:r>
        <w:br w:type="page"/>
      </w:r>
    </w:p>
    <w:p>
      <w:pPr>
        <w:spacing w:before="320" w:after="160"/>
      </w:pPr>
      <w:r>
        <w:rPr>
          <w:rFonts w:ascii="Times New Roman" w:hAnsi="Times New Roman" w:eastAsia="Times New Roman"/>
          <w:b/>
          <w:i w:val="0"/>
          <w:sz w:val="24"/>
        </w:rPr>
        <w:t>4. Methodology</w:t>
      </w:r>
    </w:p>
    <w:p>
      <w:pPr>
        <w:spacing w:after="120" w:before="0" w:line="276" w:lineRule="auto"/>
        <w:jc w:val="both"/>
      </w:pPr>
      <w:r>
        <w:rPr>
          <w:rFonts w:ascii="Times New Roman" w:hAnsi="Times New Roman" w:eastAsia="Times New Roman"/>
          <w:b w:val="0"/>
          <w:i w:val="0"/>
          <w:sz w:val="20"/>
        </w:rPr>
        <w:t>The network used for this project consists of fifteen simulated Sky motes in Cooja: one DODAG root acting as a UDP server, and fourteen client motes that each send a periodic UDP request toward the root and expect an echoed reply back. RPL-lite builds the routing tree automatically, with each client periodically receiving routing advertisements from its neighbours, computing a routing cost through each candidate neighbour using ETX and MRHOF, and picking the neighbour with the lowest cost as its preferred parent. Node 6 is positioned so that several other client motes naturally use it as their next hop toward the root, which makes it a realistic relay for the attack to target.</w:t>
      </w:r>
    </w:p>
    <w:p>
      <w:pPr>
        <w:spacing w:after="120" w:before="0" w:line="276" w:lineRule="auto"/>
        <w:jc w:val="both"/>
      </w:pPr>
      <w:r>
        <w:rPr>
          <w:rFonts w:ascii="Times New Roman" w:hAnsi="Times New Roman" w:eastAsia="Times New Roman"/>
          <w:b w:val="0"/>
          <w:i w:val="0"/>
          <w:sz w:val="20"/>
        </w:rPr>
        <w:t>Node 6 is configured to behave as a selective-forwarding attacker: when it is asked to relay a packet on behalf of another node, it drops that packet about 20% of the time instead of forwarding it, while continuing to behave normally in every other respect, including its own outgoing traffic. Because the packet is dropped after it has already been received and acknowledged at the radio level, this attack does not change the ETX value that RPL measures for node 6, which is the central reason a new detection approach is needed.</w:t>
      </w:r>
    </w:p>
    <w:p>
      <w:pPr>
        <w:spacing w:after="120" w:before="0" w:line="276" w:lineRule="auto"/>
        <w:jc w:val="both"/>
      </w:pPr>
      <w:r>
        <w:rPr>
          <w:rFonts w:ascii="Times New Roman" w:hAnsi="Times New Roman" w:eastAsia="Times New Roman"/>
          <w:b w:val="0"/>
          <w:i w:val="0"/>
          <w:sz w:val="20"/>
        </w:rPr>
        <w:t>Detection is built around the UDP request-and-reply pattern that the client motes already use. Each client keeps track of whether its previous request received a reply before it sends its next request, and which neighbour was its preferred parent at the time that request was sent. This is real, locally collected evidence at each node, but it is indirect: a missing reply could mean the parent dropped the packet, but it could equally mean the reply was lost on its way back, or the node's own radio link had a brief problem. This is an important limitation of the project and is explained further in Section 7. Individual missing replies are not acted on immediately. Instead, observations are grouped into windows of ten outcomes each, and a window is only judged once it is complete, as a credible failure or a credible success, based on how many of the ten outcomes were missed.</w:t>
      </w:r>
    </w:p>
    <w:p>
      <w:pPr>
        <w:spacing w:after="120" w:before="0" w:line="276" w:lineRule="auto"/>
        <w:jc w:val="both"/>
      </w:pPr>
      <w:r>
        <w:rPr>
          <w:rFonts w:ascii="Times New Roman" w:hAnsi="Times New Roman" w:eastAsia="Times New Roman"/>
          <w:b w:val="0"/>
          <w:i w:val="0"/>
          <w:sz w:val="20"/>
        </w:rPr>
        <w:t>Based on this evidence, each node keeps a trust score, between 0 and 100, for every neighbour it has observed. A neighbour's trust score goes down when a window is judged a credible failure, and goes up when a window is judged a credible success, with failures reducing trust noticeably faster than successes rebuild it, so that repeated bad behaviour is penalised more quickly than it can be repaired. As trust changes, a neighbour moves through five possible states: NORMAL, which is the default trusted state; SUSPECT, entered after the first credible failure window; EXCLUDED, reached once trust has fallen below a threshold and enough failure evidence has built up; PROBATION, a cautious trial period for a node that is trying to earn its way back after being excluded; and RECOVERED, reached only after a node has shown enough good behaviour during probation. The threshold used to decide when a node's trust is low enough for exclusion is not fixed; it adjusts gradually, within set upper and lower bounds, based on how reliable the evidence collected across the network has been recently, rather than reacting to any one node's behaviour alone.</w:t>
      </w:r>
    </w:p>
    <w:p>
      <w:pPr>
        <w:spacing w:after="120" w:before="0" w:line="276" w:lineRule="auto"/>
        <w:jc w:val="both"/>
      </w:pPr>
      <w:r>
        <w:rPr>
          <w:rFonts w:ascii="Times New Roman" w:hAnsi="Times New Roman" w:eastAsia="Times New Roman"/>
          <w:b w:val="0"/>
          <w:i w:val="0"/>
          <w:sz w:val="20"/>
        </w:rPr>
        <w:t>Once a neighbour reaches the EXCLUDED state, RPL's own parent-selection logic is modified to reject it as a routing parent, in addition to the normal routing-cost check it already performs. This means exclusion is an actual change in routing behaviour, not just a message written to a log file. Performance is measured using packets sent, packets received, packet loss, packet delivery ratio, throughput, the number of real attack-drop events recorded in the simulation log, and detection latency, which is the time between a node first suspecting its neighbour and that neighbour actually being excluded.</w:t>
      </w:r>
    </w:p>
    <w:p>
      <w:r>
        <w:br w:type="page"/>
      </w:r>
    </w:p>
    <w:p>
      <w:pPr>
        <w:spacing w:before="320" w:after="160"/>
      </w:pPr>
      <w:r>
        <w:rPr>
          <w:rFonts w:ascii="Times New Roman" w:hAnsi="Times New Roman" w:eastAsia="Times New Roman"/>
          <w:b/>
          <w:i w:val="0"/>
          <w:sz w:val="24"/>
        </w:rPr>
        <w:t>5. Implementation</w:t>
      </w:r>
    </w:p>
    <w:p>
      <w:pPr>
        <w:spacing w:after="120" w:before="0" w:line="276" w:lineRule="auto"/>
        <w:jc w:val="both"/>
      </w:pPr>
      <w:r>
        <w:rPr>
          <w:rFonts w:ascii="Times New Roman" w:hAnsi="Times New Roman" w:eastAsia="Times New Roman"/>
          <w:b w:val="0"/>
          <w:i w:val="0"/>
          <w:sz w:val="20"/>
        </w:rPr>
        <w:t>The project is built on top of Contiki-NG's RPL-lite routing stack and simulated using Cooja with the MSPSim emulator, targeting the Sky mote platform. Simulations were run in Cooja's headless test-runner mode, which replays a simulation deterministically from a fixed random seed and produces the same mote console output that would appear in the normal Log Listener window. All results reported in this document come from this mode, using the same topology, the same 1800-second simulated duration, and the same random seed across every scenario, so that the only difference between runs is whether the attack and the mitigation are active.</w:t>
      </w:r>
    </w:p>
    <w:p>
      <w:pPr>
        <w:spacing w:after="120" w:before="0" w:line="276" w:lineRule="auto"/>
        <w:jc w:val="both"/>
      </w:pPr>
      <w:r>
        <w:rPr>
          <w:rFonts w:ascii="Times New Roman" w:hAnsi="Times New Roman" w:eastAsia="Times New Roman"/>
          <w:b w:val="0"/>
          <w:i w:val="0"/>
          <w:sz w:val="20"/>
        </w:rPr>
        <w:t>The selective-forwarding attack and the mitigation mode are both chosen using build-time configuration, rather than by editing the application source code separately for each scenario. This made it possible to build a genuinely attack-free baseline, an attack with no mitigation, and an attack with the trust mechanism active, all from the same underlying source files, which is what makes the comparison in Section 6 a fair one. The attack itself is implemented at the point in the IPv6 forwarding code where a node decides whether to relay a packet that is not addressed to it; the random drop decision is only made at that point, so the attack never affects node 6's own outgoing requests.</w:t>
      </w:r>
    </w:p>
    <w:p>
      <w:pPr>
        <w:spacing w:after="120" w:before="0" w:line="276" w:lineRule="auto"/>
        <w:jc w:val="both"/>
      </w:pPr>
      <w:r>
        <w:rPr>
          <w:rFonts w:ascii="Times New Roman" w:hAnsi="Times New Roman" w:eastAsia="Times New Roman"/>
          <w:b w:val="0"/>
          <w:i w:val="0"/>
          <w:sz w:val="20"/>
        </w:rPr>
        <w:t>A separate, simpler black-hole scenario was also implemented, at the application layer rather than the IP-forwarding layer: in that scenario, node 6 itself refuses to send its own outgoing requests, instead of selectively dropping packets it is relaying for others. This is a different and less representative test of a true network-layer black hole, and its results, given in Section 6, should be read as a separate, smaller piece of evidence rather than as full validation of black-hole detection.</w:t>
      </w:r>
    </w:p>
    <w:p>
      <w:pPr>
        <w:spacing w:after="120" w:before="0" w:line="276" w:lineRule="auto"/>
        <w:jc w:val="both"/>
      </w:pPr>
      <w:r>
        <w:rPr>
          <w:rFonts w:ascii="Times New Roman" w:hAnsi="Times New Roman" w:eastAsia="Times New Roman"/>
          <w:b w:val="0"/>
          <w:i w:val="0"/>
          <w:sz w:val="20"/>
        </w:rPr>
        <w:t>The trust engine is implemented as a small addition to RPL's existing MRHOF objective function. For every neighbour it tracks, a node keeps a trust score, a current state out of the five described in Section 4, and a short window of recent outcomes. When a window of ten outcomes completes, the node decides whether it was a credible success or a credible failure, updates the trust score accordingly, and checks whether a state change is needed. A true radio-level watchdog, where a node overhears whether its neighbour actually retransmits a packet it was handed, was considered for this project but was found to be impractical to build safely within its scope: Contiki-NG's default medium-access layer discards radio frames that are not addressed to the local node before the network layer ever receives them, so a working watchdog would need a custom medium-access layer, which was judged too large a change to implement and validate reliably here. The implementation therefore relies on the indirect UDP echo evidence described in Section 4, and this should be kept in mind when reading the results.</w:t>
      </w:r>
    </w:p>
    <w:p>
      <w:pPr>
        <w:spacing w:after="120" w:before="0" w:line="276" w:lineRule="auto"/>
        <w:jc w:val="both"/>
      </w:pPr>
      <w:r>
        <w:rPr>
          <w:rFonts w:ascii="Times New Roman" w:hAnsi="Times New Roman" w:eastAsia="Times New Roman"/>
          <w:b w:val="0"/>
          <w:i w:val="0"/>
          <w:sz w:val="20"/>
        </w:rPr>
        <w:t>When a neighbour is excluded, the implementation does not leave it excluded forever without any way back. Roughly once a minute, an excluded neighbour is briefly treated as acceptable again for a few seconds, purely so that it has a chance to prove itself again; a node only actually switches back to using it as a parent during this window if it is still genuinely its best routing option. This is what makes the PROBATION and RECOVERED states reachable in principle, although, as reported in Section 6, this was not observed to complete in the experiments run for this project.</w:t>
      </w:r>
    </w:p>
    <w:p>
      <w:r>
        <w:br w:type="page"/>
      </w:r>
    </w:p>
    <w:p>
      <w:pPr>
        <w:spacing w:before="320" w:after="160"/>
      </w:pPr>
      <w:r>
        <w:rPr>
          <w:rFonts w:ascii="Times New Roman" w:hAnsi="Times New Roman" w:eastAsia="Times New Roman"/>
          <w:b/>
          <w:i w:val="0"/>
          <w:sz w:val="24"/>
        </w:rPr>
        <w:t>6. Results and Discussion</w:t>
      </w:r>
    </w:p>
    <w:p>
      <w:pPr>
        <w:spacing w:after="120" w:before="0" w:line="276" w:lineRule="auto"/>
        <w:jc w:val="both"/>
      </w:pPr>
      <w:r>
        <w:rPr>
          <w:rFonts w:ascii="Times New Roman" w:hAnsi="Times New Roman" w:eastAsia="Times New Roman"/>
          <w:b w:val="0"/>
          <w:i w:val="0"/>
          <w:sz w:val="20"/>
        </w:rPr>
        <w:t>Four scenarios were run on the identical fifteen-mote topology, for the same 1800-second simulated duration and the same random seed: a true baseline with the attack switched off, the attack with no mitigation, the attack with the adaptive trust mechanism active, and the attack with a static blacklist that already knows node 6 is the attacker from the very first second of the simulation. This last scenario is not a trust-based detector; it is included only as a best-case reference point, since it has no detection delay at all and cannot be fooled, which is not a fair standard to compare a real detection mechanism against. All figures below were checked directly against the simulation logs and the corresponding CSV result files generated from them.</w:t>
      </w:r>
    </w:p>
    <w:p>
      <w:pPr>
        <w:spacing w:before="160"/>
        <w:jc w:val="center"/>
      </w:pPr>
      <w:r>
        <w:rPr>
          <w:rFonts w:ascii="Times New Roman" w:hAnsi="Times New Roman" w:eastAsia="Times New Roman"/>
          <w:b/>
          <w:i w:val="0"/>
          <w:sz w:val="18"/>
        </w:rPr>
        <w:t>Table 1. Final Results Comparison Across the Four Evaluated Scenarios (1800 s, same seed, same topology).</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tcPr>
          <w:p>
            <w:pPr>
              <w:jc w:val="center"/>
            </w:pPr>
            <w:r>
              <w:rPr>
                <w:rFonts w:ascii="Times New Roman" w:hAnsi="Times New Roman" w:eastAsia="Times New Roman"/>
                <w:b/>
                <w:i w:val="0"/>
                <w:sz w:val="17"/>
              </w:rPr>
              <w:t>Scenario</w:t>
            </w:r>
          </w:p>
        </w:tc>
        <w:tc>
          <w:tcPr>
            <w:tcW w:type="dxa" w:w="1344"/>
          </w:tcPr>
          <w:p>
            <w:pPr>
              <w:jc w:val="center"/>
            </w:pPr>
            <w:r>
              <w:rPr>
                <w:rFonts w:ascii="Times New Roman" w:hAnsi="Times New Roman" w:eastAsia="Times New Roman"/>
                <w:b/>
                <w:i w:val="0"/>
                <w:sz w:val="17"/>
              </w:rPr>
              <w:t>Sent</w:t>
            </w:r>
          </w:p>
        </w:tc>
        <w:tc>
          <w:tcPr>
            <w:tcW w:type="dxa" w:w="1344"/>
          </w:tcPr>
          <w:p>
            <w:pPr>
              <w:jc w:val="center"/>
            </w:pPr>
            <w:r>
              <w:rPr>
                <w:rFonts w:ascii="Times New Roman" w:hAnsi="Times New Roman" w:eastAsia="Times New Roman"/>
                <w:b/>
                <w:i w:val="0"/>
                <w:sz w:val="17"/>
              </w:rPr>
              <w:t>Received</w:t>
            </w:r>
          </w:p>
        </w:tc>
        <w:tc>
          <w:tcPr>
            <w:tcW w:type="dxa" w:w="1344"/>
          </w:tcPr>
          <w:p>
            <w:pPr>
              <w:jc w:val="center"/>
            </w:pPr>
            <w:r>
              <w:rPr>
                <w:rFonts w:ascii="Times New Roman" w:hAnsi="Times New Roman" w:eastAsia="Times New Roman"/>
                <w:b/>
                <w:i w:val="0"/>
                <w:sz w:val="17"/>
              </w:rPr>
              <w:t>Loss</w:t>
            </w:r>
          </w:p>
        </w:tc>
        <w:tc>
          <w:tcPr>
            <w:tcW w:type="dxa" w:w="1344"/>
          </w:tcPr>
          <w:p>
            <w:pPr>
              <w:jc w:val="center"/>
            </w:pPr>
            <w:r>
              <w:rPr>
                <w:rFonts w:ascii="Times New Roman" w:hAnsi="Times New Roman" w:eastAsia="Times New Roman"/>
                <w:b/>
                <w:i w:val="0"/>
                <w:sz w:val="17"/>
              </w:rPr>
              <w:t>PDR (%)</w:t>
            </w:r>
          </w:p>
        </w:tc>
        <w:tc>
          <w:tcPr>
            <w:tcW w:type="dxa" w:w="1344"/>
          </w:tcPr>
          <w:p>
            <w:pPr>
              <w:jc w:val="center"/>
            </w:pPr>
            <w:r>
              <w:rPr>
                <w:rFonts w:ascii="Times New Roman" w:hAnsi="Times New Roman" w:eastAsia="Times New Roman"/>
                <w:b/>
                <w:i w:val="0"/>
                <w:sz w:val="17"/>
              </w:rPr>
              <w:t>Attack Drops</w:t>
            </w:r>
          </w:p>
        </w:tc>
        <w:tc>
          <w:tcPr>
            <w:tcW w:type="dxa" w:w="1344"/>
          </w:tcPr>
          <w:p>
            <w:pPr>
              <w:jc w:val="center"/>
            </w:pPr>
            <w:r>
              <w:rPr>
                <w:rFonts w:ascii="Times New Roman" w:hAnsi="Times New Roman" w:eastAsia="Times New Roman"/>
                <w:b/>
                <w:i w:val="0"/>
                <w:sz w:val="17"/>
              </w:rPr>
              <w:t>Detection Latency</w:t>
            </w:r>
          </w:p>
        </w:tc>
      </w:tr>
      <w:tr>
        <w:tc>
          <w:tcPr>
            <w:tcW w:type="dxa" w:w="1344"/>
          </w:tcPr>
          <w:p>
            <w:pPr>
              <w:jc w:val="center"/>
            </w:pPr>
            <w:r>
              <w:rPr>
                <w:rFonts w:ascii="Times New Roman" w:hAnsi="Times New Roman" w:eastAsia="Times New Roman"/>
                <w:b w:val="0"/>
                <w:i w:val="0"/>
                <w:sz w:val="17"/>
              </w:rPr>
              <w:t>Baseline (attack off)</w:t>
            </w:r>
          </w:p>
        </w:tc>
        <w:tc>
          <w:tcPr>
            <w:tcW w:type="dxa" w:w="1344"/>
          </w:tcPr>
          <w:p>
            <w:pPr>
              <w:jc w:val="center"/>
            </w:pPr>
            <w:r>
              <w:rPr>
                <w:rFonts w:ascii="Times New Roman" w:hAnsi="Times New Roman" w:eastAsia="Times New Roman"/>
                <w:b w:val="0"/>
                <w:i w:val="0"/>
                <w:sz w:val="17"/>
              </w:rPr>
              <w:t>2468</w:t>
            </w:r>
          </w:p>
        </w:tc>
        <w:tc>
          <w:tcPr>
            <w:tcW w:type="dxa" w:w="1344"/>
          </w:tcPr>
          <w:p>
            <w:pPr>
              <w:jc w:val="center"/>
            </w:pPr>
            <w:r>
              <w:rPr>
                <w:rFonts w:ascii="Times New Roman" w:hAnsi="Times New Roman" w:eastAsia="Times New Roman"/>
                <w:b w:val="0"/>
                <w:i w:val="0"/>
                <w:sz w:val="17"/>
              </w:rPr>
              <w:t>2406</w:t>
            </w:r>
          </w:p>
        </w:tc>
        <w:tc>
          <w:tcPr>
            <w:tcW w:type="dxa" w:w="1344"/>
          </w:tcPr>
          <w:p>
            <w:pPr>
              <w:jc w:val="center"/>
            </w:pPr>
            <w:r>
              <w:rPr>
                <w:rFonts w:ascii="Times New Roman" w:hAnsi="Times New Roman" w:eastAsia="Times New Roman"/>
                <w:b w:val="0"/>
                <w:i w:val="0"/>
                <w:sz w:val="17"/>
              </w:rPr>
              <w:t>62</w:t>
            </w:r>
          </w:p>
        </w:tc>
        <w:tc>
          <w:tcPr>
            <w:tcW w:type="dxa" w:w="1344"/>
          </w:tcPr>
          <w:p>
            <w:pPr>
              <w:jc w:val="center"/>
            </w:pPr>
            <w:r>
              <w:rPr>
                <w:rFonts w:ascii="Times New Roman" w:hAnsi="Times New Roman" w:eastAsia="Times New Roman"/>
                <w:b w:val="0"/>
                <w:i w:val="0"/>
                <w:sz w:val="17"/>
              </w:rPr>
              <w:t>97.49</w:t>
            </w:r>
          </w:p>
        </w:tc>
        <w:tc>
          <w:tcPr>
            <w:tcW w:type="dxa" w:w="1344"/>
          </w:tcPr>
          <w:p>
            <w:pPr>
              <w:jc w:val="center"/>
            </w:pPr>
            <w:r>
              <w:rPr>
                <w:rFonts w:ascii="Times New Roman" w:hAnsi="Times New Roman" w:eastAsia="Times New Roman"/>
                <w:b w:val="0"/>
                <w:i w:val="0"/>
                <w:sz w:val="17"/>
              </w:rPr>
              <w:t>0</w:t>
            </w:r>
          </w:p>
        </w:tc>
        <w:tc>
          <w:tcPr>
            <w:tcW w:type="dxa" w:w="1344"/>
          </w:tcPr>
          <w:p>
            <w:pPr>
              <w:jc w:val="center"/>
            </w:pPr>
            <w:r>
              <w:rPr>
                <w:rFonts w:ascii="Times New Roman" w:hAnsi="Times New Roman" w:eastAsia="Times New Roman"/>
                <w:b w:val="0"/>
                <w:i w:val="0"/>
                <w:sz w:val="17"/>
              </w:rPr>
              <w:t>N/A – no attack present</w:t>
            </w:r>
          </w:p>
        </w:tc>
      </w:tr>
      <w:tr>
        <w:tc>
          <w:tcPr>
            <w:tcW w:type="dxa" w:w="1344"/>
          </w:tcPr>
          <w:p>
            <w:pPr>
              <w:jc w:val="center"/>
            </w:pPr>
            <w:r>
              <w:rPr>
                <w:rFonts w:ascii="Times New Roman" w:hAnsi="Times New Roman" w:eastAsia="Times New Roman"/>
                <w:b w:val="0"/>
                <w:i w:val="0"/>
                <w:sz w:val="17"/>
              </w:rPr>
              <w:t>Attack, no mitigation</w:t>
            </w:r>
          </w:p>
        </w:tc>
        <w:tc>
          <w:tcPr>
            <w:tcW w:type="dxa" w:w="1344"/>
          </w:tcPr>
          <w:p>
            <w:pPr>
              <w:jc w:val="center"/>
            </w:pPr>
            <w:r>
              <w:rPr>
                <w:rFonts w:ascii="Times New Roman" w:hAnsi="Times New Roman" w:eastAsia="Times New Roman"/>
                <w:b w:val="0"/>
                <w:i w:val="0"/>
                <w:sz w:val="17"/>
              </w:rPr>
              <w:t>2469</w:t>
            </w:r>
          </w:p>
        </w:tc>
        <w:tc>
          <w:tcPr>
            <w:tcW w:type="dxa" w:w="1344"/>
          </w:tcPr>
          <w:p>
            <w:pPr>
              <w:jc w:val="center"/>
            </w:pPr>
            <w:r>
              <w:rPr>
                <w:rFonts w:ascii="Times New Roman" w:hAnsi="Times New Roman" w:eastAsia="Times New Roman"/>
                <w:b w:val="0"/>
                <w:i w:val="0"/>
                <w:sz w:val="17"/>
              </w:rPr>
              <w:t>2262</w:t>
            </w:r>
          </w:p>
        </w:tc>
        <w:tc>
          <w:tcPr>
            <w:tcW w:type="dxa" w:w="1344"/>
          </w:tcPr>
          <w:p>
            <w:pPr>
              <w:jc w:val="center"/>
            </w:pPr>
            <w:r>
              <w:rPr>
                <w:rFonts w:ascii="Times New Roman" w:hAnsi="Times New Roman" w:eastAsia="Times New Roman"/>
                <w:b w:val="0"/>
                <w:i w:val="0"/>
                <w:sz w:val="17"/>
              </w:rPr>
              <w:t>207</w:t>
            </w:r>
          </w:p>
        </w:tc>
        <w:tc>
          <w:tcPr>
            <w:tcW w:type="dxa" w:w="1344"/>
          </w:tcPr>
          <w:p>
            <w:pPr>
              <w:jc w:val="center"/>
            </w:pPr>
            <w:r>
              <w:rPr>
                <w:rFonts w:ascii="Times New Roman" w:hAnsi="Times New Roman" w:eastAsia="Times New Roman"/>
                <w:b w:val="0"/>
                <w:i w:val="0"/>
                <w:sz w:val="17"/>
              </w:rPr>
              <w:t>91.62</w:t>
            </w:r>
          </w:p>
        </w:tc>
        <w:tc>
          <w:tcPr>
            <w:tcW w:type="dxa" w:w="1344"/>
          </w:tcPr>
          <w:p>
            <w:pPr>
              <w:jc w:val="center"/>
            </w:pPr>
            <w:r>
              <w:rPr>
                <w:rFonts w:ascii="Times New Roman" w:hAnsi="Times New Roman" w:eastAsia="Times New Roman"/>
                <w:b w:val="0"/>
                <w:i w:val="0"/>
                <w:sz w:val="17"/>
              </w:rPr>
              <w:t>152</w:t>
            </w:r>
          </w:p>
        </w:tc>
        <w:tc>
          <w:tcPr>
            <w:tcW w:type="dxa" w:w="1344"/>
          </w:tcPr>
          <w:p>
            <w:pPr>
              <w:jc w:val="center"/>
            </w:pPr>
            <w:r>
              <w:rPr>
                <w:rFonts w:ascii="Times New Roman" w:hAnsi="Times New Roman" w:eastAsia="Times New Roman"/>
                <w:b w:val="0"/>
                <w:i w:val="0"/>
                <w:sz w:val="17"/>
              </w:rPr>
              <w:t>N/A – not enforced in this mode</w:t>
            </w:r>
          </w:p>
        </w:tc>
      </w:tr>
      <w:tr>
        <w:tc>
          <w:tcPr>
            <w:tcW w:type="dxa" w:w="1344"/>
          </w:tcPr>
          <w:p>
            <w:pPr>
              <w:jc w:val="center"/>
            </w:pPr>
            <w:r>
              <w:rPr>
                <w:rFonts w:ascii="Times New Roman" w:hAnsi="Times New Roman" w:eastAsia="Times New Roman"/>
                <w:b w:val="0"/>
                <w:i w:val="0"/>
                <w:sz w:val="17"/>
              </w:rPr>
              <w:t>Attack, adaptive trust</w:t>
            </w:r>
          </w:p>
        </w:tc>
        <w:tc>
          <w:tcPr>
            <w:tcW w:type="dxa" w:w="1344"/>
          </w:tcPr>
          <w:p>
            <w:pPr>
              <w:jc w:val="center"/>
            </w:pPr>
            <w:r>
              <w:rPr>
                <w:rFonts w:ascii="Times New Roman" w:hAnsi="Times New Roman" w:eastAsia="Times New Roman"/>
                <w:b w:val="0"/>
                <w:i w:val="0"/>
                <w:sz w:val="17"/>
              </w:rPr>
              <w:t>2469</w:t>
            </w:r>
          </w:p>
        </w:tc>
        <w:tc>
          <w:tcPr>
            <w:tcW w:type="dxa" w:w="1344"/>
          </w:tcPr>
          <w:p>
            <w:pPr>
              <w:jc w:val="center"/>
            </w:pPr>
            <w:r>
              <w:rPr>
                <w:rFonts w:ascii="Times New Roman" w:hAnsi="Times New Roman" w:eastAsia="Times New Roman"/>
                <w:b w:val="0"/>
                <w:i w:val="0"/>
                <w:sz w:val="17"/>
              </w:rPr>
              <w:t>2337</w:t>
            </w:r>
          </w:p>
        </w:tc>
        <w:tc>
          <w:tcPr>
            <w:tcW w:type="dxa" w:w="1344"/>
          </w:tcPr>
          <w:p>
            <w:pPr>
              <w:jc w:val="center"/>
            </w:pPr>
            <w:r>
              <w:rPr>
                <w:rFonts w:ascii="Times New Roman" w:hAnsi="Times New Roman" w:eastAsia="Times New Roman"/>
                <w:b w:val="0"/>
                <w:i w:val="0"/>
                <w:sz w:val="17"/>
              </w:rPr>
              <w:t>132</w:t>
            </w:r>
          </w:p>
        </w:tc>
        <w:tc>
          <w:tcPr>
            <w:tcW w:type="dxa" w:w="1344"/>
          </w:tcPr>
          <w:p>
            <w:pPr>
              <w:jc w:val="center"/>
            </w:pPr>
            <w:r>
              <w:rPr>
                <w:rFonts w:ascii="Times New Roman" w:hAnsi="Times New Roman" w:eastAsia="Times New Roman"/>
                <w:b w:val="0"/>
                <w:i w:val="0"/>
                <w:sz w:val="17"/>
              </w:rPr>
              <w:t>94.65</w:t>
            </w:r>
          </w:p>
        </w:tc>
        <w:tc>
          <w:tcPr>
            <w:tcW w:type="dxa" w:w="1344"/>
          </w:tcPr>
          <w:p>
            <w:pPr>
              <w:jc w:val="center"/>
            </w:pPr>
            <w:r>
              <w:rPr>
                <w:rFonts w:ascii="Times New Roman" w:hAnsi="Times New Roman" w:eastAsia="Times New Roman"/>
                <w:b w:val="0"/>
                <w:i w:val="0"/>
                <w:sz w:val="17"/>
              </w:rPr>
              <w:t>64</w:t>
            </w:r>
          </w:p>
        </w:tc>
        <w:tc>
          <w:tcPr>
            <w:tcW w:type="dxa" w:w="1344"/>
          </w:tcPr>
          <w:p>
            <w:pPr>
              <w:jc w:val="center"/>
            </w:pPr>
            <w:r>
              <w:rPr>
                <w:rFonts w:ascii="Times New Roman" w:hAnsi="Times New Roman" w:eastAsia="Times New Roman"/>
                <w:b w:val="0"/>
                <w:i w:val="0"/>
                <w:sz w:val="17"/>
              </w:rPr>
              <w:t>~39 s and ~66 s (two independent nodes)</w:t>
            </w:r>
          </w:p>
        </w:tc>
      </w:tr>
      <w:tr>
        <w:tc>
          <w:tcPr>
            <w:tcW w:type="dxa" w:w="1344"/>
          </w:tcPr>
          <w:p>
            <w:pPr>
              <w:jc w:val="center"/>
            </w:pPr>
            <w:r>
              <w:rPr>
                <w:rFonts w:ascii="Times New Roman" w:hAnsi="Times New Roman" w:eastAsia="Times New Roman"/>
                <w:b w:val="0"/>
                <w:i w:val="0"/>
                <w:sz w:val="17"/>
              </w:rPr>
              <w:t>Attack, static blacklist</w:t>
            </w:r>
          </w:p>
        </w:tc>
        <w:tc>
          <w:tcPr>
            <w:tcW w:type="dxa" w:w="1344"/>
          </w:tcPr>
          <w:p>
            <w:pPr>
              <w:jc w:val="center"/>
            </w:pPr>
            <w:r>
              <w:rPr>
                <w:rFonts w:ascii="Times New Roman" w:hAnsi="Times New Roman" w:eastAsia="Times New Roman"/>
                <w:b w:val="0"/>
                <w:i w:val="0"/>
                <w:sz w:val="17"/>
              </w:rPr>
              <w:t>2468</w:t>
            </w:r>
          </w:p>
        </w:tc>
        <w:tc>
          <w:tcPr>
            <w:tcW w:type="dxa" w:w="1344"/>
          </w:tcPr>
          <w:p>
            <w:pPr>
              <w:jc w:val="center"/>
            </w:pPr>
            <w:r>
              <w:rPr>
                <w:rFonts w:ascii="Times New Roman" w:hAnsi="Times New Roman" w:eastAsia="Times New Roman"/>
                <w:b w:val="0"/>
                <w:i w:val="0"/>
                <w:sz w:val="17"/>
              </w:rPr>
              <w:t>2453</w:t>
            </w:r>
          </w:p>
        </w:tc>
        <w:tc>
          <w:tcPr>
            <w:tcW w:type="dxa" w:w="1344"/>
          </w:tcPr>
          <w:p>
            <w:pPr>
              <w:jc w:val="center"/>
            </w:pPr>
            <w:r>
              <w:rPr>
                <w:rFonts w:ascii="Times New Roman" w:hAnsi="Times New Roman" w:eastAsia="Times New Roman"/>
                <w:b w:val="0"/>
                <w:i w:val="0"/>
                <w:sz w:val="17"/>
              </w:rPr>
              <w:t>15</w:t>
            </w:r>
          </w:p>
        </w:tc>
        <w:tc>
          <w:tcPr>
            <w:tcW w:type="dxa" w:w="1344"/>
          </w:tcPr>
          <w:p>
            <w:pPr>
              <w:jc w:val="center"/>
            </w:pPr>
            <w:r>
              <w:rPr>
                <w:rFonts w:ascii="Times New Roman" w:hAnsi="Times New Roman" w:eastAsia="Times New Roman"/>
                <w:b w:val="0"/>
                <w:i w:val="0"/>
                <w:sz w:val="17"/>
              </w:rPr>
              <w:t>99.39</w:t>
            </w:r>
          </w:p>
        </w:tc>
        <w:tc>
          <w:tcPr>
            <w:tcW w:type="dxa" w:w="1344"/>
          </w:tcPr>
          <w:p>
            <w:pPr>
              <w:jc w:val="center"/>
            </w:pPr>
            <w:r>
              <w:rPr>
                <w:rFonts w:ascii="Times New Roman" w:hAnsi="Times New Roman" w:eastAsia="Times New Roman"/>
                <w:b w:val="0"/>
                <w:i w:val="0"/>
                <w:sz w:val="17"/>
              </w:rPr>
              <w:t>0</w:t>
            </w:r>
          </w:p>
        </w:tc>
        <w:tc>
          <w:tcPr>
            <w:tcW w:type="dxa" w:w="1344"/>
          </w:tcPr>
          <w:p>
            <w:pPr>
              <w:jc w:val="center"/>
            </w:pPr>
            <w:r>
              <w:rPr>
                <w:rFonts w:ascii="Times New Roman" w:hAnsi="Times New Roman" w:eastAsia="Times New Roman"/>
                <w:b w:val="0"/>
                <w:i w:val="0"/>
                <w:sz w:val="17"/>
              </w:rPr>
              <w:t>N/A – no detection logic; node 6 blocked from the start</w:t>
            </w:r>
          </w:p>
        </w:tc>
      </w:tr>
    </w:tbl>
    <w:p>
      <w:pPr>
        <w:spacing w:after="80"/>
      </w:pPr>
    </w:p>
    <w:p>
      <w:pPr>
        <w:spacing w:after="120" w:before="0" w:line="276" w:lineRule="auto"/>
        <w:jc w:val="both"/>
      </w:pPr>
      <w:r>
        <w:rPr>
          <w:rFonts w:ascii="Times New Roman" w:hAnsi="Times New Roman" w:eastAsia="Times New Roman"/>
          <w:b w:val="0"/>
          <w:i w:val="0"/>
          <w:sz w:val="20"/>
        </w:rPr>
        <w:t>Packet delivery ratio and packet loss are calculated in the usual way, directly from the counted events in each scenario's log:</w:t>
      </w:r>
    </w:p>
    <w:p>
      <w:pPr>
        <w:spacing w:before="120" w:after="120"/>
        <w:jc w:val="center"/>
      </w:pPr>
      <w:r>
        <w:rPr>
          <w:rFonts w:ascii="Times New Roman" w:hAnsi="Times New Roman" w:eastAsia="Times New Roman"/>
          <w:b w:val="0"/>
          <w:i/>
          <w:sz w:val="20"/>
        </w:rPr>
        <w:t>PDR (%) = (Packets Received / Packets Sent) x 100</w:t>
      </w:r>
    </w:p>
    <w:p>
      <w:pPr>
        <w:spacing w:before="120" w:after="120"/>
        <w:jc w:val="center"/>
      </w:pPr>
      <w:r>
        <w:rPr>
          <w:rFonts w:ascii="Times New Roman" w:hAnsi="Times New Roman" w:eastAsia="Times New Roman"/>
          <w:b w:val="0"/>
          <w:i/>
          <w:sz w:val="20"/>
        </w:rPr>
        <w:t>Packet Loss = Packets Sent − Packets Received</w:t>
      </w:r>
    </w:p>
    <w:p>
      <w:pPr>
        <w:spacing w:after="120" w:before="0" w:line="276" w:lineRule="auto"/>
        <w:jc w:val="both"/>
      </w:pPr>
      <w:r>
        <w:rPr>
          <w:rFonts w:ascii="Times New Roman" w:hAnsi="Times New Roman" w:eastAsia="Times New Roman"/>
          <w:b w:val="0"/>
          <w:i w:val="0"/>
          <w:sz w:val="20"/>
        </w:rPr>
        <w:t>Without any mitigation, the attack reduces PDR from the 97.49% baseline down to 91.62%, a drop of 5.87 percentage points, and 152 real attack-drop events are recorded in the log. With the adaptive trust mechanism switched on, PDR recovers to 94.65%, meaning roughly half of the lost delivery (3.03 of the 5.87 percentage points) is recovered, and the number of attack-drop events falls to 64, because node 6 is excluded as a parent for part of the simulation once it is detected and therefore has fewer opportunities to drop traffic. The static blacklist reaches 99.39%, slightly above even the clean baseline, because it keeps node 6 out of the routing tree before it can cause any loss at all; the small gap from 100% is just normal network behaviour such as route-formation delay, and is unrelated to the attack. This scenario should be read as an upper bound on what is achievable with perfect, instant knowledge of the attacker, not as proof that static blacklisting detects attacks better than the adaptive mechanism, since it does not attempt detection at all.</w:t>
      </w:r>
    </w:p>
    <w:p>
      <w:pPr>
        <w:spacing w:after="120" w:before="0" w:line="276" w:lineRule="auto"/>
        <w:jc w:val="both"/>
      </w:pPr>
      <w:r>
        <w:rPr>
          <w:rFonts w:ascii="Times New Roman" w:hAnsi="Times New Roman" w:eastAsia="Times New Roman"/>
          <w:b w:val="0"/>
          <w:i w:val="0"/>
          <w:sz w:val="20"/>
        </w:rPr>
        <w:t>A basic way to describe how the trust score itself is updated, without going into the exact internal numbers, is that every neighbour starts with a medium level of trust, and this trust rises a small amount after a window of mostly successful deliveries and falls by a larger amount after a window of mostly failed deliveries. This asymmetry is intentional: it means a node that behaves badly loses trust noticeably faster than a node that is simply unlucky with a few isolated losses, but a single bad outcome on its own is never enough to change anything, since trust is only updated once a full window of ten observations has completed. The threshold used to decide when trust is low enough for exclusion moves slowly within fixed upper and lower limits, based on how reliable recent evidence across the network has generally been, rather than being fixed at one number for the whole simulation or reacting to a single node's behaviour.</w:t>
      </w:r>
    </w:p>
    <w:p>
      <w:pPr>
        <w:spacing w:after="120" w:before="0" w:line="276" w:lineRule="auto"/>
        <w:jc w:val="both"/>
      </w:pPr>
      <w:r>
        <w:rPr>
          <w:rFonts w:ascii="Times New Roman" w:hAnsi="Times New Roman" w:eastAsia="Times New Roman"/>
          <w:b w:val="0"/>
          <w:i w:val="0"/>
          <w:sz w:val="20"/>
        </w:rPr>
        <w:t>In the reported adaptive-trust run, node 6 was independently flagged as SUSPECT by two different neighbours: node 10 at about 17.1 seconds into the simulation, and node 9 at about 17.8 seconds. Node 10 then excluded node 6 at about 56.0 seconds, which is roughly 39 seconds after it first became suspicious. A third node, node 8, became suspicious later, at about 60.9 seconds, and excluded node 6 at about 126.4 seconds, about 66 seconds after its own first suspicion. These are separate, independently reached decisions, not one shared verdict: in this implementation, each node keeps its own trust information about its neighbours and reaches its own conclusion from its own observations, which is how a real distributed network has to work, since no node can see another node's internal state.</w:t>
      </w:r>
    </w:p>
    <w:p>
      <w:pPr>
        <w:spacing w:after="120" w:before="0" w:line="276" w:lineRule="auto"/>
        <w:jc w:val="both"/>
      </w:pPr>
      <w:r>
        <w:rPr>
          <w:rFonts w:ascii="Times New Roman" w:hAnsi="Times New Roman" w:eastAsia="Times New Roman"/>
          <w:b w:val="0"/>
          <w:i w:val="0"/>
          <w:sz w:val="20"/>
        </w:rPr>
        <w:t>No PROBATION or RECOVERED transition was observed in this run, or in any of the other experiments carried out for this project. The mechanism that gives an excluded node a short trial window to earn its way back did activate several times during the simulation, but in each case the node that had already found a different, reliable parent did not switch back to node 6 during that window, which is the expected and correct behaviour of RPL's own parent-stability rules, not a flaw in the trust mechanism. This project reports recovery as implemented, but not observed to complete, and does not claim that full reinstatement was verified.</w:t>
      </w:r>
    </w:p>
    <w:p>
      <w:pPr>
        <w:spacing w:after="120" w:before="0" w:line="276" w:lineRule="auto"/>
        <w:jc w:val="both"/>
      </w:pPr>
      <w:r>
        <w:rPr>
          <w:rFonts w:ascii="Times New Roman" w:hAnsi="Times New Roman" w:eastAsia="Times New Roman"/>
          <w:b w:val="0"/>
          <w:i w:val="0"/>
          <w:sz w:val="20"/>
        </w:rPr>
        <w:t>The separate, simpler black-hole scenario, where node 6 refuses to send its own outgoing packets instead of dropping traffic it is relaying, reached 90.12% PDR with the same mitigation applied, with no confirmed false exclusion of an honest node. This is an encouraging result, but it is a narrower test than the main selective-forwarding evaluation: it was only run on this one topology and random seed, and because it changes a different part of the code (the attacker's own outgoing traffic, not its forwarding behaviour), it should not be read as full validation of black-hole detection in general.</w:t>
      </w:r>
    </w:p>
    <w:p>
      <w:pPr>
        <w:spacing w:after="120" w:before="0" w:line="276" w:lineRule="auto"/>
        <w:jc w:val="both"/>
      </w:pPr>
      <w:r>
        <w:rPr>
          <w:rFonts w:ascii="Times New Roman" w:hAnsi="Times New Roman" w:eastAsia="Times New Roman"/>
          <w:b w:val="0"/>
          <w:i w:val="0"/>
          <w:sz w:val="20"/>
        </w:rPr>
        <w:t>Overall, the results show that grouping indirect, end-to-end delivery evidence into batches, rather than reacting to single missed replies, is enough to detect a 20% selective-forwarding attack that does not show up in ETX at all, and that turning this detection into an actual parent-selection decision measurably improves packet delivery. The improvement is real but partial: detection still takes around half a minute to a minute in this topology, during which the attack continues normally, and the evidence used is indirect, so it cannot fully rule out other causes of a missing reply, such as a lost return packet or a temporarily weak radio link. These limitations are discussed further in the next section.</w:t>
      </w:r>
    </w:p>
    <w:p>
      <w:r>
        <w:br w:type="page"/>
      </w:r>
    </w:p>
    <w:p>
      <w:pPr>
        <w:spacing w:before="320" w:after="160"/>
      </w:pPr>
      <w:r>
        <w:rPr>
          <w:rFonts w:ascii="Times New Roman" w:hAnsi="Times New Roman" w:eastAsia="Times New Roman"/>
          <w:b/>
          <w:i w:val="0"/>
          <w:sz w:val="24"/>
        </w:rPr>
        <w:t>7. Conclusion and Future Work</w:t>
      </w:r>
    </w:p>
    <w:p>
      <w:pPr>
        <w:spacing w:after="120" w:before="0" w:line="276" w:lineRule="auto"/>
        <w:jc w:val="both"/>
      </w:pPr>
      <w:r>
        <w:rPr>
          <w:rFonts w:ascii="Times New Roman" w:hAnsi="Times New Roman" w:eastAsia="Times New Roman"/>
          <w:b w:val="0"/>
          <w:i w:val="0"/>
          <w:sz w:val="20"/>
        </w:rPr>
        <w:t>This project implemented a selective-forwarding attack inside the IP forwarding layer of an RPL-based 6LoWPAN network, and built an adaptive trust mechanism that detects this attack using indirect UDP delivery evidence and prevents further damage by excluding the suspicious node from RPL's parent-selection process. The experiments, run on an identical topology and random seed across four scenarios, showed that the attack reduces packet delivery by about 5.9 percentage points if left unmitigated, that the adaptive trust mechanism recovers about half of this loss without any prior knowledge of which node is malicious, and that a static, oracle-style blacklist can do better only because it already knows the answer in advance. The project also confirmed, using its own ETX measurements, that this particular attack does not show up in the ETX metric that RPL normally relies on for parent selection, which is the main reason a separate detection mechanism was needed at all.</w:t>
      </w:r>
    </w:p>
    <w:p>
      <w:pPr>
        <w:spacing w:after="120" w:before="0" w:line="276" w:lineRule="auto"/>
        <w:jc w:val="both"/>
      </w:pPr>
      <w:r>
        <w:rPr>
          <w:rFonts w:ascii="Times New Roman" w:hAnsi="Times New Roman" w:eastAsia="Times New Roman"/>
          <w:b w:val="0"/>
          <w:i w:val="0"/>
          <w:sz w:val="20"/>
        </w:rPr>
        <w:t>The project also has clear limitations, and these are stated here rather than left implicit. The evidence used for detection is indirect: a missing UDP reply is treated as suspicious, but the project cannot fully separate a dropped forward from an unrelated loss elsewhere on the path, since no radio-level watchdog was implemented. Full recovery of an excluded node, through the PROBATION and RECOVERED states, was never observed to complete in the topology tested, even though the individual steps needed for it are implemented. The black-hole scenario was evaluated separately and more narrowly than the main selective-forwarding case, and all results in this report come from a single topology and a single random seed, so they should not be read as general performance guarantees across other network layouts.</w:t>
      </w:r>
    </w:p>
    <w:p>
      <w:pPr>
        <w:spacing w:after="120" w:before="0" w:line="276" w:lineRule="auto"/>
        <w:jc w:val="both"/>
      </w:pPr>
      <w:r>
        <w:rPr>
          <w:rFonts w:ascii="Times New Roman" w:hAnsi="Times New Roman" w:eastAsia="Times New Roman"/>
          <w:b w:val="0"/>
          <w:i w:val="0"/>
          <w:sz w:val="20"/>
        </w:rPr>
        <w:t>Several directions are suggested for future work. A more direct way to separate malicious drops from ordinary wireless loss, such as a radio-level watchdog or acknowledgement-based forwarding check, would reduce the project's current reliance on indirect evidence. Running the same experiments across multiple random seeds and different network topologies would show how sensitive the results are to the specific layout used here. Testing other attack intensities, beyond the 20% drop rate evaluated in this project, and evaluating the black-hole scenario with the same depth as the selective-forwarding case, would both broaden the evaluation. The probation and recovery process should be tested specifically in a smaller topology where the excluded node is the only available parent, so that a full recovery cycle can actually be observed and measured rather than assumed to work from its individual parts. Finally, measuring the extra memory, processing, and message overhead that the trust mechanism adds on constrained devices, and testing the approach on real or hardware-assisted IoT hardware rather than only in simulation, would both be valuable next steps before this mechanism could be considered for practical use.</w:t>
      </w:r>
    </w:p>
    <w:p>
      <w:r>
        <w:br w:type="page"/>
      </w:r>
    </w:p>
    <w:p>
      <w:pPr>
        <w:spacing w:before="320" w:after="160"/>
      </w:pPr>
      <w:r>
        <w:rPr>
          <w:rFonts w:ascii="Times New Roman" w:hAnsi="Times New Roman" w:eastAsia="Times New Roman"/>
          <w:b/>
          <w:i w:val="0"/>
          <w:sz w:val="24"/>
        </w:rPr>
        <w:t>8. References</w:t>
      </w:r>
    </w:p>
    <w:p>
      <w:pPr>
        <w:spacing w:after="120"/>
        <w:ind w:left="432" w:hanging="432"/>
        <w:jc w:val="both"/>
      </w:pPr>
      <w:r>
        <w:rPr>
          <w:rFonts w:ascii="Times New Roman" w:hAnsi="Times New Roman" w:eastAsia="Times New Roman"/>
          <w:b w:val="0"/>
          <w:i w:val="0"/>
          <w:sz w:val="19"/>
        </w:rPr>
        <w:t>[1] T. Winter, Ed., P. Thubert, Ed., A. Brandt, J. Hui, R. Kelsey, P. Levis, K. Pister, R. Struik, J.-P. Vasseur, and R. Alexander, "RPL: IPv6 Routing Protocol for Low-Power and Lossy Networks," RFC 6550, Internet Engineering Task Force (IETF), March 2012.</w:t>
      </w:r>
    </w:p>
    <w:p>
      <w:pPr>
        <w:spacing w:after="120"/>
        <w:ind w:left="432" w:hanging="432"/>
        <w:jc w:val="both"/>
      </w:pPr>
      <w:r>
        <w:rPr>
          <w:rFonts w:ascii="Times New Roman" w:hAnsi="Times New Roman" w:eastAsia="Times New Roman"/>
          <w:b w:val="0"/>
          <w:i w:val="0"/>
          <w:sz w:val="19"/>
        </w:rPr>
        <w:t>[2] J. Vasseur, M. Kim, K. Pister, N. Dejean, and D. Barthel, "Routing Metrics Used for Path Calculation in Low-Power and Lossy Networks," RFC 6551, IETF, March 2012.</w:t>
      </w:r>
    </w:p>
    <w:p>
      <w:pPr>
        <w:spacing w:after="120"/>
        <w:ind w:left="432" w:hanging="432"/>
        <w:jc w:val="both"/>
      </w:pPr>
      <w:r>
        <w:rPr>
          <w:rFonts w:ascii="Times New Roman" w:hAnsi="Times New Roman" w:eastAsia="Times New Roman"/>
          <w:b w:val="0"/>
          <w:i w:val="0"/>
          <w:sz w:val="19"/>
        </w:rPr>
        <w:t>[3] O. Gnawali and P. Levis, "The Minimum Rank with Hysteresis Objective Function," RFC 6719, IETF, September 2012.</w:t>
      </w:r>
    </w:p>
    <w:p>
      <w:pPr>
        <w:spacing w:after="120"/>
        <w:ind w:left="432" w:hanging="432"/>
        <w:jc w:val="both"/>
      </w:pPr>
      <w:r>
        <w:rPr>
          <w:rFonts w:ascii="Times New Roman" w:hAnsi="Times New Roman" w:eastAsia="Times New Roman"/>
          <w:b w:val="0"/>
          <w:i w:val="0"/>
          <w:sz w:val="19"/>
        </w:rPr>
        <w:t>[4] G. Montenegro, N. Kushalnagar, J. Hui, and D. Culler, "Transmission of IPv6 Packets over IEEE 802.15.4 Networks," RFC 4944, IETF, September 2007.</w:t>
      </w:r>
    </w:p>
    <w:p>
      <w:pPr>
        <w:spacing w:after="120"/>
        <w:ind w:left="432" w:hanging="432"/>
        <w:jc w:val="both"/>
      </w:pPr>
      <w:r>
        <w:rPr>
          <w:rFonts w:ascii="Times New Roman" w:hAnsi="Times New Roman" w:eastAsia="Times New Roman"/>
          <w:b w:val="0"/>
          <w:i w:val="0"/>
          <w:sz w:val="19"/>
        </w:rPr>
        <w:t>[5] J. Hui and P. Thubert, "Compression Format for IPv6 Datagrams over IEEE 802.15.4-Based Networks," RFC 6282, IETF, September 2011.</w:t>
      </w:r>
    </w:p>
    <w:p>
      <w:pPr>
        <w:spacing w:after="120"/>
        <w:ind w:left="432" w:hanging="432"/>
        <w:jc w:val="both"/>
      </w:pPr>
      <w:r>
        <w:rPr>
          <w:rFonts w:ascii="Times New Roman" w:hAnsi="Times New Roman" w:eastAsia="Times New Roman"/>
          <w:b w:val="0"/>
          <w:i w:val="0"/>
          <w:sz w:val="19"/>
        </w:rPr>
        <w:t>[6] C. Karlof and D. Wagner, "Secure routing in wireless sensor networks: Attacks and countermeasures," Ad Hoc Networks, vol. 1, no. 2–3, pp. 293–315, 2003.</w:t>
      </w:r>
    </w:p>
    <w:p>
      <w:pPr>
        <w:spacing w:after="120"/>
        <w:ind w:left="432" w:hanging="432"/>
        <w:jc w:val="both"/>
      </w:pPr>
      <w:r>
        <w:rPr>
          <w:rFonts w:ascii="Times New Roman" w:hAnsi="Times New Roman" w:eastAsia="Times New Roman"/>
          <w:b w:val="0"/>
          <w:i w:val="0"/>
          <w:sz w:val="19"/>
        </w:rPr>
        <w:t>[7] A. Le, J. Loo, A. Lasebae, A. Vinel, Y. Chen, and M. Chai, "The impact of rank attack on network topology of routing protocol for low-power and lossy networks," IEEE Sensors Journal, vol. 13, no. 10, pp. 3685–3692, 2013.</w:t>
      </w:r>
    </w:p>
    <w:p>
      <w:pPr>
        <w:spacing w:after="120"/>
        <w:ind w:left="432" w:hanging="432"/>
        <w:jc w:val="both"/>
      </w:pPr>
      <w:r>
        <w:rPr>
          <w:rFonts w:ascii="Times New Roman" w:hAnsi="Times New Roman" w:eastAsia="Times New Roman"/>
          <w:b w:val="0"/>
          <w:i w:val="0"/>
          <w:sz w:val="19"/>
        </w:rPr>
        <w:t>[8] F. Ahmed and Y.-B. Ko, "Mitigation of black hole attacks in routing protocol for low power and lossy networks," Security and Communication Networks, vol. 9, no. 18, pp. 5143–5154, 2016.</w:t>
      </w:r>
    </w:p>
    <w:p>
      <w:pPr>
        <w:spacing w:after="120"/>
        <w:ind w:left="432" w:hanging="432"/>
        <w:jc w:val="both"/>
      </w:pPr>
      <w:r>
        <w:rPr>
          <w:rFonts w:ascii="Times New Roman" w:hAnsi="Times New Roman" w:eastAsia="Times New Roman"/>
          <w:b w:val="0"/>
          <w:i w:val="0"/>
          <w:sz w:val="19"/>
        </w:rPr>
        <w:t>[9] D. Airehrour, J. A. Gutierrez, and S. K. Ray, "SecTrust-RPL: A secure trust-aware RPL routing protocol for Internet of Things," Future Generation Computer Systems, vol. 93, pp. 860–876, 2019.</w:t>
      </w:r>
    </w:p>
    <w:p>
      <w:pPr>
        <w:spacing w:after="120"/>
        <w:ind w:left="432" w:hanging="432"/>
        <w:jc w:val="both"/>
      </w:pPr>
      <w:r>
        <w:rPr>
          <w:rFonts w:ascii="Times New Roman" w:hAnsi="Times New Roman" w:eastAsia="Times New Roman"/>
          <w:b w:val="0"/>
          <w:i w:val="0"/>
          <w:sz w:val="19"/>
        </w:rPr>
        <w:t>[10] F. Österlind, A. Dunkels, J. Eriksson, N. Finne, and T. Voigt, "Cross-level sensor network simulation with COOJA," in Proc. 31st IEEE Conf. on Local Computer Networks (LCN), 2006, pp. 641–648.</w:t>
      </w:r>
    </w:p>
    <w:sectPr w:rsidR="00FC693F" w:rsidRPr="0006063C" w:rsidSect="00034616">
      <w:footerReference w:type="default" r:id="rId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