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6.png" ContentType="image/png"/>
  <Override PartName="/word/media/rId71.png" ContentType="image/png"/>
  <Override PartName="/word/media/rId66.png" ContentType="image/png"/>
  <Override PartName="/word/media/rId61.png" ContentType="image/png"/>
  <Override PartName="/word/media/rId45.png" ContentType="image/png"/>
  <Override PartName="/word/media/rId40.png" ContentType="image/png"/>
  <Override PartName="/word/media/rId35.png" ContentType="image/png"/>
  <Override PartName="/word/media/rId30.png" ContentType="image/png"/>
  <Override PartName="/word/media/srk-na-logo.wmf" ContentType="image/x-wmf"/>
  <Override PartName="/word/srk-empty-header.xml" ContentType="application/vnd.openxmlformats-officedocument.wordprocessingml.header+xml"/>
  <Override PartName="/word/srk-empty-footer.xml" ContentType="application/vnd.openxmlformats-officedocument.wordprocessingml.footer+xml"/>
  <Override PartName="/word/srk-cover-footer.xml" ContentType="application/vnd.openxmlformats-officedocument.wordprocessingml.footer+xml"/>
  <Override PartName="/word/srk-composition.json" ContentType="application/jso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sidR="00CB06CD" w:rsidRDefault="00CB06CD">
      <w:pPr>
        <w:pStyle w:val="SRKNormal"/>
        <w:spacing w:before="0" w:after="0" w:line="240" w:lineRule="auto"/>
      </w:pPr>
    </w:p>
    <w:p w:rsidR="003C3A72" w:rsidRDefault="003C3A72">
      <w:pPr>
        <w:pStyle w:val="SRKNormal"/>
        <w:spacing w:before="0" w:after="0" w:line="240" w:lineRule="auto"/>
      </w:pPr>
    </w:p>
    <w:tbl xmlns:wp14="http://schemas.microsoft.com/office/word/2010/wordprocessingDrawing">
      <w:tblPr>
        <w:tblStyle w:val="SRK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7560"/>
        <w:gridCol w:w="1440"/>
      </w:tblGrid>
      <w:tr w:rsidR="00065991" w:rsidTr="00065991">
        <w:trPr>
          <w:trHeight w:val="4320"/>
        </w:trPr>
        <w:tc>
          <w:tcPr>
            <w:tcW w:w="1800" w:type="dxa"/>
          </w:tcPr>
          <w:p w:rsidR="00065991" w:rsidRDefault="008701B6" w:rsidP="000C1E61">
            <w:pPr>
              <w:pStyle w:val="SRKNormal"/>
              <w:spacing w:before="0" w:after="0" w:line="240" w:lineRule="auto"/>
            </w:pPr>
          </w:p>
        </w:tc>
        <w:tc>
          <w:tcPr>
            <w:tcW w:w="7560" w:type="dxa"/>
            <w:vAlign w:val="center"/>
          </w:tcPr>
          <w:p>
            <w:pPr>
              <w:pStyle w:val="SRKNormal"/>
              <w:spacing w:line="1210" w:lineRule="exact" w:after="0" w:before="0"/>
            </w:pPr>
          </w:p>
          <w:p w:rsidR="00065991" w:rsidRPr="00C2571C" w:rsidRDefault="00065991" w:rsidP="00C2571C">
            <w:pPr>
              <w:pStyle w:val="SRKNormal"/>
              <w:spacing w:before="0" w:after="0" w:line="240" w:lineRule="auto"/>
            </w:pPr>
          </w:p>
          <w:p w:rsidR="00065991" w:rsidRPr="009F1F63" w:rsidRDefault="00000000" w:rsidP="0009390D">
            <w:pPr>
              <w:pStyle w:val="SRKCover1"/>
              <w:spacing w:before="0" w:after="0" w:line="240" w:lineRule="auto"/>
            </w:pPr>
            <w:r>
              <w:rPr>
                <w:b/>
              </w:rPr>
              <w:t xml:space="preserve">Ground-Motion Design Parameters</w:t>
            </w:r>
          </w:p>
        </w:tc>
        <w:tc>
          <w:tcPr>
            <w:tcW w:w="1440" w:type="dxa"/>
            <w:vAlign w:val="center"/>
          </w:tcPr>
          <w:p w:rsidR="00065991" w:rsidRPr="009F1F63" w:rsidRDefault="00065991" w:rsidP="00C2571C">
            <w:pPr>
              <w:pStyle w:val="SRKCover1"/>
              <w:spacing w:before="0" w:after="0" w:line="240" w:lineRule="auto"/>
            </w:pPr>
          </w:p>
        </w:tc>
      </w:tr>
      <w:tr w:rsidR="00DD5F3A" w:rsidTr="00FC2730">
        <w:trPr>
          <w:trHeight w:val="2160"/>
        </w:trPr>
        <w:tc>
          <w:tcPr>
            <w:tcW w:w="1800" w:type="dxa"/>
          </w:tcPr>
          <w:p w:rsidR="00DD5F3A" w:rsidRDefault="00DD5F3A">
            <w:pPr>
              <w:pStyle w:val="SRKNormal"/>
              <w:spacing w:before="0" w:after="0" w:line="240" w:lineRule="auto"/>
            </w:pPr>
          </w:p>
        </w:tc>
        <w:tc>
          <w:tcPr>
            <w:tcW w:w="9000" w:type="dxa"/>
            <w:gridSpan w:val="2"/>
            <w:vAlign w:val="center"/>
          </w:tcPr>
          <w:p w:rsidR="00DD5F3A" w:rsidRDefault="000B4AE4" w:rsidP="00FC2730">
            <w:pPr>
              <w:pStyle w:val="SRKNormal"/>
              <w:spacing w:before="0" w:after="0" w:line="240" w:lineRule="auto"/>
              <w:rPr>
                <w:rStyle w:val="SRKStrong"/>
              </w:rPr>
            </w:pPr>
            <w:r w:rsidRPr="000B4AE4">
              <w:rPr>
                <w:rStyle w:val="SRKStrong"/>
              </w:rPr>
              <w:t>Prepared for</w:t>
            </w:r>
          </w:p>
          <w:p w:rsidR="004066EC" w:rsidRPr="004066EC" w:rsidRDefault="004066EC" w:rsidP="004066EC">
            <w:pPr>
              <w:pStyle w:val="SRKNormal"/>
              <w:spacing w:before="0" w:after="0" w:line="240" w:lineRule="auto"/>
            </w:pPr>
          </w:p>
          <w:p w:rsidR="000B4AE4" w:rsidRPr="009F1F63" w:rsidRDefault="005D2F30" w:rsidP="0083254B">
            <w:pPr>
              <w:pStyle w:val="SRKCover3"/>
              <w:spacing w:before="0" w:after="0" w:line="240" w:lineRule="auto"/>
            </w:pPr>
            <w:r>
              <w:t xml:space="preserve">Canada Nickel Co.</w:t>
            </w:r>
          </w:p>
        </w:tc>
      </w:tr>
      <w:tr w:rsidR="00DD5F3A" w:rsidTr="00F81063">
        <w:trPr>
          <w:trHeight w:val="1872"/>
        </w:trPr>
        <w:tc>
          <w:tcPr>
            <w:tcW w:w="1800" w:type="dxa"/>
          </w:tcPr>
          <w:p w:rsidR="00DD5F3A" w:rsidRDefault="00DD5F3A" w:rsidP="00A741A5">
            <w:pPr>
              <w:pStyle w:val="SRKNormal"/>
              <w:spacing w:before="0" w:after="0" w:line="240" w:lineRule="auto"/>
              <w:ind w:firstLine="720"/>
            </w:pPr>
          </w:p>
          <w:p w:rsidR="00A0506F" w:rsidRDefault="00A0506F" w:rsidP="00A741A5">
            <w:pPr>
              <w:pStyle w:val="SRKNormal"/>
              <w:spacing w:before="0" w:after="0" w:line="240" w:lineRule="auto"/>
              <w:ind w:firstLine="720"/>
            </w:pPr>
          </w:p>
        </w:tc>
        <w:tc>
          <w:tcPr>
            <w:tcW w:w="9000" w:type="dxa"/>
            <w:gridSpan w:val="2"/>
            <w:vAlign w:val="bottom"/>
          </w:tcPr>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DD5F3A" w:rsidRPr="004066EC" w:rsidRDefault="004066EC" w:rsidP="009F1F63">
            <w:pPr>
              <w:pStyle w:val="SRKNormal"/>
              <w:spacing w:before="0" w:after="0" w:line="240" w:lineRule="auto"/>
              <w:rPr>
                <w:rStyle w:val="SRKStrong"/>
              </w:rPr>
            </w:pPr>
            <w:r w:rsidRPr="004066EC">
              <w:rPr>
                <w:rStyle w:val="SRKStrong"/>
              </w:rPr>
              <w:t>Prepared by</w:t>
            </w:r>
          </w:p>
          <w:p w:rsidR="004066EC" w:rsidRDefault="00B024E0" w:rsidP="009F1F63">
            <w:pPr>
              <w:pStyle w:val="SRKNormal"/>
              <w:spacing w:before="0" w:after="0" w:line="240" w:lineRule="auto"/>
            </w:pPr>
            <w:r w:rsidRPr="00C8660F">
              <w:rPr>
                <w:noProof/>
                <w:color w:val="808080" w:themeColor="background1" w:themeShade="80"/>
                <w:lang w:val="en-US"/>
              </w:rPr>
              <w:drawing>
                <wp:inline distT="0" distB="0" distL="0" distR="0" wp14:anchorId="0DFFD3A1" wp14:editId="2A668E72">
                  <wp:extent cx="3355848" cy="384048"/>
                  <wp:effectExtent l="0" t="0" r="0" b="0"/>
                  <wp:docPr id="78" name="Picture 5"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p w:rsidR="004066EC" w:rsidRDefault="004066EC" w:rsidP="009F1F63">
            <w:pPr>
              <w:pStyle w:val="SRKNormal"/>
              <w:spacing w:before="0" w:after="0" w:line="240" w:lineRule="auto"/>
            </w:pPr>
          </w:p>
          <w:p w:rsidR="004066EC" w:rsidRDefault="004066EC" w:rsidP="009F1F63">
            <w:pPr>
              <w:pStyle w:val="SRKNormal"/>
              <w:spacing w:before="0" w:after="0" w:line="240" w:lineRule="auto"/>
            </w:pPr>
            <w:r>
              <w:t xml:space="preserve">SRK Consulting (Canada), Inc. and Paterson &amp; Cooke</w:t>
            </w:r>
          </w:p>
          <w:p w:rsidR="004066EC" w:rsidRDefault="005D2F30" w:rsidP="009F1F63">
            <w:pPr>
              <w:pStyle w:val="SRKNormal"/>
              <w:spacing w:before="0" w:after="0" w:line="240" w:lineRule="auto"/>
            </w:pPr>
            <w:r>
              <w:t xml:space="preserve">AR-M2V4D</w:t>
            </w:r>
          </w:p>
          <w:p w:rsidR="00087D7B" w:rsidRDefault="002B42D2" w:rsidP="000D2FC0">
            <w:pPr>
              <w:pStyle w:val="SRKNormal"/>
              <w:spacing w:before="0" w:after="0" w:line="240" w:lineRule="auto"/>
            </w:pPr>
            <w:r>
              <w:rPr>
                <w:lang w:val="en-US"/>
              </w:rPr>
              <w:t xml:space="preserve">15/10/2026</w:t>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0"/>
          <w:headerReference w:type="first" r:id="rId10"/>
          <w:headerReference w:type="even" r:id="rId10"/>
          <w:footerReference w:type="default" r:id="rId12"/>
          <w:footerReference w:type="first" r:id="rId12"/>
          <w:footerReference w:type="even" r:id="rId12"/>
          <w:type w:val="nextPage"/>
          <w:pgSz w:w="12240" w:h="15840"/>
          <w:pgMar w:top="1440" w:right="1440" w:bottom="1440" w:left="1440" w:header="720" w:footer="720" w:gutter="0"/>
          <w:cols w:space="720"/>
          <w:docGrid w:linePitch="360"/>
        </w:sectPr>
      </w:pPr>
    </w:p>
    <w:tbl xmlns:wp14="http://schemas.microsoft.com/office/word/2010/wordprocessingDrawing">
      <w:tblPr>
        <w:tblStyle w:val="SRK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
        <w:gridCol w:w="4320"/>
        <w:gridCol w:w="4320"/>
      </w:tblGrid>
      <w:tr w:rsidR="00F34958" w:rsidTr="00A3180A">
        <w:trPr>
          <w:trHeight w:val="3240"/>
        </w:trPr>
        <w:tc>
          <w:tcPr>
            <w:tcW w:w="720" w:type="dxa"/>
          </w:tcPr>
          <w:p w:rsidR="00F34958" w:rsidRDefault="00F34958" w:rsidP="003476C6">
            <w:pPr>
              <w:pStyle w:val="SRKNormal"/>
              <w:spacing w:before="0" w:after="0" w:line="240" w:lineRule="auto"/>
            </w:pPr>
          </w:p>
        </w:tc>
        <w:tc>
          <w:tcPr>
            <w:tcW w:w="8640" w:type="dxa"/>
            <w:gridSpan w:val="2"/>
          </w:tcPr>
          <w:p w:rsidR="00161EDB" w:rsidRPr="00161EDB" w:rsidRDefault="00161EDB" w:rsidP="00161EDB">
            <w:pPr>
              <w:pStyle w:val="SRKNormal"/>
              <w:spacing w:before="0" w:after="0" w:line="240" w:lineRule="auto"/>
            </w:pPr>
          </w:p>
          <w:p w:rsidR="00F34958" w:rsidRDefault="005D2F30" w:rsidP="000D2FC0">
            <w:pPr>
              <w:pStyle w:val="SRKCover2"/>
              <w:spacing w:before="0" w:after="0" w:line="240" w:lineRule="auto"/>
            </w:pPr>
            <w:r>
              <w:t xml:space="preserve">Ground-Motion Design Parameters</w:t>
            </w:r>
          </w:p>
        </w:tc>
      </w:tr>
      <w:tr w:rsidR="00F34958" w:rsidTr="00A3180A">
        <w:trPr>
          <w:trHeight w:val="3240"/>
        </w:trPr>
        <w:tc>
          <w:tcPr>
            <w:tcW w:w="720" w:type="dxa"/>
          </w:tcPr>
          <w:p w:rsidR="00F34958" w:rsidRDefault="00F34958" w:rsidP="00D94FB6">
            <w:pPr>
              <w:pStyle w:val="SRKNormal"/>
              <w:tabs>
                <w:tab w:val="left" w:pos="505"/>
              </w:tabs>
              <w:spacing w:before="0" w:after="0" w:line="240" w:lineRule="auto"/>
            </w:pPr>
            <w:r>
              <w:tab/>
            </w:r>
          </w:p>
        </w:tc>
        <w:tc>
          <w:tcPr>
            <w:tcW w:w="8640" w:type="dxa"/>
            <w:gridSpan w:val="2"/>
          </w:tcPr>
          <w:p w:rsidR="00161EDB" w:rsidRPr="00161EDB" w:rsidRDefault="00161EDB" w:rsidP="00161EDB">
            <w:pPr>
              <w:pStyle w:val="SRKNormal"/>
              <w:spacing w:before="0" w:after="0" w:line="240" w:lineRule="auto"/>
            </w:pPr>
          </w:p>
          <w:p w:rsidR="00F34958" w:rsidRDefault="002B42D2" w:rsidP="000D2FC0">
            <w:pPr>
              <w:pStyle w:val="SRKCover4"/>
              <w:spacing w:before="0" w:after="0" w:line="240" w:lineRule="auto"/>
            </w:pPr>
            <w:r>
              <w:rPr>
                <w:lang w:val="en-US"/>
              </w:rPr>
              <w:t xml:space="preserve">15/10/2026</w:t>
            </w:r>
          </w:p>
        </w:tc>
      </w:tr>
      <w:tr w:rsidR="00D94FB6" w:rsidTr="00F34958">
        <w:trPr>
          <w:trHeight w:val="360"/>
        </w:trPr>
        <w:tc>
          <w:tcPr>
            <w:tcW w:w="720" w:type="dxa"/>
          </w:tcPr>
          <w:p w:rsidR="00D94FB6" w:rsidRDefault="00D94FB6" w:rsidP="003476C6">
            <w:pPr>
              <w:pStyle w:val="SRKNormal"/>
              <w:spacing w:before="0" w:after="0" w:line="240" w:lineRule="auto"/>
            </w:pP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Prepared for</w:t>
            </w: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Prepared by</w:t>
            </w:r>
          </w:p>
        </w:tc>
      </w:tr>
      <w:tr w:rsidR="00D94FB6" w:rsidRPr="00234DA8" w:rsidTr="00F34958">
        <w:trPr>
          <w:trHeight w:val="1440"/>
        </w:trPr>
        <w:tc>
          <w:tcPr>
            <w:tcW w:w="720" w:type="dxa"/>
          </w:tcPr>
          <w:p w:rsidR="00D94FB6" w:rsidRDefault="00D94FB6" w:rsidP="003476C6">
            <w:pPr>
              <w:pStyle w:val="SRKNormal"/>
              <w:spacing w:before="0" w:after="0" w:line="240" w:lineRule="auto"/>
            </w:pPr>
          </w:p>
        </w:tc>
        <w:tc>
          <w:tcPr>
            <w:tcW w:w="4320" w:type="dxa"/>
          </w:tcPr>
          <w:p w:rsidR="00D94FB6" w:rsidRDefault="00D94FB6" w:rsidP="003476C6">
            <w:pPr>
              <w:pStyle w:val="SRKNormal"/>
              <w:spacing w:before="0" w:after="0" w:line="240" w:lineRule="auto"/>
            </w:pPr>
          </w:p>
          <w:p w:rsidR="00F34958" w:rsidRDefault="005D2F30" w:rsidP="006B1045">
            <w:pPr>
              <w:pStyle w:val="SRKNormal"/>
              <w:spacing w:before="0" w:after="0" w:line="240" w:lineRule="auto"/>
            </w:pPr>
            <w:r>
              <w:t xml:space="preserve">Canada Nickel Co.</w:t>
            </w: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tc>
        <w:tc>
          <w:tcPr>
            <w:tcW w:w="4320" w:type="dxa"/>
          </w:tcPr>
          <w:p w:rsidR="00D94FB6" w:rsidRPr="005D2F30" w:rsidRDefault="00D94FB6" w:rsidP="003476C6">
            <w:pPr>
              <w:pStyle w:val="SRKNormal"/>
              <w:spacing w:before="0" w:after="0" w:line="240" w:lineRule="auto"/>
              <w:rPr>
                <w:lang w:val="fr-FR"/>
              </w:rPr>
            </w:pPr>
          </w:p>
          <w:p w:rsidR="00F34958" w:rsidRDefault="00F34958" w:rsidP="003476C6">
            <w:pPr>
              <w:pStyle w:val="SRKNormal"/>
              <w:spacing w:before="0" w:after="0" w:line="240" w:lineRule="auto"/>
            </w:pPr>
            <w:r>
              <w:t xml:space="preserve">SRK Consulting (Canada), Inc. and Paterson &amp; Cooke</w:t>
            </w: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tc>
      </w:tr>
      <w:tr w:rsidR="00D94FB6" w:rsidRPr="002B42D2" w:rsidTr="00F34958">
        <w:trPr>
          <w:trHeight w:val="1440"/>
        </w:trPr>
        <w:tc>
          <w:tcPr>
            <w:tcW w:w="720" w:type="dxa"/>
          </w:tcPr>
          <w:p w:rsidR="00D94FB6" w:rsidRPr="005C6E19" w:rsidRDefault="00D94FB6" w:rsidP="003476C6">
            <w:pPr>
              <w:pStyle w:val="SRKNormal"/>
              <w:spacing w:before="0" w:after="0" w:line="240" w:lineRule="auto"/>
              <w:rPr>
                <w:lang w:val="en-US"/>
              </w:rPr>
            </w:pPr>
          </w:p>
        </w:tc>
        <w:tc>
          <w:tcPr>
            <w:tcW w:w="4320" w:type="dxa"/>
          </w:tcPr>
          <w:p w:rsidR="00D94FB6" w:rsidRDefault="00F34958" w:rsidP="003476C6">
            <w:pPr>
              <w:pStyle w:val="SRKNormal"/>
              <w:spacing w:before="0" w:after="0" w:line="240" w:lineRule="auto"/>
            </w:pPr>
          </w:p>
          <w:p w:rsidR="00F34958" w:rsidRDefault="00F34958" w:rsidP="00AA3B87">
            <w:pPr>
              <w:pStyle w:val="SRKNormal"/>
              <w:spacing w:before="0" w:after="0" w:line="240" w:lineRule="auto"/>
            </w:pPr>
          </w:p>
        </w:tc>
        <w:tc>
          <w:tcPr>
            <w:tcW w:w="4320" w:type="dxa"/>
          </w:tcPr>
          <w:p w:rsidR="00D94FB6" w:rsidRPr="00536E85" w:rsidRDefault="00F34958" w:rsidP="003476C6">
            <w:pPr>
              <w:pStyle w:val="SRKNormal"/>
              <w:spacing w:before="0" w:after="0" w:line="240" w:lineRule="auto"/>
              <w:rPr>
                <w:lang w:val="de-DE"/>
              </w:rPr>
            </w:pPr>
          </w:p>
          <w:p w:rsidR="00F34958" w:rsidRPr="00536E85" w:rsidRDefault="00F34958" w:rsidP="003476C6">
            <w:pPr>
              <w:pStyle w:val="SRKNormal"/>
              <w:spacing w:before="0" w:after="0" w:line="240" w:lineRule="auto"/>
              <w:rPr>
                <w:lang w:val="de-DE"/>
              </w:rPr>
            </w:pPr>
            <w:r>
              <w:rPr>
                <w:lang w:val="de-DE"/>
              </w:rPr>
              <w:t>Web:</w:t>
              <w:tab/>
              <w:t xml:space="preserve">https://www.srk.com/</w:t>
            </w:r>
          </w:p>
        </w:tc>
      </w:tr>
      <w:tr w:rsidR="00344188" w:rsidTr="00973AC1">
        <w:trPr>
          <w:trHeight w:val="1296"/>
        </w:trPr>
        <w:tc>
          <w:tcPr>
            <w:tcW w:w="720" w:type="dxa"/>
          </w:tcPr>
          <w:p w:rsidR="00344188" w:rsidRPr="00536E85" w:rsidRDefault="00344188" w:rsidP="003476C6">
            <w:pPr>
              <w:pStyle w:val="SRKNormal"/>
              <w:spacing w:before="0" w:after="0" w:line="240" w:lineRule="auto"/>
              <w:rPr>
                <w:lang w:val="de-DE"/>
              </w:rPr>
            </w:pPr>
          </w:p>
        </w:tc>
        <w:tc>
          <w:tcPr>
            <w:tcW w:w="8640" w:type="dxa"/>
            <w:gridSpan w:val="2"/>
          </w:tcPr>
          <w:p w:rsidR="00344188" w:rsidRDefault="00E13AED" w:rsidP="00CA28FE">
            <w:pPr>
              <w:pStyle w:val="SRKNormal"/>
              <w:spacing w:before="0" w:after="0" w:line="240" w:lineRule="auto"/>
            </w:pPr>
            <w:r>
              <w:t>Project No.:</w:t>
              <w:tab/>
              <w:t xml:space="preserve">AR-M2V4D</w:t>
            </w:r>
          </w:p>
          <w:p w:rsidR="00CA28FE" w:rsidRDefault="00CA28FE" w:rsidP="00CA28FE">
            <w:pPr>
              <w:pStyle w:val="SRKNormal"/>
              <w:spacing w:before="0" w:after="0" w:line="240" w:lineRule="auto"/>
            </w:pPr>
          </w:p>
          <w:p w:rsidR="00CA28FE" w:rsidRDefault="00BD62BB" w:rsidP="00D27056">
            <w:pPr>
              <w:pStyle w:val="SRKNormal"/>
              <w:spacing w:before="0" w:after="0" w:line="240" w:lineRule="auto"/>
            </w:pPr>
            <w:r>
              <w:t>File Name:</w:t>
              <w:tab/>
              <w:t xml:space="preserve">gmdp.memo.en.docx</w:t>
            </w:r>
          </w:p>
        </w:tc>
      </w:tr>
      <w:tr w:rsidR="00344188" w:rsidTr="00C468F8">
        <w:trPr>
          <w:trHeight w:val="720"/>
        </w:trPr>
        <w:tc>
          <w:tcPr>
            <w:tcW w:w="720" w:type="dxa"/>
          </w:tcPr>
          <w:p w:rsidR="00344188" w:rsidRDefault="00344188" w:rsidP="003476C6">
            <w:pPr>
              <w:pStyle w:val="SRKNormal"/>
              <w:spacing w:before="0" w:after="0" w:line="240" w:lineRule="auto"/>
            </w:pPr>
          </w:p>
        </w:tc>
        <w:tc>
          <w:tcPr>
            <w:tcW w:w="8640" w:type="dxa"/>
            <w:gridSpan w:val="2"/>
            <w:vAlign w:val="bottom"/>
          </w:tcPr>
          <w:p w:rsidR="00344188" w:rsidRDefault="00E634DD" w:rsidP="00A3180A">
            <w:pPr>
              <w:pStyle w:val="SRKNormal"/>
              <w:spacing w:before="0" w:after="0" w:line="240" w:lineRule="auto"/>
            </w:pPr>
          </w:p>
          <w:p w:rsidR="00A3180A" w:rsidRDefault="00A3180A" w:rsidP="00A3180A">
            <w:pPr>
              <w:pStyle w:val="SRKNormal"/>
              <w:spacing w:before="0" w:after="0" w:line="240" w:lineRule="auto"/>
            </w:pPr>
          </w:p>
          <w:p w:rsidR="00A3180A" w:rsidRDefault="00B024E0" w:rsidP="00A3180A">
            <w:pPr>
              <w:pStyle w:val="SRKNormal"/>
              <w:spacing w:before="0" w:after="0" w:line="240" w:lineRule="auto"/>
            </w:pPr>
            <w:r w:rsidRPr="00C8660F">
              <w:rPr>
                <w:noProof/>
                <w:color w:val="808080" w:themeColor="background1" w:themeShade="80"/>
                <w:lang w:val="en-US"/>
              </w:rPr>
              <w:drawing>
                <wp:inline distT="0" distB="0" distL="0" distR="0" wp14:anchorId="3B7385C7" wp14:editId="59DFFF61">
                  <wp:extent cx="3355848" cy="384048"/>
                  <wp:effectExtent l="0" t="0" r="0" b="0"/>
                  <wp:docPr id="79" name="Picture 6"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0"/>
          <w:headerReference w:type="first" r:id="rId10"/>
          <w:headerReference w:type="even" r:id="rId10"/>
          <w:footerReference w:type="default" r:id="rId11"/>
          <w:footerReference w:type="first" r:id="rId11"/>
          <w:footerReference w:type="even" r:id="rId11"/>
          <w:type w:val="nextPage"/>
          <w:pgSz w:w="12240" w:h="15840"/>
          <w:pgMar w:top="1440" w:right="1440" w:bottom="1440" w:left="1440" w:header="720" w:footer="720" w:gutter="0"/>
          <w:pgNumType w:fmt="lowerRoman" w:start="2"/>
          <w:cols w:space="720"/>
          <w:docGrid w:linePitch="360"/>
        </w:sectPr>
      </w:pPr>
    </w:p>
    <w:bookmarkStart w:id="155" w:name="ground-motion-design-parameters"/>
    <w:p>
      <w:pPr>
        <w:pStyle w:val="Heading1"/>
      </w:pPr>
      <w:r>
        <w:t xml:space="preserve">Ground-Motion Design Parameters</w:t>
      </w:r>
    </w:p>
    <w:p>
      <w:pPr>
        <w:pStyle w:val="FirstParagraph"/>
      </w:pPr>
      <w:r>
        <w:t xml:space="preserve">SRK Consulting (Canada), Inc. and Paterson &amp; Cooke prepared this report for Canada Nickel Co. under project AR-M2V4D, located in Timmins, Ontario, Canada. It reports the dynamic properties of the slopes analyzed, the permanent displacements induced by the design earthquakes and accumulated in their potential sliding masses, and the performance-based seismic coefficients derived from those displacements. The flexible sliding-block displacement models require the fundamental period of each potential sliding mass and the dynamic soil stiffness that determines it: the analyses considered 5 geometry–material scenarios with heights between 27 and 135 m, and the estimated fundamental period varies between 0.22 and 1.28 s.</w:t>
      </w:r>
    </w:p>
    <w:p>
      <w:pPr>
        <w:pStyle w:val="BodyText"/>
      </w:pPr>
      <w:r>
        <w:t xml:space="preserve">The Newmark permanent displacement</w:t>
      </w:r>
      <w:r>
        <w:t xml:space="preserve"> </w:t>
      </w:r>
      <m:oMath>
        <m:sSub>
          <m:e>
            <m:r>
              <m:t>D</m:t>
            </m:r>
          </m:e>
          <m:sub>
            <m:r>
              <m:t>n</m:t>
            </m:r>
          </m:sub>
        </m:sSub>
      </m:oMath>
      <w:r>
        <w:t xml:space="preserve"> </w:t>
      </w:r>
      <w:r>
        <w:t xml:space="preserve">quantifies the displacement induced by an earthquake and accumulated in the sliding mass and is the performance measure from which the seismic coefficients are derived. The</w:t>
      </w:r>
      <w:r>
        <w:t xml:space="preserve"> </w:t>
      </w:r>
      <m:oMath>
        <m:sSub>
          <m:e>
            <m:r>
              <m:t>D</m:t>
            </m:r>
          </m:e>
          <m:sub>
            <m:r>
              <m:t>n</m:t>
            </m:r>
          </m:sub>
        </m:sSub>
        <m:r>
          <m:rPr>
            <m:sty m:val="p"/>
          </m:rPr>
          <m:t>(</m:t>
        </m:r>
        <m:sSub>
          <m:e>
            <m:r>
              <m:t>k</m:t>
            </m:r>
          </m:e>
          <m:sub>
            <m:r>
              <m:t>y</m:t>
            </m:r>
          </m:sub>
        </m:sSub>
        <m:r>
          <m:rPr>
            <m:sty m:val="p"/>
          </m:rPr>
          <m:t>)</m:t>
        </m:r>
      </m:oMath>
      <w:r>
        <w:t xml:space="preserve"> </w:t>
      </w:r>
      <w:r>
        <w:t xml:space="preserve">curves relate, for each combination of geometry, material, and design scenario, the yield acceleration</w:t>
      </w:r>
      <w:r>
        <w:t xml:space="preserve"> </w:t>
      </w:r>
      <m:oMath>
        <m:sSub>
          <m:e>
            <m:r>
              <m:t>k</m:t>
            </m:r>
          </m:e>
          <m:sub>
            <m:r>
              <m:t>y</m:t>
            </m:r>
          </m:sub>
        </m:sSub>
      </m:oMath>
      <w:r>
        <w:t xml:space="preserve"> </w:t>
      </w:r>
      <w:r>
        <w:t xml:space="preserve">to the expected permanent displacement; they were computed with the</w:t>
      </w:r>
      <w:r>
        <w:t xml:space="preserve"> </w:t>
      </w:r>
      <w:r>
        <w:rPr>
          <w:rStyle w:val="VerbatimChar"/>
        </w:rPr>
        <w:t xml:space="preserve">ensemble</w:t>
      </w:r>
      <w:r>
        <w:t xml:space="preserve"> </w:t>
      </w:r>
      <w:r>
        <w:t xml:space="preserve">set of</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and</w:t>
      </w:r>
      <w:r>
        <w:t xml:space="preserve"> </w:t>
      </w:r>
      <w:r>
        <w:rPr>
          <w:rStyle w:val="VerbatimChar"/>
        </w:rPr>
        <w:t xml:space="preserve">BM19</w:t>
      </w:r>
      <w:r>
        <w:t xml:space="preserve">, with the reference magnitude</w:t>
      </w:r>
      <w:r>
        <w:t xml:space="preserve"> </w:t>
      </w:r>
      <m:oMath>
        <m:sSub>
          <m:e>
            <m:r>
              <m:t>M</m:t>
            </m:r>
          </m:e>
          <m:sub>
            <m:r>
              <m:t>w</m:t>
            </m:r>
          </m:sub>
        </m:sSub>
      </m:oMath>
      <w:r>
        <w:t xml:space="preserve"> </w:t>
      </w:r>
      <w:r>
        <w:t xml:space="preserve">= 7.0 and 300 realizations per demand and are read at the fractiles</w:t>
      </w:r>
      <w:r>
        <w:t xml:space="preserve"> </w:t>
      </w:r>
      <m:oMath>
        <m:r>
          <m:t>q</m:t>
        </m:r>
        <m:r>
          <m:rPr>
            <m:sty m:val="p"/>
          </m:rPr>
          <m:t>=</m:t>
        </m:r>
        <m:r>
          <m:t>1</m:t>
        </m:r>
        <m:r>
          <m:rPr>
            <m:sty m:val="p"/>
          </m:rPr>
          <m:t>−</m:t>
        </m:r>
        <m:sSub>
          <m:e>
            <m:r>
              <m:t>p</m:t>
            </m:r>
          </m:e>
          <m:sub>
            <m:r>
              <m:t>e</m:t>
            </m:r>
          </m:sub>
        </m:sSub>
      </m:oMath>
      <w:r>
        <w:t xml:space="preserve">. The horizontal pseudostatic coefficient</w:t>
      </w:r>
      <w:r>
        <w:t xml:space="preserve"> </w:t>
      </w:r>
      <m:oMath>
        <m:sSub>
          <m:e>
            <m:r>
              <m:t>k</m:t>
            </m:r>
          </m:e>
          <m:sub>
            <m:r>
              <m:t>h</m:t>
            </m:r>
          </m:sub>
        </m:sSub>
      </m:oMath>
      <w:r>
        <w:t xml:space="preserve"> </w:t>
      </w:r>
      <w:r>
        <w:t xml:space="preserve">is in turn derived from the allowable permanent displacement</w:t>
      </w:r>
      <w:r>
        <w:t xml:space="preserve"> </w:t>
      </w:r>
      <m:oMath>
        <m:sSub>
          <m:e>
            <m:r>
              <m:t>D</m:t>
            </m:r>
          </m:e>
          <m:sub>
            <m:r>
              <m:t>a</m:t>
            </m:r>
          </m:sub>
        </m:sSub>
      </m:oMath>
      <w:r>
        <w:t xml:space="preserve"> </w:t>
      </w:r>
      <w:r>
        <w:t xml:space="preserve">of the potentially sliding mass</w:t>
      </w:r>
      <w:r>
        <w:t xml:space="preserve"> </w:t>
      </w:r>
      <w:r>
        <w:t xml:space="preserve">(</w:t>
      </w:r>
      <w:hyperlink w:anchor="ref-BrayTravasarou2009">
        <w:r>
          <w:rPr>
            <w:rStyle w:val="Hyperlink"/>
          </w:rPr>
          <w:t xml:space="preserve">Bray and Travasarou 2009</w:t>
        </w:r>
      </w:hyperlink>
      <w:r>
        <w:t xml:space="preserve">;</w:t>
      </w:r>
      <w:r>
        <w:t xml:space="preserve"> </w:t>
      </w:r>
      <w:hyperlink w:anchor="ref-MacedoEtAl2018">
        <w:r>
          <w:rPr>
            <w:rStyle w:val="Hyperlink"/>
          </w:rPr>
          <w:t xml:space="preserve">Macedo et al. 2018</w:t>
        </w:r>
      </w:hyperlink>
      <w:r>
        <w:t xml:space="preserve">)</w:t>
      </w:r>
      <w:r>
        <w:t xml:space="preserve">; the coefficients are reported at four relative displacement limits,</w:t>
      </w:r>
      <w:r>
        <w:t xml:space="preserve"> </w:t>
      </w:r>
      <m:oMath>
        <m:sSub>
          <m:e>
            <m:r>
              <m:t>D</m:t>
            </m:r>
          </m:e>
          <m:sub>
            <m:r>
              <m:t>a</m:t>
            </m:r>
          </m:sub>
        </m:sSub>
        <m:r>
          <m:rPr>
            <m:sty m:val="p"/>
          </m:rPr>
          <m:t>/</m:t>
        </m:r>
        <m:sSub>
          <m:e>
            <m:r>
              <m:t>H</m:t>
            </m:r>
          </m:e>
          <m:sub>
            <m:r>
              <m:t>s</m:t>
            </m:r>
          </m:sub>
        </m:sSub>
      </m:oMath>
      <w:r>
        <w:t xml:space="preserve"> </w:t>
      </w:r>
      <w:r>
        <w:t xml:space="preserve">= 0.1, 0.4, 1.0, 2.5%, and the tables in Section</w:t>
      </w:r>
      <w:r>
        <w:t xml:space="preserve"> </w:t>
      </w:r>
      <w:hyperlink w:anchor="sec-kh-tables">
        <w:r>
          <w:rPr>
            <w:rStyle w:val="Hyperlink"/>
          </w:rPr>
          <w:t xml:space="preserve">1.5</w:t>
        </w:r>
      </w:hyperlink>
      <w:r>
        <w:t xml:space="preserve"> </w:t>
      </w:r>
      <w:r>
        <w:t xml:space="preserve">report, for the demands and scenarios analyzed, the coefficient at each limit, expressed as a percentage of the PGA.</w:t>
      </w:r>
    </w:p>
    <w:bookmarkStart w:id="9" w:name="sec-criteria"/>
    <w:p>
      <w:pPr>
        <w:pStyle w:val="Heading2"/>
      </w:pPr>
      <w:r>
        <w:t xml:space="preserve">Seismic Design Criteria for Slopes</w:t>
      </w:r>
    </w:p>
    <w:p>
      <w:pPr>
        <w:pStyle w:val="FirstParagraph"/>
      </w:pPr>
      <w:r>
        <w:t xml:space="preserve">The seismic design of tailings storage facilities is based on the two-level performance framework consolidated by dam-safety practice: an Operating Basis Earthquake (OBE), which the facility must withstand without operational interruption, and a Safety Evaluation Earthquake (SEE), under which it must not release tailings. ICOLD Bulletin 148 formalizes this framework for embankment structures</w:t>
      </w:r>
      <w:r>
        <w:t xml:space="preserve"> </w:t>
      </w:r>
      <w:r>
        <w:t xml:space="preserve">(</w:t>
      </w:r>
      <w:hyperlink w:anchor="ref-ICOLD2016">
        <w:r>
          <w:rPr>
            <w:rStyle w:val="Hyperlink"/>
          </w:rPr>
          <w:t xml:space="preserve">International Commission on Large Dams 2016</w:t>
        </w:r>
      </w:hyperlink>
      <w:r>
        <w:t xml:space="preserve">;</w:t>
      </w:r>
      <w:r>
        <w:t xml:space="preserve"> </w:t>
      </w:r>
      <w:hyperlink w:anchor="ref-ANCOLD2012">
        <w:r>
          <w:rPr>
            <w:rStyle w:val="Hyperlink"/>
          </w:rPr>
          <w:t xml:space="preserve">Australian National Committee on Large Dams 2012</w:t>
        </w:r>
      </w:hyperlink>
      <w:r>
        <w:t xml:space="preserve">)</w:t>
      </w:r>
      <w:r>
        <w:t xml:space="preserve">, and the USACE Engineer Regulation ER 1110-2-1806 expresses it in terms of the OBE and the Maximum Design Earthquake (MDE)</w:t>
      </w:r>
      <w:r>
        <w:t xml:space="preserve"> </w:t>
      </w:r>
      <w:r>
        <w:t xml:space="preserve">(</w:t>
      </w:r>
      <w:hyperlink w:anchor="ref-USACE1995">
        <w:r>
          <w:rPr>
            <w:rStyle w:val="Hyperlink"/>
          </w:rPr>
          <w:t xml:space="preserve">U.S. Army Corps of Engineers 1995</w:t>
        </w:r>
      </w:hyperlink>
      <w:r>
        <w:t xml:space="preserve">)</w:t>
      </w:r>
      <w:r>
        <w:t xml:space="preserve">. In this report, the MDE is represented by the probabilistic spectrum for a 10,000-year return period, whereas the MCE is represented by the deterministic envelope.</w:t>
      </w:r>
    </w:p>
    <w:p>
      <w:pPr>
        <w:pStyle w:val="BodyText"/>
      </w:pPr>
      <w:r>
        <w:t xml:space="preserve">The verification of the slopes under those design earthquakes follows the practice that ICOLD and FEMA frame for dams and embankments through successive tiers of analysis including pseudostatic stability checks, simplified estimates of permanent deformation, and dynamic analyses where warranted by the consequences of failure, anticipated response, or complexity of the failure mechanism</w:t>
      </w:r>
      <w:r>
        <w:t xml:space="preserve"> </w:t>
      </w:r>
      <w:r>
        <w:t xml:space="preserve">(</w:t>
      </w:r>
      <w:hyperlink w:anchor="ref-ICOLD2016">
        <w:r>
          <w:rPr>
            <w:rStyle w:val="Hyperlink"/>
          </w:rPr>
          <w:t xml:space="preserve">International Commission on Large Dams 2016</w:t>
        </w:r>
      </w:hyperlink>
      <w:r>
        <w:t xml:space="preserve">;</w:t>
      </w:r>
      <w:r>
        <w:t xml:space="preserve"> </w:t>
      </w:r>
      <w:hyperlink w:anchor="ref-FEMA2005">
        <w:r>
          <w:rPr>
            <w:rStyle w:val="Hyperlink"/>
          </w:rPr>
          <w:t xml:space="preserve">Federal Emergency Management Agency 2005</w:t>
        </w:r>
      </w:hyperlink>
      <w:r>
        <w:t xml:space="preserve">)</w:t>
      </w:r>
      <w:r>
        <w:t xml:space="preserve">. Within this framework, the Newmark method provides a deformation-based assessment that complements the limit-equilibrium analysis. The pseudostatic seismic coefficient is a project-specific value rather than a universal value assigned to a particular structure type. USACE manuals EM 1110-2-1902 and EM 1110-2-2100 include pseudostatic analysis among the methods applicable to dams and earthworks and address the sliding block for estimating permanent seismic deformation. Selection of the coefficient considers the site-specific seismic hazard, potential failure mechanism, and project performance criteria, so the coefficient results from the conditions of each project instead of a single value applicable to all of them</w:t>
      </w:r>
      <w:r>
        <w:t xml:space="preserve"> </w:t>
      </w:r>
      <w:r>
        <w:t xml:space="preserve">(</w:t>
      </w:r>
      <w:hyperlink w:anchor="ref-USACE2003">
        <w:r>
          <w:rPr>
            <w:rStyle w:val="Hyperlink"/>
          </w:rPr>
          <w:t xml:space="preserve">U.S. Army Corps of Engineers 2003</w:t>
        </w:r>
      </w:hyperlink>
      <w:r>
        <w:t xml:space="preserve">,</w:t>
      </w:r>
      <w:r>
        <w:t xml:space="preserve"> </w:t>
      </w:r>
      <w:hyperlink w:anchor="ref-USACE2005">
        <w:r>
          <w:rPr>
            <w:rStyle w:val="Hyperlink"/>
          </w:rPr>
          <w:t xml:space="preserve">2005</w:t>
        </w:r>
      </w:hyperlink>
      <w:r>
        <w:t xml:space="preserve">)</w:t>
      </w:r>
      <w:r>
        <w:t xml:space="preserve">.</w:t>
      </w:r>
    </w:p>
    <w:p>
      <w:pPr>
        <w:pStyle w:val="BodyText"/>
      </w:pPr>
      <w:r>
        <w:t xml:space="preserve">Two further references relate the pseudostatic verification to the permanent deformation. NCHRP Report 611 formulates the seismic analysis of slopes and transportation infrastructure in terms of displacement-based performance and uses simplified Newmark correlations to relate demand to permanent deformation</w:t>
      </w:r>
      <w:r>
        <w:t xml:space="preserve"> </w:t>
      </w:r>
      <w:r>
        <w:t xml:space="preserve">(</w:t>
      </w:r>
      <w:hyperlink w:anchor="ref-AndersonEtAl2008">
        <w:r>
          <w:rPr>
            <w:rStyle w:val="Hyperlink"/>
          </w:rPr>
          <w:t xml:space="preserve">Anderson et al. 2008</w:t>
        </w:r>
      </w:hyperlink>
      <w:r>
        <w:t xml:space="preserve">)</w:t>
      </w:r>
      <w:r>
        <w:t xml:space="preserve">, and Eurocode 8 ties the pseudostatic action to the design seismic acceleration and the consequence class and admits Newmark displacement calculations when the ratio between the critical acceleration and the design acceleration justifies a deformation-based verification</w:t>
      </w:r>
      <w:r>
        <w:t xml:space="preserve"> </w:t>
      </w:r>
      <w:r>
        <w:t xml:space="preserve">(</w:t>
      </w:r>
      <w:hyperlink w:anchor="ref-CEN2004">
        <w:r>
          <w:rPr>
            <w:rStyle w:val="Hyperlink"/>
          </w:rPr>
          <w:t xml:space="preserve">European Committee for Standardization 2004</w:t>
        </w:r>
      </w:hyperlink>
      <w:r>
        <w:t xml:space="preserve">)</w:t>
      </w:r>
      <w:r>
        <w:t xml:space="preserve">. These references provide the framing and the comparison criteria for the coefficients of this report; their indicative values serve that comparison, and the displacement objective defined for the project governs the coefficients themselves.</w:t>
      </w:r>
    </w:p>
    <w:p>
      <w:pPr>
        <w:pStyle w:val="BodyText"/>
      </w:pPr>
      <w:r>
        <w:t xml:space="preserve">That objective is expressed as an allowable permanent displacement relative to the slope height. This report evaluates the coefficients at four damage thresholds of the relative permanent displacement,</w:t>
      </w:r>
      <w:r>
        <w:t xml:space="preserve"> </w:t>
      </w:r>
      <m:oMath>
        <m:sSub>
          <m:e>
            <m:r>
              <m:t>D</m:t>
            </m:r>
          </m:e>
          <m:sub>
            <m:r>
              <m:t>a</m:t>
            </m:r>
          </m:sub>
        </m:sSub>
        <m:r>
          <m:rPr>
            <m:sty m:val="p"/>
          </m:rPr>
          <m:t>/</m:t>
        </m:r>
        <m:r>
          <m:t>H</m:t>
        </m:r>
      </m:oMath>
      <w:r>
        <w:t xml:space="preserve"> </w:t>
      </w:r>
      <w:r>
        <w:t xml:space="preserve">= 0.1, 0.4, 1.0, 2.5%: the crest-settlement ratios derived from ninety case histories of earthquake damage to embankment dams and associated with the Operational, Damage, Life Safety and Collapse limit states of the Italian dam code NTD14</w:t>
      </w:r>
      <w:r>
        <w:t xml:space="preserve"> </w:t>
      </w:r>
      <w:r>
        <w:t xml:space="preserve">(</w:t>
      </w:r>
      <w:hyperlink w:anchor="ref-Aliberti2019">
        <w:r>
          <w:rPr>
            <w:rStyle w:val="Hyperlink"/>
          </w:rPr>
          <w:t xml:space="preserve">Aliberti et al. 2019</w:t>
        </w:r>
      </w:hyperlink>
      <w:r>
        <w:t xml:space="preserve">)</w:t>
      </w:r>
      <w:r>
        <w:t xml:space="preserve">. Their denominator, the reference height, includes the embankment height and the thickness of the deformable foundation and is adopted here as the slope height for normalization. The seismic coefficient tables are presented for these four thresholds. Section</w:t>
      </w:r>
      <w:r>
        <w:t xml:space="preserve"> </w:t>
      </w:r>
      <w:hyperlink w:anchor="sec-coefficients">
        <w:r>
          <w:rPr>
            <w:rStyle w:val="Hyperlink"/>
          </w:rPr>
          <w:t xml:space="preserve">1.3</w:t>
        </w:r>
      </w:hyperlink>
      <w:r>
        <w:t xml:space="preserve"> </w:t>
      </w:r>
      <w:r>
        <w:t xml:space="preserve">describes the derivation of the coefficients from the allowable displacement.</w:t>
      </w:r>
    </w:p>
    <w:bookmarkEnd w:id="9"/>
    <w:bookmarkStart w:id="24" w:name="sec-slope_periods"/>
    <w:p>
      <w:pPr>
        <w:pStyle w:val="Heading2"/>
      </w:pPr>
      <w:r>
        <w:t xml:space="preserve">Dynamic Properties of Slopes</w:t>
      </w:r>
    </w:p>
    <w:p>
      <w:pPr>
        <w:pStyle w:val="FirstParagraph"/>
      </w:pPr>
      <w:r>
        <w:t xml:space="preserve">Flexible sliding-block models account for the dynamic response of the potential sliding mass through spectral acceleration evaluated at a period proportional to its fundamental period, so each slope geometry–material combination needs</w:t>
      </w:r>
      <w:r>
        <w:t xml:space="preserve"> </w:t>
      </w:r>
      <m:oMath>
        <m:sSub>
          <m:e>
            <m:r>
              <m:t>T</m:t>
            </m:r>
          </m:e>
          <m:sub>
            <m:r>
              <m:t>s</m:t>
            </m:r>
          </m:sub>
        </m:sSub>
      </m:oMath>
      <w:r>
        <w:t xml:space="preserve">, which is derived from the geometry and the depth-dependent small-strain shear stiffness, described by</w:t>
      </w:r>
      <w:r>
        <w:t xml:space="preserve"> </w:t>
      </w:r>
      <m:oMath>
        <m:sSub>
          <m:e>
            <m:r>
              <m:t>G</m:t>
            </m:r>
          </m:e>
          <m:sub>
            <m:r>
              <m:t>o</m:t>
            </m:r>
          </m:sub>
        </m:sSub>
      </m:oMath>
      <w:r>
        <w:t xml:space="preserve">,</w:t>
      </w:r>
      <w:r>
        <w:t xml:space="preserve"> </w:t>
      </w:r>
      <m:oMath>
        <m:sSub>
          <m:e>
            <m:r>
              <m:t>m</m:t>
            </m:r>
          </m:e>
          <m:sub>
            <m:r>
              <m:t>o</m:t>
            </m:r>
          </m:sub>
        </m:sSub>
      </m:oMath>
      <w:r>
        <w:t xml:space="preserve">, and</w:t>
      </w:r>
      <w:r>
        <w:t xml:space="preserve"> </w:t>
      </w:r>
      <m:oMath>
        <m:sSubSup>
          <m:e>
            <m:r>
              <m:t>V</m:t>
            </m:r>
          </m:e>
          <m:sub>
            <m:r>
              <m:t>S</m:t>
            </m:r>
          </m:sub>
          <m:sup>
            <m:r>
              <m:t>o</m:t>
            </m:r>
          </m:sup>
        </m:sSubSup>
      </m:oMath>
      <w:r>
        <w:t xml:space="preserve">; the mean values of</w:t>
      </w:r>
      <w:r>
        <w:t xml:space="preserve"> </w:t>
      </w:r>
      <m:oMath>
        <m:sSub>
          <m:e>
            <m:r>
              <m:t>T</m:t>
            </m:r>
          </m:e>
          <m:sub>
            <m:r>
              <m:t>s</m:t>
            </m:r>
          </m:sub>
        </m:sSub>
      </m:oMath>
      <w:r>
        <w:t xml:space="preserve"> </w:t>
      </w:r>
      <w:r>
        <w:t xml:space="preserve">and</w:t>
      </w:r>
      <w:r>
        <w:t xml:space="preserve"> </w:t>
      </w:r>
      <m:oMath>
        <m:sSub>
          <m:e>
            <m:r>
              <m:t>V</m:t>
            </m:r>
          </m:e>
          <m:sub>
            <m:r>
              <m:t>S</m:t>
            </m:r>
            <m:r>
              <m:t>30</m:t>
            </m:r>
          </m:sub>
        </m:sSub>
      </m:oMath>
      <w:r>
        <w:t xml:space="preserve"> </w:t>
      </w:r>
      <w:r>
        <w:t xml:space="preserve">provide the dynamic inputs to the permanent-displacement models. The fundamental period of the potential sliding mass is estimated from the first mode of the truncated inhomogeneous shear-beam model of Dakoulas and Gazetas</w:t>
      </w:r>
      <w:r>
        <w:t xml:space="preserve"> </w:t>
      </w:r>
      <w:r>
        <w:t xml:space="preserve">(</w:t>
      </w:r>
      <w:hyperlink w:anchor="ref-DakoulasGazetas1985Inhomogeneous">
        <w:r>
          <w:rPr>
            <w:rStyle w:val="Hyperlink"/>
          </w:rPr>
          <w:t xml:space="preserve">1985</w:t>
        </w:r>
      </w:hyperlink>
      <w:r>
        <w:t xml:space="preserve">)</w:t>
      </w:r>
      <w:r>
        <w:t xml:space="preserve"> </w:t>
      </w:r>
      <w:r>
        <w:t xml:space="preserve">as</w:t>
      </w:r>
    </w:p>
    <w:p>
      <w:pPr>
        <w:pStyle w:val="Equation"/>
      </w:pPr>
      <w:bookmarkStart w:id="10" w:name="eq-slope-period"/>
      <w:r>
        <w:tab/>
      </w:r>
      <m:oMath>
        <m:sSub>
          <m:e>
            <m:r>
              <m:t>T</m:t>
            </m:r>
          </m:e>
          <m:sub>
            <m:r>
              <m:t>s</m:t>
            </m:r>
          </m:sub>
        </m:sSub>
        <m:r>
          <m:rPr>
            <m:sty m:val="p"/>
          </m:rPr>
          <m:t>=</m:t>
        </m:r>
        <m:f>
          <m:fPr>
            <m:type m:val="bar"/>
          </m:fPr>
          <m:num>
            <m:r>
              <m:t>4</m:t>
            </m:r>
            <m:r>
              <m:t>π</m:t>
            </m:r>
            <m:r>
              <m:t>H</m:t>
            </m:r>
          </m:num>
          <m:den>
            <m:sSub>
              <m:e>
                <m:r>
                  <m:t>a</m:t>
                </m:r>
              </m:e>
              <m:sub>
                <m:r>
                  <m:t>1</m:t>
                </m:r>
              </m:sub>
            </m:sSub>
            <m:r>
              <m:rPr>
                <m:sty m:val="p"/>
              </m:rPr>
              <m:t>(</m:t>
            </m:r>
            <m:r>
              <m:t>2</m:t>
            </m:r>
            <m:r>
              <m:rPr>
                <m:sty m:val="p"/>
              </m:rPr>
              <m:t>−</m:t>
            </m:r>
            <m:sSub>
              <m:e>
                <m:r>
                  <m:t>m</m:t>
                </m:r>
              </m:e>
              <m:sub>
                <m:r>
                  <m:t>o</m:t>
                </m:r>
              </m:sub>
            </m:sSub>
            <m:r>
              <m:rPr>
                <m:sty m:val="p"/>
              </m:rPr>
              <m:t>)</m:t>
            </m:r>
            <m:sSubSup>
              <m:e>
                <m:r>
                  <m:t>V</m:t>
                </m:r>
              </m:e>
              <m:sub>
                <m:r>
                  <m:t>S</m:t>
                </m:r>
              </m:sub>
              <m:sup>
                <m:r>
                  <m:t>o</m:t>
                </m:r>
              </m:sup>
            </m:sSubSup>
          </m:den>
        </m:f>
        <m:r>
          <m:rPr>
            <m:sty m:val="p"/>
          </m:rPr>
          <m:t>,</m:t>
        </m:r>
      </m:oMath>
      <w:r>
        <w:tab/>
      </w:r>
      <w:r>
        <w:t xml:space="preserve">(1)</w:t>
      </w:r>
      <w:bookmarkEnd w:id="10"/>
    </w:p>
    <w:p>
      <w:pPr>
        <w:pStyle w:val="BodyText"/>
      </w:pPr>
      <w:r>
        <w:t xml:space="preserve">where</w:t>
      </w:r>
      <w:r>
        <w:t xml:space="preserve"> </w:t>
      </w:r>
      <m:oMath>
        <m:r>
          <m:t>H</m:t>
        </m:r>
        <m:r>
          <m:rPr>
            <m:sty m:val="p"/>
          </m:rPr>
          <m:t>=</m:t>
        </m:r>
        <m:sSub>
          <m:e>
            <m:r>
              <m:t>H</m:t>
            </m:r>
          </m:e>
          <m:sub>
            <m:r>
              <m:t>s</m:t>
            </m:r>
          </m:sub>
        </m:sSub>
        <m:r>
          <m:rPr>
            <m:sty m:val="p"/>
          </m:rPr>
          <m:t>/</m:t>
        </m:r>
        <m:r>
          <m:rPr>
            <m:sty m:val="p"/>
          </m:rPr>
          <m:t>(</m:t>
        </m:r>
        <m:r>
          <m:t>1</m:t>
        </m:r>
        <m:r>
          <m:rPr>
            <m:sty m:val="p"/>
          </m:rPr>
          <m:t>−</m:t>
        </m:r>
        <m:sSub>
          <m:e>
            <m:r>
              <m:t>λ</m:t>
            </m:r>
          </m:e>
          <m:sub>
            <m:r>
              <m:t>o</m:t>
            </m:r>
          </m:sub>
        </m:sSub>
        <m:r>
          <m:rPr>
            <m:sty m:val="p"/>
          </m:rPr>
          <m:t>)</m:t>
        </m:r>
      </m:oMath>
      <w:r>
        <w:t xml:space="preserve"> </w:t>
      </w:r>
      <w:r>
        <w:t xml:space="preserve">is the height of the truncated wedge from the apex of the extended slopes to the base,</w:t>
      </w:r>
      <w:r>
        <w:t xml:space="preserve"> </w:t>
      </w:r>
      <m:oMath>
        <m:sSub>
          <m:e>
            <m:r>
              <m:t>H</m:t>
            </m:r>
          </m:e>
          <m:sub>
            <m:r>
              <m:t>s</m:t>
            </m:r>
          </m:sub>
        </m:sSub>
      </m:oMath>
      <w:r>
        <w:t xml:space="preserve"> </w:t>
      </w:r>
      <w:r>
        <w:t xml:space="preserve">is the slope height,</w:t>
      </w:r>
      <w:r>
        <w:t xml:space="preserve"> </w:t>
      </w:r>
      <m:oMath>
        <m:sSubSup>
          <m:e>
            <m:r>
              <m:t>V</m:t>
            </m:r>
          </m:e>
          <m:sub>
            <m:r>
              <m:t>S</m:t>
            </m:r>
          </m:sub>
          <m:sup>
            <m:r>
              <m:t>o</m:t>
            </m:r>
          </m:sup>
        </m:sSubSup>
      </m:oMath>
      <w:r>
        <w:t xml:space="preserve"> </w:t>
      </w:r>
      <w:r>
        <w:t xml:space="preserve">is the basal shear-wave velocity associated with</w:t>
      </w:r>
      <w:r>
        <w:t xml:space="preserve"> </w:t>
      </w:r>
      <m:oMath>
        <m:sSub>
          <m:e>
            <m:r>
              <m:t>G</m:t>
            </m:r>
          </m:e>
          <m:sub>
            <m:r>
              <m:t>o</m:t>
            </m:r>
          </m:sub>
        </m:sSub>
      </m:oMath>
      <w:r>
        <w:t xml:space="preserve">,</w:t>
      </w:r>
      <w:r>
        <w:t xml:space="preserve"> </w:t>
      </w:r>
      <m:oMath>
        <m:sSub>
          <m:e>
            <m:r>
              <m:t>m</m:t>
            </m:r>
          </m:e>
          <m:sub>
            <m:r>
              <m:t>o</m:t>
            </m:r>
          </m:sub>
        </m:sSub>
      </m:oMath>
      <w:r>
        <w:t xml:space="preserve"> </w:t>
      </w:r>
      <w:r>
        <w:t xml:space="preserve">is the inhomogeneity factor governing the shear-modulus profile, and</w:t>
      </w:r>
      <w:r>
        <w:t xml:space="preserve"> </w:t>
      </w:r>
      <m:oMath>
        <m:sSub>
          <m:e>
            <m:r>
              <m:t>a</m:t>
            </m:r>
          </m:e>
          <m:sub>
            <m:r>
              <m:t>1</m:t>
            </m:r>
          </m:sub>
        </m:sSub>
      </m:oMath>
      <w:r>
        <w:t xml:space="preserve"> </w:t>
      </w:r>
      <w:r>
        <w:t xml:space="preserve">is the first modal root of the characteristic equation. The modal root depends jointly on</w:t>
      </w:r>
      <w:r>
        <w:t xml:space="preserve"> </w:t>
      </w:r>
      <m:oMath>
        <m:sSub>
          <m:e>
            <m:r>
              <m:t>m</m:t>
            </m:r>
          </m:e>
          <m:sub>
            <m:r>
              <m:t>o</m:t>
            </m:r>
          </m:sub>
        </m:sSub>
      </m:oMath>
      <w:r>
        <w:t xml:space="preserve"> </w:t>
      </w:r>
      <w:r>
        <w:t xml:space="preserve">and the truncation ratio</w:t>
      </w:r>
      <w:r>
        <w:t xml:space="preserve"> </w:t>
      </w:r>
      <m:oMath>
        <m:sSub>
          <m:e>
            <m:r>
              <m:t>λ</m:t>
            </m:r>
          </m:e>
          <m:sub>
            <m:r>
              <m:t>o</m:t>
            </m:r>
          </m:sub>
        </m:sSub>
      </m:oMath>
      <w:r>
        <w:t xml:space="preserve">, which geometric similarity gives as</w:t>
      </w:r>
    </w:p>
    <w:p>
      <w:pPr>
        <w:pStyle w:val="Equation"/>
      </w:pPr>
      <w:bookmarkStart w:id="11" w:name="eq-slope-truncation"/>
      <w:r>
        <w:tab/>
      </w:r>
      <m:oMath>
        <m:sSub>
          <m:e>
            <m:r>
              <m:t>λ</m:t>
            </m:r>
          </m:e>
          <m:sub>
            <m:r>
              <m:t>o</m:t>
            </m:r>
          </m:sub>
        </m:sSub>
        <m:r>
          <m:rPr>
            <m:sty m:val="p"/>
          </m:rPr>
          <m:t>=</m:t>
        </m:r>
        <m:f>
          <m:fPr>
            <m:type m:val="bar"/>
          </m:fPr>
          <m:num>
            <m:r>
              <m:t>b</m:t>
            </m:r>
          </m:num>
          <m:den>
            <m:sSub>
              <m:e>
                <m:r>
                  <m:t>b</m:t>
                </m:r>
              </m:e>
              <m:sub>
                <m:r>
                  <m:rPr>
                    <m:sty m:val="p"/>
                  </m:rPr>
                  <m:t>max</m:t>
                </m:r>
              </m:sub>
            </m:sSub>
          </m:den>
        </m:f>
        <m:r>
          <m:rPr>
            <m:sty m:val="p"/>
          </m:rPr>
          <m:t>,</m:t>
        </m:r>
      </m:oMath>
      <w:r>
        <w:tab/>
      </w:r>
      <w:r>
        <w:t xml:space="preserve">(2)</w:t>
      </w:r>
      <w:bookmarkEnd w:id="11"/>
    </w:p>
    <w:p>
      <w:pPr>
        <w:pStyle w:val="BodyText"/>
      </w:pPr>
      <w:r>
        <w:t xml:space="preserve">where</w:t>
      </w:r>
      <w:r>
        <w:t xml:space="preserve"> </w:t>
      </w:r>
      <m:oMath>
        <m:r>
          <m:t>b</m:t>
        </m:r>
      </m:oMath>
      <w:r>
        <w:t xml:space="preserve"> </w:t>
      </w:r>
      <w:r>
        <w:t xml:space="preserve">and</w:t>
      </w:r>
      <w:r>
        <w:t xml:space="preserve"> </w:t>
      </w:r>
      <m:oMath>
        <m:sSub>
          <m:e>
            <m:r>
              <m:t>b</m:t>
            </m:r>
          </m:e>
          <m:sub>
            <m:r>
              <m:rPr>
                <m:sty m:val="p"/>
              </m:rPr>
              <m:t>max</m:t>
            </m:r>
          </m:sub>
        </m:sSub>
      </m:oMath>
      <w:r>
        <w:t xml:space="preserve"> </w:t>
      </w:r>
      <w:r>
        <w:t xml:space="preserve">are the berm and base widths, respectively. The equivalent truncated section in the Dakoulas–Gazetas model</w:t>
      </w:r>
      <w:r>
        <w:t xml:space="preserve"> </w:t>
      </w:r>
      <w:r>
        <w:t xml:space="preserve">(</w:t>
      </w:r>
      <w:hyperlink w:anchor="ref-DakoulasGazetas1985Inhomogeneous">
        <w:r>
          <w:rPr>
            <w:rStyle w:val="Hyperlink"/>
          </w:rPr>
          <w:t xml:space="preserve">1985</w:t>
        </w:r>
      </w:hyperlink>
      <w:r>
        <w:t xml:space="preserve">)</w:t>
      </w:r>
      <w:r>
        <w:t xml:space="preserve"> </w:t>
      </w:r>
      <w:r>
        <w:t xml:space="preserve">is specified by the height</w:t>
      </w:r>
      <w:r>
        <w:t xml:space="preserve"> </w:t>
      </w:r>
      <m:oMath>
        <m:sSub>
          <m:e>
            <m:r>
              <m:t>H</m:t>
            </m:r>
          </m:e>
          <m:sub>
            <m:r>
              <m:t>s</m:t>
            </m:r>
          </m:sub>
        </m:sSub>
      </m:oMath>
      <w:r>
        <w:t xml:space="preserve">, slope ratio</w:t>
      </w:r>
      <w:r>
        <w:t xml:space="preserve"> </w:t>
      </w:r>
      <m:oMath>
        <m:r>
          <m:t>s</m:t>
        </m:r>
      </m:oMath>
      <w:r>
        <w:t xml:space="preserve">, and truncation ratio</w:t>
      </w:r>
      <w:r>
        <w:t xml:space="preserve"> </w:t>
      </w:r>
      <m:oMath>
        <m:sSub>
          <m:e>
            <m:r>
              <m:t>λ</m:t>
            </m:r>
          </m:e>
          <m:sub>
            <m:r>
              <m:t>o</m:t>
            </m:r>
          </m:sub>
        </m:sSub>
      </m:oMath>
      <w:r>
        <w:t xml:space="preserve">; with</w:t>
      </w:r>
      <w:r>
        <w:t xml:space="preserve"> </w:t>
      </w:r>
      <m:oMath>
        <m:r>
          <m:rPr>
            <m:sty m:val="p"/>
          </m:rPr>
          <m:t>tan</m:t>
        </m:r>
        <m:r>
          <m:t>β</m:t>
        </m:r>
        <m:r>
          <m:rPr>
            <m:sty m:val="p"/>
          </m:rPr>
          <m:t>=</m:t>
        </m:r>
        <m:r>
          <m:t>1</m:t>
        </m:r>
        <m:r>
          <m:rPr>
            <m:sty m:val="p"/>
          </m:rPr>
          <m:t>/</m:t>
        </m:r>
        <m:r>
          <m:t>s</m:t>
        </m:r>
      </m:oMath>
      <w:r>
        <w:t xml:space="preserve">, where</w:t>
      </w:r>
      <w:r>
        <w:t xml:space="preserve"> </w:t>
      </w:r>
      <m:oMath>
        <m:r>
          <m:t>β</m:t>
        </m:r>
      </m:oMath>
      <w:r>
        <w:t xml:space="preserve"> </w:t>
      </w:r>
      <w:r>
        <w:t xml:space="preserve">is the slope angle, the berm width is given by</w:t>
      </w:r>
    </w:p>
    <w:p>
      <w:pPr>
        <w:pStyle w:val="Equation"/>
      </w:pPr>
      <w:bookmarkStart w:id="12" w:name="eq-slope-berm-width"/>
      <w:r>
        <w:tab/>
      </w:r>
      <m:oMath>
        <m:r>
          <m:t>b</m:t>
        </m:r>
        <m:r>
          <m:rPr>
            <m:sty m:val="p"/>
          </m:rPr>
          <m:t>=</m:t>
        </m:r>
        <m:f>
          <m:fPr>
            <m:type m:val="bar"/>
          </m:fPr>
          <m:num>
            <m:r>
              <m:t>2</m:t>
            </m:r>
            <m:sSub>
              <m:e>
                <m:r>
                  <m:t>H</m:t>
                </m:r>
              </m:e>
              <m:sub>
                <m:r>
                  <m:t>s</m:t>
                </m:r>
              </m:sub>
            </m:sSub>
            <m:r>
              <m:t>s</m:t>
            </m:r>
          </m:num>
          <m:den>
            <m:r>
              <m:t>1</m:t>
            </m:r>
            <m:r>
              <m:rPr>
                <m:sty m:val="p"/>
              </m:rPr>
              <m:t>/</m:t>
            </m:r>
            <m:sSub>
              <m:e>
                <m:r>
                  <m:t>λ</m:t>
                </m:r>
              </m:e>
              <m:sub>
                <m:r>
                  <m:t>o</m:t>
                </m:r>
              </m:sub>
            </m:sSub>
            <m:r>
              <m:rPr>
                <m:sty m:val="p"/>
              </m:rPr>
              <m:t>−</m:t>
            </m:r>
            <m:r>
              <m:t>1</m:t>
            </m:r>
          </m:den>
        </m:f>
        <m:r>
          <m:rPr>
            <m:sty m:val="p"/>
          </m:rPr>
          <m:t>.</m:t>
        </m:r>
      </m:oMath>
      <w:r>
        <w:tab/>
      </w:r>
      <w:r>
        <w:t xml:space="preserve">(3)</w:t>
      </w:r>
      <w:bookmarkEnd w:id="12"/>
    </w:p>
    <w:p>
      <w:pPr>
        <w:pStyle w:val="BodyText"/>
      </w:pPr>
      <w:r>
        <w:t xml:space="preserve">and the base width is</w:t>
      </w:r>
    </w:p>
    <w:p>
      <w:pPr>
        <w:pStyle w:val="Equation"/>
      </w:pPr>
      <w:bookmarkStart w:id="13" w:name="eq-slope-base-width"/>
      <w:r>
        <w:tab/>
      </w:r>
      <m:oMath>
        <m:sSub>
          <m:e>
            <m:r>
              <m:t>b</m:t>
            </m:r>
          </m:e>
          <m:sub>
            <m:r>
              <m:rPr>
                <m:sty m:val="p"/>
              </m:rPr>
              <m:t>max</m:t>
            </m:r>
          </m:sub>
        </m:sSub>
        <m:r>
          <m:rPr>
            <m:sty m:val="p"/>
          </m:rPr>
          <m:t>=</m:t>
        </m:r>
        <m:r>
          <m:t>b</m:t>
        </m:r>
        <m:r>
          <m:rPr>
            <m:sty m:val="p"/>
          </m:rPr>
          <m:t>+</m:t>
        </m:r>
        <m:r>
          <m:t>2</m:t>
        </m:r>
        <m:sSub>
          <m:e>
            <m:r>
              <m:t>H</m:t>
            </m:r>
          </m:e>
          <m:sub>
            <m:r>
              <m:t>s</m:t>
            </m:r>
          </m:sub>
        </m:sSub>
        <m:r>
          <m:t>s</m:t>
        </m:r>
        <m:r>
          <m:rPr>
            <m:sty m:val="p"/>
          </m:rPr>
          <m:t>.</m:t>
        </m:r>
      </m:oMath>
      <w:r>
        <w:tab/>
      </w:r>
      <w:r>
        <w:t xml:space="preserve">(4)</w:t>
      </w:r>
      <w:bookmarkEnd w:id="13"/>
    </w:p>
    <w:p>
      <w:pPr>
        <w:pStyle w:val="BodyText"/>
      </w:pPr>
      <w:r>
        <w:t xml:space="preserve">For each profile realization, the basal shear-wave velocity is</w:t>
      </w:r>
    </w:p>
    <w:p>
      <w:pPr>
        <w:pStyle w:val="Equation"/>
      </w:pPr>
      <w:bookmarkStart w:id="14" w:name="eq-slope-basal-velocity"/>
      <w:r>
        <w:tab/>
      </w:r>
      <m:oMath>
        <m:sSubSup>
          <m:e>
            <m:r>
              <m:t>V</m:t>
            </m:r>
          </m:e>
          <m:sub>
            <m:r>
              <m:t>S</m:t>
            </m:r>
          </m:sub>
          <m:sup>
            <m:r>
              <m:t>o</m:t>
            </m:r>
          </m:sup>
        </m:sSubSup>
        <m:r>
          <m:rPr>
            <m:sty m:val="p"/>
          </m:rPr>
          <m:t>=</m:t>
        </m:r>
        <m:sSup>
          <m:e>
            <m:d>
              <m:dPr>
                <m:begChr m:val="("/>
                <m:sepChr m:val=""/>
                <m:endChr m:val=")"/>
                <m:grow/>
              </m:dPr>
              <m:e>
                <m:f>
                  <m:fPr>
                    <m:type m:val="bar"/>
                  </m:fPr>
                  <m:num>
                    <m:r>
                      <m:t>g</m:t>
                    </m:r>
                    <m:sSub>
                      <m:e>
                        <m:r>
                          <m:t>G</m:t>
                        </m:r>
                      </m:e>
                      <m:sub>
                        <m:r>
                          <m:t>o</m:t>
                        </m:r>
                      </m:sub>
                    </m:sSub>
                  </m:num>
                  <m:den>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den>
                </m:f>
              </m:e>
            </m:d>
          </m:e>
          <m:sup>
            <m:r>
              <m:t>1</m:t>
            </m:r>
            <m:r>
              <m:rPr>
                <m:sty m:val="p"/>
              </m:rPr>
              <m:t>/</m:t>
            </m:r>
            <m:r>
              <m:t>2</m:t>
            </m:r>
          </m:sup>
        </m:sSup>
        <m:r>
          <m:rPr>
            <m:sty m:val="p"/>
          </m:rPr>
          <m:t>,</m:t>
        </m:r>
      </m:oMath>
      <w:r>
        <w:tab/>
      </w:r>
      <w:r>
        <w:t xml:space="preserve">(5)</w:t>
      </w:r>
      <w:bookmarkEnd w:id="14"/>
    </w:p>
    <w:p>
      <w:pPr>
        <w:pStyle w:val="BodyText"/>
      </w:pPr>
      <w:r>
        <w:t xml:space="preserve">where</w:t>
      </w:r>
      <w:r>
        <w:t xml:space="preserve"> </w:t>
      </w:r>
      <m:oMath>
        <m:sSub>
          <m:e>
            <m:r>
              <m:t>G</m:t>
            </m:r>
          </m:e>
          <m:sub>
            <m:r>
              <m:t>o</m:t>
            </m:r>
          </m:sub>
        </m:sSub>
      </m:oMath>
      <w:r>
        <w:t xml:space="preserve"> </w:t>
      </w:r>
      <w:r>
        <w:t xml:space="preserve">is the fitted small-strain shear modulus at the base,</w:t>
      </w:r>
      <w:r>
        <w:t xml:space="preserve"> </w:t>
      </w:r>
      <m:oMath>
        <m:r>
          <m:t>g</m:t>
        </m:r>
      </m:oMath>
      <w:r>
        <w:t xml:space="preserve"> </w:t>
      </w:r>
      <w:r>
        <w:t xml:space="preserve">is the acceleration of gravity, and</w:t>
      </w:r>
      <w:r>
        <w:t xml:space="preserve"> </w:t>
      </w:r>
      <m:oMath>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oMath>
      <w:r>
        <w:t xml:space="preserve"> </w:t>
      </w:r>
      <w:r>
        <w:t xml:space="preserve">is the saturated unit weight of the basal layer, indexed by</w:t>
      </w:r>
      <w:r>
        <w:t xml:space="preserve"> </w:t>
      </w:r>
      <m:oMath>
        <m:sSub>
          <m:e>
            <m:r>
              <m:t>k</m:t>
            </m:r>
          </m:e>
          <m:sub>
            <m:r>
              <m:rPr>
                <m:sty m:val="p"/>
              </m:rPr>
              <m:t>b</m:t>
            </m:r>
          </m:sub>
        </m:sSub>
      </m:oMath>
      <w:r>
        <w:t xml:space="preserve">; all quantities are expressed in consistent units. The depth dependence of small-strain shear stiffness is represented for each realization by the power-law profile</w:t>
      </w:r>
    </w:p>
    <w:p>
      <w:pPr>
        <w:pStyle w:val="Equation"/>
      </w:pPr>
      <w:bookmarkStart w:id="15" w:name="eq-slope-profile"/>
      <w:r>
        <w:tab/>
      </w:r>
      <m:oMath>
        <m:r>
          <m:t>G</m:t>
        </m:r>
        <m:r>
          <m:rPr>
            <m:sty m:val="p"/>
          </m:rPr>
          <m:t>(</m:t>
        </m:r>
        <m:r>
          <m:t>z</m:t>
        </m:r>
        <m:r>
          <m:rPr>
            <m:sty m:val="p"/>
          </m:rPr>
          <m:t>)</m:t>
        </m:r>
        <m:r>
          <m:rPr>
            <m:sty m:val="p"/>
          </m:rPr>
          <m:t>=</m:t>
        </m:r>
        <m:sSub>
          <m:e>
            <m:r>
              <m:t>G</m:t>
            </m:r>
          </m:e>
          <m:sub>
            <m:r>
              <m:t>o</m:t>
            </m:r>
          </m:sub>
        </m:sSub>
        <m:sSup>
          <m:e>
            <m:d>
              <m:dPr>
                <m:begChr m:val="("/>
                <m:sepChr m:val=""/>
                <m:endChr m:val=")"/>
                <m:grow/>
              </m:dPr>
              <m:e>
                <m:f>
                  <m:fPr>
                    <m:type m:val="bar"/>
                  </m:fPr>
                  <m:num>
                    <m:r>
                      <m:t>z</m:t>
                    </m:r>
                  </m:num>
                  <m:den>
                    <m:sSub>
                      <m:e>
                        <m:r>
                          <m:t>H</m:t>
                        </m:r>
                      </m:e>
                      <m:sub>
                        <m:r>
                          <m:t>s</m:t>
                        </m:r>
                      </m:sub>
                    </m:sSub>
                  </m:den>
                </m:f>
              </m:e>
            </m:d>
          </m:e>
          <m:sup>
            <m:sSub>
              <m:e>
                <m:r>
                  <m:t>m</m:t>
                </m:r>
              </m:e>
              <m:sub>
                <m:r>
                  <m:t>o</m:t>
                </m:r>
              </m:sub>
            </m:sSub>
          </m:sup>
        </m:sSup>
        <m:r>
          <m:rPr>
            <m:sty m:val="p"/>
          </m:rPr>
          <m:t>,</m:t>
        </m:r>
      </m:oMath>
      <w:r>
        <w:tab/>
      </w:r>
      <w:r>
        <w:t xml:space="preserve">(6)</w:t>
      </w:r>
      <w:bookmarkEnd w:id="15"/>
    </w:p>
    <w:p>
      <w:pPr>
        <w:pStyle w:val="BodyText"/>
      </w:pPr>
      <w:r>
        <w:t xml:space="preserve">where</w:t>
      </w:r>
      <w:r>
        <w:t xml:space="preserve"> </w:t>
      </w:r>
      <m:oMath>
        <m:r>
          <m:t>z</m:t>
        </m:r>
      </m:oMath>
      <w:r>
        <w:t xml:space="preserve"> </w:t>
      </w:r>
      <w:r>
        <w:t xml:space="preserve">is depth below the crest,</w:t>
      </w:r>
      <w:r>
        <w:t xml:space="preserve"> </w:t>
      </w:r>
      <m:oMath>
        <m:sSub>
          <m:e>
            <m:r>
              <m:t>G</m:t>
            </m:r>
          </m:e>
          <m:sub>
            <m:r>
              <m:t>o</m:t>
            </m:r>
          </m:sub>
        </m:sSub>
      </m:oMath>
      <w:r>
        <w:t xml:space="preserve"> </w:t>
      </w:r>
      <w:r>
        <w:t xml:space="preserve">is the fitted shear modulus at the base (</w:t>
      </w:r>
      <m:oMath>
        <m:r>
          <m:t>z</m:t>
        </m:r>
        <m:r>
          <m:rPr>
            <m:sty m:val="p"/>
          </m:rPr>
          <m:t>/</m:t>
        </m:r>
        <m:sSub>
          <m:e>
            <m:r>
              <m:t>H</m:t>
            </m:r>
          </m:e>
          <m:sub>
            <m:r>
              <m:t>s</m:t>
            </m:r>
          </m:sub>
        </m:sSub>
        <m:r>
          <m:rPr>
            <m:sty m:val="p"/>
          </m:rPr>
          <m:t>=</m:t>
        </m:r>
        <m:r>
          <m:t>1</m:t>
        </m:r>
      </m:oMath>
      <w:r>
        <w:t xml:space="preserve">), and</w:t>
      </w:r>
      <w:r>
        <w:t xml:space="preserve"> </w:t>
      </w:r>
      <m:oMath>
        <m:sSub>
          <m:e>
            <m:r>
              <m:t>m</m:t>
            </m:r>
          </m:e>
          <m:sub>
            <m:r>
              <m:t>o</m:t>
            </m:r>
          </m:sub>
        </m:sSub>
      </m:oMath>
      <w:r>
        <w:t xml:space="preserve"> </w:t>
      </w:r>
      <w:r>
        <w:t xml:space="preserve">is obtained from a logarithmic fit to the layer moduli</w:t>
      </w:r>
      <w:r>
        <w:t xml:space="preserve"> </w:t>
      </w:r>
      <m:oMath>
        <m:sSubSup>
          <m:e>
            <m:r>
              <m:t>G</m:t>
            </m:r>
          </m:e>
          <m:sub>
            <m:r>
              <m:t>m</m:t>
            </m:r>
          </m:sub>
          <m:sup>
            <m:r>
              <m:rPr>
                <m:sty m:val="p"/>
              </m:rPr>
              <m:t>(</m:t>
            </m:r>
            <m:r>
              <m:t>k</m:t>
            </m:r>
            <m:r>
              <m:rPr>
                <m:sty m:val="p"/>
              </m:rPr>
              <m:t>)</m:t>
            </m:r>
          </m:sup>
        </m:sSubSup>
      </m:oMath>
      <w:r>
        <w:t xml:space="preserve">; the characteristic equation corresponds to the power law with depth measured from the apex of the extended slopes and normalized by</w:t>
      </w:r>
      <w:r>
        <w:t xml:space="preserve"> </w:t>
      </w:r>
      <m:oMath>
        <m:r>
          <m:t>H</m:t>
        </m:r>
      </m:oMath>
      <w:r>
        <w:t xml:space="preserve"> </w:t>
      </w:r>
      <w:r>
        <w:t xml:space="preserve">(</w:t>
      </w:r>
      <w:hyperlink w:anchor="ref-DakoulasGazetas1985Inhomogeneous">
        <w:r>
          <w:rPr>
            <w:rStyle w:val="Hyperlink"/>
          </w:rPr>
          <w:t xml:space="preserve">1985</w:t>
        </w:r>
      </w:hyperlink>
      <w:r>
        <w:t xml:space="preserve">)</w:t>
      </w:r>
      <w:r>
        <w:t xml:space="preserve">, so evaluating</w:t>
      </w:r>
      <w:r>
        <w:t xml:space="preserve"> </w:t>
      </w:r>
      <m:oMath>
        <m:sSub>
          <m:e>
            <m:r>
              <m:t>a</m:t>
            </m:r>
          </m:e>
          <m:sub>
            <m:r>
              <m:t>1</m:t>
            </m:r>
          </m:sub>
        </m:sSub>
      </m:oMath>
      <w:r>
        <w:t xml:space="preserve"> </w:t>
      </w:r>
      <w:r>
        <w:t xml:space="preserve">with the exponent fitted from the crest is an approximation. Those layer moduli come from the soil classification: the USCS classification assigned to layer</w:t>
      </w:r>
      <w:r>
        <w:t xml:space="preserve"> </w:t>
      </w:r>
      <m:oMath>
        <m:r>
          <m:t>k</m:t>
        </m:r>
      </m:oMath>
      <w:r>
        <w:t xml:space="preserve"> </w:t>
      </w:r>
      <w:r>
        <w:t xml:space="preserve">selects its soil family and the associated set of</w:t>
      </w:r>
      <w:r>
        <w:t xml:space="preserve"> </w:t>
      </w:r>
      <m:oMath>
        <m:sSup>
          <m:e>
            <m:r>
              <m:t>J</m:t>
            </m:r>
          </m:e>
          <m:sup>
            <m:r>
              <m:rPr>
                <m:sty m:val="p"/>
              </m:rPr>
              <m:t>(</m:t>
            </m:r>
            <m:r>
              <m:t>k</m:t>
            </m:r>
            <m:r>
              <m:rPr>
                <m:sty m:val="p"/>
              </m:rPr>
              <m:t>)</m:t>
            </m:r>
          </m:sup>
        </m:sSup>
      </m:oMath>
      <w:r>
        <w:t xml:space="preserve"> </w:t>
      </w:r>
      <w:r>
        <w:t xml:space="preserve">small-strain shear-modulus correlations compiled by Ishihara</w:t>
      </w:r>
      <w:r>
        <w:t xml:space="preserve"> </w:t>
      </w:r>
      <w:r>
        <w:t xml:space="preserve">(</w:t>
      </w:r>
      <w:hyperlink w:anchor="ref-Ishihara1996">
        <w:r>
          <w:rPr>
            <w:rStyle w:val="Hyperlink"/>
          </w:rPr>
          <w:t xml:space="preserve">1996</w:t>
        </w:r>
      </w:hyperlink>
      <w:r>
        <w:t xml:space="preserve">)</w:t>
      </w:r>
      <w:r>
        <w:t xml:space="preserve">, and the layer modulus is taken as their arithmetic mean,</w:t>
      </w:r>
    </w:p>
    <w:p>
      <w:pPr>
        <w:pStyle w:val="Equation"/>
      </w:pPr>
      <w:bookmarkStart w:id="16" w:name="eq-slope-modulus"/>
      <w:r>
        <w:tab/>
      </w:r>
      <m:oMath>
        <m:sSubSup>
          <m:e>
            <m:r>
              <m:t>G</m:t>
            </m:r>
          </m:e>
          <m:sub>
            <m:r>
              <m:t>m</m:t>
            </m:r>
          </m:sub>
          <m:sup>
            <m:r>
              <m:rPr>
                <m:sty m:val="p"/>
              </m:rPr>
              <m:t>(</m:t>
            </m:r>
            <m:r>
              <m:t>k</m:t>
            </m:r>
            <m:r>
              <m:rPr>
                <m:sty m:val="p"/>
              </m:rPr>
              <m:t>)</m:t>
            </m:r>
          </m:sup>
        </m:sSubSup>
        <m:r>
          <m:rPr>
            <m:sty m:val="p"/>
          </m:rPr>
          <m:t>=</m:t>
        </m:r>
        <m:f>
          <m:fPr>
            <m:type m:val="bar"/>
          </m:fPr>
          <m:num>
            <m:r>
              <m:t>1</m:t>
            </m:r>
          </m:num>
          <m:den>
            <m:sSup>
              <m:e>
                <m:r>
                  <m:t>J</m:t>
                </m:r>
              </m:e>
              <m:sup>
                <m:r>
                  <m:rPr>
                    <m:sty m:val="p"/>
                  </m:rPr>
                  <m:t>(</m:t>
                </m:r>
                <m:r>
                  <m:t>k</m:t>
                </m:r>
                <m:r>
                  <m:rPr>
                    <m:sty m:val="p"/>
                  </m:rPr>
                  <m:t>)</m:t>
                </m:r>
              </m:sup>
            </m:sSup>
          </m:den>
        </m:f>
        <m:nary>
          <m:naryPr>
            <m:chr m:val="∑"/>
            <m:limLoc m:val="undOvr"/>
            <m:subHide m:val="off"/>
            <m:supHide m:val="off"/>
          </m:naryPr>
          <m:sub>
            <m:r>
              <m:t>j</m:t>
            </m:r>
            <m:r>
              <m:rPr>
                <m:sty m:val="p"/>
              </m:rPr>
              <m:t>=</m:t>
            </m:r>
            <m:r>
              <m:t>1</m:t>
            </m:r>
          </m:sub>
          <m:sup>
            <m:sSup>
              <m:e>
                <m:r>
                  <m:t>J</m:t>
                </m:r>
              </m:e>
              <m:sup>
                <m:r>
                  <m:rPr>
                    <m:sty m:val="p"/>
                  </m:rPr>
                  <m:t>(</m:t>
                </m:r>
                <m:r>
                  <m:t>k</m:t>
                </m:r>
                <m:r>
                  <m:rPr>
                    <m:sty m:val="p"/>
                  </m:rPr>
                  <m:t>)</m:t>
                </m:r>
              </m:sup>
            </m:sSup>
          </m:sup>
          <m:e>
            <m:sSup>
              <m:e>
                <m:r>
                  <m:t>A</m:t>
                </m:r>
              </m:e>
              <m:sup>
                <m:r>
                  <m:rPr>
                    <m:sty m:val="p"/>
                  </m:rPr>
                  <m:t>(</m:t>
                </m:r>
                <m:r>
                  <m:t>j</m:t>
                </m:r>
                <m:r>
                  <m:rPr>
                    <m:sty m:val="p"/>
                  </m:rPr>
                  <m:t>)</m:t>
                </m:r>
              </m:sup>
            </m:sSup>
          </m:e>
        </m:nary>
        <m:sSubSup>
          <m:e>
            <m:r>
              <m:t>F</m:t>
            </m:r>
          </m:e>
          <m:sub>
            <m:r>
              <m:t>e</m:t>
            </m:r>
          </m:sub>
          <m:sup>
            <m:r>
              <m:rPr>
                <m:sty m:val="p"/>
              </m:rPr>
              <m:t>(</m:t>
            </m:r>
            <m:r>
              <m:t>k</m:t>
            </m:r>
            <m:r>
              <m:rPr>
                <m:sty m:val="p"/>
              </m:rPr>
              <m:t>,</m:t>
            </m:r>
            <m:r>
              <m:t>j</m:t>
            </m:r>
            <m:r>
              <m:rPr>
                <m:sty m:val="p"/>
              </m:rPr>
              <m:t>)</m:t>
            </m:r>
          </m:sup>
        </m:sSubSup>
        <m:sSup>
          <m:e>
            <m:d>
              <m:dPr>
                <m:begChr m:val="["/>
                <m:sepChr m:val=""/>
                <m:endChr m:val="]"/>
                <m:grow/>
              </m:dPr>
              <m:e>
                <m:sSup>
                  <m:e>
                    <m:r>
                      <m:rPr>
                        <m:sty m:val="p"/>
                      </m:rPr>
                      <m:t>O</m:t>
                    </m:r>
                    <m:r>
                      <m:rPr>
                        <m:sty m:val="p"/>
                      </m:rPr>
                      <m:t>C</m:t>
                    </m:r>
                    <m:r>
                      <m:rPr>
                        <m:sty m:val="p"/>
                      </m:rPr>
                      <m:t>R</m:t>
                    </m:r>
                  </m:e>
                  <m:sup>
                    <m:r>
                      <m:rPr>
                        <m:sty m:val="p"/>
                      </m:rPr>
                      <m:t>(</m:t>
                    </m:r>
                    <m:r>
                      <m:t>k</m:t>
                    </m:r>
                    <m:r>
                      <m:rPr>
                        <m:sty m:val="p"/>
                      </m:rPr>
                      <m:t>)</m:t>
                    </m:r>
                  </m:sup>
                </m:sSup>
              </m:e>
            </m:d>
          </m:e>
          <m:sup>
            <m:sSubSup>
              <m:e>
                <m:r>
                  <m:t>m</m:t>
                </m:r>
              </m:e>
              <m:sub>
                <m:r>
                  <m:t>1</m:t>
                </m:r>
              </m:sub>
              <m:sup>
                <m:r>
                  <m:rPr>
                    <m:sty m:val="p"/>
                  </m:rPr>
                  <m:t>(</m:t>
                </m:r>
                <m:r>
                  <m:t>k</m:t>
                </m:r>
                <m:r>
                  <m:rPr>
                    <m:sty m:val="p"/>
                  </m:rPr>
                  <m:t>)</m:t>
                </m:r>
              </m:sup>
            </m:sSubSup>
          </m:sup>
        </m:sSup>
        <m:sSubSup>
          <m:e>
            <m:r>
              <m:t>p</m:t>
            </m:r>
          </m:e>
          <m:sub>
            <m:r>
              <m:rPr>
                <m:sty m:val="p"/>
              </m:rPr>
              <m:t>r</m:t>
            </m:r>
            <m:r>
              <m:rPr>
                <m:sty m:val="p"/>
              </m:rPr>
              <m:t>e</m:t>
            </m:r>
            <m:r>
              <m:rPr>
                <m:sty m:val="p"/>
              </m:rPr>
              <m:t>f</m:t>
            </m:r>
          </m:sub>
          <m:sup>
            <m:sSup>
              <m:e>
                <m:r>
                  <m:t>n</m:t>
                </m:r>
              </m:e>
              <m:sup>
                <m:r>
                  <m:rPr>
                    <m:sty m:val="p"/>
                  </m:rPr>
                  <m:t>(</m:t>
                </m:r>
                <m:r>
                  <m:t>j</m:t>
                </m:r>
                <m:r>
                  <m:rPr>
                    <m:sty m:val="p"/>
                  </m:rPr>
                  <m:t>)</m:t>
                </m:r>
              </m:sup>
            </m:sSup>
          </m:sup>
        </m:sSubSup>
        <m:sSup>
          <m:e>
            <m:d>
              <m:dPr>
                <m:begChr m:val="("/>
                <m:sepChr m:val=""/>
                <m:endChr m:val=")"/>
                <m:grow/>
              </m:dPr>
              <m:e>
                <m:f>
                  <m:fPr>
                    <m:type m:val="bar"/>
                  </m:fPr>
                  <m:num>
                    <m:sSubSup>
                      <m:e>
                        <m:r>
                          <m:t>p</m:t>
                        </m:r>
                      </m:e>
                      <m:sub>
                        <m:r>
                          <m:t>m</m:t>
                        </m:r>
                      </m:sub>
                      <m:sup>
                        <m:r>
                          <m:rPr>
                            <m:sty m:val="p"/>
                          </m:rPr>
                          <m:t>(</m:t>
                        </m:r>
                        <m:r>
                          <m:t>k</m:t>
                        </m:r>
                        <m:r>
                          <m:rPr>
                            <m:sty m:val="p"/>
                          </m:rPr>
                          <m:t>)</m:t>
                        </m:r>
                      </m:sup>
                    </m:sSubSup>
                  </m:num>
                  <m:den>
                    <m:sSub>
                      <m:e>
                        <m:r>
                          <m:t>p</m:t>
                        </m:r>
                      </m:e>
                      <m:sub>
                        <m:r>
                          <m:rPr>
                            <m:sty m:val="p"/>
                          </m:rPr>
                          <m:t>r</m:t>
                        </m:r>
                        <m:r>
                          <m:rPr>
                            <m:sty m:val="p"/>
                          </m:rPr>
                          <m:t>e</m:t>
                        </m:r>
                        <m:r>
                          <m:rPr>
                            <m:sty m:val="p"/>
                          </m:rPr>
                          <m:t>f</m:t>
                        </m:r>
                      </m:sub>
                    </m:sSub>
                  </m:den>
                </m:f>
              </m:e>
            </m:d>
          </m:e>
          <m:sup>
            <m:sSup>
              <m:e>
                <m:r>
                  <m:t>n</m:t>
                </m:r>
              </m:e>
              <m:sup>
                <m:r>
                  <m:rPr>
                    <m:sty m:val="p"/>
                  </m:rPr>
                  <m:t>(</m:t>
                </m:r>
                <m:r>
                  <m:t>j</m:t>
                </m:r>
                <m:r>
                  <m:rPr>
                    <m:sty m:val="p"/>
                  </m:rPr>
                  <m:t>)</m:t>
                </m:r>
              </m:sup>
            </m:sSup>
          </m:sup>
        </m:sSup>
        <m:r>
          <m:rPr>
            <m:sty m:val="p"/>
          </m:rPr>
          <m:t>.</m:t>
        </m:r>
      </m:oMath>
      <w:r>
        <w:tab/>
      </w:r>
      <w:r>
        <w:t xml:space="preserve">(7)</w:t>
      </w:r>
      <w:bookmarkEnd w:id="16"/>
    </w:p>
    <w:p>
      <w:pPr>
        <w:pStyle w:val="BodyText"/>
      </w:pPr>
      <w:r>
        <w:t xml:space="preserve">Here</w:t>
      </w:r>
      <w:r>
        <w:t xml:space="preserve"> </w:t>
      </w:r>
      <m:oMath>
        <m:sSup>
          <m:e>
            <m:r>
              <m:t>A</m:t>
            </m:r>
          </m:e>
          <m:sup>
            <m:r>
              <m:rPr>
                <m:sty m:val="p"/>
              </m:rPr>
              <m:t>(</m:t>
            </m:r>
            <m:r>
              <m:t>j</m:t>
            </m:r>
            <m:r>
              <m:rPr>
                <m:sty m:val="p"/>
              </m:rPr>
              <m:t>)</m:t>
            </m:r>
          </m:sup>
        </m:sSup>
      </m:oMath>
      <w:r>
        <w:t xml:space="preserve"> </w:t>
      </w:r>
      <w:r>
        <w:t xml:space="preserve">and</w:t>
      </w:r>
      <w:r>
        <w:t xml:space="preserve"> </w:t>
      </w:r>
      <m:oMath>
        <m:sSup>
          <m:e>
            <m:r>
              <m:t>n</m:t>
            </m:r>
          </m:e>
          <m:sup>
            <m:r>
              <m:rPr>
                <m:sty m:val="p"/>
              </m:rPr>
              <m:t>(</m:t>
            </m:r>
            <m:r>
              <m:t>j</m:t>
            </m:r>
            <m:r>
              <m:rPr>
                <m:sty m:val="p"/>
              </m:rPr>
              <m:t>)</m:t>
            </m:r>
          </m:sup>
        </m:sSup>
      </m:oMath>
      <w:r>
        <w:t xml:space="preserve"> </w:t>
      </w:r>
      <w:r>
        <w:t xml:space="preserve">are tabulated correlation parameters,</w:t>
      </w:r>
      <w:r>
        <w:t xml:space="preserve"> </w:t>
      </w:r>
      <m:oMath>
        <m:sSubSup>
          <m:e>
            <m:r>
              <m:t>F</m:t>
            </m:r>
          </m:e>
          <m:sub>
            <m:r>
              <m:t>e</m:t>
            </m:r>
          </m:sub>
          <m:sup>
            <m:r>
              <m:rPr>
                <m:sty m:val="p"/>
              </m:rPr>
              <m:t>(</m:t>
            </m:r>
            <m:r>
              <m:t>k</m:t>
            </m:r>
            <m:r>
              <m:rPr>
                <m:sty m:val="p"/>
              </m:rPr>
              <m:t>,</m:t>
            </m:r>
            <m:r>
              <m:t>j</m:t>
            </m:r>
            <m:r>
              <m:rPr>
                <m:sty m:val="p"/>
              </m:rPr>
              <m:t>)</m:t>
            </m:r>
          </m:sup>
        </m:sSubSup>
      </m:oMath>
      <w:r>
        <w:t xml:space="preserve"> </w:t>
      </w:r>
      <w:r>
        <w:t xml:space="preserve">is the void-ratio function,</w:t>
      </w:r>
      <w:r>
        <w:t xml:space="preserve"> </w:t>
      </w:r>
      <m:oMath>
        <m:sSubSup>
          <m:e>
            <m:r>
              <m:t>m</m:t>
            </m:r>
          </m:e>
          <m:sub>
            <m:r>
              <m:t>1</m:t>
            </m:r>
          </m:sub>
          <m:sup>
            <m:r>
              <m:rPr>
                <m:sty m:val="p"/>
              </m:rPr>
              <m:t>(</m:t>
            </m:r>
            <m:r>
              <m:t>k</m:t>
            </m:r>
            <m:r>
              <m:rPr>
                <m:sty m:val="p"/>
              </m:rPr>
              <m:t>)</m:t>
            </m:r>
          </m:sup>
        </m:sSubSup>
      </m:oMath>
      <w:r>
        <w:t xml:space="preserve"> </w:t>
      </w:r>
      <w:r>
        <w:t xml:space="preserve">is the overconsolidation exponent,</w:t>
      </w:r>
      <w:r>
        <w:t xml:space="preserve"> </w:t>
      </w:r>
      <m:oMath>
        <m:sSubSup>
          <m:e>
            <m:r>
              <m:t>p</m:t>
            </m:r>
          </m:e>
          <m:sub>
            <m:r>
              <m:t>m</m:t>
            </m:r>
          </m:sub>
          <m:sup>
            <m:r>
              <m:rPr>
                <m:sty m:val="p"/>
              </m:rPr>
              <m:t>(</m:t>
            </m:r>
            <m:r>
              <m:t>k</m:t>
            </m:r>
            <m:r>
              <m:rPr>
                <m:sty m:val="p"/>
              </m:rPr>
              <m:t>)</m:t>
            </m:r>
          </m:sup>
        </m:sSubSup>
      </m:oMath>
      <w:r>
        <w:t xml:space="preserve"> </w:t>
      </w:r>
      <w:r>
        <w:t xml:space="preserve">is the layer-averaged effective octahedral normal stress, and</w:t>
      </w:r>
      <w:r>
        <w:t xml:space="preserve"> </w:t>
      </w:r>
      <m:oMath>
        <m:sSub>
          <m:e>
            <m:r>
              <m:t>p</m:t>
            </m:r>
          </m:e>
          <m:sub>
            <m:r>
              <m:rPr>
                <m:sty m:val="p"/>
              </m:rPr>
              <m:t>r</m:t>
            </m:r>
            <m:r>
              <m:rPr>
                <m:sty m:val="p"/>
              </m:rPr>
              <m:t>e</m:t>
            </m:r>
            <m:r>
              <m:rPr>
                <m:sty m:val="p"/>
              </m:rPr>
              <m:t>f</m:t>
            </m:r>
          </m:sub>
        </m:sSub>
        <m:r>
          <m:rPr>
            <m:sty m:val="p"/>
          </m:rPr>
          <m:t>=</m:t>
        </m:r>
        <m:r>
          <m:t>100</m:t>
        </m:r>
      </m:oMath>
      <w:r>
        <w:t xml:space="preserve"> </w:t>
      </w:r>
      <w:r>
        <w:t xml:space="preserve">kPa is the reference pressure. Under at-rest conditions, the layer-averaged effective octahedral normal stress</w:t>
      </w:r>
      <w:r>
        <w:t xml:space="preserve"> </w:t>
      </w:r>
      <m:oMath>
        <m:sSubSup>
          <m:e>
            <m:r>
              <m:t>p</m:t>
            </m:r>
          </m:e>
          <m:sub>
            <m:r>
              <m:t>m</m:t>
            </m:r>
          </m:sub>
          <m:sup>
            <m:r>
              <m:rPr>
                <m:sty m:val="p"/>
              </m:rPr>
              <m:t>(</m:t>
            </m:r>
            <m:r>
              <m:t>k</m:t>
            </m:r>
            <m:r>
              <m:rPr>
                <m:sty m:val="p"/>
              </m:rPr>
              <m:t>)</m:t>
            </m:r>
          </m:sup>
        </m:sSubSup>
      </m:oMath>
      <w:r>
        <w:t xml:space="preserve"> </w:t>
      </w:r>
      <w:r>
        <w:t xml:space="preserve">(</w:t>
      </w:r>
      <w:hyperlink w:anchor="ref-HardinBlack1968">
        <w:r>
          <w:rPr>
            <w:rStyle w:val="Hyperlink"/>
          </w:rPr>
          <w:t xml:space="preserve">1968</w:t>
        </w:r>
      </w:hyperlink>
      <w:r>
        <w:t xml:space="preserve">;</w:t>
      </w:r>
      <w:r>
        <w:t xml:space="preserve"> </w:t>
      </w:r>
      <w:hyperlink w:anchor="ref-HardinDrnevich1972">
        <w:r>
          <w:rPr>
            <w:rStyle w:val="Hyperlink"/>
          </w:rPr>
          <w:t xml:space="preserve">1972</w:t>
        </w:r>
      </w:hyperlink>
      <w:r>
        <w:t xml:space="preserve">)</w:t>
      </w:r>
      <w:r>
        <w:t xml:space="preserve"> </w:t>
      </w:r>
      <w:r>
        <w:t xml:space="preserve">is</w:t>
      </w:r>
    </w:p>
    <w:p>
      <w:pPr>
        <w:pStyle w:val="Equation"/>
      </w:pPr>
      <w:bookmarkStart w:id="17" w:name="eq-slope-mean-pressure"/>
      <w:r>
        <w:tab/>
      </w:r>
      <m:oMath>
        <m:sSubSup>
          <m:e>
            <m:r>
              <m:t>p</m:t>
            </m:r>
          </m:e>
          <m:sub>
            <m:r>
              <m:t>m</m:t>
            </m:r>
          </m:sub>
          <m:sup>
            <m:r>
              <m:rPr>
                <m:sty m:val="p"/>
              </m:rPr>
              <m:t>(</m:t>
            </m:r>
            <m:r>
              <m:t>k</m:t>
            </m:r>
            <m:r>
              <m:rPr>
                <m:sty m:val="p"/>
              </m:rPr>
              <m:t>)</m:t>
            </m:r>
          </m:sup>
        </m:sSubSup>
        <m:r>
          <m:rPr>
            <m:sty m:val="p"/>
          </m:rPr>
          <m:t>=</m:t>
        </m:r>
        <m:f>
          <m:fPr>
            <m:type m:val="bar"/>
          </m:fPr>
          <m:num>
            <m:r>
              <m:t>1</m:t>
            </m:r>
            <m:r>
              <m:rPr>
                <m:sty m:val="p"/>
              </m:rPr>
              <m:t>+</m:t>
            </m:r>
            <m:r>
              <m:t>2</m:t>
            </m:r>
            <m:sSub>
              <m:e>
                <m:r>
                  <m:t>K</m:t>
                </m:r>
              </m:e>
              <m:sub>
                <m:r>
                  <m:t>0</m:t>
                </m:r>
              </m:sub>
            </m:sSub>
          </m:num>
          <m:den>
            <m:r>
              <m:t>3</m:t>
            </m:r>
          </m:den>
        </m:f>
        <m:d>
          <m:dPr>
            <m:begChr m:val="("/>
            <m:sepChr m:val=""/>
            <m:endChr m:val=")"/>
            <m:grow/>
          </m:dPr>
          <m:e>
            <m:nary>
              <m:naryPr>
                <m:chr m:val="∑"/>
                <m:limLoc m:val="undOvr"/>
                <m:subHide m:val="off"/>
                <m:supHide m:val="off"/>
              </m:naryPr>
              <m:sub>
                <m:r>
                  <m:t>ℓ</m:t>
                </m:r>
                <m:r>
                  <m:rPr>
                    <m:sty m:val="p"/>
                  </m:rPr>
                  <m:t>=</m:t>
                </m:r>
                <m:r>
                  <m:t>1</m:t>
                </m:r>
              </m:sub>
              <m:sup>
                <m:r>
                  <m:t>k</m:t>
                </m:r>
                <m:r>
                  <m:rPr>
                    <m:sty m:val="p"/>
                  </m:rPr>
                  <m:t>−</m:t>
                </m:r>
                <m:r>
                  <m:t>1</m:t>
                </m:r>
              </m:sup>
              <m:e>
                <m:sSup>
                  <m:e>
                    <m:r>
                      <m:t>γ</m:t>
                    </m:r>
                  </m:e>
                  <m:sup>
                    <m:r>
                      <m:rPr>
                        <m:sty m:val="p"/>
                      </m:rPr>
                      <m:t>(</m:t>
                    </m:r>
                    <m:r>
                      <m:t>ℓ</m:t>
                    </m:r>
                    <m:r>
                      <m:rPr>
                        <m:sty m:val="p"/>
                      </m:rPr>
                      <m:t>)</m:t>
                    </m:r>
                  </m:sup>
                </m:sSup>
              </m:e>
            </m:nary>
            <m:sSup>
              <m:e>
                <m:r>
                  <m:t>h</m:t>
                </m:r>
              </m:e>
              <m:sup>
                <m:r>
                  <m:rPr>
                    <m:sty m:val="p"/>
                  </m:rPr>
                  <m:t>(</m:t>
                </m:r>
                <m:r>
                  <m:t>ℓ</m:t>
                </m:r>
                <m:r>
                  <m:rPr>
                    <m:sty m:val="p"/>
                  </m:rPr>
                  <m:t>)</m:t>
                </m:r>
              </m:sup>
            </m:sSup>
            <m:r>
              <m:rPr>
                <m:sty m:val="p"/>
              </m:rPr>
              <m:t>+</m:t>
            </m:r>
            <m:f>
              <m:fPr>
                <m:type m:val="bar"/>
              </m:fPr>
              <m:num>
                <m:sSup>
                  <m:e>
                    <m:r>
                      <m:t>γ</m:t>
                    </m:r>
                  </m:e>
                  <m:sup>
                    <m:r>
                      <m:rPr>
                        <m:sty m:val="p"/>
                      </m:rPr>
                      <m:t>(</m:t>
                    </m:r>
                    <m:r>
                      <m:t>k</m:t>
                    </m:r>
                    <m:r>
                      <m:rPr>
                        <m:sty m:val="p"/>
                      </m:rPr>
                      <m:t>)</m:t>
                    </m:r>
                  </m:sup>
                </m:sSup>
                <m:sSup>
                  <m:e>
                    <m:r>
                      <m:t>h</m:t>
                    </m:r>
                  </m:e>
                  <m:sup>
                    <m:r>
                      <m:rPr>
                        <m:sty m:val="p"/>
                      </m:rPr>
                      <m:t>(</m:t>
                    </m:r>
                    <m:r>
                      <m:t>k</m:t>
                    </m:r>
                    <m:r>
                      <m:rPr>
                        <m:sty m:val="p"/>
                      </m:rPr>
                      <m:t>)</m:t>
                    </m:r>
                  </m:sup>
                </m:sSup>
              </m:num>
              <m:den>
                <m:r>
                  <m:t>2</m:t>
                </m:r>
              </m:den>
            </m:f>
          </m:e>
        </m:d>
        <m:r>
          <m:rPr>
            <m:sty m:val="p"/>
          </m:rPr>
          <m:t>,</m:t>
        </m:r>
      </m:oMath>
      <w:r>
        <w:tab/>
      </w:r>
      <w:r>
        <w:t xml:space="preserve">(8)</w:t>
      </w:r>
      <w:bookmarkEnd w:id="17"/>
    </w:p>
    <w:p>
      <w:pPr>
        <w:pStyle w:val="BodyText"/>
      </w:pPr>
      <w:r>
        <w:t xml:space="preserve">where</w:t>
      </w:r>
      <w:r>
        <w:t xml:space="preserve"> </w:t>
      </w:r>
      <m:oMath>
        <m:sSub>
          <m:e>
            <m:r>
              <m:t>K</m:t>
            </m:r>
          </m:e>
          <m:sub>
            <m:r>
              <m:t>0</m:t>
            </m:r>
          </m:sub>
        </m:sSub>
      </m:oMath>
      <w:r>
        <w:t xml:space="preserve"> </w:t>
      </w:r>
      <w:r>
        <w:t xml:space="preserve">is the at-rest lateral earth pressure coefficient,</w:t>
      </w:r>
      <w:r>
        <w:t xml:space="preserve"> </w:t>
      </w:r>
      <m:oMath>
        <m:sSup>
          <m:e>
            <m:r>
              <m:t>γ</m:t>
            </m:r>
          </m:e>
          <m:sup>
            <m:r>
              <m:rPr>
                <m:sty m:val="p"/>
              </m:rPr>
              <m:t>(</m:t>
            </m:r>
            <m:r>
              <m:t>ℓ</m:t>
            </m:r>
            <m:r>
              <m:rPr>
                <m:sty m:val="p"/>
              </m:rPr>
              <m:t>)</m:t>
            </m:r>
          </m:sup>
        </m:sSup>
      </m:oMath>
      <w:r>
        <w:t xml:space="preserve"> </w:t>
      </w:r>
      <w:r>
        <w:t xml:space="preserve">and</w:t>
      </w:r>
      <w:r>
        <w:t xml:space="preserve"> </w:t>
      </w:r>
      <m:oMath>
        <m:sSup>
          <m:e>
            <m:r>
              <m:t>h</m:t>
            </m:r>
          </m:e>
          <m:sup>
            <m:r>
              <m:rPr>
                <m:sty m:val="p"/>
              </m:rPr>
              <m:t>(</m:t>
            </m:r>
            <m:r>
              <m:t>ℓ</m:t>
            </m:r>
            <m:r>
              <m:rPr>
                <m:sty m:val="p"/>
              </m:rPr>
              <m:t>)</m:t>
            </m:r>
          </m:sup>
        </m:sSup>
      </m:oMath>
      <w:r>
        <w:t xml:space="preserve"> </w:t>
      </w:r>
      <w:r>
        <w:t xml:space="preserve">are the unit weight adopted for the groundwater condition and the thickness of layer</w:t>
      </w:r>
      <w:r>
        <w:t xml:space="preserve"> </w:t>
      </w:r>
      <m:oMath>
        <m:r>
          <m:t>ℓ</m:t>
        </m:r>
      </m:oMath>
      <w:r>
        <w:t xml:space="preserve">, and</w:t>
      </w:r>
      <w:r>
        <w:t xml:space="preserve"> </w:t>
      </w:r>
      <m:oMath>
        <m:r>
          <m:t>ℓ</m:t>
        </m:r>
        <m:r>
          <m:rPr>
            <m:sty m:val="p"/>
          </m:rPr>
          <m:t>&lt;</m:t>
        </m:r>
        <m:r>
          <m:t>k</m:t>
        </m:r>
      </m:oMath>
      <w:r>
        <w:t xml:space="preserve"> </w:t>
      </w:r>
      <w:r>
        <w:t xml:space="preserve">denotes the overlying layers. The layer overconsolidation ratio is</w:t>
      </w:r>
      <w:r>
        <w:t xml:space="preserve"> </w:t>
      </w:r>
      <m:oMath>
        <m:sSup>
          <m:e>
            <m:r>
              <m:rPr>
                <m:sty m:val="p"/>
              </m:rPr>
              <m:t>O</m:t>
            </m:r>
            <m:r>
              <m:rPr>
                <m:sty m:val="p"/>
              </m:rPr>
              <m:t>C</m:t>
            </m:r>
            <m:r>
              <m:rPr>
                <m:sty m:val="p"/>
              </m:rPr>
              <m:t>R</m:t>
            </m:r>
          </m:e>
          <m:sup>
            <m:r>
              <m:rPr>
                <m:sty m:val="p"/>
              </m:rPr>
              <m:t>(</m:t>
            </m:r>
            <m:r>
              <m:t>k</m:t>
            </m:r>
            <m:r>
              <m:rPr>
                <m:sty m:val="p"/>
              </m:rPr>
              <m:t>)</m:t>
            </m:r>
          </m:sup>
        </m:sSup>
        <m:r>
          <m:rPr>
            <m:sty m:val="p"/>
          </m:rPr>
          <m:t>=</m:t>
        </m:r>
        <m:r>
          <m:rPr>
            <m:sty m:val="p"/>
          </m:rPr>
          <m:t>max</m:t>
        </m:r>
        <m:r>
          <m:rPr>
            <m:sty m:val="p"/>
          </m:rPr>
          <m:t>[</m:t>
        </m:r>
        <m:r>
          <m:rPr>
            <m:sty m:val="p"/>
          </m:rPr>
          <m:t>(</m:t>
        </m:r>
        <m:sSubSup>
          <m:e>
            <m:r>
              <m:t>p</m:t>
            </m:r>
          </m:e>
          <m:sub>
            <m:r>
              <m:t>m</m:t>
            </m:r>
          </m:sub>
          <m:sup>
            <m:r>
              <m:rPr>
                <m:sty m:val="p"/>
              </m:rPr>
              <m:t>(</m:t>
            </m:r>
            <m:r>
              <m:t>k</m:t>
            </m:r>
            <m:r>
              <m:rPr>
                <m:sty m:val="p"/>
              </m:rPr>
              <m:t>)</m:t>
            </m:r>
          </m:sup>
        </m:sSubSup>
        <m:r>
          <m:rPr>
            <m:sty m:val="p"/>
          </m:rPr>
          <m:t>+</m:t>
        </m:r>
        <m:r>
          <m:rPr>
            <m:sty m:val="p"/>
          </m:rPr>
          <m:t>P</m:t>
        </m:r>
        <m:r>
          <m:rPr>
            <m:sty m:val="p"/>
          </m:rPr>
          <m:t>O</m:t>
        </m:r>
        <m:r>
          <m:rPr>
            <m:sty m:val="p"/>
          </m:rPr>
          <m:t>P</m:t>
        </m:r>
        <m:r>
          <m:rPr>
            <m:sty m:val="p"/>
          </m:rPr>
          <m:t>)</m:t>
        </m:r>
        <m:r>
          <m:rPr>
            <m:sty m:val="p"/>
          </m:rPr>
          <m:t>/</m:t>
        </m:r>
        <m:sSubSup>
          <m:e>
            <m:r>
              <m:t>p</m:t>
            </m:r>
          </m:e>
          <m:sub>
            <m:r>
              <m:t>m</m:t>
            </m:r>
          </m:sub>
          <m:sup>
            <m:r>
              <m:rPr>
                <m:sty m:val="p"/>
              </m:rPr>
              <m:t>(</m:t>
            </m:r>
            <m:r>
              <m:t>k</m:t>
            </m:r>
            <m:r>
              <m:rPr>
                <m:sty m:val="p"/>
              </m:rPr>
              <m:t>)</m:t>
            </m:r>
          </m:sup>
        </m:sSubSup>
        <m:r>
          <m:rPr>
            <m:sty m:val="p"/>
          </m:rPr>
          <m:t>,</m:t>
        </m:r>
        <m:r>
          <m:t>1</m:t>
        </m:r>
        <m:r>
          <m:rPr>
            <m:sty m:val="p"/>
          </m:rPr>
          <m:t>]</m:t>
        </m:r>
      </m:oMath>
      <w:r>
        <w:t xml:space="preserve">, where</w:t>
      </w:r>
      <w:r>
        <w:t xml:space="preserve"> </w:t>
      </w:r>
      <m:oMath>
        <m:r>
          <m:rPr>
            <m:sty m:val="p"/>
          </m:rPr>
          <m:t>P</m:t>
        </m:r>
        <m:r>
          <m:rPr>
            <m:sty m:val="p"/>
          </m:rPr>
          <m:t>O</m:t>
        </m:r>
        <m:r>
          <m:rPr>
            <m:sty m:val="p"/>
          </m:rPr>
          <m:t>P</m:t>
        </m:r>
      </m:oMath>
      <w:r>
        <w:t xml:space="preserve"> </w:t>
      </w:r>
      <w:r>
        <w:t xml:space="preserve">is the preconsolidation pressure; for fine-grained soils,</w:t>
      </w:r>
      <w:r>
        <w:t xml:space="preserve"> </w:t>
      </w:r>
      <m:oMath>
        <m:sSubSup>
          <m:e>
            <m:r>
              <m:t>m</m:t>
            </m:r>
          </m:e>
          <m:sub>
            <m:r>
              <m:t>1</m:t>
            </m:r>
          </m:sub>
          <m:sup>
            <m:r>
              <m:rPr>
                <m:sty m:val="p"/>
              </m:rPr>
              <m:t>(</m:t>
            </m:r>
            <m:r>
              <m:t>k</m:t>
            </m:r>
            <m:r>
              <m:rPr>
                <m:sty m:val="p"/>
              </m:rPr>
              <m:t>)</m:t>
            </m:r>
          </m:sup>
        </m:sSubSup>
        <m:r>
          <m:rPr>
            <m:sty m:val="p"/>
          </m:rPr>
          <m:t>=</m:t>
        </m:r>
        <m:sSub>
          <m:e>
            <m:r>
              <m:t>f</m:t>
            </m:r>
          </m:e>
          <m:sub>
            <m:r>
              <m:rPr>
                <m:sty m:val="p"/>
              </m:rPr>
              <m:t>I</m:t>
            </m:r>
            <m:r>
              <m:rPr>
                <m:sty m:val="p"/>
              </m:rPr>
              <m:t>P</m:t>
            </m:r>
          </m:sub>
        </m:sSub>
        <m:r>
          <m:rPr>
            <m:sty m:val="p"/>
          </m:rPr>
          <m:t>(</m:t>
        </m:r>
        <m:sSup>
          <m:e>
            <m:r>
              <m:rPr>
                <m:sty m:val="p"/>
              </m:rPr>
              <m:t>I</m:t>
            </m:r>
            <m:r>
              <m:rPr>
                <m:sty m:val="p"/>
              </m:rPr>
              <m:t>P</m:t>
            </m:r>
          </m:e>
          <m:sup>
            <m:r>
              <m:rPr>
                <m:sty m:val="p"/>
              </m:rPr>
              <m:t>(</m:t>
            </m:r>
            <m:r>
              <m:t>k</m:t>
            </m:r>
            <m:r>
              <m:rPr>
                <m:sty m:val="p"/>
              </m:rPr>
              <m:t>)</m:t>
            </m:r>
          </m:sup>
        </m:sSup>
        <m:r>
          <m:rPr>
            <m:sty m:val="p"/>
          </m:rPr>
          <m:t>)</m:t>
        </m:r>
      </m:oMath>
      <w:r>
        <w:t xml:space="preserve">, whereas for sands and gravels</w:t>
      </w:r>
      <w:r>
        <w:t xml:space="preserve"> </w:t>
      </w:r>
      <m:oMath>
        <m:sSubSup>
          <m:e>
            <m:r>
              <m:t>m</m:t>
            </m:r>
          </m:e>
          <m:sub>
            <m:r>
              <m:t>1</m:t>
            </m:r>
          </m:sub>
          <m:sup>
            <m:r>
              <m:rPr>
                <m:sty m:val="p"/>
              </m:rPr>
              <m:t>(</m:t>
            </m:r>
            <m:r>
              <m:t>k</m:t>
            </m:r>
            <m:r>
              <m:rPr>
                <m:sty m:val="p"/>
              </m:rPr>
              <m:t>)</m:t>
            </m:r>
          </m:sup>
        </m:sSubSup>
        <m:r>
          <m:rPr>
            <m:sty m:val="p"/>
          </m:rPr>
          <m:t>=</m:t>
        </m:r>
        <m:r>
          <m:t>0</m:t>
        </m:r>
      </m:oMath>
      <w:r>
        <w:t xml:space="preserve"> </w:t>
      </w:r>
      <w:r>
        <w:t xml:space="preserve">and the OCR multiplier is therefore unity. The void ratio</w:t>
      </w:r>
      <w:r>
        <w:t xml:space="preserve"> </w:t>
      </w:r>
      <m:oMath>
        <m:sSubSup>
          <m:e>
            <m:r>
              <m:t>e</m:t>
            </m:r>
          </m:e>
          <m:sub>
            <m:r>
              <m:t>0</m:t>
            </m:r>
          </m:sub>
          <m:sup>
            <m:r>
              <m:rPr>
                <m:sty m:val="p"/>
              </m:rPr>
              <m:t>(</m:t>
            </m:r>
            <m:r>
              <m:t>k</m:t>
            </m:r>
            <m:r>
              <m:rPr>
                <m:sty m:val="p"/>
              </m:rPr>
              <m:t>)</m:t>
            </m:r>
          </m:sup>
        </m:sSubSup>
      </m:oMath>
      <w:r>
        <w:t xml:space="preserve"> </w:t>
      </w:r>
      <w:r>
        <w:t xml:space="preserve">enters all three soil families through</w:t>
      </w:r>
      <w:r>
        <w:t xml:space="preserve"> </w:t>
      </w:r>
      <m:oMath>
        <m:sSubSup>
          <m:e>
            <m:r>
              <m:t>F</m:t>
            </m:r>
          </m:e>
          <m:sub>
            <m:r>
              <m:t>e</m:t>
            </m:r>
          </m:sub>
          <m:sup>
            <m:r>
              <m:rPr>
                <m:sty m:val="p"/>
              </m:rPr>
              <m:t>(</m:t>
            </m:r>
            <m:r>
              <m:t>k</m:t>
            </m:r>
            <m:r>
              <m:rPr>
                <m:sty m:val="p"/>
              </m:rPr>
              <m:t>,</m:t>
            </m:r>
            <m:r>
              <m:t>j</m:t>
            </m:r>
            <m:r>
              <m:rPr>
                <m:sty m:val="p"/>
              </m:rPr>
              <m:t>)</m:t>
            </m:r>
          </m:sup>
        </m:sSubSup>
      </m:oMath>
      <w:r>
        <w:t xml:space="preserve">, which the correlations compiled by Ishihara</w:t>
      </w:r>
      <w:r>
        <w:t xml:space="preserve"> </w:t>
      </w:r>
      <w:r>
        <w:t xml:space="preserve">(</w:t>
      </w:r>
      <w:hyperlink w:anchor="ref-Ishihara1996">
        <w:r>
          <w:rPr>
            <w:rStyle w:val="Hyperlink"/>
          </w:rPr>
          <w:t xml:space="preserve">1996</w:t>
        </w:r>
      </w:hyperlink>
      <w:r>
        <w:t xml:space="preserve">)</w:t>
      </w:r>
      <w:r>
        <w:t xml:space="preserve"> </w:t>
      </w:r>
      <w:r>
        <w:t xml:space="preserve">define in terms of</w:t>
      </w:r>
      <w:r>
        <w:t xml:space="preserve"> </w:t>
      </w:r>
      <m:oMath>
        <m:sSubSup>
          <m:e>
            <m:r>
              <m:t>e</m:t>
            </m:r>
          </m:e>
          <m:sub>
            <m:r>
              <m:t>0</m:t>
            </m:r>
          </m:sub>
          <m:sup>
            <m:r>
              <m:rPr>
                <m:sty m:val="p"/>
              </m:rPr>
              <m:t>(</m:t>
            </m:r>
            <m:r>
              <m:t>k</m:t>
            </m:r>
            <m:r>
              <m:rPr>
                <m:sty m:val="p"/>
              </m:rPr>
              <m:t>)</m:t>
            </m:r>
          </m:sup>
        </m:sSubSup>
      </m:oMath>
      <w:r>
        <w:t xml:space="preserve"> </w:t>
      </w:r>
      <w:r>
        <w:t xml:space="preserve">and</w:t>
      </w:r>
      <w:r>
        <w:t xml:space="preserve"> </w:t>
      </w:r>
      <m:oMath>
        <m:sSubSup>
          <m:e>
            <m:r>
              <m:t>C</m:t>
            </m:r>
          </m:e>
          <m:sub>
            <m:r>
              <m:t>e</m:t>
            </m:r>
          </m:sub>
          <m:sup>
            <m:r>
              <m:rPr>
                <m:sty m:val="p"/>
              </m:rPr>
              <m:t>(</m:t>
            </m:r>
            <m:r>
              <m:t>j</m:t>
            </m:r>
            <m:r>
              <m:rPr>
                <m:sty m:val="p"/>
              </m:rPr>
              <m:t>)</m:t>
            </m:r>
          </m:sup>
        </m:sSubSup>
      </m:oMath>
      <w:r>
        <w:t xml:space="preserve">, with the index</w:t>
      </w:r>
      <w:r>
        <w:t xml:space="preserve"> </w:t>
      </w:r>
      <m:oMath>
        <m:sSub>
          <m:e>
            <m:r>
              <m:t>j</m:t>
            </m:r>
          </m:e>
          <m:sub>
            <m:r>
              <m:rPr>
                <m:sty m:val="p"/>
              </m:rPr>
              <m:t>S</m:t>
            </m:r>
            <m:r>
              <m:rPr>
                <m:sty m:val="p"/>
              </m:rPr>
              <m:t>S</m:t>
            </m:r>
            <m:r>
              <m:rPr>
                <m:sty m:val="p"/>
              </m:rPr>
              <m:t>75</m:t>
            </m:r>
          </m:sub>
        </m:sSub>
      </m:oMath>
      <w:r>
        <w:t xml:space="preserve"> </w:t>
      </w:r>
      <w:r>
        <w:t xml:space="preserve">identifying the Shibata–Soelarno formulation</w:t>
      </w:r>
      <w:r>
        <w:t xml:space="preserve"> </w:t>
      </w:r>
      <w:r>
        <w:t xml:space="preserve">(</w:t>
      </w:r>
      <w:hyperlink w:anchor="ref-ShibataSoelarno1975">
        <w:r>
          <w:rPr>
            <w:rStyle w:val="Hyperlink"/>
          </w:rPr>
          <w:t xml:space="preserve">1975</w:t>
        </w:r>
      </w:hyperlink>
      <w:r>
        <w:t xml:space="preserve">)</w:t>
      </w:r>
      <w:r>
        <w:t xml:space="preserve">:</w:t>
      </w:r>
    </w:p>
    <w:p>
      <w:pPr>
        <w:pStyle w:val="Equation"/>
      </w:pPr>
      <w:bookmarkStart w:id="18" w:name="eq-slope-void-factor"/>
      <w:r>
        <w:tab/>
      </w:r>
      <m:oMath>
        <m:sSubSup>
          <m:e>
            <m:r>
              <m:t>F</m:t>
            </m:r>
          </m:e>
          <m:sub>
            <m:r>
              <m:t>e</m:t>
            </m:r>
          </m:sub>
          <m:sup>
            <m:r>
              <m:rPr>
                <m:sty m:val="p"/>
              </m:rPr>
              <m:t>(</m:t>
            </m:r>
            <m:r>
              <m:t>k</m:t>
            </m:r>
            <m:r>
              <m:rPr>
                <m:sty m:val="p"/>
              </m:rPr>
              <m:t>,</m:t>
            </m:r>
            <m:r>
              <m:t>j</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C</m:t>
                      </m:r>
                    </m:e>
                    <m:sub>
                      <m:r>
                        <m:t>e</m:t>
                      </m:r>
                    </m:sub>
                    <m:sup>
                      <m:r>
                        <m:rPr>
                          <m:sty m:val="p"/>
                        </m:rPr>
                        <m:t>(</m:t>
                      </m:r>
                      <m:r>
                        <m:t>j</m:t>
                      </m:r>
                      <m:r>
                        <m:rPr>
                          <m:sty m:val="p"/>
                        </m:rPr>
                        <m:t>)</m:t>
                      </m:r>
                    </m:sup>
                  </m:sSubSup>
                  <m:r>
                    <m:rPr>
                      <m:sty m:val="p"/>
                    </m:rPr>
                    <m:t>−</m:t>
                  </m:r>
                  <m:f>
                    <m:fPr>
                      <m:type m:val="bar"/>
                    </m:fPr>
                    <m:num>
                      <m:sSubSup>
                        <m:e>
                          <m:r>
                            <m:t>e</m:t>
                          </m:r>
                        </m:e>
                        <m:sub>
                          <m:r>
                            <m:t>0</m:t>
                          </m:r>
                        </m:sub>
                        <m:sup>
                          <m:r>
                            <m:rPr>
                              <m:sty m:val="p"/>
                            </m:rPr>
                            <m:t>(</m:t>
                          </m:r>
                          <m:r>
                            <m:t>k</m:t>
                          </m:r>
                          <m:r>
                            <m:rPr>
                              <m:sty m:val="p"/>
                            </m:rPr>
                            <m:t>)</m:t>
                          </m:r>
                        </m:sup>
                      </m:sSub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r>
                <m:e>
                  <m:f>
                    <m:fPr>
                      <m:type m:val="bar"/>
                    </m:fPr>
                    <m:num>
                      <m:sSup>
                        <m:e>
                          <m:d>
                            <m:dPr>
                              <m:begChr m:val="("/>
                              <m:sepChr m:val=""/>
                              <m:endChr m:val=")"/>
                              <m:grow/>
                            </m:dPr>
                            <m:e>
                              <m:sSubSup>
                                <m:e>
                                  <m:r>
                                    <m:t>C</m:t>
                                  </m:r>
                                </m:e>
                                <m:sub>
                                  <m:r>
                                    <m:t>e</m:t>
                                  </m:r>
                                </m:sub>
                                <m:sup>
                                  <m:r>
                                    <m:rPr>
                                      <m:sty m:val="p"/>
                                    </m:rPr>
                                    <m:t>(</m:t>
                                  </m:r>
                                  <m:r>
                                    <m:t>j</m:t>
                                  </m:r>
                                  <m:r>
                                    <m:rPr>
                                      <m:sty m:val="p"/>
                                    </m:rPr>
                                    <m:t>)</m:t>
                                  </m:r>
                                </m:sup>
                              </m:sSubSup>
                              <m:r>
                                <m:rPr>
                                  <m:sty m:val="p"/>
                                </m:rPr>
                                <m:t>−</m:t>
                              </m:r>
                              <m:sSubSup>
                                <m:e>
                                  <m:r>
                                    <m:t>e</m:t>
                                  </m:r>
                                </m:e>
                                <m:sub>
                                  <m:r>
                                    <m:t>0</m:t>
                                  </m:r>
                                </m:sub>
                                <m:sup>
                                  <m:r>
                                    <m:rPr>
                                      <m:sty m:val="p"/>
                                    </m:rPr>
                                    <m:t>(</m:t>
                                  </m:r>
                                  <m:r>
                                    <m:t>k</m:t>
                                  </m:r>
                                  <m:r>
                                    <m:rPr>
                                      <m:sty m:val="p"/>
                                    </m:rPr>
                                    <m:t>)</m:t>
                                  </m:r>
                                </m:sup>
                              </m:sSubSup>
                            </m:e>
                          </m:d>
                        </m:e>
                        <m:sup>
                          <m:r>
                            <m:t>2</m:t>
                          </m:r>
                        </m:sup>
                      </m:s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
          </m:e>
        </m:d>
      </m:oMath>
      <w:r>
        <w:tab/>
      </w:r>
      <w:r>
        <w:t xml:space="preserve">(9)</w:t>
      </w:r>
      <w:bookmarkEnd w:id="18"/>
    </w:p>
    <w:p>
      <w:pPr>
        <w:pStyle w:val="BodyText"/>
      </w:pPr>
      <w:r>
        <w:t xml:space="preserve">The shear-wave velocity of layer</w:t>
      </w:r>
      <w:r>
        <w:t xml:space="preserve"> </w:t>
      </w:r>
      <m:oMath>
        <m:r>
          <m:t>k</m:t>
        </m:r>
      </m:oMath>
      <w:r>
        <w:t xml:space="preserve"> </w:t>
      </w:r>
      <w:r>
        <w:t xml:space="preserve">then follows from</w:t>
      </w:r>
    </w:p>
    <w:p>
      <w:pPr>
        <w:pStyle w:val="Equation"/>
      </w:pPr>
      <w:bookmarkStart w:id="19" w:name="eq-slope-layer-velocity"/>
      <w:r>
        <w:tab/>
      </w:r>
      <m:oMath>
        <m:sSubSup>
          <m:e>
            <m:r>
              <m:t>V</m:t>
            </m:r>
          </m:e>
          <m:sub>
            <m:r>
              <m:t>S</m:t>
            </m:r>
          </m:sub>
          <m:sup>
            <m:r>
              <m:rPr>
                <m:sty m:val="p"/>
              </m:rPr>
              <m:t>(</m:t>
            </m:r>
            <m:r>
              <m:t>k</m:t>
            </m:r>
            <m:r>
              <m:rPr>
                <m:sty m:val="p"/>
              </m:rPr>
              <m:t>)</m:t>
            </m:r>
          </m:sup>
        </m:sSubSup>
        <m:r>
          <m:rPr>
            <m:sty m:val="p"/>
          </m:rPr>
          <m:t>=</m:t>
        </m:r>
        <m:sSup>
          <m:e>
            <m:d>
              <m:dPr>
                <m:begChr m:val="("/>
                <m:sepChr m:val=""/>
                <m:endChr m:val=")"/>
                <m:grow/>
              </m:dPr>
              <m:e>
                <m:f>
                  <m:fPr>
                    <m:type m:val="bar"/>
                  </m:fPr>
                  <m:num>
                    <m:r>
                      <m:t>g</m:t>
                    </m:r>
                    <m:sSubSup>
                      <m:e>
                        <m:r>
                          <m:t>G</m:t>
                        </m:r>
                      </m:e>
                      <m:sub>
                        <m:r>
                          <m:t>m</m:t>
                        </m:r>
                      </m:sub>
                      <m:sup>
                        <m:r>
                          <m:rPr>
                            <m:sty m:val="p"/>
                          </m:rPr>
                          <m:t>(</m:t>
                        </m:r>
                        <m:r>
                          <m:t>k</m:t>
                        </m:r>
                        <m:r>
                          <m:rPr>
                            <m:sty m:val="p"/>
                          </m:rPr>
                          <m:t>)</m:t>
                        </m:r>
                      </m:sup>
                    </m:sSubSup>
                  </m:num>
                  <m:den>
                    <m:sSubSup>
                      <m:e>
                        <m:r>
                          <m:t>γ</m:t>
                        </m:r>
                      </m:e>
                      <m:sub>
                        <m:r>
                          <m:rPr>
                            <m:sty m:val="p"/>
                          </m:rPr>
                          <m:t>s</m:t>
                        </m:r>
                        <m:r>
                          <m:rPr>
                            <m:sty m:val="p"/>
                          </m:rPr>
                          <m:t>a</m:t>
                        </m:r>
                        <m:r>
                          <m:rPr>
                            <m:sty m:val="p"/>
                          </m:rPr>
                          <m:t>t</m:t>
                        </m:r>
                      </m:sub>
                      <m:sup>
                        <m:r>
                          <m:rPr>
                            <m:sty m:val="p"/>
                          </m:rPr>
                          <m:t>(</m:t>
                        </m:r>
                        <m:r>
                          <m:t>k</m:t>
                        </m:r>
                        <m:r>
                          <m:rPr>
                            <m:sty m:val="p"/>
                          </m:rPr>
                          <m:t>)</m:t>
                        </m:r>
                      </m:sup>
                    </m:sSubSup>
                  </m:den>
                </m:f>
              </m:e>
            </m:d>
          </m:e>
          <m:sup>
            <m:r>
              <m:t>1</m:t>
            </m:r>
            <m:r>
              <m:rPr>
                <m:sty m:val="p"/>
              </m:rPr>
              <m:t>/</m:t>
            </m:r>
            <m:r>
              <m:t>2</m:t>
            </m:r>
          </m:sup>
        </m:sSup>
        <m:r>
          <m:rPr>
            <m:sty m:val="p"/>
          </m:rPr>
          <m:t>,</m:t>
        </m:r>
      </m:oMath>
      <w:r>
        <w:tab/>
      </w:r>
      <w:r>
        <w:t xml:space="preserve">(10)</w:t>
      </w:r>
      <w:bookmarkEnd w:id="19"/>
    </w:p>
    <w:p>
      <w:pPr>
        <w:pStyle w:val="BodyText"/>
      </w:pPr>
      <w:r>
        <w:t xml:space="preserve">where</w:t>
      </w:r>
      <w:r>
        <w:t xml:space="preserve"> </w:t>
      </w:r>
      <m:oMath>
        <m:sSubSup>
          <m:e>
            <m:r>
              <m:t>G</m:t>
            </m:r>
          </m:e>
          <m:sub>
            <m:r>
              <m:t>m</m:t>
            </m:r>
          </m:sub>
          <m:sup>
            <m:r>
              <m:rPr>
                <m:sty m:val="p"/>
              </m:rPr>
              <m:t>(</m:t>
            </m:r>
            <m:r>
              <m:t>k</m:t>
            </m:r>
            <m:r>
              <m:rPr>
                <m:sty m:val="p"/>
              </m:rPr>
              <m:t>)</m:t>
            </m:r>
          </m:sup>
        </m:sSubSup>
      </m:oMath>
      <w:r>
        <w:t xml:space="preserve"> </w:t>
      </w:r>
      <w:r>
        <w:t xml:space="preserve">is the adopted layer modulus and</w:t>
      </w:r>
      <w:r>
        <w:t xml:space="preserve"> </w:t>
      </w:r>
      <m:oMath>
        <m:sSubSup>
          <m:e>
            <m:r>
              <m:t>γ</m:t>
            </m:r>
          </m:e>
          <m:sub>
            <m:r>
              <m:rPr>
                <m:sty m:val="p"/>
              </m:rPr>
              <m:t>s</m:t>
            </m:r>
            <m:r>
              <m:rPr>
                <m:sty m:val="p"/>
              </m:rPr>
              <m:t>a</m:t>
            </m:r>
            <m:r>
              <m:rPr>
                <m:sty m:val="p"/>
              </m:rPr>
              <m:t>t</m:t>
            </m:r>
          </m:sub>
          <m:sup>
            <m:r>
              <m:rPr>
                <m:sty m:val="p"/>
              </m:rPr>
              <m:t>(</m:t>
            </m:r>
            <m:r>
              <m:t>k</m:t>
            </m:r>
            <m:r>
              <m:rPr>
                <m:sty m:val="p"/>
              </m:rPr>
              <m:t>)</m:t>
            </m:r>
          </m:sup>
        </m:sSubSup>
      </m:oMath>
      <w:r>
        <w:t xml:space="preserve"> </w:t>
      </w:r>
      <w:r>
        <w:t xml:space="preserve">is its saturated unit weight; all quantities are expressed in consistent units.</w:t>
      </w:r>
    </w:p>
    <w:p>
      <w:pPr>
        <w:pStyle w:val="BodyText"/>
      </w:pPr>
      <w:r>
        <w:t xml:space="preserve"> </w:t>
      </w:r>
    </w:p>
    <w:bookmarkStart w:id="20" w:name="tbl-ish1"/>
    <w:p>
      <w:pPr>
        <w:pStyle w:val="ImageCaption"/>
        <w:spacing w:before="200"/>
        <w:jc w:val="left"/>
      </w:pPr>
      <w:r>
        <w:t xml:space="preserve">Table 1: Parameters of the small-strain stiffness formulations for gravels, sands, and fine-grained soils, used in expression</w:t>
      </w:r>
      <w:r>
        <w:t xml:space="preserve"> </w:t>
      </w:r>
      <w:hyperlink w:anchor="eq-slope-modulus">
        <w:r>
          <w:rPr>
            <w:rStyle w:val="Hyperlink"/>
          </w:rPr>
          <w:t xml:space="preserve">7</w:t>
        </w:r>
      </w:hyperlink>
      <w:r>
        <w:t xml:space="preserve"> </w:t>
      </w:r>
      <w:r>
        <w:t xml:space="preserve">with</w:t>
      </w:r>
      <w:r>
        <w:t xml:space="preserve"> </w:t>
      </w:r>
      <m:oMath>
        <m:sSubSup>
          <m:e>
            <m:r>
              <m:t>p</m:t>
            </m:r>
          </m:e>
          <m:sub>
            <m:r>
              <m:t>m</m:t>
            </m:r>
          </m:sub>
          <m:sup>
            <m:r>
              <m:rPr>
                <m:sty m:val="p"/>
              </m:rPr>
              <m:t>(</m:t>
            </m:r>
            <m:r>
              <m:t>k</m:t>
            </m:r>
            <m:r>
              <m:rPr>
                <m:sty m:val="p"/>
              </m:rPr>
              <m:t>)</m:t>
            </m:r>
          </m:sup>
        </m:sSubSup>
      </m:oMath>
      <w:r>
        <w:t xml:space="preserve"> </w:t>
      </w:r>
      <w:r>
        <w:t xml:space="preserve">and</w:t>
      </w:r>
      <w:r>
        <w:t xml:space="preserve"> </w:t>
      </w:r>
      <m:oMath>
        <m:sSub>
          <m:e>
            <m:r>
              <m:t>p</m:t>
            </m:r>
          </m:e>
          <m:sub>
            <m:r>
              <m:rPr>
                <m:sty m:val="p"/>
              </m:rPr>
              <m:t>r</m:t>
            </m:r>
            <m:r>
              <m:rPr>
                <m:sty m:val="p"/>
              </m:rPr>
              <m:t>e</m:t>
            </m:r>
            <m:r>
              <m:rPr>
                <m:sty m:val="p"/>
              </m:rPr>
              <m:t>f</m:t>
            </m:r>
          </m:sub>
        </m:sSub>
      </m:oMath>
      <w:r>
        <w:t xml:space="preserve"> </w:t>
      </w:r>
      <w:r>
        <w:t xml:space="preserve">in kPa and</w:t>
      </w:r>
      <w:r>
        <w:t xml:space="preserve"> </w:t>
      </w:r>
      <m:oMath>
        <m:sSubSup>
          <m:e>
            <m:r>
              <m:t>G</m:t>
            </m:r>
          </m:e>
          <m:sub>
            <m:r>
              <m:t>m</m:t>
            </m:r>
          </m:sub>
          <m:sup>
            <m:r>
              <m:rPr>
                <m:sty m:val="p"/>
              </m:rPr>
              <m:t>(</m:t>
            </m:r>
            <m:r>
              <m:t>k</m:t>
            </m:r>
            <m:r>
              <m:rPr>
                <m:sty m:val="p"/>
              </m:rPr>
              <m:t>)</m:t>
            </m:r>
          </m:sup>
        </m:sSubSup>
      </m:oMath>
      <w:r>
        <w:t xml:space="preserve"> </w:t>
      </w:r>
      <w:r>
        <w:t xml:space="preserve">in MPa.</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Formulation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Reference material</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Author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C</m:t>
                  </m:r>
                </m:e>
                <m:sub>
                  <m:r>
                    <m:t>e</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Angular-grain crushed sand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Round-grain Ottawa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Iwasaki et al.(1978)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Toyoura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Ticino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 Presti et.al (1993)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SS75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Shibata-Soelarno (1975)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YR84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Yu-Richart (1984)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HB68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undisturbed NC Clays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Black (1968)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KU82C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Undisturbed NC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et al.(1982)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Bentonite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Kaoline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Goto et al.(1987)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Rounded 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Crushed Rock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Nishio et al.(1985)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Balast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Prange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Tanaka et al.(1987)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bl>
    <w:bookmarkEnd w:id="20"/>
    <w:p/>
    <w:p>
      <w:pPr>
        <w:pStyle w:val="BodyText"/>
      </w:pPr>
      <w:r>
        <w:t xml:space="preserve"> </w:t>
      </w:r>
    </w:p>
    <w:p>
      <w:pPr>
        <w:pStyle w:val="BodyText"/>
      </w:pPr>
      <w:r>
        <w:t xml:space="preserve">For each geometry–material combination, the analysis generates</w:t>
      </w:r>
      <w:r>
        <w:t xml:space="preserve"> </w:t>
      </w:r>
      <m:oMath>
        <m:r>
          <m:t>N</m:t>
        </m:r>
      </m:oMath>
      <w:r>
        <w:t xml:space="preserve"> </w:t>
      </w:r>
      <w:r>
        <w:t xml:space="preserve">synthetic realizations of the layered profile, and each of</w:t>
      </w:r>
      <w:r>
        <w:t xml:space="preserve"> </w:t>
      </w:r>
      <m:oMath>
        <m:sSub>
          <m:e>
            <m:r>
              <m:t>G</m:t>
            </m:r>
          </m:e>
          <m:sub>
            <m:r>
              <m:t>o</m:t>
            </m:r>
          </m:sub>
        </m:sSub>
      </m:oMath>
      <w:r>
        <w:t xml:space="preserve">,</w:t>
      </w:r>
      <w:r>
        <w:t xml:space="preserve"> </w:t>
      </w:r>
      <m:oMath>
        <m:sSub>
          <m:e>
            <m:r>
              <m:t>m</m:t>
            </m:r>
          </m:e>
          <m:sub>
            <m:r>
              <m:t>o</m:t>
            </m:r>
          </m:sub>
        </m:sSub>
      </m:oMath>
      <w:r>
        <w:t xml:space="preserve">,</w:t>
      </w:r>
      <w:r>
        <w:t xml:space="preserve"> </w:t>
      </w:r>
      <m:oMath>
        <m:sSubSup>
          <m:e>
            <m:r>
              <m:t>V</m:t>
            </m:r>
          </m:e>
          <m:sub>
            <m:r>
              <m:t>S</m:t>
            </m:r>
          </m:sub>
          <m:sup>
            <m:r>
              <m:t>o</m:t>
            </m:r>
          </m:sup>
        </m:sSubSup>
      </m:oMath>
      <w:r>
        <w:t xml:space="preserve">, and</w:t>
      </w:r>
      <w:r>
        <w:t xml:space="preserve"> </w:t>
      </w:r>
      <m:oMath>
        <m:sSub>
          <m:e>
            <m:r>
              <m:t>V</m:t>
            </m:r>
          </m:e>
          <m:sub>
            <m:r>
              <m:t>S</m:t>
            </m:r>
            <m:r>
              <m:t>30</m:t>
            </m:r>
          </m:sub>
        </m:sSub>
      </m:oMath>
      <w:r>
        <w:t xml:space="preserve"> </w:t>
      </w:r>
      <w:r>
        <w:t xml:space="preserve">is summarized by its mean and selected marginal fractiles; for the mean and for each reported fractile,</w:t>
      </w:r>
      <w:r>
        <w:t xml:space="preserve"> </w:t>
      </w:r>
      <m:oMath>
        <m:sSub>
          <m:e>
            <m:r>
              <m:t>a</m:t>
            </m:r>
          </m:e>
          <m:sub>
            <m:r>
              <m:t>1</m:t>
            </m:r>
          </m:sub>
        </m:sSub>
      </m:oMath>
      <w:r>
        <w:t xml:space="preserve"> </w:t>
      </w:r>
      <w:r>
        <w:t xml:space="preserve">and</w:t>
      </w:r>
      <w:r>
        <w:t xml:space="preserve"> </w:t>
      </w:r>
      <m:oMath>
        <m:sSub>
          <m:e>
            <m:r>
              <m:t>T</m:t>
            </m:r>
          </m:e>
          <m:sub>
            <m:r>
              <m:t>s</m:t>
            </m:r>
          </m:sub>
        </m:sSub>
      </m:oMath>
      <w:r>
        <w:t xml:space="preserve"> </w:t>
      </w:r>
      <w:r>
        <w:t xml:space="preserve">are evaluated from the corresponding</w:t>
      </w:r>
      <w:r>
        <w:t xml:space="preserve"> </w:t>
      </w:r>
      <m:oMath>
        <m:sSub>
          <m:e>
            <m:r>
              <m:t>m</m:t>
            </m:r>
          </m:e>
          <m:sub>
            <m:r>
              <m:t>o</m:t>
            </m:r>
          </m:sub>
        </m:sSub>
      </m:oMath>
      <w:r>
        <w:t xml:space="preserve"> </w:t>
      </w:r>
      <w:r>
        <w:t xml:space="preserve">and</w:t>
      </w:r>
      <w:r>
        <w:t xml:space="preserve"> </w:t>
      </w:r>
      <m:oMath>
        <m:sSubSup>
          <m:e>
            <m:r>
              <m:t>V</m:t>
            </m:r>
          </m:e>
          <m:sub>
            <m:r>
              <m:t>S</m:t>
            </m:r>
          </m:sub>
          <m:sup>
            <m:r>
              <m:t>o</m:t>
            </m:r>
          </m:sup>
        </m:sSubSup>
      </m:oMath>
      <w:r>
        <w:t xml:space="preserve"> </w:t>
      </w:r>
      <w:r>
        <w:t xml:space="preserve">values, and the estimates calculated from the mean parameter values provide the dynamic properties used in the displacement analysis.</w:t>
      </w:r>
      <w:r>
        <w:t xml:space="preserve"> </w:t>
      </w:r>
      <m:oMath>
        <m:sSub>
          <m:e>
            <m:r>
              <m:t>V</m:t>
            </m:r>
          </m:e>
          <m:sub>
            <m:r>
              <m:t>S</m:t>
            </m:r>
            <m:r>
              <m:t>30</m:t>
            </m:r>
          </m:sub>
        </m:sSub>
      </m:oMath>
      <w:r>
        <w:t xml:space="preserve"> </w:t>
      </w:r>
      <w:r>
        <w:t xml:space="preserve">is the travel-time-averaged shear-wave velocity in the uppermost 30 m:</w:t>
      </w:r>
    </w:p>
    <w:p>
      <w:pPr>
        <w:pStyle w:val="Equation"/>
      </w:pPr>
      <w:bookmarkStart w:id="21" w:name="eq-slope-vs30"/>
      <w:r>
        <w:tab/>
      </w:r>
      <m:oMath>
        <m:sSub>
          <m:e>
            <m:r>
              <m:t>V</m:t>
            </m:r>
          </m:e>
          <m:sub>
            <m:r>
              <m:t>S</m:t>
            </m:r>
            <m:r>
              <m:t>30</m:t>
            </m:r>
          </m:sub>
        </m:sSub>
        <m:r>
          <m:rPr>
            <m:sty m:val="p"/>
          </m:rPr>
          <m:t>=</m:t>
        </m:r>
        <m:f>
          <m:fPr>
            <m:type m:val="bar"/>
          </m:fPr>
          <m:num>
            <m:r>
              <m:t>30</m:t>
            </m:r>
          </m:num>
          <m:den>
            <m:nary>
              <m:naryPr>
                <m:chr m:val="∑"/>
                <m:limLoc m:val="undOvr"/>
                <m:subHide m:val="off"/>
                <m:supHide m:val="on"/>
              </m:naryPr>
              <m:sub>
                <m:r>
                  <m:t>i</m:t>
                </m:r>
              </m:sub>
              <m:sup>
                <m:r>
                  <m:t>​</m:t>
                </m:r>
              </m:sup>
              <m:e>
                <m:f>
                  <m:fPr>
                    <m:type m:val="bar"/>
                  </m:fPr>
                  <m:num>
                    <m:sSubSup>
                      <m:e>
                        <m:r>
                          <m:t>h</m:t>
                        </m:r>
                      </m:e>
                      <m:sub>
                        <m:r>
                          <m:t>30</m:t>
                        </m:r>
                      </m:sub>
                      <m:sup>
                        <m:r>
                          <m:rPr>
                            <m:sty m:val="p"/>
                          </m:rPr>
                          <m:t>(</m:t>
                        </m:r>
                        <m:r>
                          <m:t>i</m:t>
                        </m:r>
                        <m:r>
                          <m:rPr>
                            <m:sty m:val="p"/>
                          </m:rPr>
                          <m:t>)</m:t>
                        </m:r>
                      </m:sup>
                    </m:sSubSup>
                  </m:num>
                  <m:den>
                    <m:sSubSup>
                      <m:e>
                        <m:r>
                          <m:t>V</m:t>
                        </m:r>
                      </m:e>
                      <m:sub>
                        <m:r>
                          <m:t>S</m:t>
                        </m:r>
                      </m:sub>
                      <m:sup>
                        <m:r>
                          <m:rPr>
                            <m:sty m:val="p"/>
                          </m:rPr>
                          <m:t>(</m:t>
                        </m:r>
                        <m:r>
                          <m:t>i</m:t>
                        </m:r>
                        <m:r>
                          <m:rPr>
                            <m:sty m:val="p"/>
                          </m:rPr>
                          <m:t>)</m:t>
                        </m:r>
                      </m:sup>
                    </m:sSubSup>
                  </m:den>
                </m:f>
              </m:e>
            </m:nary>
            <m:r>
              <m:rPr>
                <m:sty m:val="p"/>
              </m:rPr>
              <m:t>+</m:t>
            </m:r>
            <m:f>
              <m:fPr>
                <m:type m:val="bar"/>
              </m:fPr>
              <m:num>
                <m:r>
                  <m:rPr>
                    <m:sty m:val="p"/>
                  </m:rPr>
                  <m:t>max</m:t>
                </m:r>
                <m:r>
                  <m:rPr>
                    <m:sty m:val="p"/>
                  </m:rPr>
                  <m:t>(</m:t>
                </m:r>
                <m:r>
                  <m:t>30</m:t>
                </m:r>
                <m:r>
                  <m:rPr>
                    <m:sty m:val="p"/>
                  </m:rPr>
                  <m:t>−</m:t>
                </m:r>
                <m:sSub>
                  <m:e>
                    <m:r>
                      <m:t>H</m:t>
                    </m:r>
                  </m:e>
                  <m:sub>
                    <m:r>
                      <m:t>s</m:t>
                    </m:r>
                  </m:sub>
                </m:sSub>
                <m:r>
                  <m:rPr>
                    <m:sty m:val="p"/>
                  </m:rPr>
                  <m:t>,</m:t>
                </m:r>
                <m:r>
                  <m:t>0</m:t>
                </m:r>
                <m:r>
                  <m:rPr>
                    <m:sty m:val="p"/>
                  </m:rPr>
                  <m:t>)</m:t>
                </m:r>
              </m:num>
              <m:den>
                <m:sSub>
                  <m:e>
                    <m:r>
                      <m:t>V</m:t>
                    </m:r>
                  </m:e>
                  <m:sub>
                    <m:r>
                      <m:rPr>
                        <m:sty m:val="p"/>
                      </m:rPr>
                      <m:t>r</m:t>
                    </m:r>
                    <m:r>
                      <m:rPr>
                        <m:sty m:val="p"/>
                      </m:rPr>
                      <m:t>e</m:t>
                    </m:r>
                    <m:r>
                      <m:rPr>
                        <m:sty m:val="p"/>
                      </m:rPr>
                      <m:t>f</m:t>
                    </m:r>
                  </m:sub>
                </m:sSub>
              </m:den>
            </m:f>
          </m:den>
        </m:f>
        <m:r>
          <m:rPr>
            <m:sty m:val="p"/>
          </m:rPr>
          <m:t>.</m:t>
        </m:r>
      </m:oMath>
      <w:r>
        <w:tab/>
      </w:r>
      <w:r>
        <w:t xml:space="preserve">(11)</w:t>
      </w:r>
      <w:bookmarkEnd w:id="21"/>
    </w:p>
    <w:p>
      <w:pPr>
        <w:pStyle w:val="BodyText"/>
      </w:pPr>
      <w:r>
        <w:t xml:space="preserve">In this expression,</w:t>
      </w:r>
      <w:r>
        <w:t xml:space="preserve"> </w:t>
      </w:r>
      <m:oMath>
        <m:sSubSup>
          <m:e>
            <m:r>
              <m:t>h</m:t>
            </m:r>
          </m:e>
          <m:sub>
            <m:r>
              <m:t>30</m:t>
            </m:r>
          </m:sub>
          <m:sup>
            <m:r>
              <m:rPr>
                <m:sty m:val="p"/>
              </m:rPr>
              <m:t>(</m:t>
            </m:r>
            <m:r>
              <m:t>i</m:t>
            </m:r>
            <m:r>
              <m:rPr>
                <m:sty m:val="p"/>
              </m:rPr>
              <m:t>)</m:t>
            </m:r>
          </m:sup>
        </m:sSubSup>
      </m:oMath>
      <w:r>
        <w:t xml:space="preserve"> </w:t>
      </w:r>
      <w:r>
        <w:t xml:space="preserve">is the portion of layer</w:t>
      </w:r>
      <w:r>
        <w:t xml:space="preserve"> </w:t>
      </w:r>
      <m:oMath>
        <m:r>
          <m:t>i</m:t>
        </m:r>
      </m:oMath>
      <w:r>
        <w:t xml:space="preserve"> </w:t>
      </w:r>
      <w:r>
        <w:t xml:space="preserve">within the uppermost 30 m and</w:t>
      </w:r>
      <w:r>
        <w:t xml:space="preserve"> </w:t>
      </w:r>
      <m:oMath>
        <m:sSubSup>
          <m:e>
            <m:r>
              <m:t>V</m:t>
            </m:r>
          </m:e>
          <m:sub>
            <m:r>
              <m:t>S</m:t>
            </m:r>
          </m:sub>
          <m:sup>
            <m:r>
              <m:rPr>
                <m:sty m:val="p"/>
              </m:rPr>
              <m:t>(</m:t>
            </m:r>
            <m:r>
              <m:t>i</m:t>
            </m:r>
            <m:r>
              <m:rPr>
                <m:sty m:val="p"/>
              </m:rPr>
              <m:t>)</m:t>
            </m:r>
          </m:sup>
        </m:sSubSup>
      </m:oMath>
      <w:r>
        <w:t xml:space="preserve"> </w:t>
      </w:r>
      <w:r>
        <w:t xml:space="preserve">is its shear-wave velocity; when</w:t>
      </w:r>
      <w:r>
        <w:t xml:space="preserve"> </w:t>
      </w:r>
      <m:oMath>
        <m:sSub>
          <m:e>
            <m:r>
              <m:t>H</m:t>
            </m:r>
          </m:e>
          <m:sub>
            <m:r>
              <m:t>s</m:t>
            </m:r>
          </m:sub>
        </m:sSub>
        <m:r>
          <m:rPr>
            <m:sty m:val="p"/>
          </m:rPr>
          <m:t>&lt;</m:t>
        </m:r>
        <m:r>
          <m:t>30</m:t>
        </m:r>
      </m:oMath>
      <w:r>
        <w:t xml:space="preserve"> </w:t>
      </w:r>
      <w:r>
        <w:t xml:space="preserve">m, the reference velocity</w:t>
      </w:r>
      <w:r>
        <w:t xml:space="preserve"> </w:t>
      </w:r>
      <m:oMath>
        <m:sSub>
          <m:e>
            <m:r>
              <m:t>V</m:t>
            </m:r>
          </m:e>
          <m:sub>
            <m:r>
              <m:rPr>
                <m:sty m:val="p"/>
              </m:rPr>
              <m:t>r</m:t>
            </m:r>
            <m:r>
              <m:rPr>
                <m:sty m:val="p"/>
              </m:rPr>
              <m:t>e</m:t>
            </m:r>
            <m:r>
              <m:rPr>
                <m:sty m:val="p"/>
              </m:rPr>
              <m:t>f</m:t>
            </m:r>
          </m:sub>
        </m:sSub>
      </m:oMath>
      <w:r>
        <w:t xml:space="preserve"> </w:t>
      </w:r>
      <w:r>
        <w:t xml:space="preserve">is assigned to the remaining thickness.</w:t>
      </w:r>
    </w:p>
    <w:bookmarkStart w:id="23" w:name="tbl-memo-periods-table-ts"/>
    <w:p>
      <w:pPr>
        <w:pStyle w:val="ImageCaption"/>
        <w:spacing w:before="200"/>
        <w:jc w:val="left"/>
      </w:pPr>
      <w:r>
        <w:t xml:space="preserve">Table 2: Fundamental periods</w:t>
      </w:r>
      <w:r>
        <w:t xml:space="preserve"> </w:t>
      </w:r>
      <m:oMath>
        <m:sSub>
          <m:e>
            <m:r>
              <m:t>T</m:t>
            </m:r>
          </m:e>
          <m:sub>
            <m:r>
              <m:t>s</m:t>
            </m:r>
          </m:sub>
        </m:sSub>
        <m:r>
          <m:rPr>
            <m:sty m:val="p"/>
          </m:rPr>
          <m:t>≈</m:t>
        </m:r>
        <m:sSub>
          <m:e>
            <m:r>
              <m:t>T</m:t>
            </m:r>
          </m:e>
          <m:sub>
            <m:r>
              <m:t>1</m:t>
            </m:r>
          </m:sub>
        </m:sSub>
      </m:oMath>
      <w:r>
        <w:t xml:space="preserve"> </w:t>
      </w:r>
      <w:r>
        <w:t xml:space="preserve">[s] and mean dynamic properties of the evaluated slope scenarios.</w:t>
      </w:r>
      <w:r>
        <w:rPr>
          <w:rStyle w:val="FootnoteReference"/>
        </w:rPr>
        <w:footnoteReference w:id="22"/>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USCS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H</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b</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s</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λ</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a</m:t>
                  </m:r>
                </m:e>
                <m:sub>
                  <m:r>
                    <m:t>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G</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Sup>
                <m:e>
                  <m:r>
                    <m:t>V</m:t>
                  </m:r>
                </m:e>
                <m:sub>
                  <m:r>
                    <m:t>S</m:t>
                  </m:r>
                </m:sub>
                <m:sup>
                  <m:r>
                    <m:t>o</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ML MH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0.484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368.8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SP 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2.9528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r>
    </w:tbl>
    <w:bookmarkEnd w:id="23"/>
    <w:p/>
    <w:bookmarkEnd w:id="24"/>
    <w:bookmarkStart w:id="29" w:name="sec-coefficients"/>
    <w:p>
      <w:pPr>
        <w:pStyle w:val="Heading2"/>
      </w:pPr>
      <w:r>
        <w:t xml:space="preserve">Performance-Based Seismic Coefficient</w:t>
      </w:r>
    </w:p>
    <w:p>
      <w:pPr>
        <w:pStyle w:val="FirstParagraph"/>
      </w:pPr>
      <w:r>
        <w:t xml:space="preserve">Pseudostatic seismic design of slopes requires a horizontal coefficient representing earthquake loading on the sliding mass. In this memo the coefficient is derived from displacement-based performance: the Newmark permanent displacement</w:t>
      </w:r>
      <w:r>
        <w:t xml:space="preserve"> </w:t>
      </w:r>
      <m:oMath>
        <m:sSub>
          <m:e>
            <m:r>
              <m:t>D</m:t>
            </m:r>
          </m:e>
          <m:sub>
            <m:r>
              <m:t>n</m:t>
            </m:r>
          </m:sub>
        </m:sSub>
      </m:oMath>
      <w:r>
        <w:t xml:space="preserve"> </w:t>
      </w:r>
      <w:r>
        <w:t xml:space="preserve">is the slope-deformation performance measure, and the coefficient</w:t>
      </w:r>
      <w:r>
        <w:t xml:space="preserve"> </w:t>
      </w:r>
      <m:oMath>
        <m:sSub>
          <m:e>
            <m:r>
              <m:t>k</m:t>
            </m:r>
          </m:e>
          <m:sub>
            <m:r>
              <m:rPr>
                <m:sty m:val="p"/>
              </m:rPr>
              <m:t>max</m:t>
            </m:r>
          </m:sub>
        </m:sSub>
      </m:oMath>
      <w:r>
        <w:t xml:space="preserve"> </w:t>
      </w:r>
      <w:r>
        <w:t xml:space="preserve">is the lowest yield coefficient</w:t>
      </w:r>
      <w:r>
        <w:t xml:space="preserve"> </w:t>
      </w:r>
      <m:oMath>
        <m:sSub>
          <m:e>
            <m:r>
              <m:t>k</m:t>
            </m:r>
          </m:e>
          <m:sub>
            <m:r>
              <m:t>y</m:t>
            </m:r>
          </m:sub>
        </m:sSub>
      </m:oMath>
      <w:r>
        <w:t xml:space="preserve"> </w:t>
      </w:r>
      <w:r>
        <w:t xml:space="preserve">consistent with a performance objective defined by the allowable displacement</w:t>
      </w:r>
      <w:r>
        <w:t xml:space="preserve"> </w:t>
      </w:r>
      <m:oMath>
        <m:sSub>
          <m:e>
            <m:r>
              <m:t>D</m:t>
            </m:r>
          </m:e>
          <m:sub>
            <m:r>
              <m:t>a</m:t>
            </m:r>
          </m:sub>
        </m:sSub>
      </m:oMath>
      <w:r>
        <w:t xml:space="preserve"> </w:t>
      </w:r>
      <w:r>
        <w:t xml:space="preserve">and the target maximum probability</w:t>
      </w:r>
      <w:r>
        <w:t xml:space="preserve"> </w:t>
      </w:r>
      <m:oMath>
        <m:sSub>
          <m:e>
            <m:r>
              <m:t>p</m:t>
            </m:r>
          </m:e>
          <m:sub>
            <m:r>
              <m:t>e</m:t>
            </m:r>
          </m:sub>
        </m:sSub>
      </m:oMath>
      <w:r>
        <w:t xml:space="preserve"> </w:t>
      </w:r>
      <w:r>
        <w:t xml:space="preserve">that</w:t>
      </w:r>
      <w:r>
        <w:t xml:space="preserve"> </w:t>
      </w:r>
      <m:oMath>
        <m:sSub>
          <m:e>
            <m:r>
              <m:t>D</m:t>
            </m:r>
          </m:e>
          <m:sub>
            <m:r>
              <m:t>n</m:t>
            </m:r>
          </m:sub>
        </m:sSub>
      </m:oMath>
      <w:r>
        <w:t xml:space="preserve"> </w:t>
      </w:r>
      <w:r>
        <w:t xml:space="preserve">exceeds</w:t>
      </w:r>
      <w:r>
        <w:t xml:space="preserve"> </w:t>
      </w:r>
      <m:oMath>
        <m:sSub>
          <m:e>
            <m:r>
              <m:t>D</m:t>
            </m:r>
          </m:e>
          <m:sub>
            <m:r>
              <m:t>a</m:t>
            </m:r>
          </m:sub>
        </m:sSub>
      </m:oMath>
      <w:r>
        <w:t xml:space="preserve">. The normalized coefficient</w:t>
      </w:r>
      <w:r>
        <w:t xml:space="preserve"> </w:t>
      </w:r>
      <m:oMath>
        <m:sSub>
          <m:e>
            <m:r>
              <m:t>k</m:t>
            </m:r>
          </m:e>
          <m:sub>
            <m:r>
              <m:t>h</m:t>
            </m:r>
          </m:sub>
        </m:sSub>
      </m:oMath>
      <w:r>
        <w:t xml:space="preserve"> </w:t>
      </w:r>
      <w:r>
        <w:t xml:space="preserve">expresses</w:t>
      </w:r>
      <w:r>
        <w:t xml:space="preserve"> </w:t>
      </w:r>
      <m:oMath>
        <m:sSub>
          <m:e>
            <m:r>
              <m:t>k</m:t>
            </m:r>
          </m:e>
          <m:sub>
            <m:r>
              <m:rPr>
                <m:sty m:val="p"/>
              </m:rPr>
              <m:t>max</m:t>
            </m:r>
          </m:sub>
        </m:sSub>
      </m:oMath>
      <w:r>
        <w:t xml:space="preserve"> </w:t>
      </w:r>
      <w:r>
        <w:t xml:space="preserve">as a percentage of the site-condition PGA after site response is accounted for in each geometry–material combination, and the coefficients are reported by geometry, material and seismic demand. For the slopes considered,</w:t>
      </w:r>
      <w:r>
        <w:t xml:space="preserve"> </w:t>
      </w:r>
      <m:oMath>
        <m:sSub>
          <m:e>
            <m:r>
              <m:t>D</m:t>
            </m:r>
          </m:e>
          <m:sub>
            <m:r>
              <m:t>n</m:t>
            </m:r>
          </m:sub>
        </m:sSub>
      </m:oMath>
      <w:r>
        <w:t xml:space="preserve"> </w:t>
      </w:r>
      <w:r>
        <w:t xml:space="preserve">is estimated probabilistically by combining empirical regression models within a lognormal framework.</w:t>
      </w:r>
    </w:p>
    <w:p>
      <w:pPr>
        <w:pStyle w:val="BodyText"/>
      </w:pPr>
      <w:r>
        <w:t xml:space="preserve">The horizontal pseudostatic coefficient is derived in this assessment from the allowable permanent displacement</w:t>
      </w:r>
      <w:r>
        <w:t xml:space="preserve"> </w:t>
      </w:r>
      <m:oMath>
        <m:sSub>
          <m:e>
            <m:r>
              <m:t>D</m:t>
            </m:r>
          </m:e>
          <m:sub>
            <m:r>
              <m:t>a</m:t>
            </m:r>
          </m:sub>
        </m:sSub>
      </m:oMath>
      <w:r>
        <w:t xml:space="preserve"> </w:t>
      </w:r>
      <w:r>
        <w:t xml:space="preserve">of the potentially sliding mass</w:t>
      </w:r>
      <w:r>
        <w:t xml:space="preserve"> </w:t>
      </w:r>
      <w:r>
        <w:t xml:space="preserve">(</w:t>
      </w:r>
      <w:hyperlink w:anchor="ref-BrayTravasarou2009">
        <w:r>
          <w:rPr>
            <w:rStyle w:val="Hyperlink"/>
          </w:rPr>
          <w:t xml:space="preserve">Bray and Travasarou 2009</w:t>
        </w:r>
      </w:hyperlink>
      <w:r>
        <w:t xml:space="preserve">;</w:t>
      </w:r>
      <w:r>
        <w:t xml:space="preserve"> </w:t>
      </w:r>
      <w:hyperlink w:anchor="ref-MacedoEtAl2018">
        <w:r>
          <w:rPr>
            <w:rStyle w:val="Hyperlink"/>
          </w:rPr>
          <w:t xml:space="preserve">Macedo et al. 2018</w:t>
        </w:r>
      </w:hyperlink>
      <w:r>
        <w:t xml:space="preserve">)</w:t>
      </w:r>
      <w:r>
        <w:t xml:space="preserve">. The seismic demand and the fundamental periods established in the preceding sections allow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between the Newmark permanent displacement and the yield coefficient to be computed; their inversion yields</w:t>
      </w:r>
      <w:r>
        <w:t xml:space="preserve"> </w:t>
      </w:r>
      <m:oMath>
        <m:sSub>
          <m:e>
            <m:r>
              <m:t>k</m:t>
            </m:r>
          </m:e>
          <m:sub>
            <m:r>
              <m:rPr>
                <m:sty m:val="p"/>
              </m:rPr>
              <m:t>max</m:t>
            </m:r>
          </m:sub>
        </m:sSub>
      </m:oMath>
      <w:r>
        <w:t xml:space="preserve">, and its normalization by the PGA transformed to the</w:t>
      </w:r>
      <w:r>
        <w:t xml:space="preserve"> </w:t>
      </w:r>
      <m:oMath>
        <m:sSub>
          <m:e>
            <m:r>
              <m:t>V</m:t>
            </m:r>
          </m:e>
          <m:sub>
            <m:r>
              <m:t>S</m:t>
            </m:r>
            <m:r>
              <m:t>30</m:t>
            </m:r>
          </m:sub>
        </m:sSub>
      </m:oMath>
      <w:r>
        <w:t xml:space="preserve"> </w:t>
      </w:r>
      <w:r>
        <w:t xml:space="preserve">of each geometry–material combination yields</w:t>
      </w:r>
      <w:r>
        <w:t xml:space="preserve"> </w:t>
      </w:r>
      <m:oMath>
        <m:sSub>
          <m:e>
            <m:r>
              <m:t>k</m:t>
            </m:r>
          </m:e>
          <m:sub>
            <m:r>
              <m:t>h</m:t>
            </m:r>
          </m:sub>
        </m:sSub>
      </m:oMath>
      <w:r>
        <w:t xml:space="preserve">, so that the result traceably links the deformation objective to the horizontal action employed in the stability verification. The yield acceleration</w:t>
      </w:r>
      <w:r>
        <w:t xml:space="preserve"> </w:t>
      </w:r>
      <m:oMath>
        <m:sSub>
          <m:e>
            <m:r>
              <m:t>a</m:t>
            </m:r>
          </m:e>
          <m:sub>
            <m:r>
              <m:t>y</m:t>
            </m:r>
          </m:sub>
        </m:sSub>
      </m:oMath>
      <w:r>
        <w:t xml:space="preserve"> </w:t>
      </w:r>
      <w:r>
        <w:t xml:space="preserve">represents the acceleration level that mobilizes the available resistance along the potential failure mechanism, and its dimensionless form is</w:t>
      </w:r>
      <w:r>
        <w:t xml:space="preserve"> </w:t>
      </w:r>
      <m:oMath>
        <m:sSub>
          <m:e>
            <m:r>
              <m:t>k</m:t>
            </m:r>
          </m:e>
          <m:sub>
            <m:r>
              <m:t>y</m:t>
            </m:r>
          </m:sub>
        </m:sSub>
        <m:r>
          <m:rPr>
            <m:sty m:val="p"/>
          </m:rPr>
          <m:t>=</m:t>
        </m:r>
        <m:sSub>
          <m:e>
            <m:r>
              <m:t>a</m:t>
            </m:r>
          </m:e>
          <m:sub>
            <m:r>
              <m:t>y</m:t>
            </m:r>
          </m:sub>
        </m:sSub>
        <m:r>
          <m:rPr>
            <m:sty m:val="p"/>
          </m:rPr>
          <m:t>/</m:t>
        </m:r>
        <m:r>
          <m:t>g</m:t>
        </m:r>
      </m:oMath>
      <w:r>
        <w:t xml:space="preserve">; for each allowable displacement and target exceedance probability, the analysis determines the</w:t>
      </w:r>
      <w:r>
        <w:t xml:space="preserve"> </w:t>
      </w:r>
      <m:oMath>
        <m:sSub>
          <m:e>
            <m:r>
              <m:t>k</m:t>
            </m:r>
          </m:e>
          <m:sub>
            <m:r>
              <m:t>y</m:t>
            </m:r>
          </m:sub>
        </m:sSub>
      </m:oMath>
      <w:r>
        <w:t xml:space="preserve"> </w:t>
      </w:r>
      <w:r>
        <w:t xml:space="preserve">threshold that satisfies the performance criterion, and that threshold is</w:t>
      </w:r>
      <w:r>
        <w:t xml:space="preserve"> </w:t>
      </w:r>
      <m:oMath>
        <m:sSub>
          <m:e>
            <m:r>
              <m:t>k</m:t>
            </m:r>
          </m:e>
          <m:sub>
            <m:r>
              <m:rPr>
                <m:sty m:val="p"/>
              </m:rPr>
              <m:t>max</m:t>
            </m:r>
          </m:sub>
        </m:sSub>
      </m:oMath>
      <w:r>
        <w:t xml:space="preserve">, the coefficient applied in the pseudostatic limit-equilibrium verification.</w:t>
      </w:r>
    </w:p>
    <w:p>
      <w:pPr>
        <w:pStyle w:val="BodyText"/>
      </w:pPr>
      <w:r>
        <w:t xml:space="preserve">In the Newmark sliding-block method</w:t>
      </w:r>
      <w:r>
        <w:t xml:space="preserve"> </w:t>
      </w:r>
      <w:r>
        <w:t xml:space="preserve">(</w:t>
      </w:r>
      <w:hyperlink w:anchor="ref-Newmark1965">
        <w:r>
          <w:rPr>
            <w:rStyle w:val="Hyperlink"/>
          </w:rPr>
          <w:t xml:space="preserve">Newmark 1965</w:t>
        </w:r>
      </w:hyperlink>
      <w:r>
        <w:t xml:space="preserve">)</w:t>
      </w:r>
      <w:r>
        <w:t xml:space="preserve">, the potentially sliding wedge is represented as a rigid block resting on an inclined plane: relative motion begins when the driving acceleration exceeds the yield acceleration</w:t>
      </w:r>
      <w:r>
        <w:t xml:space="preserve"> </w:t>
      </w:r>
      <m:oMath>
        <m:sSub>
          <m:e>
            <m:r>
              <m:t>a</m:t>
            </m:r>
          </m:e>
          <m:sub>
            <m:r>
              <m:t>y</m:t>
            </m:r>
          </m:sub>
        </m:sSub>
        <m:r>
          <m:rPr>
            <m:sty m:val="p"/>
          </m:rPr>
          <m:t>=</m:t>
        </m:r>
        <m:sSub>
          <m:e>
            <m:r>
              <m:t>k</m:t>
            </m:r>
          </m:e>
          <m:sub>
            <m:r>
              <m:t>y</m:t>
            </m:r>
          </m:sub>
        </m:sSub>
        <m:r>
          <m:t>g</m:t>
        </m:r>
      </m:oMath>
      <w:r>
        <w:t xml:space="preserve"> </w:t>
      </w:r>
      <w:r>
        <w:t xml:space="preserve">and continues until the relative velocity returns to zero, and the permanent displacement is the sum of those episodes over the duration of the earthquake motion, obtained by double integration of the acceleration excess. The extension of the procedure to dams and embankments</w:t>
      </w:r>
      <w:r>
        <w:t xml:space="preserve"> </w:t>
      </w:r>
      <w:r>
        <w:t xml:space="preserve">(</w:t>
      </w:r>
      <w:hyperlink w:anchor="ref-MakdisiSeed1978">
        <w:r>
          <w:rPr>
            <w:rStyle w:val="Hyperlink"/>
          </w:rPr>
          <w:t xml:space="preserve">Makdisi and Seed 1978</w:t>
        </w:r>
      </w:hyperlink>
      <w:r>
        <w:t xml:space="preserve">)</w:t>
      </w:r>
      <w:r>
        <w:t xml:space="preserve"> </w:t>
      </w:r>
      <w:r>
        <w:t xml:space="preserve">derived the equivalent acceleration of the sliding mass from its dynamic response and is the direct antecedent of the flexible formulations. The adopted empirical relations represent the accumulated displacement statistically through two idealizations: rigid-block models relate the displacement to measures of the base excitation, and flexible-block models additionally incorporate the dynamic response of the mass through</w:t>
      </w:r>
      <w:r>
        <w:t xml:space="preserve"> </w:t>
      </w:r>
      <m:oMath>
        <m:sSub>
          <m:e>
            <m:r>
              <m:t>T</m:t>
            </m:r>
          </m:e>
          <m:sub>
            <m:r>
              <m:t>s</m:t>
            </m:r>
          </m:sub>
        </m:sSub>
      </m:oMath>
      <w:r>
        <w:t xml:space="preserve"> </w:t>
      </w:r>
      <w:r>
        <w:t xml:space="preserve">and the spectral acceleration evaluated at a period proportional to</w:t>
      </w:r>
      <w:r>
        <w:t xml:space="preserve"> </w:t>
      </w:r>
      <m:oMath>
        <m:sSub>
          <m:e>
            <m:r>
              <m:t>T</m:t>
            </m:r>
          </m:e>
          <m:sub>
            <m:r>
              <m:t>s</m:t>
            </m:r>
          </m:sub>
        </m:sSub>
      </m:oMath>
      <w:r>
        <w:t xml:space="preserve">.</w:t>
      </w:r>
    </w:p>
    <w:p>
      <w:pPr>
        <w:pStyle w:val="BodyText"/>
      </w:pPr>
      <w:r>
        <w:t xml:space="preserve">The displacement calculation uses the seismic demand and the fundamental periods established in Section</w:t>
      </w:r>
      <w:r>
        <w:t xml:space="preserve"> </w:t>
      </w:r>
      <w:hyperlink w:anchor="sec-slope_periods">
        <w:r>
          <w:rPr>
            <w:rStyle w:val="Hyperlink"/>
          </w:rPr>
          <w:t xml:space="preserve">1.2</w:t>
        </w:r>
      </w:hyperlink>
      <w:r>
        <w:t xml:space="preserve">. For each geometry, material and seismic demand – the probabilistic spectrum of each evaluated return period and the MCE scenario – a joint sample of the intensity measures required by the rigid-block and flexible formulations is constructed; that sample is common to all models, so their differences represent the displacement formulation rather than incompatible seismic demands. Two inputs feed that sample. The probabilistic input for each return period is the reference-rock UHS, which for 10,000 years represents the MDE, and the MCE input is the rock spectrum of each scenario; both retain the complete distribution of the rock demand, and both are defined for</w:t>
      </w:r>
      <w:r>
        <w:t xml:space="preserve"> </w:t>
      </w:r>
      <m:oMath>
        <m:sSub>
          <m:e>
            <m:r>
              <m:t>V</m:t>
            </m:r>
          </m:e>
          <m:sub>
            <m:r>
              <m:t>S</m:t>
            </m:r>
            <m:r>
              <m:t>30</m:t>
            </m:r>
          </m:sub>
        </m:sSub>
        <m:r>
          <m:rPr>
            <m:sty m:val="p"/>
          </m:rPr>
          <m:t>=</m:t>
        </m:r>
        <m:sSub>
          <m:e>
            <m:r>
              <m:t>V</m:t>
            </m:r>
          </m:e>
          <m:sub>
            <m:r>
              <m:rPr>
                <m:sty m:val="p"/>
              </m:rPr>
              <m:t>r</m:t>
            </m:r>
            <m:r>
              <m:rPr>
                <m:sty m:val="p"/>
              </m:rPr>
              <m:t>e</m:t>
            </m:r>
            <m:r>
              <m:rPr>
                <m:sty m:val="p"/>
              </m:rPr>
              <m:t>f</m:t>
            </m:r>
          </m:sub>
        </m:sSub>
        <m:r>
          <m:rPr>
            <m:sty m:val="p"/>
          </m:rPr>
          <m:t>=</m:t>
        </m:r>
        <m:r>
          <m:t>760</m:t>
        </m:r>
      </m:oMath>
      <w:r>
        <w:t xml:space="preserve"> </w:t>
      </w:r>
      <w:r>
        <w:t xml:space="preserve">m/s. For each geometry and material scenario, the spectral ordinates and the PGA are transformed to the corresponding</w:t>
      </w:r>
      <w:r>
        <w:t xml:space="preserve"> </w:t>
      </w:r>
      <m:oMath>
        <m:sSub>
          <m:e>
            <m:r>
              <m:t>V</m:t>
            </m:r>
          </m:e>
          <m:sub>
            <m:r>
              <m:t>S</m:t>
            </m:r>
            <m:r>
              <m:t>30</m:t>
            </m:r>
          </m:sub>
        </m:sSub>
      </m:oMath>
      <w:r>
        <w:t xml:space="preserve"> </w:t>
      </w:r>
      <w:r>
        <w:t xml:space="preserve">through the</w:t>
      </w:r>
      <w:r>
        <w:t xml:space="preserve"> </w:t>
      </w:r>
      <w:r>
        <w:rPr>
          <w:rStyle w:val="VerbatimChar"/>
        </w:rPr>
        <w:t xml:space="preserve">ST20</w:t>
      </w:r>
      <w:r>
        <w:t xml:space="preserve"> </w:t>
      </w:r>
      <w:r>
        <w:t xml:space="preserve">amplification model</w:t>
      </w:r>
      <w:r>
        <w:t xml:space="preserve"> </w:t>
      </w:r>
      <w:r>
        <w:t xml:space="preserve">(</w:t>
      </w:r>
      <w:hyperlink w:anchor="ref-Stewart2020">
        <w:r>
          <w:rPr>
            <w:rStyle w:val="Hyperlink"/>
          </w:rPr>
          <w:t xml:space="preserve">Stewart et al. 2020</w:t>
        </w:r>
      </w:hyperlink>
      <w:r>
        <w:t xml:space="preserve">;</w:t>
      </w:r>
      <w:r>
        <w:t xml:space="preserve"> </w:t>
      </w:r>
      <w:hyperlink w:anchor="ref-Hashash2020">
        <w:r>
          <w:rPr>
            <w:rStyle w:val="Hyperlink"/>
          </w:rPr>
          <w:t xml:space="preserve">Hashash et al. 2020</w:t>
        </w:r>
      </w:hyperlink>
      <w:r>
        <w:t xml:space="preserve">)</w:t>
      </w:r>
      <w:r>
        <w:t xml:space="preserve">.</w:t>
      </w:r>
    </w:p>
    <w:p>
      <w:pPr>
        <w:pStyle w:val="BodyText"/>
      </w:pPr>
      <w:r>
        <w:t xml:space="preserve">At the site condition of each scenario, the joint sample comprises PGA,</w:t>
      </w:r>
      <w:r>
        <w:t xml:space="preserve"> </w:t>
      </w:r>
      <m:oMath>
        <m:sSub>
          <m:e>
            <m:r>
              <m:t>S</m:t>
            </m:r>
          </m:e>
          <m:sub>
            <m:r>
              <m:t>a</m:t>
            </m:r>
          </m:sub>
        </m:sSub>
        <m:r>
          <m:rPr>
            <m:sty m:val="p"/>
          </m:rPr>
          <m:t>(</m:t>
        </m:r>
        <m:r>
          <m:t>1.3</m:t>
        </m:r>
        <m:sSub>
          <m:e>
            <m:r>
              <m:t>T</m:t>
            </m:r>
          </m:e>
          <m:sub>
            <m:r>
              <m:t>s</m:t>
            </m:r>
          </m:sub>
        </m:sSub>
        <m:r>
          <m:rPr>
            <m:sty m:val="p"/>
          </m:rPr>
          <m:t>)</m:t>
        </m:r>
      </m:oMath>
      <w:r>
        <w:t xml:space="preserve">, and</w:t>
      </w:r>
      <w:r>
        <w:t xml:space="preserve"> </w:t>
      </w:r>
      <m:oMath>
        <m:sSub>
          <m:e>
            <m:r>
              <m:t>S</m:t>
            </m:r>
          </m:e>
          <m:sub>
            <m:r>
              <m:t>a</m:t>
            </m:r>
          </m:sub>
        </m:sSub>
        <m:r>
          <m:rPr>
            <m:sty m:val="p"/>
          </m:rPr>
          <m:t>(</m:t>
        </m:r>
        <m:r>
          <m:t>1.5</m:t>
        </m:r>
        <m:sSub>
          <m:e>
            <m:r>
              <m:t>T</m:t>
            </m:r>
          </m:e>
          <m:sub>
            <m:r>
              <m:t>s</m:t>
            </m:r>
          </m:sub>
        </m:sSub>
        <m:r>
          <m:rPr>
            <m:sty m:val="p"/>
          </m:rPr>
          <m:t>)</m:t>
        </m:r>
      </m:oMath>
      <w:r>
        <w:t xml:space="preserve">. The three measures are represented through empirical marginals in</w:t>
      </w:r>
      <w:r>
        <w:t xml:space="preserve"> </w:t>
      </w:r>
      <m:oMath>
        <m:r>
          <m:rPr>
            <m:sty m:val="p"/>
          </m:rPr>
          <m:t>ln</m:t>
        </m:r>
        <m:sSub>
          <m:e>
            <m:r>
              <m:t>S</m:t>
            </m:r>
          </m:e>
          <m:sub>
            <m:r>
              <m:t>a</m:t>
            </m:r>
          </m:sub>
        </m:sSub>
      </m:oMath>
      <w:r>
        <w:t xml:space="preserve"> </w:t>
      </w:r>
      <w:r>
        <w:t xml:space="preserve">and a Gaussian copula with the full inter-period correlation matrix</w:t>
      </w:r>
      <w:r>
        <w:t xml:space="preserve"> </w:t>
      </w:r>
      <w:r>
        <w:t xml:space="preserve">(</w:t>
      </w:r>
      <w:hyperlink w:anchor="ref-BakerJayaram2008">
        <w:r>
          <w:rPr>
            <w:rStyle w:val="Hyperlink"/>
          </w:rPr>
          <w:t xml:space="preserve">Baker and Jayaram 2008</w:t>
        </w:r>
      </w:hyperlink>
      <w:r>
        <w:t xml:space="preserve">)</w:t>
      </w:r>
      <w:r>
        <w:t xml:space="preserve">, and the samples are recentered to preserve the mean of each amplified marginal; in each realization, the three intensities remain paired, and each displacement formulation uses the measures entering its regression. The Arias intensity that</w:t>
      </w:r>
      <w:r>
        <w:t xml:space="preserve"> </w:t>
      </w:r>
      <w:r>
        <w:rPr>
          <w:rStyle w:val="VerbatimChar"/>
        </w:rPr>
        <w:t xml:space="preserve">JB07</w:t>
      </w:r>
      <w:r>
        <w:t xml:space="preserve"> </w:t>
      </w:r>
      <w:r>
        <w:t xml:space="preserve">and</w:t>
      </w:r>
      <w:r>
        <w:t xml:space="preserve"> </w:t>
      </w:r>
      <w:r>
        <w:rPr>
          <w:rStyle w:val="VerbatimChar"/>
        </w:rPr>
        <w:t xml:space="preserve">SR08</w:t>
      </w:r>
      <w:r>
        <w:t xml:space="preserve"> </w:t>
      </w:r>
      <w:r>
        <w:t xml:space="preserve">require completes the set of intensity measures; it is estimated for each realization from the PGA, so that each PGA realization determines a single value of</w:t>
      </w:r>
      <w:r>
        <w:t xml:space="preserve"> </w:t>
      </w:r>
      <m:oMath>
        <m:sSub>
          <m:e>
            <m:r>
              <m:t>I</m:t>
            </m:r>
          </m:e>
          <m:sub>
            <m:r>
              <m:t>A</m:t>
            </m:r>
          </m:sub>
        </m:sSub>
      </m:oMath>
      <w:r>
        <w:t xml:space="preserve"> </w:t>
      </w:r>
      <w:r>
        <w:t xml:space="preserve">and the displacement sample propagates the PGA variability.</w:t>
      </w:r>
    </w:p>
    <w:p>
      <w:pPr>
        <w:pStyle w:val="BodyText"/>
      </w:pPr>
      <w:r>
        <w:t xml:space="preserve">For each scenario, 30 values of</w:t>
      </w:r>
      <w:r>
        <w:t xml:space="preserve"> </w:t>
      </w:r>
      <m:oMath>
        <m:sSub>
          <m:e>
            <m:r>
              <m:t>k</m:t>
            </m:r>
          </m:e>
          <m:sub>
            <m:r>
              <m:t>y</m:t>
            </m:r>
          </m:sub>
        </m:sSub>
      </m:oMath>
      <w:r>
        <w:t xml:space="preserve"> </w:t>
      </w:r>
      <w:r>
        <w:t xml:space="preserve">are evaluated, logarithmically spaced between 0.01 and</w:t>
      </w:r>
      <w:r>
        <w:t xml:space="preserve"> </w:t>
      </w:r>
      <m:oMath>
        <m:r>
          <m:rPr>
            <m:sty m:val="p"/>
          </m:rPr>
          <m:t>max</m:t>
        </m:r>
        <m:r>
          <m:rPr>
            <m:sty m:val="p"/>
          </m:rPr>
          <m:t>(</m:t>
        </m:r>
        <m:bar>
          <m:barPr>
            <m:pos m:val="top"/>
          </m:barPr>
          <m:e>
            <m:r>
              <m:rPr>
                <m:sty m:val="p"/>
              </m:rPr>
              <m:t>P</m:t>
            </m:r>
            <m:r>
              <m:rPr>
                <m:sty m:val="p"/>
              </m:rPr>
              <m:t>G</m:t>
            </m:r>
            <m:r>
              <m:rPr>
                <m:sty m:val="p"/>
              </m:rPr>
              <m:t>A</m:t>
            </m:r>
          </m:e>
        </m:bar>
        <m:r>
          <m:rPr>
            <m:sty m:val="p"/>
          </m:rPr>
          <m:t>,</m:t>
        </m:r>
        <m:r>
          <m:t>0.80</m:t>
        </m:r>
        <m:r>
          <m:rPr>
            <m:sty m:val="p"/>
          </m:rPr>
          <m:t>)</m:t>
        </m:r>
      </m:oMath>
      <w:r>
        <w:t xml:space="preserve">, where</w:t>
      </w:r>
      <w:r>
        <w:t xml:space="preserve"> </w:t>
      </w:r>
      <m:oMath>
        <m:bar>
          <m:barPr>
            <m:pos m:val="top"/>
          </m:barPr>
          <m:e>
            <m:r>
              <m:rPr>
                <m:sty m:val="p"/>
              </m:rPr>
              <m:t>P</m:t>
            </m:r>
            <m:r>
              <m:rPr>
                <m:sty m:val="p"/>
              </m:rPr>
              <m:t>G</m:t>
            </m:r>
            <m:r>
              <m:rPr>
                <m:sty m:val="p"/>
              </m:rPr>
              <m:t>A</m:t>
            </m:r>
          </m:e>
        </m:bar>
      </m:oMath>
      <w:r>
        <w:t xml:space="preserve"> </w:t>
      </w:r>
      <w:r>
        <w:t xml:space="preserve">is the mean site-condition PGA of the scenario; that interval establishes the computed range of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over which the formulations are evaluated and the inversion to</w:t>
      </w:r>
      <w:r>
        <w:t xml:space="preserve"> </w:t>
      </w:r>
      <m:oMath>
        <m:sSub>
          <m:e>
            <m:r>
              <m:t>k</m:t>
            </m:r>
          </m:e>
          <m:sub>
            <m:r>
              <m:rPr>
                <m:sty m:val="p"/>
              </m:rPr>
              <m:t>max</m:t>
            </m:r>
          </m:sub>
        </m:sSub>
      </m:oMath>
      <w:r>
        <w:t xml:space="preserve"> </w:t>
      </w:r>
      <w:r>
        <w:t xml:space="preserve">operates.</w:t>
      </w:r>
    </w:p>
    <w:p>
      <w:pPr>
        <w:pStyle w:val="BodyText"/>
      </w:pPr>
      <w:r>
        <w:t xml:space="preserve">Each active formulation estimates the Newmark permanent displacement</w:t>
      </w:r>
      <w:r>
        <w:t xml:space="preserve"> </w:t>
      </w:r>
      <w:r>
        <w:t xml:space="preserve">(</w:t>
      </w:r>
      <w:hyperlink w:anchor="ref-Newmark1965">
        <w:r>
          <w:rPr>
            <w:rStyle w:val="Hyperlink"/>
          </w:rPr>
          <w:t xml:space="preserve">1965</w:t>
        </w:r>
      </w:hyperlink>
      <w:r>
        <w:t xml:space="preserve">)</w:t>
      </w:r>
      <w:r>
        <w:t xml:space="preserve"> </w:t>
      </w:r>
      <w:r>
        <w:t xml:space="preserve">of the sliding mass from the yield acceleration and the intensity measures of its regression, and all of them express the positive displacement</w:t>
      </w:r>
      <w:r>
        <w:t xml:space="preserve"> </w:t>
      </w:r>
      <m:oMath>
        <m:sSub>
          <m:e>
            <m:r>
              <m:t>D</m:t>
            </m:r>
          </m:e>
          <m:sub>
            <m:r>
              <m:t>n</m:t>
            </m:r>
          </m:sub>
        </m:sSub>
      </m:oMath>
      <w:r>
        <w:t xml:space="preserve">, in centimeters, through</w:t>
      </w:r>
    </w:p>
    <w:p>
      <w:pPr>
        <w:pStyle w:val="Equation"/>
      </w:pPr>
      <w:bookmarkStart w:id="25" w:name="eq-newmark-lognormal"/>
      <w:r>
        <w:tab/>
      </w:r>
      <m:oMath>
        <m:sSub>
          <m:e>
            <m:r>
              <m:t>D</m:t>
            </m:r>
          </m:e>
          <m:sub>
            <m:r>
              <m:t>n</m:t>
            </m:r>
          </m:sub>
        </m:sSub>
        <m:r>
          <m:rPr>
            <m:sty m:val="p"/>
          </m:rPr>
          <m:t>=</m:t>
        </m:r>
        <m:r>
          <m:rPr>
            <m:sty m:val="p"/>
          </m:rPr>
          <m:t>exp</m:t>
        </m:r>
        <m:r>
          <m:t>​</m:t>
        </m:r>
        <m:d>
          <m:dPr>
            <m:begChr m:val="("/>
            <m:sepChr m:val=""/>
            <m:endChr m:val=")"/>
            <m:grow/>
          </m:dPr>
          <m:e>
            <m:sSub>
              <m:e>
                <m:r>
                  <m:t>μ</m:t>
                </m:r>
              </m:e>
              <m:sub>
                <m:r>
                  <m:rPr>
                    <m:sty m:val="p"/>
                  </m:rPr>
                  <m:t>ln</m:t>
                </m:r>
                <m:r>
                  <m:t>D</m:t>
                </m:r>
              </m:sub>
            </m:sSub>
            <m:r>
              <m:rPr>
                <m:sty m:val="p"/>
              </m:rPr>
              <m:t>+</m:t>
            </m:r>
            <m:r>
              <m:t>ϵ</m:t>
            </m:r>
            <m:sSub>
              <m:e>
                <m:r>
                  <m:t>σ</m:t>
                </m:r>
              </m:e>
              <m:sub>
                <m:r>
                  <m:rPr>
                    <m:sty m:val="p"/>
                  </m:rPr>
                  <m:t>ln</m:t>
                </m:r>
                <m:r>
                  <m:t>D</m:t>
                </m:r>
              </m:sub>
            </m:sSub>
          </m:e>
        </m:d>
        <m:r>
          <m:rPr>
            <m:sty m:val="p"/>
          </m:rPr>
          <m:t>,</m:t>
        </m:r>
        <m:r>
          <m:t>  </m:t>
        </m:r>
        <m:r>
          <m:t>ϵ</m:t>
        </m:r>
        <m:r>
          <m:rPr>
            <m:sty m:val="p"/>
          </m:rPr>
          <m:t>∼</m:t>
        </m:r>
        <m:r>
          <m:rPr>
            <m:scr m:val="script"/>
            <m:sty m:val="p"/>
          </m:rPr>
          <m:t>N</m:t>
        </m:r>
        <m:r>
          <m:rPr>
            <m:sty m:val="p"/>
          </m:rPr>
          <m:t>(</m:t>
        </m:r>
        <m:r>
          <m:t>0</m:t>
        </m:r>
        <m:r>
          <m:rPr>
            <m:sty m:val="p"/>
          </m:rPr>
          <m:t>,</m:t>
        </m:r>
        <m:r>
          <m:t>1</m:t>
        </m:r>
        <m:r>
          <m:rPr>
            <m:sty m:val="p"/>
          </m:rPr>
          <m:t>)</m:t>
        </m:r>
        <m:r>
          <m:rPr>
            <m:sty m:val="p"/>
          </m:rPr>
          <m:t>,</m:t>
        </m:r>
      </m:oMath>
      <w:r>
        <w:tab/>
      </w:r>
      <w:r>
        <w:t xml:space="preserve">(12)</w:t>
      </w:r>
      <w:bookmarkEnd w:id="25"/>
    </w:p>
    <w:p>
      <w:pPr>
        <w:pStyle w:val="BodyText"/>
      </w:pPr>
      <w:r>
        <w:t xml:space="preserve">where</w:t>
      </w:r>
      <w:r>
        <w:t xml:space="preserve"> </w:t>
      </w:r>
      <m:oMath>
        <m:sSub>
          <m:e>
            <m:r>
              <m:t>μ</m:t>
            </m:r>
          </m:e>
          <m:sub>
            <m:r>
              <m:rPr>
                <m:sty m:val="p"/>
              </m:rPr>
              <m:t>ln</m:t>
            </m:r>
            <m:r>
              <m:t>D</m:t>
            </m:r>
          </m:sub>
        </m:sSub>
      </m:oMath>
      <w:r>
        <w:t xml:space="preserve"> </w:t>
      </w:r>
      <w:r>
        <w:t xml:space="preserve">and</w:t>
      </w:r>
      <w:r>
        <w:t xml:space="preserve"> </w:t>
      </w:r>
      <m:oMath>
        <m:sSub>
          <m:e>
            <m:r>
              <m:t>σ</m:t>
            </m:r>
          </m:e>
          <m:sub>
            <m:r>
              <m:rPr>
                <m:sty m:val="p"/>
              </m:rPr>
              <m:t>ln</m:t>
            </m:r>
            <m:r>
              <m:t>D</m:t>
            </m:r>
          </m:sub>
        </m:sSub>
      </m:oMath>
      <w:r>
        <w:t xml:space="preserve"> </w:t>
      </w:r>
      <w:r>
        <w:t xml:space="preserve">are the mean and standard deviation of</w:t>
      </w:r>
      <w:r>
        <w:t xml:space="preserve"> </w:t>
      </w:r>
      <m:oMath>
        <m:r>
          <m:rPr>
            <m:sty m:val="p"/>
          </m:rPr>
          <m:t>ln</m:t>
        </m:r>
        <m:sSub>
          <m:e>
            <m:r>
              <m:t>D</m:t>
            </m:r>
          </m:e>
          <m:sub>
            <m:r>
              <m:t>n</m:t>
            </m:r>
          </m:sub>
        </m:sSub>
      </m:oMath>
      <w:r>
        <w:t xml:space="preserve"> </w:t>
      </w:r>
      <w:r>
        <w:t xml:space="preserve">defined by each model, and</w:t>
      </w:r>
      <w:r>
        <w:t xml:space="preserve"> </w:t>
      </w:r>
      <m:oMath>
        <m:r>
          <m:t>ϵ</m:t>
        </m:r>
      </m:oMath>
      <w:r>
        <w:t xml:space="preserve"> </w:t>
      </w:r>
      <w:r>
        <w:t xml:space="preserve">is a standard-normal residual. Some source formulations contain a discrete branch of zero or negligible displacement; the implemented evaluation uses exclusively the positive lognormal branch. In every formulation,</w:t>
      </w:r>
      <w:r>
        <w:t xml:space="preserve"> </w:t>
      </w:r>
      <m:oMath>
        <m:sSub>
          <m:e>
            <m:r>
              <m:t>k</m:t>
            </m:r>
          </m:e>
          <m:sub>
            <m:r>
              <m:t>y</m:t>
            </m:r>
          </m:sub>
        </m:sSub>
      </m:oMath>
      <w:r>
        <w:t xml:space="preserve">, PGA, and</w:t>
      </w:r>
      <w:r>
        <w:t xml:space="preserve"> </w:t>
      </w:r>
      <m:oMath>
        <m:sSub>
          <m:e>
            <m:r>
              <m:t>S</m:t>
            </m:r>
          </m:e>
          <m:sub>
            <m:r>
              <m:t>a</m:t>
            </m:r>
          </m:sub>
        </m:sSub>
      </m:oMath>
      <w:r>
        <w:t xml:space="preserve"> </w:t>
      </w:r>
      <w:r>
        <w:t xml:space="preserve">are expressed in units of</w:t>
      </w:r>
      <w:r>
        <w:t xml:space="preserve"> </w:t>
      </w:r>
      <m:oMath>
        <m:r>
          <m:t>g</m:t>
        </m:r>
      </m:oMath>
      <w:r>
        <w:t xml:space="preserve"> </w:t>
      </w:r>
      <w:r>
        <w:t xml:space="preserve">– the acceleration of gravity –</w:t>
      </w:r>
      <w:r>
        <w:t xml:space="preserve"> </w:t>
      </w:r>
      <m:oMath>
        <m:sSub>
          <m:e>
            <m:r>
              <m:t>I</m:t>
            </m:r>
          </m:e>
          <m:sub>
            <m:r>
              <m:t>A</m:t>
            </m:r>
          </m:sub>
        </m:sSub>
      </m:oMath>
      <w:r>
        <w:t xml:space="preserve"> </w:t>
      </w:r>
      <w:r>
        <w:t xml:space="preserve">in m/s, and</w:t>
      </w:r>
      <w:r>
        <w:t xml:space="preserve"> </w:t>
      </w:r>
      <m:oMath>
        <m:sSub>
          <m:e>
            <m:r>
              <m:t>T</m:t>
            </m:r>
          </m:e>
          <m:sub>
            <m:r>
              <m:t>s</m:t>
            </m:r>
          </m:sub>
        </m:sSub>
      </m:oMath>
      <w:r>
        <w:t xml:space="preserve"> </w:t>
      </w:r>
      <w:r>
        <w:t xml:space="preserve">in seconds; the Arias intensity is derived from the PGA of each realization, and the reference magnitude of the project,</w:t>
      </w:r>
      <w:r>
        <w:t xml:space="preserve"> </w:t>
      </w:r>
      <m:oMath>
        <m:sSub>
          <m:e>
            <m:r>
              <m:t>M</m:t>
            </m:r>
          </m:e>
          <m:sub>
            <m:r>
              <m:t>w</m:t>
            </m:r>
          </m:sub>
        </m:sSub>
        <m:r>
          <m:rPr>
            <m:sty m:val="p"/>
          </m:rPr>
          <m:t>=</m:t>
        </m:r>
      </m:oMath>
      <w:r>
        <w:t xml:space="preserve"> </w:t>
      </w:r>
      <w:r>
        <w:t xml:space="preserve">7.0, is applied as a constant input to every demand, geometry, material and site evaluated. The published form of each formulation is reproduced in Section</w:t>
      </w:r>
      <w:r>
        <w:t xml:space="preserve"> </w:t>
      </w:r>
      <w:hyperlink w:anchor="sec-newmark-appendix">
        <w:r>
          <w:rPr>
            <w:rStyle w:val="Hyperlink"/>
          </w:rPr>
          <w:t xml:space="preserve">1.6</w:t>
        </w:r>
      </w:hyperlink>
      <w:r>
        <w:t xml:space="preserve">. The performance-based seismic coefficient is defined by</w:t>
      </w:r>
    </w:p>
    <w:p>
      <w:pPr>
        <w:pStyle w:val="Equation"/>
      </w:pPr>
      <w:bookmarkStart w:id="26" w:name="eq-kmax-criterion"/>
      <w:r>
        <w:tab/>
      </w:r>
      <m:oMath>
        <m:sSub>
          <m:e>
            <m:r>
              <m:t>k</m:t>
            </m:r>
          </m:e>
          <m:sub>
            <m:r>
              <m:rPr>
                <m:sty m:val="p"/>
              </m:rPr>
              <m:t>max</m:t>
            </m:r>
          </m:sub>
        </m:sSub>
        <m:r>
          <m:rPr>
            <m:sty m:val="p"/>
          </m:rPr>
          <m:t>(</m:t>
        </m:r>
        <m:sSub>
          <m:e>
            <m:r>
              <m:t>p</m:t>
            </m:r>
          </m:e>
          <m:sub>
            <m:r>
              <m:t>e</m:t>
            </m:r>
          </m:sub>
        </m:sSub>
        <m:r>
          <m:rPr>
            <m:sty m:val="p"/>
          </m:rPr>
          <m:t>∣</m:t>
        </m:r>
        <m:sSub>
          <m:e>
            <m:r>
              <m:t>D</m:t>
            </m:r>
          </m:e>
          <m:sub>
            <m:r>
              <m:t>a</m:t>
            </m:r>
          </m:sub>
        </m:sSub>
        <m:r>
          <m:rPr>
            <m:sty m:val="p"/>
          </m:rPr>
          <m:t>)</m:t>
        </m:r>
        <m:r>
          <m:rPr>
            <m:sty m:val="p"/>
          </m:rPr>
          <m:t>=</m:t>
        </m:r>
        <m:r>
          <m:rPr>
            <m:sty m:val="p"/>
          </m:rPr>
          <m:t>inf</m:t>
        </m:r>
        <m:d>
          <m:dPr>
            <m:begChr m:val="{"/>
            <m:sepChr m:val=""/>
            <m:endChr m:val="}"/>
            <m:grow/>
          </m:dPr>
          <m:e>
            <m:sSub>
              <m:e>
                <m:r>
                  <m:t>k</m:t>
                </m:r>
              </m:e>
              <m:sub>
                <m:r>
                  <m:t>y</m:t>
                </m:r>
              </m:sub>
            </m:sSub>
            <m:r>
              <m:rPr>
                <m:sty m:val="p"/>
              </m:rPr>
              <m:t>:</m:t>
            </m:r>
            <m:r>
              <m:t>P</m:t>
            </m:r>
            <m:r>
              <m:rPr>
                <m:sty m:val="p"/>
              </m:rPr>
              <m:t>[</m:t>
            </m:r>
            <m:sSub>
              <m:e>
                <m:r>
                  <m:t>D</m:t>
                </m:r>
              </m:e>
              <m:sub>
                <m:r>
                  <m:t>n</m:t>
                </m:r>
              </m:sub>
            </m:sSub>
            <m:r>
              <m:rPr>
                <m:sty m:val="p"/>
              </m:rPr>
              <m:t>(</m:t>
            </m:r>
            <m:sSub>
              <m:e>
                <m:r>
                  <m:t>k</m:t>
                </m:r>
              </m:e>
              <m:sub>
                <m:r>
                  <m:t>y</m:t>
                </m:r>
              </m:sub>
            </m:sSub>
            <m:r>
              <m:rPr>
                <m:sty m:val="p"/>
              </m:rPr>
              <m:t>)</m:t>
            </m:r>
            <m:r>
              <m:rPr>
                <m:sty m:val="p"/>
              </m:rPr>
              <m:t>&gt;</m:t>
            </m:r>
            <m:sSub>
              <m:e>
                <m:r>
                  <m:t>D</m:t>
                </m:r>
              </m:e>
              <m:sub>
                <m:r>
                  <m:t>a</m:t>
                </m:r>
              </m:sub>
            </m:sSub>
            <m:r>
              <m:rPr>
                <m:sty m:val="p"/>
              </m:rPr>
              <m:t>]</m:t>
            </m:r>
            <m:r>
              <m:rPr>
                <m:sty m:val="p"/>
              </m:rPr>
              <m:t>≤</m:t>
            </m:r>
            <m:sSub>
              <m:e>
                <m:r>
                  <m:t>p</m:t>
                </m:r>
              </m:e>
              <m:sub>
                <m:r>
                  <m:t>e</m:t>
                </m:r>
              </m:sub>
            </m:sSub>
          </m:e>
        </m:d>
        <m:r>
          <m:rPr>
            <m:sty m:val="p"/>
          </m:rPr>
          <m:t>.</m:t>
        </m:r>
      </m:oMath>
      <w:r>
        <w:tab/>
      </w:r>
      <w:r>
        <w:t xml:space="preserve">(13)</w:t>
      </w:r>
      <w:bookmarkEnd w:id="26"/>
    </w:p>
    <w:p>
      <w:pPr>
        <w:pStyle w:val="BodyText"/>
      </w:pPr>
      <w:r>
        <w:t xml:space="preserve">where</w:t>
      </w:r>
      <w:r>
        <w:t xml:space="preserve"> </w:t>
      </w:r>
      <m:oMath>
        <m:sSub>
          <m:e>
            <m:r>
              <m:t>p</m:t>
            </m:r>
          </m:e>
          <m:sub>
            <m:r>
              <m:t>e</m:t>
            </m:r>
          </m:sub>
        </m:sSub>
      </m:oMath>
      <w:r>
        <w:t xml:space="preserve"> </w:t>
      </w:r>
      <w:r>
        <w:t xml:space="preserve">is the target probability that</w:t>
      </w:r>
      <w:r>
        <w:t xml:space="preserve"> </w:t>
      </w:r>
      <m:oMath>
        <m:sSub>
          <m:e>
            <m:r>
              <m:t>D</m:t>
            </m:r>
          </m:e>
          <m:sub>
            <m:r>
              <m:t>n</m:t>
            </m:r>
          </m:sub>
        </m:sSub>
      </m:oMath>
      <w:r>
        <w:t xml:space="preserve"> </w:t>
      </w:r>
      <w:r>
        <w:t xml:space="preserve">exceeds</w:t>
      </w:r>
      <w:r>
        <w:t xml:space="preserve"> </w:t>
      </w:r>
      <m:oMath>
        <m:sSub>
          <m:e>
            <m:r>
              <m:t>D</m:t>
            </m:r>
          </m:e>
          <m:sub>
            <m:r>
              <m:t>a</m:t>
            </m:r>
          </m:sub>
        </m:sSub>
      </m:oMath>
      <w:r>
        <w:t xml:space="preserve">:</w:t>
      </w:r>
      <w:r>
        <w:t xml:space="preserve"> </w:t>
      </w:r>
      <m:oMath>
        <m:sSub>
          <m:e>
            <m:r>
              <m:t>k</m:t>
            </m:r>
          </m:e>
          <m:sub>
            <m:r>
              <m:rPr>
                <m:sty m:val="p"/>
              </m:rPr>
              <m:t>max</m:t>
            </m:r>
          </m:sub>
        </m:sSub>
      </m:oMath>
      <w:r>
        <w:t xml:space="preserve"> </w:t>
      </w:r>
      <w:r>
        <w:t xml:space="preserve">is the smallest</w:t>
      </w:r>
      <w:r>
        <w:t xml:space="preserve"> </w:t>
      </w:r>
      <m:oMath>
        <m:sSub>
          <m:e>
            <m:r>
              <m:t>k</m:t>
            </m:r>
          </m:e>
          <m:sub>
            <m:r>
              <m:t>y</m:t>
            </m:r>
          </m:sub>
        </m:sSub>
      </m:oMath>
      <w:r>
        <w:t xml:space="preserve"> </w:t>
      </w:r>
      <w:r>
        <w:t xml:space="preserve">for which the probability of exceeding the allowable displacement is at most</w:t>
      </w:r>
      <w:r>
        <w:t xml:space="preserve"> </w:t>
      </w:r>
      <m:oMath>
        <m:sSub>
          <m:e>
            <m:r>
              <m:t>p</m:t>
            </m:r>
          </m:e>
          <m:sub>
            <m:r>
              <m:t>e</m:t>
            </m:r>
          </m:sub>
        </m:sSub>
      </m:oMath>
      <w:r>
        <w:t xml:space="preserve">. The normalized coefficient, reported as a percentage of the PGA [% of PGA], is calculated using the site-condition PGA transformed to the</w:t>
      </w:r>
      <w:r>
        <w:t xml:space="preserve"> </w:t>
      </w:r>
      <m:oMath>
        <m:sSub>
          <m:e>
            <m:r>
              <m:t>V</m:t>
            </m:r>
          </m:e>
          <m:sub>
            <m:r>
              <m:t>S</m:t>
            </m:r>
            <m:r>
              <m:t>30</m:t>
            </m:r>
          </m:sub>
        </m:sSub>
      </m:oMath>
      <w:r>
        <w:t xml:space="preserve"> </w:t>
      </w:r>
      <w:r>
        <w:t xml:space="preserve">of the geometry–material combination evaluated for each demand:</w:t>
      </w:r>
    </w:p>
    <w:p>
      <w:pPr>
        <w:pStyle w:val="Equation"/>
      </w:pPr>
      <w:bookmarkStart w:id="27" w:name="eq-kh-normalization"/>
      <w:r>
        <w:tab/>
      </w:r>
      <m:oMath>
        <m:sSub>
          <m:e>
            <m:r>
              <m:t>k</m:t>
            </m:r>
          </m:e>
          <m:sub>
            <m:r>
              <m:t>h</m:t>
            </m:r>
          </m:sub>
        </m:sSub>
        <m:r>
          <m:rPr>
            <m:sty m:val="p"/>
          </m:rPr>
          <m:t>=</m:t>
        </m:r>
        <m:f>
          <m:fPr>
            <m:type m:val="bar"/>
          </m:fPr>
          <m:num>
            <m:sSub>
              <m:e>
                <m:r>
                  <m:t>k</m:t>
                </m:r>
              </m:e>
              <m:sub>
                <m:r>
                  <m:rPr>
                    <m:sty m:val="p"/>
                  </m:rPr>
                  <m:t>max</m:t>
                </m:r>
              </m:sub>
            </m:sSub>
          </m:num>
          <m:den>
            <m:r>
              <m:rPr>
                <m:sty m:val="p"/>
              </m:rPr>
              <m:t>P</m:t>
            </m:r>
            <m:r>
              <m:rPr>
                <m:sty m:val="p"/>
              </m:rPr>
              <m:t>G</m:t>
            </m:r>
            <m:r>
              <m:rPr>
                <m:sty m:val="p"/>
              </m:rPr>
              <m:t>A</m:t>
            </m:r>
            <m:r>
              <m:rPr>
                <m:sty m:val="p"/>
              </m:rPr>
              <m:t>(</m:t>
            </m:r>
            <m:sSub>
              <m:e>
                <m:r>
                  <m:t>V</m:t>
                </m:r>
              </m:e>
              <m:sub>
                <m:r>
                  <m:t>S</m:t>
                </m:r>
                <m:r>
                  <m:t>30</m:t>
                </m:r>
              </m:sub>
            </m:sSub>
            <m:r>
              <m:rPr>
                <m:sty m:val="p"/>
              </m:rPr>
              <m:t>)</m:t>
            </m:r>
          </m:den>
        </m:f>
        <m:r>
          <m:rPr>
            <m:sty m:val="p"/>
          </m:rPr>
          <m:t>.</m:t>
        </m:r>
      </m:oMath>
      <w:r>
        <w:tab/>
      </w:r>
      <w:r>
        <w:t xml:space="preserve">(14)</w:t>
      </w:r>
      <w:bookmarkEnd w:id="27"/>
    </w:p>
    <w:p>
      <w:pPr>
        <w:pStyle w:val="BodyText"/>
      </w:pPr>
      <m:oMath>
        <m:sSub>
          <m:e>
            <m:r>
              <m:t>k</m:t>
            </m:r>
          </m:e>
          <m:sub>
            <m:r>
              <m:rPr>
                <m:sty m:val="p"/>
              </m:rPr>
              <m:t>max</m:t>
            </m:r>
          </m:sub>
        </m:sSub>
      </m:oMath>
      <w:r>
        <w:t xml:space="preserve"> </w:t>
      </w:r>
      <w:r>
        <w:t xml:space="preserve">is expressed in units of</w:t>
      </w:r>
      <w:r>
        <w:t xml:space="preserve"> </w:t>
      </w:r>
      <m:oMath>
        <m:r>
          <m:t>g</m:t>
        </m:r>
      </m:oMath>
      <w:r>
        <w:t xml:space="preserve"> </w:t>
      </w:r>
      <w:r>
        <w:t xml:space="preserve">and</w:t>
      </w:r>
      <w:r>
        <w:t xml:space="preserve"> </w:t>
      </w:r>
      <m:oMath>
        <m:sSub>
          <m:e>
            <m:r>
              <m:t>k</m:t>
            </m:r>
          </m:e>
          <m:sub>
            <m:r>
              <m:t>h</m:t>
            </m:r>
          </m:sub>
        </m:sSub>
      </m:oMath>
      <w:r>
        <w:t xml:space="preserve"> </w:t>
      </w:r>
      <w:r>
        <w:t xml:space="preserve">as a percentage of the PGA of the corresponding site condition. These two quantities express the displacement criterion as the horizontal action of the pseudostatic verification.</w:t>
      </w:r>
    </w:p>
    <w:p>
      <w:pPr>
        <w:pStyle w:val="BodyText"/>
      </w:pPr>
      <w:r>
        <w:t xml:space="preserve">The five formulations are evaluated individually and combined into the three sets that the tables and figures identify as</w:t>
      </w:r>
      <w:r>
        <w:t xml:space="preserve"> </w:t>
      </w:r>
      <w:r>
        <w:rPr>
          <w:rStyle w:val="VerbatimChar"/>
        </w:rPr>
        <w:t xml:space="preserve">IDn</w:t>
      </w:r>
      <w:r>
        <w:t xml:space="preserve">:</w:t>
      </w:r>
      <w:r>
        <w:t xml:space="preserve"> </w:t>
      </w:r>
      <w:r>
        <w:rPr>
          <w:rStyle w:val="VerbatimChar"/>
        </w:rPr>
        <w:t xml:space="preserve">rigid</w:t>
      </w:r>
      <w:r>
        <w:t xml:space="preserve">,</w:t>
      </w:r>
      <w:r>
        <w:t xml:space="preserve"> </w:t>
      </w:r>
      <w:r>
        <w:rPr>
          <w:rStyle w:val="VerbatimChar"/>
        </w:rPr>
        <w:t xml:space="preserve">flexible</w:t>
      </w:r>
      <w:r>
        <w:t xml:space="preserve"> </w:t>
      </w:r>
      <w:r>
        <w:t xml:space="preserve">and</w:t>
      </w:r>
      <w:r>
        <w:t xml:space="preserve"> </w:t>
      </w:r>
      <w:r>
        <w:rPr>
          <w:rStyle w:val="VerbatimChar"/>
        </w:rPr>
        <w:t xml:space="preserve">ensemble</w:t>
      </w:r>
      <w:r>
        <w:t xml:space="preserve">. The displacement model provides individual realizations for AM88, JB07, SR08, BT07, and a fifth formulation selected by the tectonic context: BM17 for projects with subduction control and BM19 for projects with shallow crustal control. The overall design set, identified as</w:t>
      </w:r>
      <w:r>
        <w:t xml:space="preserve"> </w:t>
      </w:r>
      <w:r>
        <w:rPr>
          <w:rStyle w:val="VerbatimChar"/>
        </w:rPr>
        <w:t xml:space="preserve">ensemble</w:t>
      </w:r>
      <w:r>
        <w:t xml:space="preserve">, combines AM88, JB07, SR08, BT07, and the active BM branch with equal weights; the rigid family combines AM88, JB07, and SR08, and the flexible family combines BT07 and the active BM branch. The rigid family thus relates the displacement to measures of the base excitation, the flexible family additionally incorporates the dynamic response of the sliding mass through</w:t>
      </w:r>
      <w:r>
        <w:t xml:space="preserve"> </w:t>
      </w:r>
      <m:oMath>
        <m:sSub>
          <m:e>
            <m:r>
              <m:t>T</m:t>
            </m:r>
          </m:e>
          <m:sub>
            <m:r>
              <m:t>s</m:t>
            </m:r>
          </m:sub>
        </m:sSub>
      </m:oMath>
      <w:r>
        <w:t xml:space="preserve">, and the ensemble is the design set that combines both. For each</w:t>
      </w:r>
      <w:r>
        <w:t xml:space="preserve"> </w:t>
      </w:r>
      <m:oMath>
        <m:sSub>
          <m:e>
            <m:r>
              <m:t>k</m:t>
            </m:r>
          </m:e>
          <m:sub>
            <m:r>
              <m:t>y</m:t>
            </m:r>
          </m:sub>
        </m:sSub>
      </m:oMath>
      <w:r>
        <w:t xml:space="preserve">, the displacements of a family are summarized from the weighted empirical distribution of the realizations of its models.</w:t>
      </w:r>
    </w:p>
    <w:p>
      <w:pPr>
        <w:pStyle w:val="BodyText"/>
      </w:pPr>
      <w:r>
        <w:t xml:space="preserve">All models receive the same joint sample of PGA and spectral accelerations, and a single realization of</w:t>
      </w:r>
      <w:r>
        <w:t xml:space="preserve"> </w:t>
      </w:r>
      <m:oMath>
        <m:r>
          <m:t>ϵ</m:t>
        </m:r>
      </m:oMath>
      <w:r>
        <w:t xml:space="preserve"> </w:t>
      </w:r>
      <w:r>
        <w:t xml:space="preserve">is shared across the models and across all values of</w:t>
      </w:r>
      <w:r>
        <w:t xml:space="preserve"> </w:t>
      </w:r>
      <m:oMath>
        <m:sSub>
          <m:e>
            <m:r>
              <m:t>k</m:t>
            </m:r>
          </m:e>
          <m:sub>
            <m:r>
              <m:t>y</m:t>
            </m:r>
          </m:sub>
        </m:sSub>
      </m:oMath>
      <w:r>
        <w:t xml:space="preserve">; each formulation scales that residual through its own</w:t>
      </w:r>
      <w:r>
        <w:t xml:space="preserve"> </w:t>
      </w:r>
      <m:oMath>
        <m:sSub>
          <m:e>
            <m:r>
              <m:t>σ</m:t>
            </m:r>
          </m:e>
          <m:sub>
            <m:r>
              <m:rPr>
                <m:sty m:val="p"/>
              </m:rPr>
              <m:t>ln</m:t>
            </m:r>
            <m:r>
              <m:t>D</m:t>
            </m:r>
          </m:sub>
        </m:sSub>
      </m:oMath>
      <w:r>
        <w:t xml:space="preserve">, and the sampled PGA is retained with each realization so that the inversion preserves the pairing between displacement and seismic demand. The realizations of</w:t>
      </w:r>
      <w:r>
        <w:t xml:space="preserve"> </w:t>
      </w:r>
      <m:oMath>
        <m:sSub>
          <m:e>
            <m:r>
              <m:t>D</m:t>
            </m:r>
          </m:e>
          <m:sub>
            <m:r>
              <m:t>n</m:t>
            </m:r>
          </m:sub>
        </m:sSub>
      </m:oMath>
      <w:r>
        <w:t xml:space="preserve"> </w:t>
      </w:r>
      <w:r>
        <w:t xml:space="preserve">are calculated for each material class with its mean dynamic properties; the fractiles of the stiffness profiles and of</w:t>
      </w:r>
      <w:r>
        <w:t xml:space="preserve"> </w:t>
      </w:r>
      <m:oMath>
        <m:sSub>
          <m:e>
            <m:r>
              <m:t>T</m:t>
            </m:r>
          </m:e>
          <m:sub>
            <m:r>
              <m:t>s</m:t>
            </m:r>
          </m:sub>
        </m:sSub>
      </m:oMath>
      <w:r>
        <w:t xml:space="preserve"> </w:t>
      </w:r>
      <w:r>
        <w:t xml:space="preserve">are not propagated as additional realizations in the displacement calculation, and each material class is kept as a separate scenario through the inversion to</w:t>
      </w:r>
      <w:r>
        <w:t xml:space="preserve"> </w:t>
      </w:r>
      <m:oMath>
        <m:sSub>
          <m:e>
            <m:r>
              <m:t>k</m:t>
            </m:r>
          </m:e>
          <m:sub>
            <m:r>
              <m:rPr>
                <m:sty m:val="p"/>
              </m:rPr>
              <m:t>max</m:t>
            </m:r>
          </m:sub>
        </m:sSub>
      </m:oMath>
      <w:r>
        <w:t xml:space="preserve">, so the displacement curves are not averaged across materials before that operation.</w:t>
      </w:r>
    </w:p>
    <w:p>
      <w:pPr>
        <w:pStyle w:val="BodyText"/>
      </w:pPr>
      <w:r>
        <w:t xml:space="preserve">For each model and realization, the computed</w:t>
      </w:r>
      <w:r>
        <w:t xml:space="preserve"> </w:t>
      </w:r>
      <m:oMath>
        <m:sSub>
          <m:e>
            <m:r>
              <m:t>D</m:t>
            </m:r>
          </m:e>
          <m:sub>
            <m:r>
              <m:t>n</m:t>
            </m:r>
          </m:sub>
        </m:sSub>
        <m:r>
          <m:rPr>
            <m:sty m:val="p"/>
          </m:rPr>
          <m:t>(</m:t>
        </m:r>
        <m:sSub>
          <m:e>
            <m:r>
              <m:t>k</m:t>
            </m:r>
          </m:e>
          <m:sub>
            <m:r>
              <m:t>y</m:t>
            </m:r>
          </m:sub>
        </m:sSub>
        <m:r>
          <m:rPr>
            <m:sty m:val="p"/>
          </m:rPr>
          <m:t>)</m:t>
        </m:r>
      </m:oMath>
      <w:r>
        <w:t xml:space="preserve"> </w:t>
      </w:r>
      <w:r>
        <w:t xml:space="preserve">relation is projected onto a non-increasing curve and inverted in the</w:t>
      </w:r>
      <w:r>
        <w:t xml:space="preserve"> </w:t>
      </w:r>
      <m:oMath>
        <m:r>
          <m:rPr>
            <m:sty m:val="p"/>
          </m:rPr>
          <m:t>(</m:t>
        </m:r>
        <m:r>
          <m:rPr>
            <m:sty m:val="p"/>
          </m:rPr>
          <m:t>ln</m:t>
        </m:r>
        <m:sSub>
          <m:e>
            <m:r>
              <m:t>D</m:t>
            </m:r>
          </m:e>
          <m:sub>
            <m:r>
              <m:t>n</m:t>
            </m:r>
          </m:sub>
        </m:sSub>
        <m:r>
          <m:rPr>
            <m:sty m:val="p"/>
          </m:rPr>
          <m:t>,</m:t>
        </m:r>
        <m:r>
          <m:rPr>
            <m:sty m:val="p"/>
          </m:rPr>
          <m:t>ln</m:t>
        </m:r>
        <m:sSub>
          <m:e>
            <m:r>
              <m:t>k</m:t>
            </m:r>
          </m:e>
          <m:sub>
            <m:r>
              <m:t>y</m:t>
            </m:r>
          </m:sub>
        </m:sSub>
        <m:r>
          <m:rPr>
            <m:sty m:val="p"/>
          </m:rPr>
          <m:t>)</m:t>
        </m:r>
      </m:oMath>
      <w:r>
        <w:t xml:space="preserve"> </w:t>
      </w:r>
      <w:r>
        <w:t xml:space="preserve">plane to solve the criterion of</w:t>
      </w:r>
      <w:r>
        <w:t xml:space="preserve"> </w:t>
      </w:r>
      <w:hyperlink w:anchor="eq-kmax-criterion">
        <w:r>
          <w:rPr>
            <w:rStyle w:val="Hyperlink"/>
          </w:rPr>
          <w:t xml:space="preserve">13</w:t>
        </w:r>
      </w:hyperlink>
      <w:r>
        <w:t xml:space="preserve">; when</w:t>
      </w:r>
      <w:r>
        <w:t xml:space="preserve"> </w:t>
      </w:r>
      <m:oMath>
        <m:sSub>
          <m:e>
            <m:r>
              <m:t>D</m:t>
            </m:r>
          </m:e>
          <m:sub>
            <m:r>
              <m:t>a</m:t>
            </m:r>
          </m:sub>
        </m:sSub>
      </m:oMath>
      <w:r>
        <w:t xml:space="preserve"> </w:t>
      </w:r>
      <w:r>
        <w:t xml:space="preserve">falls outside the calculated range, the relation is extrapolated in that plane from the two points at the corresponding end, with the single exception of the AM88 limit treated in Section</w:t>
      </w:r>
      <w:r>
        <w:t xml:space="preserve"> </w:t>
      </w:r>
      <w:hyperlink w:anchor="sec-newmark-appendix">
        <w:r>
          <w:rPr>
            <w:rStyle w:val="Hyperlink"/>
          </w:rPr>
          <w:t xml:space="preserve">1.6</w:t>
        </w:r>
      </w:hyperlink>
      <w:r>
        <w:t xml:space="preserve">. The inversion is performed first for each model within each realization.</w:t>
      </w:r>
    </w:p>
    <w:p>
      <w:pPr>
        <w:pStyle w:val="BodyText"/>
      </w:pPr>
      <w:r>
        <w:t xml:space="preserve">The root distributions of the models are then combined with the family weights and summarized through the arithmetic mean and the empirical fractiles</w:t>
      </w:r>
      <w:r>
        <w:t xml:space="preserve"> </w:t>
      </w:r>
      <m:oMath>
        <m:r>
          <m:t>q</m:t>
        </m:r>
        <m:r>
          <m:rPr>
            <m:sty m:val="p"/>
          </m:rPr>
          <m:t>=</m:t>
        </m:r>
        <m:r>
          <m:t>0.05</m:t>
        </m:r>
      </m:oMath>
      <w:r>
        <w:t xml:space="preserve">, 0.10, 0.16, 0.50, 0.84, 0.90, and 0.95</w:t>
      </w:r>
      <w:r>
        <w:t xml:space="preserve"> </w:t>
      </w:r>
      <w:r>
        <w:t xml:space="preserve">(</w:t>
      </w:r>
      <w:hyperlink w:anchor="ref-VerriKozlowski2026Newmark">
        <w:r>
          <w:rPr>
            <w:rStyle w:val="Hyperlink"/>
          </w:rPr>
          <w:t xml:space="preserve">Verri Kozlowski 2026</w:t>
        </w:r>
      </w:hyperlink>
      <w:r>
        <w:t xml:space="preserve">)</w:t>
      </w:r>
      <w:r>
        <w:t xml:space="preserve">. Because of the decreasing relation between</w:t>
      </w:r>
      <w:r>
        <w:t xml:space="preserve"> </w:t>
      </w:r>
      <m:oMath>
        <m:sSub>
          <m:e>
            <m:r>
              <m:t>D</m:t>
            </m:r>
          </m:e>
          <m:sub>
            <m:r>
              <m:t>n</m:t>
            </m:r>
          </m:sub>
        </m:sSub>
      </m:oMath>
      <w:r>
        <w:t xml:space="preserve"> </w:t>
      </w:r>
      <w:r>
        <w:t xml:space="preserve">and</w:t>
      </w:r>
      <w:r>
        <w:t xml:space="preserve"> </w:t>
      </w:r>
      <m:oMath>
        <m:sSub>
          <m:e>
            <m:r>
              <m:t>k</m:t>
            </m:r>
          </m:e>
          <m:sub>
            <m:r>
              <m:t>y</m:t>
            </m:r>
          </m:sub>
        </m:sSub>
      </m:oMath>
      <w:r>
        <w:t xml:space="preserve">, the fractile associated with the exceedance target satisfies expression</w:t>
      </w:r>
      <w:r>
        <w:t xml:space="preserve"> </w:t>
      </w:r>
      <w:hyperlink w:anchor="eq-kmax-fractile">
        <w:r>
          <w:rPr>
            <w:rStyle w:val="Hyperlink"/>
          </w:rPr>
          <w:t xml:space="preserve">15</w:t>
        </w:r>
      </w:hyperlink>
      <w:r>
        <w:t xml:space="preserve">, where</w:t>
      </w:r>
      <w:r>
        <w:t xml:space="preserve"> </w:t>
      </w:r>
      <m:oMath>
        <m:r>
          <m:t>q</m:t>
        </m:r>
        <m:r>
          <m:rPr>
            <m:sty m:val="p"/>
          </m:rPr>
          <m:t>=</m:t>
        </m:r>
        <m:r>
          <m:t>0.84</m:t>
        </m:r>
      </m:oMath>
      <w:r>
        <w:t xml:space="preserve"> </w:t>
      </w:r>
      <w:r>
        <w:t xml:space="preserve">corresponds to an exceedance probability of</w:t>
      </w:r>
      <w:r>
        <w:t xml:space="preserve"> </w:t>
      </w:r>
      <m:oMath>
        <m:sSub>
          <m:e>
            <m:r>
              <m:t>p</m:t>
            </m:r>
          </m:e>
          <m:sub>
            <m:r>
              <m:t>e</m:t>
            </m:r>
          </m:sub>
        </m:sSub>
        <m:r>
          <m:rPr>
            <m:sty m:val="p"/>
          </m:rPr>
          <m:t>=</m:t>
        </m:r>
        <m:r>
          <m:t>16</m:t>
        </m:r>
        <m:r>
          <m:rPr>
            <m:sty m:val="p"/>
          </m:rPr>
          <m:t>%</m:t>
        </m:r>
      </m:oMath>
      <w:r>
        <w:t xml:space="preserve">.</w:t>
      </w:r>
    </w:p>
    <w:p>
      <w:pPr>
        <w:pStyle w:val="Equation"/>
      </w:pPr>
      <w:bookmarkStart w:id="28" w:name="eq-kmax-fractile"/>
      <w:r>
        <w:tab/>
      </w:r>
      <m:oMath>
        <m:r>
          <m:t>q</m:t>
        </m:r>
        <m:r>
          <m:rPr>
            <m:sty m:val="p"/>
          </m:rPr>
          <m:t>=</m:t>
        </m:r>
        <m:r>
          <m:t>1</m:t>
        </m:r>
        <m:r>
          <m:rPr>
            <m:sty m:val="p"/>
          </m:rPr>
          <m:t>−</m:t>
        </m:r>
        <m:sSub>
          <m:e>
            <m:r>
              <m:t>p</m:t>
            </m:r>
          </m:e>
          <m:sub>
            <m:r>
              <m:t>e</m:t>
            </m:r>
          </m:sub>
        </m:sSub>
      </m:oMath>
      <w:r>
        <w:tab/>
      </w:r>
      <w:r>
        <w:t xml:space="preserve">(15)</w:t>
      </w:r>
      <w:bookmarkEnd w:id="28"/>
    </w:p>
    <w:p>
      <w:pPr>
        <w:pStyle w:val="BodyText"/>
      </w:pPr>
      <w:r>
        <w:t xml:space="preserve">The</w:t>
      </w:r>
      <w:r>
        <w:t xml:space="preserve"> </w:t>
      </w:r>
      <m:oMath>
        <m:r>
          <m:t>q</m:t>
        </m:r>
      </m:oMath>
      <w:r>
        <w:t xml:space="preserve"> </w:t>
      </w:r>
      <w:r>
        <w:t xml:space="preserve">fractiles are therefore the statistics associated with the criterion expressed through</w:t>
      </w:r>
      <w:r>
        <w:t xml:space="preserve"> </w:t>
      </w:r>
      <m:oMath>
        <m:sSub>
          <m:e>
            <m:r>
              <m:t>p</m:t>
            </m:r>
          </m:e>
          <m:sub>
            <m:r>
              <m:t>e</m:t>
            </m:r>
          </m:sub>
        </m:sSub>
      </m:oMath>
      <w:r>
        <w:t xml:space="preserve">; the arithmetic mean summarizes the center of the simulated distribution and does not represent a target probability. The evaluation uses 300 realizations for each demand – the probabilistic spectrum of each return period</w:t>
      </w:r>
      <w:r>
        <w:t xml:space="preserve"> </w:t>
      </w:r>
      <m:oMath>
        <m:sSub>
          <m:e>
            <m:r>
              <m:t>T</m:t>
            </m:r>
          </m:e>
          <m:sub>
            <m:r>
              <m:t>R</m:t>
            </m:r>
          </m:sub>
        </m:sSub>
      </m:oMath>
      <w:r>
        <w:t xml:space="preserve"> </w:t>
      </w:r>
      <w:r>
        <w:t xml:space="preserve">= 500, 2,500, 10,000 years and the MCE – and a grid of allowable displacements</w:t>
      </w:r>
      <w:r>
        <w:t xml:space="preserve"> </w:t>
      </w:r>
      <m:oMath>
        <m:sSub>
          <m:e>
            <m:r>
              <m:t>D</m:t>
            </m:r>
          </m:e>
          <m:sub>
            <m:r>
              <m:t>a</m:t>
            </m:r>
          </m:sub>
        </m:sSub>
        <m:r>
          <m:rPr>
            <m:sty m:val="p"/>
          </m:rPr>
          <m:t>/</m:t>
        </m:r>
        <m:sSub>
          <m:e>
            <m:r>
              <m:t>H</m:t>
            </m:r>
          </m:e>
          <m:sub>
            <m:r>
              <m:t>s</m:t>
            </m:r>
          </m:sub>
        </m:sSub>
      </m:oMath>
      <w:r>
        <w:t xml:space="preserve"> </w:t>
      </w:r>
      <w:r>
        <w:t xml:space="preserve">ranging from 0.05 to 2.50 %. This grid contains, for every slope height, the damage thresholds</w:t>
      </w:r>
      <w:r>
        <w:t xml:space="preserve"> </w:t>
      </w:r>
      <m:oMath>
        <m:sSub>
          <m:e>
            <m:r>
              <m:t>D</m:t>
            </m:r>
          </m:e>
          <m:sub>
            <m:r>
              <m:t>a</m:t>
            </m:r>
          </m:sub>
        </m:sSub>
        <m:r>
          <m:rPr>
            <m:sty m:val="p"/>
          </m:rPr>
          <m:t>/</m:t>
        </m:r>
        <m:r>
          <m:t>H</m:t>
        </m:r>
      </m:oMath>
      <w:r>
        <w:t xml:space="preserve"> </w:t>
      </w:r>
      <w:r>
        <w:t xml:space="preserve">= 0.1, 0.4, 1.0, 2.5% of Section</w:t>
      </w:r>
      <w:r>
        <w:t xml:space="preserve"> </w:t>
      </w:r>
      <w:hyperlink w:anchor="sec-criteria">
        <w:r>
          <w:rPr>
            <w:rStyle w:val="Hyperlink"/>
          </w:rPr>
          <w:t xml:space="preserve">1.1</w:t>
        </w:r>
      </w:hyperlink>
      <w:r>
        <w:t xml:space="preserve">, at which the coefficient tables are reported; values of</w:t>
      </w:r>
      <w:r>
        <w:t xml:space="preserve"> </w:t>
      </w:r>
      <m:oMath>
        <m:sSub>
          <m:e>
            <m:r>
              <m:t>D</m:t>
            </m:r>
          </m:e>
          <m:sub>
            <m:r>
              <m:t>a</m:t>
            </m:r>
          </m:sub>
        </m:sSub>
      </m:oMath>
      <w:r>
        <w:t xml:space="preserve"> </w:t>
      </w:r>
      <w:r>
        <w:t xml:space="preserve">that exceed the calculated range of a realization are obtained through the logarithmic extrapolation defined above.</w:t>
      </w:r>
    </w:p>
    <w:bookmarkEnd w:id="29"/>
    <w:bookmarkStart w:id="60" w:name="sec-kmax-tables"/>
    <w:p>
      <w:pPr>
        <w:pStyle w:val="Heading2"/>
      </w:pPr>
      <w:r>
        <w:t xml:space="preserve">Performance-Based Seismic Coefficient</w:t>
      </w:r>
      <w:r>
        <w:t xml:space="preserve"> </w:t>
      </w:r>
      <m:oMath>
        <m:sSub>
          <m:e>
            <m:r>
              <m:t>k</m:t>
            </m:r>
          </m:e>
          <m:sub>
            <m:r>
              <m:t>m</m:t>
            </m:r>
            <m:r>
              <m:t>a</m:t>
            </m:r>
            <m:r>
              <m:t>x</m:t>
            </m:r>
          </m:sub>
        </m:sSub>
      </m:oMath>
    </w:p>
    <w:tbl>
      <w:tblPr>
        <w:tblStyle w:val="Table"/>
        <w:tblW w:type="pct" w:w="5000"/>
        <w:tblLayout w:type="fixed"/>
        <w:tblLook w:firstRow="0" w:lastRow="0" w:firstColumn="0" w:lastColumn="0" w:noHBand="0" w:noVBand="0" w:val="0000"/>
      </w:tblPr>
      <w:tblGrid>
        <w:gridCol w:w="7920"/>
      </w:tblGrid>
      <w:tr>
        <w:tc>
          <w:tcPr/>
          <w:bookmarkStart w:id="34" w:name="fig-memo-kmax-tr500-kmax-one"/>
          <w:p>
            <w:pPr>
              <w:pStyle w:val="Compact"/>
              <w:jc w:val="center"/>
            </w:pPr>
            <w:r>
              <w:drawing>
                <wp:inline>
                  <wp:extent cx="5760720" cy="4322064"/>
                  <wp:effectExtent b="0" l="0" r="0" t="0"/>
                  <wp:docPr descr="" title="" id="31" name="Picture"/>
                  <a:graphic>
                    <a:graphicData uri="http://schemas.openxmlformats.org/drawingml/2006/picture">
                      <pic:pic>
                        <pic:nvPicPr>
                          <pic:cNvPr descr="gmdp.memo.en_files/figure-docx/fig-memo-kmax-tr500-kmax-one-1.png" id="32" name="Picture"/>
                          <pic:cNvPicPr>
                            <a:picLocks noChangeArrowheads="1" noChangeAspect="1"/>
                          </pic:cNvPicPr>
                        </pic:nvPicPr>
                        <pic:blipFill>
                          <a:blip r:embed="rId30"/>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1: Mean values of</w:t>
            </w:r>
            <w:r>
              <w:t xml:space="preserve"> </w:t>
            </w:r>
            <m:oMath>
              <m:sSub>
                <m:e>
                  <m:r>
                    <m:t>k</m:t>
                  </m:r>
                </m:e>
                <m:sub>
                  <m:r>
                    <m:rPr>
                      <m:sty m:val="p"/>
                    </m:rPr>
                    <m:t>max</m:t>
                  </m:r>
                </m:sub>
              </m:sSub>
            </m:oMath>
            <w:r>
              <w:t xml:space="preserve"> </w:t>
            </w:r>
            <w:r>
              <w:t xml:space="preserve">[</w:t>
            </w:r>
            <m:oMath>
              <m:r>
                <m:t>g</m:t>
              </m:r>
            </m:oMath>
            <w:r>
              <w:t xml:space="preserve">] for site CFD and return period</w:t>
            </w:r>
            <w:r>
              <w:t xml:space="preserve"> </w:t>
            </w:r>
            <m:oMath>
              <m:sSub>
                <m:e>
                  <m:r>
                    <m:t>T</m:t>
                  </m:r>
                </m:e>
                <m:sub>
                  <m:r>
                    <m:t>R</m:t>
                  </m:r>
                </m:sub>
              </m:sSub>
              <m:r>
                <m:rPr>
                  <m:sty m:val="p"/>
                </m:rPr>
                <m:t>=</m:t>
              </m:r>
              <m:r>
                <m:t>500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33"/>
            </w:r>
          </w:p>
          <w:bookmarkEnd w:id="34"/>
        </w:tc>
      </w:tr>
    </w:tbl>
    <w:tbl>
      <w:tblPr>
        <w:tblStyle w:val="Table"/>
        <w:tblW w:type="pct" w:w="5000"/>
        <w:tblLayout w:type="fixed"/>
        <w:tblLook w:firstRow="0" w:lastRow="0" w:firstColumn="0" w:lastColumn="0" w:noHBand="0" w:noVBand="0" w:val="0000"/>
      </w:tblPr>
      <w:tblGrid>
        <w:gridCol w:w="7920"/>
      </w:tblGrid>
      <w:tr>
        <w:tc>
          <w:tcPr/>
          <w:bookmarkStart w:id="39" w:name="fig-memo-kmax-tr2500-kmax-one"/>
          <w:p>
            <w:pPr>
              <w:pStyle w:val="Compact"/>
              <w:jc w:val="center"/>
            </w:pPr>
            <w:r>
              <w:drawing>
                <wp:inline>
                  <wp:extent cx="5760720" cy="4322064"/>
                  <wp:effectExtent b="0" l="0" r="0" t="0"/>
                  <wp:docPr descr="" title="" id="36" name="Picture"/>
                  <a:graphic>
                    <a:graphicData uri="http://schemas.openxmlformats.org/drawingml/2006/picture">
                      <pic:pic>
                        <pic:nvPicPr>
                          <pic:cNvPr descr="gmdp.memo.en_files/figure-docx/fig-memo-kmax-tr2500-kmax-one-1.png" id="37" name="Picture"/>
                          <pic:cNvPicPr>
                            <a:picLocks noChangeArrowheads="1" noChangeAspect="1"/>
                          </pic:cNvPicPr>
                        </pic:nvPicPr>
                        <pic:blipFill>
                          <a:blip r:embed="rId35"/>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2: Mean values of</w:t>
            </w:r>
            <w:r>
              <w:t xml:space="preserve"> </w:t>
            </w:r>
            <m:oMath>
              <m:sSub>
                <m:e>
                  <m:r>
                    <m:t>k</m:t>
                  </m:r>
                </m:e>
                <m:sub>
                  <m:r>
                    <m:rPr>
                      <m:sty m:val="p"/>
                    </m:rPr>
                    <m:t>max</m:t>
                  </m:r>
                </m:sub>
              </m:sSub>
            </m:oMath>
            <w:r>
              <w:t xml:space="preserve"> </w:t>
            </w:r>
            <w:r>
              <w:t xml:space="preserve">[</w:t>
            </w:r>
            <m:oMath>
              <m:r>
                <m:t>g</m:t>
              </m:r>
            </m:oMath>
            <w:r>
              <w:t xml:space="preserve">] for site CFD and return period</w:t>
            </w:r>
            <w:r>
              <w:t xml:space="preserve"> </w:t>
            </w:r>
            <m:oMath>
              <m:sSub>
                <m:e>
                  <m:r>
                    <m:t>T</m:t>
                  </m:r>
                </m:e>
                <m:sub>
                  <m:r>
                    <m:t>R</m:t>
                  </m:r>
                </m:sub>
              </m:sSub>
              <m:r>
                <m:rPr>
                  <m:sty m:val="p"/>
                </m:rPr>
                <m:t>=</m:t>
              </m:r>
              <m:r>
                <m:t>2</m:t>
              </m:r>
              <m:r>
                <m:rPr>
                  <m:sty m:val="p"/>
                </m:rPr>
                <m:t>,</m:t>
              </m:r>
              <m:r>
                <m:t>500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38"/>
            </w:r>
          </w:p>
          <w:bookmarkEnd w:id="39"/>
        </w:tc>
      </w:tr>
    </w:tbl>
    <w:tbl>
      <w:tblPr>
        <w:tblStyle w:val="Table"/>
        <w:tblW w:type="pct" w:w="5000"/>
        <w:tblLayout w:type="fixed"/>
        <w:tblLook w:firstRow="0" w:lastRow="0" w:firstColumn="0" w:lastColumn="0" w:noHBand="0" w:noVBand="0" w:val="0000"/>
      </w:tblPr>
      <w:tblGrid>
        <w:gridCol w:w="7920"/>
      </w:tblGrid>
      <w:tr>
        <w:tc>
          <w:tcPr/>
          <w:bookmarkStart w:id="44" w:name="fig-memo-kmax-mde-kmax-one"/>
          <w:p>
            <w:pPr>
              <w:pStyle w:val="Compact"/>
              <w:jc w:val="center"/>
            </w:pPr>
            <w:r>
              <w:drawing>
                <wp:inline>
                  <wp:extent cx="5760720" cy="4322064"/>
                  <wp:effectExtent b="0" l="0" r="0" t="0"/>
                  <wp:docPr descr="" title="" id="41" name="Picture"/>
                  <a:graphic>
                    <a:graphicData uri="http://schemas.openxmlformats.org/drawingml/2006/picture">
                      <pic:pic>
                        <pic:nvPicPr>
                          <pic:cNvPr descr="gmdp.memo.en_files/figure-docx/fig-memo-kmax-mde-kmax-one-1.png" id="42" name="Picture"/>
                          <pic:cNvPicPr>
                            <a:picLocks noChangeArrowheads="1" noChangeAspect="1"/>
                          </pic:cNvPicPr>
                        </pic:nvPicPr>
                        <pic:blipFill>
                          <a:blip r:embed="rId40"/>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3: Mean values of</w:t>
            </w:r>
            <w:r>
              <w:t xml:space="preserve"> </w:t>
            </w:r>
            <m:oMath>
              <m:sSub>
                <m:e>
                  <m:r>
                    <m:t>k</m:t>
                  </m:r>
                </m:e>
                <m:sub>
                  <m:r>
                    <m:rPr>
                      <m:sty m:val="p"/>
                    </m:rPr>
                    <m:t>max</m:t>
                  </m:r>
                </m:sub>
              </m:sSub>
            </m:oMath>
            <w:r>
              <w:t xml:space="preserve"> </w:t>
            </w:r>
            <w:r>
              <w:t xml:space="preserve">[</w:t>
            </w:r>
            <m:oMath>
              <m:r>
                <m:t>g</m:t>
              </m:r>
            </m:oMath>
            <w:r>
              <w:t xml:space="preserve">] for site CFD and return period</w:t>
            </w:r>
            <w:r>
              <w:t xml:space="preserve"> </w:t>
            </w:r>
            <m:oMath>
              <m:sSub>
                <m:e>
                  <m:r>
                    <m:t>T</m:t>
                  </m:r>
                </m:e>
                <m:sub>
                  <m:r>
                    <m:t>R</m:t>
                  </m:r>
                </m:sub>
              </m:sSub>
              <m:r>
                <m:rPr>
                  <m:sty m:val="p"/>
                </m:rPr>
                <m:t>=</m:t>
              </m:r>
              <m:r>
                <m:t>10</m:t>
              </m:r>
              <m:r>
                <m:rPr>
                  <m:sty m:val="p"/>
                </m:rPr>
                <m:t>,</m:t>
              </m:r>
              <m:r>
                <m:t>000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43"/>
            </w:r>
          </w:p>
          <w:bookmarkEnd w:id="44"/>
        </w:tc>
      </w:tr>
    </w:tbl>
    <w:tbl>
      <w:tblPr>
        <w:tblStyle w:val="Table"/>
        <w:tblW w:type="pct" w:w="5000"/>
        <w:tblLayout w:type="fixed"/>
        <w:tblLook w:firstRow="0" w:lastRow="0" w:firstColumn="0" w:lastColumn="0" w:noHBand="0" w:noVBand="0" w:val="0000"/>
      </w:tblPr>
      <w:tblGrid>
        <w:gridCol w:w="7920"/>
      </w:tblGrid>
      <w:tr>
        <w:tc>
          <w:tcPr/>
          <w:bookmarkStart w:id="49" w:name="fig-memo-kmax-mce-kmax-one"/>
          <w:p>
            <w:pPr>
              <w:pStyle w:val="Compact"/>
              <w:jc w:val="center"/>
            </w:pPr>
            <w:r>
              <w:drawing>
                <wp:inline>
                  <wp:extent cx="5760720" cy="4322064"/>
                  <wp:effectExtent b="0" l="0" r="0" t="0"/>
                  <wp:docPr descr="" title="" id="46" name="Picture"/>
                  <a:graphic>
                    <a:graphicData uri="http://schemas.openxmlformats.org/drawingml/2006/picture">
                      <pic:pic>
                        <pic:nvPicPr>
                          <pic:cNvPr descr="gmdp.memo.en_files/figure-docx/fig-memo-kmax-mce-kmax-one-1.png" id="47" name="Picture"/>
                          <pic:cNvPicPr>
                            <a:picLocks noChangeArrowheads="1" noChangeAspect="1"/>
                          </pic:cNvPicPr>
                        </pic:nvPicPr>
                        <pic:blipFill>
                          <a:blip r:embed="rId45"/>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4: Mean values of</w:t>
            </w:r>
            <w:r>
              <w:t xml:space="preserve"> </w:t>
            </w:r>
            <m:oMath>
              <m:sSub>
                <m:e>
                  <m:r>
                    <m:t>k</m:t>
                  </m:r>
                </m:e>
                <m:sub>
                  <m:r>
                    <m:rPr>
                      <m:sty m:val="p"/>
                    </m:rPr>
                    <m:t>max</m:t>
                  </m:r>
                </m:sub>
              </m:sSub>
            </m:oMath>
            <w:r>
              <w:t xml:space="preserve"> </w:t>
            </w:r>
            <w:r>
              <w:t xml:space="preserve">[</w:t>
            </w:r>
            <m:oMath>
              <m:r>
                <m:t>g</m:t>
              </m:r>
            </m:oMath>
            <w:r>
              <w:t xml:space="preserve">] for site CFD under the MCE demand,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48"/>
            </w:r>
          </w:p>
          <w:bookmarkEnd w:id="49"/>
        </w:tc>
      </w:tr>
    </w:tbl>
    <w:p>
      <w:pPr>
        <w:pStyle w:val="BodyText"/>
      </w:pPr>
      <w:r>
        <w:t xml:space="preserve"> </w:t>
      </w:r>
    </w:p>
    <w:bookmarkStart w:id="51" w:name="tbl-memo-kmax-s135-u1-kmax"/>
    <w:p>
      <w:pPr>
        <w:pStyle w:val="ImageCaption"/>
        <w:spacing w:before="200"/>
        <w:jc w:val="left"/>
      </w:pPr>
      <w:r>
        <w:t xml:space="preserve">Table 3: Mean values of</w:t>
      </w:r>
      <w:r>
        <w:t xml:space="preserve"> </w:t>
      </w:r>
      <m:oMath>
        <m:sSub>
          <m:e>
            <m:r>
              <m:t>k</m:t>
            </m:r>
          </m:e>
          <m:sub>
            <m:r>
              <m:rPr>
                <m:sty m:val="p"/>
              </m:rPr>
              <m:t>max</m:t>
            </m:r>
          </m:sub>
        </m:sSub>
      </m:oMath>
      <w:r>
        <w:t xml:space="preserve"> </w:t>
      </w:r>
      <w:r>
        <w:t xml:space="preserve">[cm/s2] for site CFD, scenario S135,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50"/>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r>
    </w:tbl>
    <w:bookmarkEnd w:id="51"/>
    <w:p/>
    <w:p>
      <w:pPr>
        <w:pStyle w:val="BodyText"/>
      </w:pPr>
      <w:r>
        <w:t xml:space="preserve"> </w:t>
      </w:r>
    </w:p>
    <w:p>
      <w:pPr>
        <w:pStyle w:val="BodyText"/>
      </w:pPr>
      <w:r>
        <w:t xml:space="preserve"> </w:t>
      </w:r>
    </w:p>
    <w:bookmarkStart w:id="53" w:name="tbl-memo-kmax-s50-u2-kmax"/>
    <w:p>
      <w:pPr>
        <w:pStyle w:val="ImageCaption"/>
        <w:spacing w:before="200"/>
        <w:jc w:val="left"/>
      </w:pPr>
      <w:r>
        <w:t xml:space="preserve">Table 4: Mean values of</w:t>
      </w:r>
      <w:r>
        <w:t xml:space="preserve"> </w:t>
      </w:r>
      <m:oMath>
        <m:sSub>
          <m:e>
            <m:r>
              <m:t>k</m:t>
            </m:r>
          </m:e>
          <m:sub>
            <m:r>
              <m:rPr>
                <m:sty m:val="p"/>
              </m:rPr>
              <m:t>max</m:t>
            </m:r>
          </m:sub>
        </m:sSub>
      </m:oMath>
      <w:r>
        <w:t xml:space="preserve"> </w:t>
      </w:r>
      <w:r>
        <w:t xml:space="preserve">[cm/s2] for site CFD, scenario S50,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52"/>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r>
    </w:tbl>
    <w:bookmarkEnd w:id="53"/>
    <w:p/>
    <w:p>
      <w:pPr>
        <w:pStyle w:val="BodyText"/>
      </w:pPr>
      <w:r>
        <w:t xml:space="preserve"> </w:t>
      </w:r>
    </w:p>
    <w:p>
      <w:pPr>
        <w:pStyle w:val="BodyText"/>
      </w:pPr>
      <w:r>
        <w:t xml:space="preserve"> </w:t>
      </w:r>
    </w:p>
    <w:bookmarkStart w:id="55" w:name="tbl-memo-kmax-s32-u3-kmax"/>
    <w:p>
      <w:pPr>
        <w:pStyle w:val="ImageCaption"/>
        <w:spacing w:before="200"/>
        <w:jc w:val="left"/>
      </w:pPr>
      <w:r>
        <w:t xml:space="preserve">Table 5: Mean values of</w:t>
      </w:r>
      <w:r>
        <w:t xml:space="preserve"> </w:t>
      </w:r>
      <m:oMath>
        <m:sSub>
          <m:e>
            <m:r>
              <m:t>k</m:t>
            </m:r>
          </m:e>
          <m:sub>
            <m:r>
              <m:rPr>
                <m:sty m:val="p"/>
              </m:rPr>
              <m:t>max</m:t>
            </m:r>
          </m:sub>
        </m:sSub>
      </m:oMath>
      <w:r>
        <w:t xml:space="preserve"> </w:t>
      </w:r>
      <w:r>
        <w:t xml:space="preserve">[cm/s2] for site CFD, scenario S32,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54"/>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bl>
    <w:bookmarkEnd w:id="55"/>
    <w:p/>
    <w:p>
      <w:pPr>
        <w:pStyle w:val="BodyText"/>
      </w:pPr>
      <w:r>
        <w:t xml:space="preserve"> </w:t>
      </w:r>
    </w:p>
    <w:p>
      <w:pPr>
        <w:pStyle w:val="BodyText"/>
      </w:pPr>
      <w:r>
        <w:t xml:space="preserve"> </w:t>
      </w:r>
    </w:p>
    <w:bookmarkStart w:id="57" w:name="tbl-memo-kmax-s27-u4-kmax"/>
    <w:p>
      <w:pPr>
        <w:pStyle w:val="ImageCaption"/>
        <w:spacing w:before="200"/>
        <w:jc w:val="left"/>
      </w:pPr>
      <w:r>
        <w:t xml:space="preserve">Table 6: Mean values of</w:t>
      </w:r>
      <w:r>
        <w:t xml:space="preserve"> </w:t>
      </w:r>
      <m:oMath>
        <m:sSub>
          <m:e>
            <m:r>
              <m:t>k</m:t>
            </m:r>
          </m:e>
          <m:sub>
            <m:r>
              <m:rPr>
                <m:sty m:val="p"/>
              </m:rPr>
              <m:t>max</m:t>
            </m:r>
          </m:sub>
        </m:sSub>
      </m:oMath>
      <w:r>
        <w:t xml:space="preserve"> </w:t>
      </w:r>
      <w:r>
        <w:t xml:space="preserve">[cm/s2] for site CFD, scenario S27,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56"/>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r>
    </w:tbl>
    <w:bookmarkEnd w:id="57"/>
    <w:p/>
    <w:p>
      <w:pPr>
        <w:pStyle w:val="BodyText"/>
      </w:pPr>
      <w:r>
        <w:t xml:space="preserve"> </w:t>
      </w:r>
    </w:p>
    <w:p>
      <w:pPr>
        <w:pStyle w:val="BodyText"/>
      </w:pPr>
      <w:r>
        <w:t xml:space="preserve"> </w:t>
      </w:r>
    </w:p>
    <w:bookmarkStart w:id="59" w:name="tbl-memo-kmax-s35-u5-kmax"/>
    <w:p>
      <w:pPr>
        <w:pStyle w:val="ImageCaption"/>
        <w:spacing w:before="200"/>
        <w:jc w:val="left"/>
      </w:pPr>
      <w:r>
        <w:t xml:space="preserve">Table 7: Mean values of</w:t>
      </w:r>
      <w:r>
        <w:t xml:space="preserve"> </w:t>
      </w:r>
      <m:oMath>
        <m:sSub>
          <m:e>
            <m:r>
              <m:t>k</m:t>
            </m:r>
          </m:e>
          <m:sub>
            <m:r>
              <m:rPr>
                <m:sty m:val="p"/>
              </m:rPr>
              <m:t>max</m:t>
            </m:r>
          </m:sub>
        </m:sSub>
      </m:oMath>
      <w:r>
        <w:t xml:space="preserve"> </w:t>
      </w:r>
      <w:r>
        <w:t xml:space="preserve">[cm/s2] for site CFD, scenario S35,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58"/>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bl>
    <w:bookmarkEnd w:id="59"/>
    <w:p/>
    <w:p>
      <w:pPr>
        <w:pStyle w:val="BodyText"/>
      </w:pPr>
      <w:r>
        <w:t xml:space="preserve"> </w:t>
      </w:r>
    </w:p>
    <w:bookmarkEnd w:id="60"/>
    <w:bookmarkStart w:id="91" w:name="sec-kh-tables"/>
    <w:p>
      <w:pPr>
        <w:pStyle w:val="Heading2"/>
      </w:pPr>
      <w:r>
        <w:t xml:space="preserve">Performance-Based Seismic Coefficient</w:t>
      </w:r>
      <w:r>
        <w:t xml:space="preserve"> </w:t>
      </w:r>
      <m:oMath>
        <m:sSub>
          <m:e>
            <m:r>
              <m:t>k</m:t>
            </m:r>
          </m:e>
          <m:sub>
            <m:r>
              <m:t>h</m:t>
            </m:r>
          </m:sub>
        </m:sSub>
      </m:oMath>
    </w:p>
    <w:tbl>
      <w:tblPr>
        <w:tblStyle w:val="Table"/>
        <w:tblW w:type="pct" w:w="5000"/>
        <w:tblLayout w:type="fixed"/>
        <w:tblLook w:firstRow="0" w:lastRow="0" w:firstColumn="0" w:lastColumn="0" w:noHBand="0" w:noVBand="0" w:val="0000"/>
      </w:tblPr>
      <w:tblGrid>
        <w:gridCol w:w="7920"/>
      </w:tblGrid>
      <w:tr>
        <w:tc>
          <w:tcPr/>
          <w:bookmarkStart w:id="65" w:name="fig-memo-kh-tr500-kh-one"/>
          <w:p>
            <w:pPr>
              <w:pStyle w:val="Compact"/>
              <w:jc w:val="center"/>
            </w:pPr>
            <w:r>
              <w:drawing>
                <wp:inline>
                  <wp:extent cx="5760720" cy="4322064"/>
                  <wp:effectExtent b="0" l="0" r="0" t="0"/>
                  <wp:docPr descr="" title="" id="62" name="Picture"/>
                  <a:graphic>
                    <a:graphicData uri="http://schemas.openxmlformats.org/drawingml/2006/picture">
                      <pic:pic>
                        <pic:nvPicPr>
                          <pic:cNvPr descr="gmdp.memo.en_files/figure-docx/fig-memo-kh-tr500-kh-one-1.png" id="63" name="Picture"/>
                          <pic:cNvPicPr>
                            <a:picLocks noChangeArrowheads="1" noChangeAspect="1"/>
                          </pic:cNvPicPr>
                        </pic:nvPicPr>
                        <pic:blipFill>
                          <a:blip r:embed="rId61"/>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5: Mean values of</w:t>
            </w:r>
            <w:r>
              <w:t xml:space="preserve"> </w:t>
            </w:r>
            <m:oMath>
              <m:sSub>
                <m:e>
                  <m:r>
                    <m:t>k</m:t>
                  </m:r>
                </m:e>
                <m:sub>
                  <m:r>
                    <m:t>h</m:t>
                  </m:r>
                </m:sub>
              </m:sSub>
            </m:oMath>
            <w:r>
              <w:t xml:space="preserve"> </w:t>
            </w:r>
            <w:r>
              <w:t xml:space="preserve">[% of PGA] for site CFD and return period</w:t>
            </w:r>
            <w:r>
              <w:t xml:space="preserve"> </w:t>
            </w:r>
            <m:oMath>
              <m:sSub>
                <m:e>
                  <m:r>
                    <m:t>T</m:t>
                  </m:r>
                </m:e>
                <m:sub>
                  <m:r>
                    <m:t>R</m:t>
                  </m:r>
                </m:sub>
              </m:sSub>
              <m:r>
                <m:rPr>
                  <m:sty m:val="p"/>
                </m:rPr>
                <m:t>=</m:t>
              </m:r>
              <m:r>
                <m:t>500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64"/>
            </w:r>
          </w:p>
          <w:bookmarkEnd w:id="65"/>
        </w:tc>
      </w:tr>
    </w:tbl>
    <w:tbl>
      <w:tblPr>
        <w:tblStyle w:val="Table"/>
        <w:tblW w:type="pct" w:w="5000"/>
        <w:tblLayout w:type="fixed"/>
        <w:tblLook w:firstRow="0" w:lastRow="0" w:firstColumn="0" w:lastColumn="0" w:noHBand="0" w:noVBand="0" w:val="0000"/>
      </w:tblPr>
      <w:tblGrid>
        <w:gridCol w:w="7920"/>
      </w:tblGrid>
      <w:tr>
        <w:tc>
          <w:tcPr/>
          <w:bookmarkStart w:id="70" w:name="fig-memo-kh-tr2500-kh-one"/>
          <w:p>
            <w:pPr>
              <w:pStyle w:val="Compact"/>
              <w:jc w:val="center"/>
            </w:pPr>
            <w:r>
              <w:drawing>
                <wp:inline>
                  <wp:extent cx="5760720" cy="4322064"/>
                  <wp:effectExtent b="0" l="0" r="0" t="0"/>
                  <wp:docPr descr="" title="" id="67" name="Picture"/>
                  <a:graphic>
                    <a:graphicData uri="http://schemas.openxmlformats.org/drawingml/2006/picture">
                      <pic:pic>
                        <pic:nvPicPr>
                          <pic:cNvPr descr="gmdp.memo.en_files/figure-docx/fig-memo-kh-tr2500-kh-one-1.png" id="68" name="Picture"/>
                          <pic:cNvPicPr>
                            <a:picLocks noChangeArrowheads="1" noChangeAspect="1"/>
                          </pic:cNvPicPr>
                        </pic:nvPicPr>
                        <pic:blipFill>
                          <a:blip r:embed="rId66"/>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6: Mean values of</w:t>
            </w:r>
            <w:r>
              <w:t xml:space="preserve"> </w:t>
            </w:r>
            <m:oMath>
              <m:sSub>
                <m:e>
                  <m:r>
                    <m:t>k</m:t>
                  </m:r>
                </m:e>
                <m:sub>
                  <m:r>
                    <m:t>h</m:t>
                  </m:r>
                </m:sub>
              </m:sSub>
            </m:oMath>
            <w:r>
              <w:t xml:space="preserve"> </w:t>
            </w:r>
            <w:r>
              <w:t xml:space="preserve">[% of PGA] for site CFD and return period</w:t>
            </w:r>
            <w:r>
              <w:t xml:space="preserve"> </w:t>
            </w:r>
            <m:oMath>
              <m:sSub>
                <m:e>
                  <m:r>
                    <m:t>T</m:t>
                  </m:r>
                </m:e>
                <m:sub>
                  <m:r>
                    <m:t>R</m:t>
                  </m:r>
                </m:sub>
              </m:sSub>
              <m:r>
                <m:rPr>
                  <m:sty m:val="p"/>
                </m:rPr>
                <m:t>=</m:t>
              </m:r>
              <m:r>
                <m:t>2</m:t>
              </m:r>
              <m:r>
                <m:rPr>
                  <m:sty m:val="p"/>
                </m:rPr>
                <m:t>,</m:t>
              </m:r>
              <m:r>
                <m:t>500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69"/>
            </w:r>
          </w:p>
          <w:bookmarkEnd w:id="70"/>
        </w:tc>
      </w:tr>
    </w:tbl>
    <w:tbl>
      <w:tblPr>
        <w:tblStyle w:val="Table"/>
        <w:tblW w:type="pct" w:w="5000"/>
        <w:tblLayout w:type="fixed"/>
        <w:tblLook w:firstRow="0" w:lastRow="0" w:firstColumn="0" w:lastColumn="0" w:noHBand="0" w:noVBand="0" w:val="0000"/>
      </w:tblPr>
      <w:tblGrid>
        <w:gridCol w:w="7920"/>
      </w:tblGrid>
      <w:tr>
        <w:tc>
          <w:tcPr/>
          <w:bookmarkStart w:id="75" w:name="fig-memo-kh-mde-kh-one"/>
          <w:p>
            <w:pPr>
              <w:pStyle w:val="Compact"/>
              <w:jc w:val="center"/>
            </w:pPr>
            <w:r>
              <w:drawing>
                <wp:inline>
                  <wp:extent cx="5760720" cy="4322064"/>
                  <wp:effectExtent b="0" l="0" r="0" t="0"/>
                  <wp:docPr descr="" title="" id="72" name="Picture"/>
                  <a:graphic>
                    <a:graphicData uri="http://schemas.openxmlformats.org/drawingml/2006/picture">
                      <pic:pic>
                        <pic:nvPicPr>
                          <pic:cNvPr descr="gmdp.memo.en_files/figure-docx/fig-memo-kh-mde-kh-one-1.png" id="73" name="Picture"/>
                          <pic:cNvPicPr>
                            <a:picLocks noChangeArrowheads="1" noChangeAspect="1"/>
                          </pic:cNvPicPr>
                        </pic:nvPicPr>
                        <pic:blipFill>
                          <a:blip r:embed="rId71"/>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7: Mean values of</w:t>
            </w:r>
            <w:r>
              <w:t xml:space="preserve"> </w:t>
            </w:r>
            <m:oMath>
              <m:sSub>
                <m:e>
                  <m:r>
                    <m:t>k</m:t>
                  </m:r>
                </m:e>
                <m:sub>
                  <m:r>
                    <m:t>h</m:t>
                  </m:r>
                </m:sub>
              </m:sSub>
            </m:oMath>
            <w:r>
              <w:t xml:space="preserve"> </w:t>
            </w:r>
            <w:r>
              <w:t xml:space="preserve">[% of PGA] for site CFD and return period</w:t>
            </w:r>
            <w:r>
              <w:t xml:space="preserve"> </w:t>
            </w:r>
            <m:oMath>
              <m:sSub>
                <m:e>
                  <m:r>
                    <m:t>T</m:t>
                  </m:r>
                </m:e>
                <m:sub>
                  <m:r>
                    <m:t>R</m:t>
                  </m:r>
                </m:sub>
              </m:sSub>
              <m:r>
                <m:rPr>
                  <m:sty m:val="p"/>
                </m:rPr>
                <m:t>=</m:t>
              </m:r>
              <m:r>
                <m:t>10</m:t>
              </m:r>
              <m:r>
                <m:rPr>
                  <m:sty m:val="p"/>
                </m:rPr>
                <m:t>,</m:t>
              </m:r>
              <m:r>
                <m:t>000</m:t>
              </m:r>
            </m:oMath>
            <w:r>
              <w:t xml:space="preserve"> </w:t>
            </w:r>
            <w:r>
              <w:t xml:space="preserve">yr,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74"/>
            </w:r>
          </w:p>
          <w:bookmarkEnd w:id="75"/>
        </w:tc>
      </w:tr>
    </w:tbl>
    <w:tbl>
      <w:tblPr>
        <w:tblStyle w:val="Table"/>
        <w:tblW w:type="pct" w:w="5000"/>
        <w:tblLayout w:type="fixed"/>
        <w:tblLook w:firstRow="0" w:lastRow="0" w:firstColumn="0" w:lastColumn="0" w:noHBand="0" w:noVBand="0" w:val="0000"/>
      </w:tblPr>
      <w:tblGrid>
        <w:gridCol w:w="7920"/>
      </w:tblGrid>
      <w:tr>
        <w:tc>
          <w:tcPr/>
          <w:bookmarkStart w:id="80" w:name="fig-memo-kh-mce-kh-one"/>
          <w:p>
            <w:pPr>
              <w:pStyle w:val="Compact"/>
              <w:jc w:val="center"/>
            </w:pPr>
            <w:r>
              <w:drawing>
                <wp:inline>
                  <wp:extent cx="5760720" cy="4322064"/>
                  <wp:effectExtent b="0" l="0" r="0" t="0"/>
                  <wp:docPr descr="" title="" id="77" name="Picture"/>
                  <a:graphic>
                    <a:graphicData uri="http://schemas.openxmlformats.org/drawingml/2006/picture">
                      <pic:pic>
                        <pic:nvPicPr>
                          <pic:cNvPr descr="gmdp.memo.en_files/figure-docx/fig-memo-kh-mce-kh-one-1.png" id="78" name="Picture"/>
                          <pic:cNvPicPr>
                            <a:picLocks noChangeArrowheads="1" noChangeAspect="1"/>
                          </pic:cNvPicPr>
                        </pic:nvPicPr>
                        <pic:blipFill>
                          <a:blip r:embed="rId76"/>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8: Mean values of</w:t>
            </w:r>
            <w:r>
              <w:t xml:space="preserve"> </w:t>
            </w:r>
            <m:oMath>
              <m:sSub>
                <m:e>
                  <m:r>
                    <m:t>k</m:t>
                  </m:r>
                </m:e>
                <m:sub>
                  <m:r>
                    <m:t>h</m:t>
                  </m:r>
                </m:sub>
              </m:sSub>
            </m:oMath>
            <w:r>
              <w:t xml:space="preserve"> </w:t>
            </w:r>
            <w:r>
              <w:t xml:space="preserve">[% of PGA] for site CFD under the MCE demand, as a function of the allowable permanent displacement relative to slope height,</w:t>
            </w:r>
            <w:r>
              <w:t xml:space="preserve"> </w:t>
            </w:r>
            <m:oMath>
              <m:sSub>
                <m:e>
                  <m:r>
                    <m:t>D</m:t>
                  </m:r>
                </m:e>
                <m:sub>
                  <m:r>
                    <m:t>a</m:t>
                  </m:r>
                </m:sub>
              </m:sSub>
              <m:r>
                <m:rPr>
                  <m:sty m:val="p"/>
                </m:rPr>
                <m:t>/</m:t>
              </m:r>
              <m:r>
                <m:t>H</m:t>
              </m:r>
            </m:oMath>
            <w:r>
              <w:t xml:space="preserve"> </w:t>
            </w:r>
            <w:r>
              <w:t xml:space="preserve">[%]. The curves represent the scenarios S135, S50, S32, S27, S35 evaluated with the</w:t>
            </w:r>
            <w:r>
              <w:t xml:space="preserve"> </w:t>
            </w:r>
            <w:r>
              <w:rPr>
                <w:rStyle w:val="VerbatimChar"/>
              </w:rPr>
              <w:t xml:space="preserve">rigid</w:t>
            </w:r>
            <w:r>
              <w:t xml:space="preserve">,</w:t>
            </w:r>
            <w:r>
              <w:t xml:space="preserve"> </w:t>
            </w:r>
            <w:r>
              <w:rPr>
                <w:rStyle w:val="VerbatimChar"/>
              </w:rPr>
              <w:t xml:space="preserve">ensemble</w:t>
            </w:r>
            <w:r>
              <w:t xml:space="preserve">, and</w:t>
            </w:r>
            <w:r>
              <w:t xml:space="preserve"> </w:t>
            </w:r>
            <w:r>
              <w:rPr>
                <w:rStyle w:val="VerbatimChar"/>
              </w:rPr>
              <w:t xml:space="preserve">flexible</w:t>
            </w:r>
            <w:r>
              <w:t xml:space="preserve"> </w:t>
            </w:r>
            <w:r>
              <w:t xml:space="preserve">sets.</w:t>
            </w:r>
            <w:r>
              <w:rPr>
                <w:rStyle w:val="FootnoteReference"/>
              </w:rPr>
              <w:footnoteReference w:id="79"/>
            </w:r>
          </w:p>
          <w:bookmarkEnd w:id="80"/>
        </w:tc>
      </w:tr>
    </w:tbl>
    <w:p>
      <w:pPr>
        <w:pStyle w:val="BodyText"/>
      </w:pPr>
      <w:r>
        <w:t xml:space="preserve"> </w:t>
      </w:r>
    </w:p>
    <w:bookmarkStart w:id="82" w:name="tbl-memo-kh-s135-u1-kh"/>
    <w:p>
      <w:pPr>
        <w:pStyle w:val="ImageCaption"/>
        <w:spacing w:before="200"/>
        <w:jc w:val="left"/>
      </w:pPr>
      <w:r>
        <w:t xml:space="preserve">Table 8: Mean values of</w:t>
      </w:r>
      <w:r>
        <w:t xml:space="preserve"> </w:t>
      </w:r>
      <m:oMath>
        <m:sSub>
          <m:e>
            <m:r>
              <m:t>k</m:t>
            </m:r>
          </m:e>
          <m:sub>
            <m:r>
              <m:t>h</m:t>
            </m:r>
          </m:sub>
        </m:sSub>
      </m:oMath>
      <w:r>
        <w:t xml:space="preserve"> </w:t>
      </w:r>
      <w:r>
        <w:t xml:space="preserve">[% of PGA] for site CFD, scenario S135,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81"/>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w:t>
            </w:r>
          </w:p>
        </w:tc>
      </w:tr>
    </w:tbl>
    <w:bookmarkEnd w:id="82"/>
    <w:p/>
    <w:p>
      <w:pPr>
        <w:pStyle w:val="BodyText"/>
      </w:pPr>
      <w:r>
        <w:t xml:space="preserve"> </w:t>
      </w:r>
    </w:p>
    <w:p>
      <w:pPr>
        <w:pStyle w:val="BodyText"/>
      </w:pPr>
      <w:r>
        <w:t xml:space="preserve"> </w:t>
      </w:r>
    </w:p>
    <w:bookmarkStart w:id="84" w:name="tbl-memo-kh-s50-u2-kh"/>
    <w:p>
      <w:pPr>
        <w:pStyle w:val="ImageCaption"/>
        <w:spacing w:before="200"/>
        <w:jc w:val="left"/>
      </w:pPr>
      <w:r>
        <w:t xml:space="preserve">Table 9: Mean values of</w:t>
      </w:r>
      <w:r>
        <w:t xml:space="preserve"> </w:t>
      </w:r>
      <m:oMath>
        <m:sSub>
          <m:e>
            <m:r>
              <m:t>k</m:t>
            </m:r>
          </m:e>
          <m:sub>
            <m:r>
              <m:t>h</m:t>
            </m:r>
          </m:sub>
        </m:sSub>
      </m:oMath>
      <w:r>
        <w:t xml:space="preserve"> </w:t>
      </w:r>
      <w:r>
        <w:t xml:space="preserve">[% of PGA] for site CFD, scenario S50,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83"/>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36.3</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21.4</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w:t>
            </w:r>
          </w:p>
        </w:tc>
      </w:tr>
    </w:tbl>
    <w:bookmarkEnd w:id="84"/>
    <w:p/>
    <w:p>
      <w:pPr>
        <w:pStyle w:val="BodyText"/>
      </w:pPr>
      <w:r>
        <w:t xml:space="preserve"> </w:t>
      </w:r>
    </w:p>
    <w:p>
      <w:pPr>
        <w:pStyle w:val="BodyText"/>
      </w:pPr>
      <w:r>
        <w:t xml:space="preserve"> </w:t>
      </w:r>
    </w:p>
    <w:bookmarkStart w:id="86" w:name="tbl-memo-kh-s32-u3-kh"/>
    <w:p>
      <w:pPr>
        <w:pStyle w:val="ImageCaption"/>
        <w:spacing w:before="200"/>
        <w:jc w:val="left"/>
      </w:pPr>
      <w:r>
        <w:t xml:space="preserve">Table 10: Mean values of</w:t>
      </w:r>
      <w:r>
        <w:t xml:space="preserve"> </w:t>
      </w:r>
      <m:oMath>
        <m:sSub>
          <m:e>
            <m:r>
              <m:t>k</m:t>
            </m:r>
          </m:e>
          <m:sub>
            <m:r>
              <m:t>h</m:t>
            </m:r>
          </m:sub>
        </m:sSub>
      </m:oMath>
      <w:r>
        <w:t xml:space="preserve"> </w:t>
      </w:r>
      <w:r>
        <w:t xml:space="preserve">[% of PGA] for site CFD, scenario S32,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85"/>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24.7</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26.8</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r>
    </w:tbl>
    <w:bookmarkEnd w:id="86"/>
    <w:p/>
    <w:p>
      <w:pPr>
        <w:pStyle w:val="BodyText"/>
      </w:pPr>
      <w:r>
        <w:t xml:space="preserve"> </w:t>
      </w:r>
    </w:p>
    <w:p>
      <w:pPr>
        <w:pStyle w:val="BodyText"/>
      </w:pPr>
      <w:r>
        <w:t xml:space="preserve"> </w:t>
      </w:r>
    </w:p>
    <w:bookmarkStart w:id="88" w:name="tbl-memo-kh-s27-u4-kh"/>
    <w:p>
      <w:pPr>
        <w:pStyle w:val="ImageCaption"/>
        <w:spacing w:before="200"/>
        <w:jc w:val="left"/>
      </w:pPr>
      <w:r>
        <w:t xml:space="preserve">Table 11: Mean values of</w:t>
      </w:r>
      <w:r>
        <w:t xml:space="preserve"> </w:t>
      </w:r>
      <m:oMath>
        <m:sSub>
          <m:e>
            <m:r>
              <m:t>k</m:t>
            </m:r>
          </m:e>
          <m:sub>
            <m:r>
              <m:t>h</m:t>
            </m:r>
          </m:sub>
        </m:sSub>
      </m:oMath>
      <w:r>
        <w:t xml:space="preserve"> </w:t>
      </w:r>
      <w:r>
        <w:t xml:space="preserve">[% of PGA] for site CFD, scenario S27,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87"/>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8.6</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44.2</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w:t>
            </w:r>
          </w:p>
        </w:tc>
      </w:tr>
    </w:tbl>
    <w:bookmarkEnd w:id="88"/>
    <w:p/>
    <w:p>
      <w:pPr>
        <w:pStyle w:val="BodyText"/>
      </w:pPr>
      <w:r>
        <w:t xml:space="preserve"> </w:t>
      </w:r>
    </w:p>
    <w:p>
      <w:pPr>
        <w:pStyle w:val="BodyText"/>
      </w:pPr>
      <w:r>
        <w:t xml:space="preserve"> </w:t>
      </w:r>
    </w:p>
    <w:bookmarkStart w:id="90" w:name="tbl-memo-kh-s35-u5-kh"/>
    <w:p>
      <w:pPr>
        <w:pStyle w:val="ImageCaption"/>
        <w:spacing w:before="200"/>
        <w:jc w:val="left"/>
      </w:pPr>
      <w:r>
        <w:t xml:space="preserve">Table 12: Mean values of</w:t>
      </w:r>
      <w:r>
        <w:t xml:space="preserve"> </w:t>
      </w:r>
      <m:oMath>
        <m:sSub>
          <m:e>
            <m:r>
              <m:t>k</m:t>
            </m:r>
          </m:e>
          <m:sub>
            <m:r>
              <m:t>h</m:t>
            </m:r>
          </m:sub>
        </m:sSub>
      </m:oMath>
      <w:r>
        <w:t xml:space="preserve"> </w:t>
      </w:r>
      <w:r>
        <w:t xml:space="preserve">[% of PGA] for site CFD, scenario S35, under the MCE demand and return periods</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yr.</w:t>
      </w:r>
      <w:r>
        <w:rPr>
          <w:rStyle w:val="FootnoteReference"/>
        </w:rPr>
        <w:footnoteReference w:id="89"/>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r>
    </w:tbl>
    <w:bookmarkEnd w:id="90"/>
    <w:p/>
    <w:p>
      <w:pPr>
        <w:pStyle w:val="BodyText"/>
      </w:pPr>
      <w:r>
        <w:t xml:space="preserve"> </w:t>
      </w:r>
    </w:p>
    <w:bookmarkEnd w:id="91"/>
    <w:bookmarkStart w:id="92" w:name="sec-newmark-appendix"/>
    <w:p>
      <w:pPr>
        <w:pStyle w:val="Heading2"/>
      </w:pPr>
      <w:r>
        <w:t xml:space="preserve">Newmark Permanent-Displacement Formulations</w:t>
      </w:r>
    </w:p>
    <w:p>
      <w:pPr>
        <w:pStyle w:val="FirstParagraph"/>
      </w:pPr>
      <w:r>
        <w:t xml:space="preserve">The seismic-coefficient section applies five Newmark permanent-displacement formulations: three rigid-block models, two flexible-block models and, among the latter, the BM branch selected by the tectonic control of the project. This section reproduces the published form of each formulation, including both BM branches, and states the rule that defines the active configuration. The rigid-block formulations relate the displacement to measures of the base excitation, whereas the flexible-block formulations additionally incorporate the dynamic response of the sliding mass through its fundamental period</w:t>
      </w:r>
      <w:r>
        <w:t xml:space="preserve"> </w:t>
      </w:r>
      <m:oMath>
        <m:sSub>
          <m:e>
            <m:r>
              <m:t>T</m:t>
            </m:r>
          </m:e>
          <m:sub>
            <m:r>
              <m:t>s</m:t>
            </m:r>
          </m:sub>
        </m:sSub>
      </m:oMath>
      <w:r>
        <w:t xml:space="preserve"> </w:t>
      </w:r>
      <w:r>
        <w:t xml:space="preserve">and the spectral acceleration evaluated at a period proportional to</w:t>
      </w:r>
      <w:r>
        <w:t xml:space="preserve"> </w:t>
      </w:r>
      <m:oMath>
        <m:sSub>
          <m:e>
            <m:r>
              <m:t>T</m:t>
            </m:r>
          </m:e>
          <m:sub>
            <m:r>
              <m:t>s</m:t>
            </m:r>
          </m:sub>
        </m:sSub>
      </m:oMath>
      <w:r>
        <w:t xml:space="preserve">.</w:t>
      </w:r>
    </w:p>
    <w:bookmarkEnd w:id="92"/>
    <w:bookmarkStart w:id="98" w:name="sec-newmark-rigid"/>
    <w:p>
      <w:pPr>
        <w:pStyle w:val="Heading2"/>
      </w:pPr>
      <w:r>
        <w:t xml:space="preserve">Rigid-Block Models</w:t>
      </w:r>
    </w:p>
    <w:p>
      <w:pPr>
        <w:pStyle w:val="FirstParagraph"/>
      </w:pPr>
      <w:r>
        <w:t xml:space="preserve">The</w:t>
      </w:r>
      <w:r>
        <w:t xml:space="preserve"> </w:t>
      </w:r>
      <w:r>
        <w:rPr>
          <w:rStyle w:val="VerbatimChar"/>
        </w:rPr>
        <w:t xml:space="preserve">AM88</w:t>
      </w:r>
      <w:r>
        <w:t xml:space="preserve"> </w:t>
      </w:r>
      <w:r>
        <w:t xml:space="preserve">formulation</w:t>
      </w:r>
      <w:r>
        <w:t xml:space="preserve"> </w:t>
      </w:r>
      <w:r>
        <w:t xml:space="preserve">(</w:t>
      </w:r>
      <w:hyperlink w:anchor="ref-AmbraseysMenu1988">
        <w:r>
          <w:rPr>
            <w:rStyle w:val="Hyperlink"/>
          </w:rPr>
          <w:t xml:space="preserve">Ambraseys and Menu 1988</w:t>
        </w:r>
      </w:hyperlink>
      <w:r>
        <w:t xml:space="preserve">)</w:t>
      </w:r>
      <w:r>
        <w:t xml:space="preserve"> </w:t>
      </w:r>
      <w:r>
        <w:t xml:space="preserve">uses the ratio of yield acceleration to PGA, capped to preserve the logarithmic domain,</w:t>
      </w:r>
      <w:r>
        <w:t xml:space="preserve"> </w:t>
      </w:r>
      <m:oMath>
        <m:sSup>
          <m:e>
            <m:r>
              <m:t>r</m:t>
            </m:r>
          </m:e>
          <m:sup>
            <m:r>
              <m:rPr>
                <m:sty m:val="p"/>
              </m:rPr>
              <m:t>⋆</m:t>
            </m:r>
          </m:sup>
        </m:sSup>
        <m:r>
          <m:rPr>
            <m:sty m:val="p"/>
          </m:rPr>
          <m:t>=</m:t>
        </m:r>
        <m:r>
          <m:rPr>
            <m:sty m:val="p"/>
          </m:rPr>
          <m:t>min</m:t>
        </m:r>
        <m:r>
          <m:rPr>
            <m:sty m:val="p"/>
          </m:rPr>
          <m:t>(</m:t>
        </m:r>
        <m:sSub>
          <m:e>
            <m:r>
              <m:t>k</m:t>
            </m:r>
          </m:e>
          <m:sub>
            <m:r>
              <m:t>y</m:t>
            </m:r>
          </m:sub>
        </m:sSub>
        <m:r>
          <m:rPr>
            <m:sty m:val="p"/>
          </m:rPr>
          <m:t>/</m:t>
        </m:r>
        <m:r>
          <m:rPr>
            <m:sty m:val="p"/>
          </m:rPr>
          <m:t>P</m:t>
        </m:r>
        <m:r>
          <m:rPr>
            <m:sty m:val="p"/>
          </m:rPr>
          <m:t>G</m:t>
        </m:r>
        <m:r>
          <m:rPr>
            <m:sty m:val="p"/>
          </m:rPr>
          <m:t>A</m:t>
        </m:r>
        <m:r>
          <m:rPr>
            <m:sty m:val="p"/>
          </m:rPr>
          <m:t>,</m:t>
        </m:r>
        <m:r>
          <m:t>0.9999</m:t>
        </m:r>
        <m:r>
          <m:rPr>
            <m:sty m:val="p"/>
          </m:rPr>
          <m:t>)</m:t>
        </m:r>
      </m:oMath>
      <w:r>
        <w:rPr>
          <w:rStyle w:val="FootnoteReference"/>
        </w:rPr>
        <w:footnoteReference w:id="93"/>
      </w:r>
      <w:r>
        <w:t xml:space="preserve">:</w:t>
      </w:r>
    </w:p>
    <w:p>
      <w:pPr>
        <w:pStyle w:val="Equation"/>
      </w:pPr>
      <w:bookmarkStart w:id="94" w:name="eq-newmark-am88"/>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0.90</m:t>
                </m:r>
                <m:r>
                  <m:rPr>
                    <m:sty m:val="p"/>
                  </m:rPr>
                  <m:t>+</m:t>
                </m:r>
                <m:sSub>
                  <m:e>
                    <m:r>
                      <m:rPr>
                        <m:sty m:val="p"/>
                      </m:rPr>
                      <m:t>log</m:t>
                    </m:r>
                  </m:e>
                  <m:sub>
                    <m:r>
                      <m:t>10</m:t>
                    </m:r>
                  </m:sub>
                </m:sSub>
                <m:r>
                  <m:t>​</m:t>
                </m:r>
                <m:d>
                  <m:dPr>
                    <m:begChr m:val="("/>
                    <m:sepChr m:val=""/>
                    <m:endChr m:val=")"/>
                    <m:grow/>
                  </m:dPr>
                  <m:e>
                    <m:r>
                      <m:rPr>
                        <m:sty m:val="p"/>
                      </m:rPr>
                      <m:t>(</m:t>
                    </m:r>
                    <m:r>
                      <m:t>1</m:t>
                    </m:r>
                    <m:r>
                      <m:rPr>
                        <m:sty m:val="p"/>
                      </m:rPr>
                      <m:t>−</m:t>
                    </m:r>
                    <m:sSup>
                      <m:e>
                        <m:r>
                          <m:t>r</m:t>
                        </m:r>
                      </m:e>
                      <m:sup>
                        <m:r>
                          <m:rPr>
                            <m:sty m:val="p"/>
                          </m:rPr>
                          <m:t>⋆</m:t>
                        </m:r>
                      </m:sup>
                    </m:sSup>
                    <m:sSup>
                      <m:e>
                        <m:r>
                          <m:rPr>
                            <m:sty m:val="p"/>
                          </m:rPr>
                          <m:t>)</m:t>
                        </m:r>
                      </m:e>
                      <m:sup>
                        <m:r>
                          <m:t>2.53</m:t>
                        </m:r>
                      </m:sup>
                    </m:sSup>
                    <m:r>
                      <m:rPr>
                        <m:sty m:val="p"/>
                      </m:rPr>
                      <m:t>(</m:t>
                    </m:r>
                    <m:sSup>
                      <m:e>
                        <m:r>
                          <m:t>r</m:t>
                        </m:r>
                      </m:e>
                      <m:sup>
                        <m:r>
                          <m:rPr>
                            <m:sty m:val="p"/>
                          </m:rPr>
                          <m:t>⋆</m:t>
                        </m:r>
                      </m:sup>
                    </m:sSup>
                    <m:sSup>
                      <m:e>
                        <m:r>
                          <m:rPr>
                            <m:sty m:val="p"/>
                          </m:rPr>
                          <m:t>)</m:t>
                        </m:r>
                      </m:e>
                      <m:sup>
                        <m:r>
                          <m:rPr>
                            <m:sty m:val="p"/>
                          </m:rPr>
                          <m:t>−</m:t>
                        </m:r>
                        <m:r>
                          <m:t>1.09</m:t>
                        </m:r>
                      </m:sup>
                    </m:sSup>
                  </m:e>
                </m:d>
              </m:e>
            </m:d>
            <m:r>
              <m:rPr>
                <m:sty m:val="p"/>
              </m:rPr>
              <m:t>,</m:t>
            </m:r>
          </m:e>
          <m:e>
            <m:sSub>
              <m:e>
                <m:r>
                  <m:t>σ</m:t>
                </m:r>
              </m:e>
              <m:sub>
                <m:r>
                  <m:rPr>
                    <m:sty m:val="p"/>
                  </m:rPr>
                  <m:t>ln</m:t>
                </m:r>
                <m:r>
                  <m:t>D</m:t>
                </m:r>
              </m:sub>
            </m:sSub>
            <m:r>
              <m:t>&amp;</m:t>
            </m:r>
            <m:r>
              <m:rPr>
                <m:sty m:val="p"/>
              </m:rPr>
              <m:t>=</m:t>
            </m:r>
            <m:r>
              <m:t>0.30</m:t>
            </m:r>
            <m:r>
              <m:rPr>
                <m:sty m:val="p"/>
              </m:rPr>
              <m:t>ln</m:t>
            </m:r>
            <m:r>
              <m:rPr>
                <m:sty m:val="p"/>
              </m:rPr>
              <m:t>(</m:t>
            </m:r>
            <m:r>
              <m:t>10</m:t>
            </m:r>
            <m:r>
              <m:rPr>
                <m:sty m:val="p"/>
              </m:rPr>
              <m:t>)</m:t>
            </m:r>
            <m:r>
              <m:rPr>
                <m:sty m:val="p"/>
              </m:rPr>
              <m:t>.</m:t>
            </m:r>
          </m:e>
        </m:eqArr>
      </m:oMath>
      <w:r>
        <w:tab/>
      </w:r>
      <w:r>
        <w:t xml:space="preserve">(16)</w:t>
      </w:r>
      <w:bookmarkEnd w:id="94"/>
    </w:p>
    <w:p>
      <w:pPr>
        <w:pStyle w:val="BodyText"/>
      </w:pPr>
      <w:r>
        <w:t xml:space="preserve">The two remaining rigid-block formulations, JB07 and SR08, use the Arias intensity, which is estimated for each realization from the PGA;</w:t>
      </w:r>
      <w:r>
        <w:t xml:space="preserve"> </w:t>
      </w:r>
      <m:oMath>
        <m:sSub>
          <m:e>
            <m:r>
              <m:t>I</m:t>
            </m:r>
          </m:e>
          <m:sub>
            <m:r>
              <m:t>A</m:t>
            </m:r>
          </m:sub>
        </m:sSub>
      </m:oMath>
      <w:r>
        <w:t xml:space="preserve"> </w:t>
      </w:r>
      <w:r>
        <w:t xml:space="preserve">is expressed in m/s and PGA in units of</w:t>
      </w:r>
      <w:r>
        <w:t xml:space="preserve"> </w:t>
      </w:r>
      <m:oMath>
        <m:r>
          <m:t>g</m:t>
        </m:r>
      </m:oMath>
      <w:r>
        <w:t xml:space="preserve">, and the estimate is applied deterministically, so that each PGA realization determines a single value of</w:t>
      </w:r>
      <w:r>
        <w:t xml:space="preserve"> </w:t>
      </w:r>
      <m:oMath>
        <m:sSub>
          <m:e>
            <m:r>
              <m:t>I</m:t>
            </m:r>
          </m:e>
          <m:sub>
            <m:r>
              <m:t>A</m:t>
            </m:r>
          </m:sub>
        </m:sSub>
      </m:oMath>
      <w:r>
        <w:t xml:space="preserve"> </w:t>
      </w:r>
      <w:r>
        <w:t xml:space="preserve">and the displacement sample propagates the PGA variability. The</w:t>
      </w:r>
      <w:r>
        <w:t xml:space="preserve"> </w:t>
      </w:r>
      <w:r>
        <w:rPr>
          <w:rStyle w:val="VerbatimChar"/>
        </w:rPr>
        <w:t xml:space="preserve">JB07</w:t>
      </w:r>
      <w:r>
        <w:t xml:space="preserve"> </w:t>
      </w:r>
      <w:r>
        <w:t xml:space="preserve">formulation</w:t>
      </w:r>
      <w:r>
        <w:t xml:space="preserve"> </w:t>
      </w:r>
      <w:r>
        <w:t xml:space="preserve">(</w:t>
      </w:r>
      <w:hyperlink w:anchor="ref-Jibson2007">
        <w:r>
          <w:rPr>
            <w:rStyle w:val="Hyperlink"/>
          </w:rPr>
          <w:t xml:space="preserve">Jibson 2007</w:t>
        </w:r>
      </w:hyperlink>
      <w:r>
        <w:t xml:space="preserve">)</w:t>
      </w:r>
      <w:r>
        <w:t xml:space="preserve"> </w:t>
      </w:r>
      <w:r>
        <w:t xml:space="preserve">incorporates the Arias intensity and the ratio</w:t>
      </w:r>
      <w:r>
        <w:t xml:space="preserve"> </w:t>
      </w:r>
      <m:oMath>
        <m:sSub>
          <m:e>
            <m:r>
              <m:t>k</m:t>
            </m:r>
          </m:e>
          <m:sub>
            <m:r>
              <m:t>y</m:t>
            </m:r>
          </m:sub>
        </m:sSub>
        <m:r>
          <m:rPr>
            <m:sty m:val="p"/>
          </m:rPr>
          <m:t>/</m:t>
        </m:r>
        <m:r>
          <m:rPr>
            <m:sty m:val="p"/>
          </m:rPr>
          <m:t>P</m:t>
        </m:r>
        <m:r>
          <m:rPr>
            <m:sty m:val="p"/>
          </m:rPr>
          <m:t>G</m:t>
        </m:r>
        <m:r>
          <m:rPr>
            <m:sty m:val="p"/>
          </m:rPr>
          <m:t>A</m:t>
        </m:r>
      </m:oMath>
      <w:r>
        <w:t xml:space="preserve">:</w:t>
      </w:r>
    </w:p>
    <w:p>
      <w:pPr>
        <w:pStyle w:val="Equation"/>
      </w:pPr>
      <w:bookmarkStart w:id="95" w:name="eq-newmark-jb07"/>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0.561</m:t>
                </m:r>
                <m:sSub>
                  <m:e>
                    <m:r>
                      <m:rPr>
                        <m:sty m:val="p"/>
                      </m:rPr>
                      <m:t>log</m:t>
                    </m:r>
                  </m:e>
                  <m:sub>
                    <m:r>
                      <m:t>10</m:t>
                    </m:r>
                  </m:sub>
                </m:sSub>
                <m:sSub>
                  <m:e>
                    <m:r>
                      <m:t>I</m:t>
                    </m:r>
                  </m:e>
                  <m:sub>
                    <m:r>
                      <m:t>A</m:t>
                    </m:r>
                  </m:sub>
                </m:sSub>
                <m:r>
                  <m:rPr>
                    <m:sty m:val="p"/>
                  </m:rPr>
                  <m:t>−</m:t>
                </m:r>
                <m:r>
                  <m:t>3.833</m:t>
                </m:r>
                <m:sSub>
                  <m:e>
                    <m:r>
                      <m:rPr>
                        <m:sty m:val="p"/>
                      </m:rPr>
                      <m:t>log</m:t>
                    </m:r>
                  </m:e>
                  <m:sub>
                    <m:r>
                      <m:t>10</m:t>
                    </m:r>
                  </m:sub>
                </m:sSub>
                <m:r>
                  <m:t>​</m:t>
                </m:r>
                <m:d>
                  <m:dPr>
                    <m:begChr m:val="("/>
                    <m:sepChr m:val=""/>
                    <m:endChr m:val=")"/>
                    <m:grow/>
                  </m:dPr>
                  <m:e>
                    <m:f>
                      <m:fPr>
                        <m:type m:val="bar"/>
                      </m:fPr>
                      <m:num>
                        <m:sSub>
                          <m:e>
                            <m:r>
                              <m:t>k</m:t>
                            </m:r>
                          </m:e>
                          <m:sub>
                            <m:r>
                              <m:t>y</m:t>
                            </m:r>
                          </m:sub>
                        </m:sSub>
                      </m:num>
                      <m:den>
                        <m:r>
                          <m:rPr>
                            <m:sty m:val="p"/>
                          </m:rPr>
                          <m:t>P</m:t>
                        </m:r>
                        <m:r>
                          <m:rPr>
                            <m:sty m:val="p"/>
                          </m:rPr>
                          <m:t>G</m:t>
                        </m:r>
                        <m:r>
                          <m:rPr>
                            <m:sty m:val="p"/>
                          </m:rPr>
                          <m:t>A</m:t>
                        </m:r>
                      </m:den>
                    </m:f>
                  </m:e>
                </m:d>
                <m:r>
                  <m:rPr>
                    <m:sty m:val="p"/>
                  </m:rPr>
                  <m:t>−</m:t>
                </m:r>
                <m:r>
                  <m:t>1.474</m:t>
                </m:r>
              </m:e>
            </m:d>
            <m:r>
              <m:rPr>
                <m:sty m:val="p"/>
              </m:rPr>
              <m:t>,</m:t>
            </m:r>
          </m:e>
          <m:e>
            <m:sSub>
              <m:e>
                <m:r>
                  <m:t>σ</m:t>
                </m:r>
              </m:e>
              <m:sub>
                <m:r>
                  <m:rPr>
                    <m:sty m:val="p"/>
                  </m:rPr>
                  <m:t>ln</m:t>
                </m:r>
                <m:r>
                  <m:t>D</m:t>
                </m:r>
              </m:sub>
            </m:sSub>
            <m:r>
              <m:t>&amp;</m:t>
            </m:r>
            <m:r>
              <m:rPr>
                <m:sty m:val="p"/>
              </m:rPr>
              <m:t>=</m:t>
            </m:r>
            <m:r>
              <m:t>0.616</m:t>
            </m:r>
            <m:r>
              <m:rPr>
                <m:sty m:val="p"/>
              </m:rPr>
              <m:t>ln</m:t>
            </m:r>
            <m:r>
              <m:rPr>
                <m:sty m:val="p"/>
              </m:rPr>
              <m:t>(</m:t>
            </m:r>
            <m:r>
              <m:t>10</m:t>
            </m:r>
            <m:r>
              <m:rPr>
                <m:sty m:val="p"/>
              </m:rPr>
              <m:t>)</m:t>
            </m:r>
            <m:r>
              <m:rPr>
                <m:sty m:val="p"/>
              </m:rPr>
              <m:t>.</m:t>
            </m:r>
          </m:e>
        </m:eqArr>
      </m:oMath>
      <w:r>
        <w:tab/>
      </w:r>
      <w:r>
        <w:t xml:space="preserve">(17)</w:t>
      </w:r>
      <w:bookmarkEnd w:id="95"/>
    </w:p>
    <w:p>
      <w:pPr>
        <w:pStyle w:val="BodyText"/>
      </w:pPr>
      <w:r>
        <w:t xml:space="preserve">The</w:t>
      </w:r>
      <w:r>
        <w:t xml:space="preserve"> </w:t>
      </w:r>
      <w:r>
        <w:rPr>
          <w:rStyle w:val="VerbatimChar"/>
        </w:rPr>
        <w:t xml:space="preserve">SR08</w:t>
      </w:r>
      <w:r>
        <w:t xml:space="preserve"> </w:t>
      </w:r>
      <w:r>
        <w:t xml:space="preserve">formulation</w:t>
      </w:r>
      <w:r>
        <w:t xml:space="preserve"> </w:t>
      </w:r>
      <w:r>
        <w:t xml:space="preserve">(</w:t>
      </w:r>
      <w:hyperlink w:anchor="ref-SaygiliRathje2008">
        <w:r>
          <w:rPr>
            <w:rStyle w:val="Hyperlink"/>
          </w:rPr>
          <w:t xml:space="preserve">Saygili and Rathje 2008</w:t>
        </w:r>
      </w:hyperlink>
      <w:r>
        <w:t xml:space="preserve">)</w:t>
      </w:r>
      <w:r>
        <w:t xml:space="preserve"> </w:t>
      </w:r>
      <w:r>
        <w:t xml:space="preserve">defines</w:t>
      </w:r>
      <w:r>
        <w:t xml:space="preserve"> </w:t>
      </w:r>
      <m:oMath>
        <m:r>
          <m:t>r</m:t>
        </m:r>
        <m:r>
          <m:rPr>
            <m:sty m:val="p"/>
          </m:rPr>
          <m:t>=</m:t>
        </m:r>
        <m:sSub>
          <m:e>
            <m:r>
              <m:t>k</m:t>
            </m:r>
          </m:e>
          <m:sub>
            <m:r>
              <m:t>y</m:t>
            </m:r>
          </m:sub>
        </m:sSub>
        <m:r>
          <m:rPr>
            <m:sty m:val="p"/>
          </m:rPr>
          <m:t>/</m:t>
        </m:r>
        <m:r>
          <m:rPr>
            <m:sty m:val="p"/>
          </m:rPr>
          <m:t>P</m:t>
        </m:r>
        <m:r>
          <m:rPr>
            <m:sty m:val="p"/>
          </m:rPr>
          <m:t>G</m:t>
        </m:r>
        <m:r>
          <m:rPr>
            <m:sty m:val="p"/>
          </m:rPr>
          <m:t>A</m:t>
        </m:r>
      </m:oMath>
      <w:r>
        <w:t xml:space="preserve"> </w:t>
      </w:r>
      <w:r>
        <w:t xml:space="preserve">and combines PGA and Arias intensity:</w:t>
      </w:r>
    </w:p>
    <w:p>
      <w:pPr>
        <w:pStyle w:val="Equation"/>
      </w:pPr>
      <w:bookmarkStart w:id="96" w:name="eq-newmark-sr08"/>
      <w:r>
        <w:tab/>
      </w:r>
      <m:oMath>
        <m:eqArr>
          <m:e>
            <m:sSub>
              <m:e>
                <m:r>
                  <m:t>μ</m:t>
                </m:r>
              </m:e>
              <m:sub>
                <m:r>
                  <m:rPr>
                    <m:sty m:val="p"/>
                  </m:rPr>
                  <m:t>ln</m:t>
                </m:r>
                <m:r>
                  <m:t>D</m:t>
                </m:r>
              </m:sub>
            </m:sSub>
            <m:r>
              <m:rPr>
                <m:sty m:val="p"/>
              </m:rPr>
              <m:t>=</m:t>
            </m:r>
            <m:r>
              <m:t>​</m:t>
            </m:r>
            <m:r>
              <m:t>&amp;</m:t>
            </m:r>
            <m:r>
              <m:t>2.39</m:t>
            </m:r>
            <m:r>
              <m:rPr>
                <m:sty m:val="p"/>
              </m:rPr>
              <m:t>−</m:t>
            </m:r>
            <m:r>
              <m:t>5.24</m:t>
            </m:r>
            <m:r>
              <m:t>r</m:t>
            </m:r>
            <m:r>
              <m:rPr>
                <m:sty m:val="p"/>
              </m:rPr>
              <m:t>−</m:t>
            </m:r>
            <m:r>
              <m:t>18.78</m:t>
            </m:r>
            <m:sSup>
              <m:e>
                <m:r>
                  <m:t>r</m:t>
                </m:r>
              </m:e>
              <m:sup>
                <m:r>
                  <m:t>2</m:t>
                </m:r>
              </m:sup>
            </m:sSup>
            <m:r>
              <m:rPr>
                <m:sty m:val="p"/>
              </m:rPr>
              <m:t>+</m:t>
            </m:r>
            <m:r>
              <m:t>42.01</m:t>
            </m:r>
            <m:sSup>
              <m:e>
                <m:r>
                  <m:t>r</m:t>
                </m:r>
              </m:e>
              <m:sup>
                <m:r>
                  <m:t>3</m:t>
                </m:r>
              </m:sup>
            </m:sSup>
            <m:r>
              <m:rPr>
                <m:sty m:val="p"/>
              </m:rPr>
              <m:t>−</m:t>
            </m:r>
            <m:r>
              <m:t>29.15</m:t>
            </m:r>
            <m:sSup>
              <m:e>
                <m:r>
                  <m:t>r</m:t>
                </m:r>
              </m:e>
              <m:sup>
                <m:r>
                  <m:t>4</m:t>
                </m:r>
              </m:sup>
            </m:sSup>
          </m:e>
          <m:e>
            <m:r>
              <m:t>&amp;</m:t>
            </m:r>
            <m:r>
              <m:rPr>
                <m:sty m:val="p"/>
              </m:rPr>
              <m:t>−</m:t>
            </m:r>
            <m:r>
              <m:t>1.56</m:t>
            </m:r>
            <m:r>
              <m:rPr>
                <m:sty m:val="p"/>
              </m:rPr>
              <m:t>ln</m:t>
            </m:r>
            <m:r>
              <m:rPr>
                <m:sty m:val="p"/>
              </m:rPr>
              <m:t>P</m:t>
            </m:r>
            <m:r>
              <m:rPr>
                <m:sty m:val="p"/>
              </m:rPr>
              <m:t>G</m:t>
            </m:r>
            <m:r>
              <m:rPr>
                <m:sty m:val="p"/>
              </m:rPr>
              <m:t>A</m:t>
            </m:r>
            <m:r>
              <m:rPr>
                <m:sty m:val="p"/>
              </m:rPr>
              <m:t>+</m:t>
            </m:r>
            <m:r>
              <m:t>1.38</m:t>
            </m:r>
            <m:r>
              <m:rPr>
                <m:sty m:val="p"/>
              </m:rPr>
              <m:t>ln</m:t>
            </m:r>
            <m:sSub>
              <m:e>
                <m:r>
                  <m:t>I</m:t>
                </m:r>
              </m:e>
              <m:sub>
                <m:r>
                  <m:t>A</m:t>
                </m:r>
              </m:sub>
            </m:sSub>
            <m:r>
              <m:rPr>
                <m:sty m:val="p"/>
              </m:rPr>
              <m:t>,</m:t>
            </m:r>
          </m:e>
          <m:e>
            <m:sSub>
              <m:e>
                <m:r>
                  <m:t>σ</m:t>
                </m:r>
              </m:e>
              <m:sub>
                <m:r>
                  <m:rPr>
                    <m:sty m:val="p"/>
                  </m:rPr>
                  <m:t>ln</m:t>
                </m:r>
                <m:r>
                  <m:t>D</m:t>
                </m:r>
              </m:sub>
            </m:sSub>
            <m:r>
              <m:rPr>
                <m:sty m:val="p"/>
              </m:rPr>
              <m:t>=</m:t>
            </m:r>
            <m:r>
              <m:t>​</m:t>
            </m:r>
            <m:r>
              <m:t>&amp;</m:t>
            </m:r>
            <m:r>
              <m:t>0.46</m:t>
            </m:r>
            <m:r>
              <m:rPr>
                <m:sty m:val="p"/>
              </m:rPr>
              <m:t>+</m:t>
            </m:r>
            <m:r>
              <m:t>0.56</m:t>
            </m:r>
            <m:r>
              <m:t>r</m:t>
            </m:r>
            <m:r>
              <m:rPr>
                <m:sty m:val="p"/>
              </m:rPr>
              <m:t>.</m:t>
            </m:r>
          </m:e>
        </m:eqArr>
      </m:oMath>
      <w:r>
        <w:tab/>
      </w:r>
      <w:r>
        <w:t xml:space="preserve">(18)</w:t>
      </w:r>
      <w:bookmarkEnd w:id="96"/>
    </w:p>
    <w:p>
      <w:pPr>
        <w:pStyle w:val="BodyText"/>
      </w:pPr>
      <w:r>
        <w:t xml:space="preserve">The logarithmic extension of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beyond their computed support has one exception, the AM88 limit. If the sampled PGA of a realization,</w:t>
      </w:r>
      <w:r>
        <w:t xml:space="preserve"> </w:t>
      </w:r>
      <m:oMath>
        <m:sSub>
          <m:e>
            <m:r>
              <m:rPr>
                <m:sty m:val="p"/>
              </m:rPr>
              <m:t>P</m:t>
            </m:r>
            <m:r>
              <m:rPr>
                <m:sty m:val="p"/>
              </m:rPr>
              <m:t>G</m:t>
            </m:r>
            <m:r>
              <m:rPr>
                <m:sty m:val="p"/>
              </m:rPr>
              <m:t>A</m:t>
            </m:r>
          </m:e>
          <m:sub>
            <m:r>
              <m:t>s</m:t>
            </m:r>
          </m:sub>
        </m:sSub>
      </m:oMath>
      <w:r>
        <w:t xml:space="preserve">, is smaller than the lower end of the grid, all stored points may satisfy</w:t>
      </w:r>
      <w:r>
        <w:t xml:space="preserve"> </w:t>
      </w:r>
      <m:oMath>
        <m:sSub>
          <m:e>
            <m:r>
              <m:t>k</m:t>
            </m:r>
          </m:e>
          <m:sub>
            <m:r>
              <m:t>y</m:t>
            </m:r>
          </m:sub>
        </m:sSub>
        <m:r>
          <m:rPr>
            <m:sty m:val="p"/>
          </m:rPr>
          <m:t>/</m:t>
        </m:r>
        <m:sSub>
          <m:e>
            <m:r>
              <m:rPr>
                <m:sty m:val="p"/>
              </m:rPr>
              <m:t>P</m:t>
            </m:r>
            <m:r>
              <m:rPr>
                <m:sty m:val="p"/>
              </m:rPr>
              <m:t>G</m:t>
            </m:r>
            <m:r>
              <m:rPr>
                <m:sty m:val="p"/>
              </m:rPr>
              <m:t>A</m:t>
            </m:r>
          </m:e>
          <m:sub>
            <m:r>
              <m:t>s</m:t>
            </m:r>
          </m:sub>
        </m:sSub>
        <m:r>
          <m:rPr>
            <m:sty m:val="p"/>
          </m:rPr>
          <m:t>≥</m:t>
        </m:r>
        <m:sSub>
          <m:e>
            <m:r>
              <m:t>r</m:t>
            </m:r>
          </m:e>
          <m:sub>
            <m:r>
              <m:rPr>
                <m:sty m:val="p"/>
              </m:rPr>
              <m:t>max</m:t>
            </m:r>
          </m:sub>
        </m:sSub>
        <m:r>
          <m:rPr>
            <m:sty m:val="p"/>
          </m:rPr>
          <m:t>=</m:t>
        </m:r>
        <m:r>
          <m:t>0.9999</m:t>
        </m:r>
      </m:oMath>
      <w:r>
        <w:t xml:space="preserve"> </w:t>
      </w:r>
      <w:r>
        <w:t xml:space="preserve">and form a plateau</w:t>
      </w:r>
      <w:r>
        <w:t xml:space="preserve"> </w:t>
      </w:r>
      <m:oMath>
        <m:sSub>
          <m:e>
            <m:r>
              <m:t>D</m:t>
            </m:r>
          </m:e>
          <m:sub>
            <m:r>
              <m:t>0</m:t>
            </m:r>
            <m:r>
              <m:rPr>
                <m:sty m:val="p"/>
              </m:rPr>
              <m:t>,</m:t>
            </m:r>
            <m:r>
              <m:t>s</m:t>
            </m:r>
          </m:sub>
        </m:sSub>
      </m:oMath>
      <w:r>
        <w:t xml:space="preserve">. In that case the physical branch</w:t>
      </w:r>
      <w:r>
        <w:t xml:space="preserve"> </w:t>
      </w:r>
      <m:oMath>
        <m:r>
          <m:t>0</m:t>
        </m:r>
        <m:r>
          <m:rPr>
            <m:sty m:val="p"/>
          </m:rPr>
          <m:t>&lt;</m:t>
        </m:r>
        <m:r>
          <m:t>r</m:t>
        </m:r>
        <m:r>
          <m:rPr>
            <m:sty m:val="p"/>
          </m:rPr>
          <m:t>&lt;</m:t>
        </m:r>
        <m:sSub>
          <m:e>
            <m:r>
              <m:t>r</m:t>
            </m:r>
          </m:e>
          <m:sub>
            <m:r>
              <m:rPr>
                <m:sty m:val="p"/>
              </m:rPr>
              <m:t>max</m:t>
            </m:r>
          </m:sub>
        </m:sSub>
      </m:oMath>
      <w:r>
        <w:t xml:space="preserve"> </w:t>
      </w:r>
      <w:r>
        <w:t xml:space="preserve">of</w:t>
      </w:r>
      <w:r>
        <w:t xml:space="preserve"> </w:t>
      </w:r>
      <w:hyperlink w:anchor="eq-newmark-am88">
        <w:r>
          <w:rPr>
            <w:rStyle w:val="Hyperlink"/>
          </w:rPr>
          <w:t xml:space="preserve">eq. 16</w:t>
        </w:r>
      </w:hyperlink>
      <w:r>
        <w:t xml:space="preserve"> </w:t>
      </w:r>
      <w:r>
        <w:t xml:space="preserve">is solved for</w:t>
      </w:r>
      <w:r>
        <w:t xml:space="preserve"> </w:t>
      </w:r>
      <m:oMath>
        <m:sSub>
          <m:e>
            <m:r>
              <m:t>D</m:t>
            </m:r>
          </m:e>
          <m:sub>
            <m:r>
              <m:t>a</m:t>
            </m:r>
          </m:sub>
        </m:sSub>
        <m:r>
          <m:rPr>
            <m:sty m:val="p"/>
          </m:rPr>
          <m:t>&gt;</m:t>
        </m:r>
        <m:sSub>
          <m:e>
            <m:r>
              <m:t>D</m:t>
            </m:r>
          </m:e>
          <m:sub>
            <m:r>
              <m:t>0</m:t>
            </m:r>
            <m:r>
              <m:rPr>
                <m:sty m:val="p"/>
              </m:rPr>
              <m:t>,</m:t>
            </m:r>
            <m:r>
              <m:t>s</m:t>
            </m:r>
          </m:sub>
        </m:sSub>
      </m:oMath>
      <w:r>
        <w:t xml:space="preserve">, instead of extrapolating the plateau or assigning</w:t>
      </w:r>
      <w:r>
        <w:t xml:space="preserve"> </w:t>
      </w:r>
      <m:oMath>
        <m:sSub>
          <m:e>
            <m:r>
              <m:t>k</m:t>
            </m:r>
          </m:e>
          <m:sub>
            <m:r>
              <m:rPr>
                <m:sty m:val="p"/>
              </m:rPr>
              <m:t>max</m:t>
            </m:r>
          </m:sub>
        </m:sSub>
        <m:r>
          <m:rPr>
            <m:sty m:val="p"/>
          </m:rPr>
          <m:t>=</m:t>
        </m:r>
        <m:r>
          <m:t>0</m:t>
        </m:r>
      </m:oMath>
      <w:r>
        <w:t xml:space="preserve">:</w:t>
      </w:r>
    </w:p>
    <w:p>
      <w:pPr>
        <w:pStyle w:val="Equation"/>
      </w:pPr>
      <w:bookmarkStart w:id="97" w:name="eq-kmax-am88-limit"/>
      <w:r>
        <w:tab/>
      </w:r>
      <m:oMath>
        <m:sSub>
          <m:e>
            <m:r>
              <m:t>μ</m:t>
            </m:r>
          </m:e>
          <m:sub>
            <m:r>
              <m:rPr>
                <m:sty m:val="p"/>
              </m:rPr>
              <m:t>ln</m:t>
            </m:r>
            <m:r>
              <m:t>D</m:t>
            </m:r>
          </m:sub>
        </m:sSub>
        <m:r>
          <m:rPr>
            <m:sty m:val="p"/>
          </m:rPr>
          <m:t>(</m:t>
        </m:r>
        <m:r>
          <m:t>r</m:t>
        </m:r>
        <m:r>
          <m:rPr>
            <m:sty m:val="p"/>
          </m:rPr>
          <m:t>)</m:t>
        </m:r>
        <m:r>
          <m:rPr>
            <m:sty m:val="p"/>
          </m:rPr>
          <m:t>=</m:t>
        </m:r>
        <m:r>
          <m:rPr>
            <m:sty m:val="p"/>
          </m:rPr>
          <m:t>ln</m:t>
        </m:r>
        <m:sSub>
          <m:e>
            <m:r>
              <m:t>D</m:t>
            </m:r>
          </m:e>
          <m:sub>
            <m:r>
              <m:t>a</m:t>
            </m:r>
          </m:sub>
        </m:sSub>
        <m:r>
          <m:rPr>
            <m:sty m:val="p"/>
          </m:rPr>
          <m:t>−</m:t>
        </m:r>
        <m:r>
          <m:rPr>
            <m:sty m:val="p"/>
          </m:rPr>
          <m:t>ln</m:t>
        </m:r>
        <m:sSub>
          <m:e>
            <m:r>
              <m:t>D</m:t>
            </m:r>
          </m:e>
          <m:sub>
            <m:r>
              <m:t>0</m:t>
            </m:r>
            <m:r>
              <m:rPr>
                <m:sty m:val="p"/>
              </m:rPr>
              <m:t>,</m:t>
            </m:r>
            <m:r>
              <m:t>s</m:t>
            </m:r>
          </m:sub>
        </m:sSub>
        <m:r>
          <m:rPr>
            <m:sty m:val="p"/>
          </m:rPr>
          <m:t>+</m:t>
        </m:r>
        <m:sSub>
          <m:e>
            <m:r>
              <m:t>μ</m:t>
            </m:r>
          </m:e>
          <m:sub>
            <m:r>
              <m:rPr>
                <m:sty m:val="p"/>
              </m:rPr>
              <m:t>ln</m:t>
            </m:r>
            <m:r>
              <m:t>D</m:t>
            </m:r>
          </m:sub>
        </m:sSub>
        <m:r>
          <m:rPr>
            <m:sty m:val="p"/>
          </m:rPr>
          <m:t>(</m:t>
        </m:r>
        <m:sSub>
          <m:e>
            <m:r>
              <m:t>r</m:t>
            </m:r>
          </m:e>
          <m:sub>
            <m:r>
              <m:rPr>
                <m:sty m:val="p"/>
              </m:rPr>
              <m:t>max</m:t>
            </m:r>
          </m:sub>
        </m:sSub>
        <m:r>
          <m:rPr>
            <m:sty m:val="p"/>
          </m:rPr>
          <m:t>)</m:t>
        </m:r>
        <m:r>
          <m:rPr>
            <m:sty m:val="p"/>
          </m:rPr>
          <m:t>,</m:t>
        </m:r>
        <m:r>
          <m:t>  </m:t>
        </m:r>
        <m:sSub>
          <m:e>
            <m:r>
              <m:t>k</m:t>
            </m:r>
          </m:e>
          <m:sub>
            <m:r>
              <m:rPr>
                <m:sty m:val="p"/>
              </m:rPr>
              <m:t>max</m:t>
            </m:r>
            <m:r>
              <m:rPr>
                <m:sty m:val="p"/>
              </m:rPr>
              <m:t>,</m:t>
            </m:r>
            <m:r>
              <m:t>s</m:t>
            </m:r>
          </m:sub>
        </m:sSub>
        <m:r>
          <m:rPr>
            <m:sty m:val="p"/>
          </m:rPr>
          <m:t>=</m:t>
        </m:r>
        <m:sSub>
          <m:e>
            <m:r>
              <m:rPr>
                <m:sty m:val="p"/>
              </m:rPr>
              <m:t>P</m:t>
            </m:r>
            <m:r>
              <m:rPr>
                <m:sty m:val="p"/>
              </m:rPr>
              <m:t>G</m:t>
            </m:r>
            <m:r>
              <m:rPr>
                <m:sty m:val="p"/>
              </m:rPr>
              <m:t>A</m:t>
            </m:r>
          </m:e>
          <m:sub>
            <m:r>
              <m:t>s</m:t>
            </m:r>
          </m:sub>
        </m:sSub>
        <m:r>
          <m:t>r</m:t>
        </m:r>
        <m:r>
          <m:rPr>
            <m:sty m:val="p"/>
          </m:rPr>
          <m:t>.</m:t>
        </m:r>
      </m:oMath>
      <w:r>
        <w:tab/>
      </w:r>
      <w:r>
        <w:t xml:space="preserve">(19)</w:t>
      </w:r>
      <w:bookmarkEnd w:id="97"/>
    </w:p>
    <w:p>
      <w:pPr>
        <w:pStyle w:val="BodyText"/>
      </w:pPr>
      <w:r>
        <w:t xml:space="preserve">The random residual cancels between</w:t>
      </w:r>
      <w:r>
        <w:t xml:space="preserve"> </w:t>
      </w:r>
      <m:oMath>
        <m:sSub>
          <m:e>
            <m:r>
              <m:t>D</m:t>
            </m:r>
          </m:e>
          <m:sub>
            <m:r>
              <m:t>a</m:t>
            </m:r>
          </m:sub>
        </m:sSub>
      </m:oMath>
      <w:r>
        <w:t xml:space="preserve"> </w:t>
      </w:r>
      <w:r>
        <w:t xml:space="preserve">and</w:t>
      </w:r>
      <w:r>
        <w:t xml:space="preserve"> </w:t>
      </w:r>
      <m:oMath>
        <m:sSub>
          <m:e>
            <m:r>
              <m:t>D</m:t>
            </m:r>
          </m:e>
          <m:sub>
            <m:r>
              <m:t>0</m:t>
            </m:r>
            <m:r>
              <m:rPr>
                <m:sty m:val="p"/>
              </m:rPr>
              <m:t>,</m:t>
            </m:r>
            <m:r>
              <m:t>s</m:t>
            </m:r>
          </m:sub>
        </m:sSub>
      </m:oMath>
      <w:r>
        <w:t xml:space="preserve">, and</w:t>
      </w:r>
      <w:r>
        <w:t xml:space="preserve"> </w:t>
      </w:r>
      <m:oMath>
        <m:r>
          <m:rPr>
            <m:sty m:val="p"/>
          </m:rPr>
          <m:t>d</m:t>
        </m:r>
        <m:sSub>
          <m:e>
            <m:r>
              <m:t>μ</m:t>
            </m:r>
          </m:e>
          <m:sub>
            <m:r>
              <m:rPr>
                <m:sty m:val="p"/>
              </m:rPr>
              <m:t>ln</m:t>
            </m:r>
            <m:r>
              <m:t>D</m:t>
            </m:r>
          </m:sub>
        </m:sSub>
        <m:r>
          <m:rPr>
            <m:sty m:val="p"/>
          </m:rPr>
          <m:t>/</m:t>
        </m:r>
        <m:r>
          <m:rPr>
            <m:sty m:val="p"/>
          </m:rPr>
          <m:t>d</m:t>
        </m:r>
        <m:r>
          <m:t>r</m:t>
        </m:r>
        <m:r>
          <m:rPr>
            <m:sty m:val="p"/>
          </m:rPr>
          <m:t>=</m:t>
        </m:r>
        <m:r>
          <m:rPr>
            <m:sty m:val="p"/>
          </m:rPr>
          <m:t>−</m:t>
        </m:r>
        <m:r>
          <m:t>2.53</m:t>
        </m:r>
        <m:r>
          <m:rPr>
            <m:sty m:val="p"/>
          </m:rPr>
          <m:t>/</m:t>
        </m:r>
        <m:r>
          <m:rPr>
            <m:sty m:val="p"/>
          </m:rPr>
          <m:t>(</m:t>
        </m:r>
        <m:r>
          <m:t>1</m:t>
        </m:r>
        <m:r>
          <m:rPr>
            <m:sty m:val="p"/>
          </m:rPr>
          <m:t>−</m:t>
        </m:r>
        <m:r>
          <m:t>r</m:t>
        </m:r>
        <m:r>
          <m:rPr>
            <m:sty m:val="p"/>
          </m:rPr>
          <m:t>)</m:t>
        </m:r>
        <m:r>
          <m:rPr>
            <m:sty m:val="p"/>
          </m:rPr>
          <m:t>−</m:t>
        </m:r>
        <m:r>
          <m:t>1.09</m:t>
        </m:r>
        <m:r>
          <m:rPr>
            <m:sty m:val="p"/>
          </m:rPr>
          <m:t>/</m:t>
        </m:r>
        <m:r>
          <m:t>r</m:t>
        </m:r>
        <m:r>
          <m:rPr>
            <m:sty m:val="p"/>
          </m:rPr>
          <m:t>&lt;</m:t>
        </m:r>
        <m:r>
          <m:t>0</m:t>
        </m:r>
      </m:oMath>
      <w:r>
        <w:t xml:space="preserve">, so the root is unique. An AM88 plateau is accepted only when the original curve is exactly constant and</w:t>
      </w:r>
      <w:r>
        <w:t xml:space="preserve"> </w:t>
      </w:r>
      <m:oMath>
        <m:sSub>
          <m:e>
            <m:r>
              <m:rPr>
                <m:sty m:val="p"/>
              </m:rPr>
              <m:t>P</m:t>
            </m:r>
            <m:r>
              <m:rPr>
                <m:sty m:val="p"/>
              </m:rPr>
              <m:t>G</m:t>
            </m:r>
            <m:r>
              <m:rPr>
                <m:sty m:val="p"/>
              </m:rPr>
              <m:t>A</m:t>
            </m:r>
          </m:e>
          <m:sub>
            <m:r>
              <m:t>s</m:t>
            </m:r>
          </m:sub>
        </m:sSub>
      </m:oMath>
      <w:r>
        <w:t xml:space="preserve"> </w:t>
      </w:r>
      <w:r>
        <w:t xml:space="preserve">itself shows that the entire grid reached that limit; a flat curve from another model, or a target</w:t>
      </w:r>
      <w:r>
        <w:t xml:space="preserve"> </w:t>
      </w:r>
      <m:oMath>
        <m:sSub>
          <m:e>
            <m:r>
              <m:t>D</m:t>
            </m:r>
          </m:e>
          <m:sub>
            <m:r>
              <m:t>a</m:t>
            </m:r>
          </m:sub>
        </m:sSub>
        <m:r>
          <m:rPr>
            <m:sty m:val="p"/>
          </m:rPr>
          <m:t>≤</m:t>
        </m:r>
        <m:sSub>
          <m:e>
            <m:r>
              <m:t>D</m:t>
            </m:r>
          </m:e>
          <m:sub>
            <m:r>
              <m:t>0</m:t>
            </m:r>
            <m:r>
              <m:rPr>
                <m:sty m:val="p"/>
              </m:rPr>
              <m:t>,</m:t>
            </m:r>
            <m:r>
              <m:t>s</m:t>
            </m:r>
          </m:sub>
        </m:sSub>
      </m:oMath>
      <w:r>
        <w:t xml:space="preserve">, is rejected as non-identifiable support.</w:t>
      </w:r>
    </w:p>
    <w:bookmarkEnd w:id="98"/>
    <w:bookmarkStart w:id="102" w:name="sec-newmark-flexible"/>
    <w:p>
      <w:pPr>
        <w:pStyle w:val="Heading2"/>
      </w:pPr>
      <w:r>
        <w:t xml:space="preserve">Flexible-Block Models</w:t>
      </w:r>
    </w:p>
    <w:p>
      <w:pPr>
        <w:pStyle w:val="FirstParagraph"/>
      </w:pPr>
      <w:r>
        <w:t xml:space="preserve">The flexible-block formulations evaluate the spectral acceleration at a period proportional to the fundamental period</w:t>
      </w:r>
      <w:r>
        <w:t xml:space="preserve"> </w:t>
      </w:r>
      <m:oMath>
        <m:sSub>
          <m:e>
            <m:r>
              <m:t>T</m:t>
            </m:r>
          </m:e>
          <m:sub>
            <m:r>
              <m:t>s</m:t>
            </m:r>
          </m:sub>
        </m:sSub>
      </m:oMath>
      <w:r>
        <w:t xml:space="preserve"> </w:t>
      </w:r>
      <w:r>
        <w:t xml:space="preserve">of the sliding mass. The</w:t>
      </w:r>
      <w:r>
        <w:t xml:space="preserve"> </w:t>
      </w:r>
      <w:r>
        <w:rPr>
          <w:rStyle w:val="VerbatimChar"/>
        </w:rPr>
        <w:t xml:space="preserve">BT07</w:t>
      </w:r>
      <w:r>
        <w:t xml:space="preserve"> </w:t>
      </w:r>
      <w:r>
        <w:t xml:space="preserve">formulation</w:t>
      </w:r>
      <w:r>
        <w:t xml:space="preserve"> </w:t>
      </w:r>
      <w:r>
        <w:t xml:space="preserve">(</w:t>
      </w:r>
      <w:hyperlink w:anchor="ref-BrayTravasarou2007">
        <w:r>
          <w:rPr>
            <w:rStyle w:val="Hyperlink"/>
          </w:rPr>
          <w:t xml:space="preserve">Bray and Travasarou 2007</w:t>
        </w:r>
      </w:hyperlink>
      <w:r>
        <w:t xml:space="preserve">)</w:t>
      </w:r>
      <w:r>
        <w:t xml:space="preserve"> </w:t>
      </w:r>
      <w:r>
        <w:t xml:space="preserve">employs</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 </w:t>
      </w:r>
      <w:r>
        <w:t xml:space="preserve">and</w:t>
      </w:r>
      <w:r>
        <w:t xml:space="preserve"> </w:t>
      </w:r>
      <m:oMath>
        <m:sSub>
          <m:e>
            <m:r>
              <m:t>M</m:t>
            </m:r>
          </m:e>
          <m:sub>
            <m:r>
              <m:t>w</m:t>
            </m:r>
          </m:sub>
        </m:sSub>
      </m:oMath>
      <w:r>
        <w:t xml:space="preserve">:</w:t>
      </w:r>
    </w:p>
    <w:p>
      <w:pPr>
        <w:pStyle w:val="Equation"/>
      </w:pPr>
      <w:bookmarkStart w:id="99" w:name="eq-newmark-bt07"/>
      <w:r>
        <w:tab/>
      </w:r>
      <m:oMath>
        <m:eqArr>
          <m:e>
            <m:sSub>
              <m:e>
                <m:r>
                  <m:t>μ</m:t>
                </m:r>
              </m:e>
              <m:sub>
                <m:r>
                  <m:rPr>
                    <m:sty m:val="p"/>
                  </m:rPr>
                  <m:t>ln</m:t>
                </m:r>
                <m:r>
                  <m:t>D</m:t>
                </m:r>
              </m:sub>
            </m:sSub>
            <m:r>
              <m:rPr>
                <m:sty m:val="p"/>
              </m:rPr>
              <m:t>=</m:t>
            </m:r>
            <m:r>
              <m:t>​</m:t>
            </m:r>
            <m:r>
              <m:t>&amp;</m:t>
            </m:r>
            <m:sSub>
              <m:e>
                <m:r>
                  <m:t>a</m:t>
                </m:r>
              </m:e>
              <m:sub>
                <m:r>
                  <m:t>0</m:t>
                </m:r>
              </m:sub>
            </m:sSub>
            <m:r>
              <m:rPr>
                <m:sty m:val="p"/>
              </m:rPr>
              <m:t>−</m:t>
            </m:r>
            <m:r>
              <m:t>2.83</m:t>
            </m:r>
            <m:r>
              <m:rPr>
                <m:sty m:val="p"/>
              </m:rPr>
              <m:t>ln</m:t>
            </m:r>
            <m:sSub>
              <m:e>
                <m:r>
                  <m:t>k</m:t>
                </m:r>
              </m:e>
              <m:sub>
                <m:r>
                  <m:t>y</m:t>
                </m:r>
              </m:sub>
            </m:sSub>
            <m:r>
              <m:rPr>
                <m:sty m:val="p"/>
              </m:rPr>
              <m:t>−</m:t>
            </m:r>
            <m:r>
              <m:t>0.333</m:t>
            </m:r>
            <m:r>
              <m:rPr>
                <m:sty m:val="p"/>
              </m:rPr>
              <m:t>(</m:t>
            </m:r>
            <m:r>
              <m:rPr>
                <m:sty m:val="p"/>
              </m:rPr>
              <m:t>ln</m:t>
            </m:r>
            <m:sSub>
              <m:e>
                <m:r>
                  <m:t>k</m:t>
                </m:r>
              </m:e>
              <m:sub>
                <m:r>
                  <m:t>y</m:t>
                </m:r>
              </m:sub>
            </m:sSub>
            <m:sSup>
              <m:e>
                <m:r>
                  <m:rPr>
                    <m:sty m:val="p"/>
                  </m:rPr>
                  <m:t>)</m:t>
                </m:r>
              </m:e>
              <m:sup>
                <m:r>
                  <m:t>2</m:t>
                </m:r>
              </m:sup>
            </m:sSup>
            <m:r>
              <m:rPr>
                <m:sty m:val="p"/>
              </m:rPr>
              <m:t>+</m:t>
            </m:r>
            <m:r>
              <m:t>0.566</m:t>
            </m:r>
            <m:r>
              <m:rPr>
                <m:sty m:val="p"/>
              </m:rPr>
              <m:t>ln</m:t>
            </m:r>
            <m:sSub>
              <m:e>
                <m:r>
                  <m:t>k</m:t>
                </m:r>
              </m:e>
              <m:sub>
                <m:r>
                  <m:t>y</m:t>
                </m:r>
              </m:sub>
            </m:sSub>
            <m:r>
              <m:rPr>
                <m:sty m:val="p"/>
              </m:rPr>
              <m:t>ln</m:t>
            </m:r>
            <m:sSub>
              <m:e>
                <m:r>
                  <m:t>S</m:t>
                </m:r>
              </m:e>
              <m:sub>
                <m:r>
                  <m:t>a</m:t>
                </m:r>
              </m:sub>
            </m:sSub>
          </m:e>
          <m:e>
            <m:r>
              <m:t>&amp;</m:t>
            </m:r>
            <m:r>
              <m:rPr>
                <m:sty m:val="p"/>
              </m:rPr>
              <m:t>+</m:t>
            </m:r>
            <m:r>
              <m:t>3.04</m:t>
            </m:r>
            <m:r>
              <m:rPr>
                <m:sty m:val="p"/>
              </m:rPr>
              <m:t>ln</m:t>
            </m:r>
            <m:sSub>
              <m:e>
                <m:r>
                  <m:t>S</m:t>
                </m:r>
              </m:e>
              <m:sub>
                <m:r>
                  <m:t>a</m:t>
                </m:r>
              </m:sub>
            </m:sSub>
            <m:r>
              <m:rPr>
                <m:sty m:val="p"/>
              </m:rPr>
              <m:t>−</m:t>
            </m:r>
            <m:r>
              <m:t>0.244</m:t>
            </m:r>
            <m:r>
              <m:rPr>
                <m:sty m:val="p"/>
              </m:rPr>
              <m:t>(</m:t>
            </m:r>
            <m:r>
              <m:rPr>
                <m:sty m:val="p"/>
              </m:rPr>
              <m:t>ln</m:t>
            </m:r>
            <m:sSub>
              <m:e>
                <m:r>
                  <m:t>S</m:t>
                </m:r>
              </m:e>
              <m:sub>
                <m:r>
                  <m:t>a</m:t>
                </m:r>
              </m:sub>
            </m:sSub>
            <m:sSup>
              <m:e>
                <m:r>
                  <m:rPr>
                    <m:sty m:val="p"/>
                  </m:rPr>
                  <m:t>)</m:t>
                </m:r>
              </m:e>
              <m:sup>
                <m:r>
                  <m:t>2</m:t>
                </m:r>
              </m:sup>
            </m:sSup>
            <m:r>
              <m:rPr>
                <m:sty m:val="p"/>
              </m:rPr>
              <m:t>+</m:t>
            </m:r>
            <m:r>
              <m:t>1.50</m:t>
            </m:r>
            <m:sSub>
              <m:e>
                <m:r>
                  <m:t>T</m:t>
                </m:r>
              </m:e>
              <m:sub>
                <m:r>
                  <m:t>s</m:t>
                </m:r>
              </m:sub>
            </m:sSub>
            <m:r>
              <m:rPr>
                <m:sty m:val="p"/>
              </m:rPr>
              <m:t>+</m:t>
            </m:r>
            <m:r>
              <m:t>0.278</m:t>
            </m:r>
            <m:r>
              <m:rPr>
                <m:sty m:val="p"/>
              </m:rPr>
              <m:t>(</m:t>
            </m:r>
            <m:sSub>
              <m:e>
                <m:r>
                  <m:t>M</m:t>
                </m:r>
              </m:e>
              <m:sub>
                <m:r>
                  <m:t>w</m:t>
                </m:r>
              </m:sub>
            </m:sSub>
            <m:r>
              <m:rPr>
                <m:sty m:val="p"/>
              </m:rPr>
              <m:t>−</m:t>
            </m:r>
            <m:r>
              <m:t>7</m:t>
            </m:r>
            <m:r>
              <m:rPr>
                <m:sty m:val="p"/>
              </m:rPr>
              <m:t>)</m:t>
            </m:r>
            <m:r>
              <m:rPr>
                <m:sty m:val="p"/>
              </m:rPr>
              <m:t>,</m:t>
            </m:r>
          </m:e>
          <m:e>
            <m:sSub>
              <m:e>
                <m:r>
                  <m:t>a</m:t>
                </m:r>
              </m:e>
              <m:sub>
                <m:r>
                  <m:t>0</m:t>
                </m:r>
              </m:sub>
            </m:sSub>
            <m:r>
              <m:rPr>
                <m:sty m:val="p"/>
              </m:rPr>
              <m:t>=</m:t>
            </m:r>
            <m:r>
              <m:t>​</m:t>
            </m:r>
            <m:r>
              <m:t>&amp;</m:t>
            </m:r>
            <m:d>
              <m:dPr>
                <m:begChr m:val="{"/>
                <m:sepChr m:val=""/>
                <m:endChr m:val=""/>
                <m:grow/>
              </m:dPr>
              <m:e>
                <m:m>
                  <m:mPr>
                    <m:baseJc m:val="center"/>
                    <m:plcHide m:val="on"/>
                    <m:mcs>
                      <m:mc>
                        <m:mcPr>
                          <m:mcJc m:val="left"/>
                          <m:count m:val="1"/>
                        </m:mcPr>
                      </m:mc>
                      <m:mc>
                        <m:mcPr>
                          <m:mcJc m:val="left"/>
                          <m:count m:val="1"/>
                        </m:mcPr>
                      </m:mc>
                    </m:mcs>
                  </m:mPr>
                  <m:mr>
                    <m:e>
                      <m:r>
                        <m:rPr>
                          <m:sty m:val="p"/>
                        </m:rPr>
                        <m:t>−</m:t>
                      </m:r>
                      <m:r>
                        <m:t>0.22</m:t>
                      </m:r>
                      <m:r>
                        <m:rPr>
                          <m:sty m:val="p"/>
                        </m:rPr>
                        <m:t>,</m:t>
                      </m:r>
                    </m:e>
                    <m:e>
                      <m:sSub>
                        <m:e>
                          <m:r>
                            <m:t>T</m:t>
                          </m:r>
                        </m:e>
                        <m:sub>
                          <m:r>
                            <m:t>s</m:t>
                          </m:r>
                        </m:sub>
                      </m:sSub>
                      <m:r>
                        <m:rPr>
                          <m:sty m:val="p"/>
                        </m:rPr>
                        <m:t>&lt;</m:t>
                      </m:r>
                      <m:r>
                        <m:t>0.05</m:t>
                      </m:r>
                      <m:r>
                        <m:t> </m:t>
                      </m:r>
                      <m:r>
                        <m:rPr>
                          <m:sty m:val="p"/>
                        </m:rPr>
                        <m:t>s</m:t>
                      </m:r>
                      <m:r>
                        <m:rPr>
                          <m:sty m:val="p"/>
                        </m:rPr>
                        <m:t>,</m:t>
                      </m:r>
                    </m:e>
                  </m:mr>
                  <m:mr>
                    <m:e>
                      <m:r>
                        <m:rPr>
                          <m:sty m:val="p"/>
                        </m:rPr>
                        <m:t>−</m:t>
                      </m:r>
                      <m:r>
                        <m:t>1.10</m:t>
                      </m:r>
                      <m:r>
                        <m:rPr>
                          <m:sty m:val="p"/>
                        </m:rPr>
                        <m:t>,</m:t>
                      </m:r>
                    </m:e>
                    <m:e>
                      <m:sSub>
                        <m:e>
                          <m:r>
                            <m:t>T</m:t>
                          </m:r>
                        </m:e>
                        <m:sub>
                          <m:r>
                            <m:t>s</m:t>
                          </m:r>
                        </m:sub>
                      </m:sSub>
                      <m:r>
                        <m:rPr>
                          <m:sty m:val="p"/>
                        </m:rPr>
                        <m:t>≥</m:t>
                      </m:r>
                      <m:r>
                        <m:t>0.05</m:t>
                      </m:r>
                      <m:r>
                        <m:t> </m:t>
                      </m:r>
                      <m:r>
                        <m:rPr>
                          <m:sty m:val="p"/>
                        </m:rPr>
                        <m:t>s</m:t>
                      </m:r>
                      <m:r>
                        <m:rPr>
                          <m:sty m:val="p"/>
                        </m:rPr>
                        <m:t>,</m:t>
                      </m:r>
                    </m:e>
                  </m:mr>
                </m:m>
              </m:e>
            </m:d>
          </m:e>
          <m:e>
            <m:sSub>
              <m:e>
                <m:r>
                  <m:t>σ</m:t>
                </m:r>
              </m:e>
              <m:sub>
                <m:r>
                  <m:rPr>
                    <m:sty m:val="p"/>
                  </m:rPr>
                  <m:t>ln</m:t>
                </m:r>
                <m:r>
                  <m:t>D</m:t>
                </m:r>
              </m:sub>
            </m:sSub>
            <m:r>
              <m:rPr>
                <m:sty m:val="p"/>
              </m:rPr>
              <m:t>=</m:t>
            </m:r>
            <m:r>
              <m:t>​</m:t>
            </m:r>
            <m:r>
              <m:t>&amp;</m:t>
            </m:r>
            <m:r>
              <m:t>0.66</m:t>
            </m:r>
            <m:r>
              <m:rPr>
                <m:sty m:val="p"/>
              </m:rPr>
              <m:t>.</m:t>
            </m:r>
          </m:e>
        </m:eqArr>
      </m:oMath>
      <w:r>
        <w:tab/>
      </w:r>
      <w:r>
        <w:t xml:space="preserve">(20)</w:t>
      </w:r>
      <w:bookmarkEnd w:id="99"/>
    </w:p>
    <w:p>
      <w:pPr>
        <w:pStyle w:val="BodyText"/>
      </w:pPr>
      <w:r>
        <w:t xml:space="preserve">The</w:t>
      </w:r>
      <w:r>
        <w:t xml:space="preserve"> </w:t>
      </w:r>
      <w:r>
        <w:rPr>
          <w:rStyle w:val="VerbatimChar"/>
        </w:rPr>
        <w:t xml:space="preserve">BM17</w:t>
      </w:r>
      <w:r>
        <w:t xml:space="preserve"> </w:t>
      </w:r>
      <w:r>
        <w:t xml:space="preserve">formulation</w:t>
      </w:r>
      <w:r>
        <w:t xml:space="preserve"> </w:t>
      </w:r>
      <w:r>
        <w:t xml:space="preserve">(</w:t>
      </w:r>
      <w:hyperlink w:anchor="ref-BrayEtAl2018">
        <w:r>
          <w:rPr>
            <w:rStyle w:val="Hyperlink"/>
          </w:rPr>
          <w:t xml:space="preserve">Bray et al. 2018</w:t>
        </w:r>
      </w:hyperlink>
      <w:r>
        <w:t xml:space="preserve">)</w:t>
      </w:r>
      <w:r>
        <w:t xml:space="preserve"> </w:t>
      </w:r>
      <w:r>
        <w:t xml:space="preserve">represents subduction-interface motions with</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w:t>
      </w:r>
    </w:p>
    <w:p>
      <w:pPr>
        <w:pStyle w:val="Equation"/>
      </w:pPr>
      <w:bookmarkStart w:id="100" w:name="eq-newmark-bm17"/>
      <w:r>
        <w:tab/>
      </w:r>
      <m:oMath>
        <m:eqArr>
          <m:e>
            <m:sSub>
              <m:e>
                <m:r>
                  <m:t>μ</m:t>
                </m:r>
              </m:e>
              <m:sub>
                <m:r>
                  <m:rPr>
                    <m:sty m:val="p"/>
                  </m:rPr>
                  <m:t>ln</m:t>
                </m:r>
                <m:r>
                  <m:t>D</m:t>
                </m:r>
              </m:sub>
            </m:sSub>
            <m:r>
              <m:t>&amp;</m:t>
            </m:r>
            <m:r>
              <m:rPr>
                <m:sty m:val="p"/>
              </m:rPr>
              <m:t>=</m:t>
            </m:r>
            <m:sSub>
              <m:e>
                <m:r>
                  <m:t>a</m:t>
                </m:r>
              </m:e>
              <m:sub>
                <m:r>
                  <m:t>0</m:t>
                </m:r>
              </m:sub>
            </m:sSub>
            <m:r>
              <m:rPr>
                <m:sty m:val="p"/>
              </m:rPr>
              <m:t>+</m:t>
            </m:r>
            <m:sSub>
              <m:e>
                <m:r>
                  <m:t>a</m:t>
                </m:r>
              </m:e>
              <m:sub>
                <m:r>
                  <m:t>1</m:t>
                </m:r>
              </m:sub>
            </m:sSub>
            <m:r>
              <m:rPr>
                <m:sty m:val="p"/>
              </m:rPr>
              <m:t>ln</m:t>
            </m:r>
            <m:sSub>
              <m:e>
                <m:r>
                  <m:t>S</m:t>
                </m:r>
              </m:e>
              <m:sub>
                <m:r>
                  <m:t>a</m:t>
                </m:r>
              </m:sub>
            </m:sSub>
            <m:r>
              <m:rPr>
                <m:sty m:val="p"/>
              </m:rPr>
              <m:t>−</m:t>
            </m:r>
            <m:r>
              <m:t>0.225</m:t>
            </m:r>
            <m:r>
              <m:rPr>
                <m:sty m:val="p"/>
              </m:rPr>
              <m:t>(</m:t>
            </m:r>
            <m:r>
              <m:rPr>
                <m:sty m:val="p"/>
              </m:rPr>
              <m:t>ln</m:t>
            </m:r>
            <m:sSub>
              <m:e>
                <m:r>
                  <m:t>S</m:t>
                </m:r>
              </m:e>
              <m:sub>
                <m:r>
                  <m:t>a</m:t>
                </m:r>
              </m:sub>
            </m:sSub>
            <m:sSup>
              <m:e>
                <m:r>
                  <m:rPr>
                    <m:sty m:val="p"/>
                  </m:rPr>
                  <m:t>)</m:t>
                </m:r>
              </m:e>
              <m:sup>
                <m:r>
                  <m:t>2</m:t>
                </m:r>
              </m:sup>
            </m:sSup>
            <m:r>
              <m:rPr>
                <m:sty m:val="p"/>
              </m:rPr>
              <m:t>,</m:t>
            </m:r>
          </m:e>
          <m:e>
            <m:sSub>
              <m:e>
                <m:r>
                  <m:t>a</m:t>
                </m:r>
              </m:e>
              <m:sub>
                <m:r>
                  <m:t>1</m:t>
                </m:r>
              </m:sub>
            </m:sSub>
            <m:r>
              <m:t>&amp;</m:t>
            </m:r>
            <m:r>
              <m:rPr>
                <m:sty m:val="p"/>
              </m:rPr>
              <m:t>=</m:t>
            </m:r>
            <m:r>
              <m:t>3.060</m:t>
            </m:r>
            <m:r>
              <m:rPr>
                <m:sty m:val="p"/>
              </m:rPr>
              <m:t>+</m:t>
            </m:r>
            <m:r>
              <m:t>0.538</m:t>
            </m:r>
            <m:r>
              <m:rPr>
                <m:sty m:val="p"/>
              </m:rPr>
              <m:t>ln</m:t>
            </m:r>
            <m:sSub>
              <m:e>
                <m:r>
                  <m:t>k</m:t>
                </m:r>
              </m:e>
              <m:sub>
                <m:r>
                  <m:t>y</m:t>
                </m:r>
              </m:sub>
            </m:sSub>
            <m:r>
              <m:rPr>
                <m:sty m:val="p"/>
              </m:rPr>
              <m:t>,</m:t>
            </m:r>
          </m:e>
          <m:e>
            <m:sSub>
              <m:e>
                <m:r>
                  <m:t>a</m:t>
                </m:r>
              </m:e>
              <m:sub>
                <m:r>
                  <m:t>0</m:t>
                </m:r>
                <m:r>
                  <m:rPr>
                    <m:sty m:val="p"/>
                  </m:rPr>
                  <m:t>,</m:t>
                </m:r>
                <m:r>
                  <m:rPr>
                    <m:sty m:val="p"/>
                  </m:rPr>
                  <m:t>&lt;</m:t>
                </m:r>
              </m:sub>
            </m:sSub>
            <m:r>
              <m:rPr>
                <m:sty m:val="p"/>
              </m:rPr>
              <m:t>=</m:t>
            </m:r>
            <m:r>
              <m:t>​</m:t>
            </m:r>
            <m:r>
              <m:t>&amp;</m:t>
            </m:r>
            <m:r>
              <m:rPr>
                <m:sty m:val="p"/>
              </m:rPr>
              <m:t>−</m:t>
            </m:r>
            <m:r>
              <m:t>5.864</m:t>
            </m:r>
            <m:r>
              <m:rPr>
                <m:sty m:val="p"/>
              </m:rPr>
              <m:t>+</m:t>
            </m:r>
            <m:r>
              <m:t>0.550</m:t>
            </m:r>
            <m:sSub>
              <m:e>
                <m:r>
                  <m:t>M</m:t>
                </m:r>
              </m:e>
              <m:sub>
                <m:r>
                  <m:t>w</m:t>
                </m:r>
              </m:sub>
            </m:sSub>
            <m:r>
              <m:rPr>
                <m:sty m:val="p"/>
              </m:rPr>
              <m:t>−</m:t>
            </m:r>
            <m:r>
              <m:t>9.421</m:t>
            </m:r>
            <m:sSub>
              <m:e>
                <m:r>
                  <m:t>T</m:t>
                </m:r>
              </m:e>
              <m:sub>
                <m:r>
                  <m:t>s</m:t>
                </m:r>
              </m:sub>
            </m:sSub>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6.896</m:t>
            </m:r>
            <m:r>
              <m:rPr>
                <m:sty m:val="p"/>
              </m:rPr>
              <m:t>+</m:t>
            </m:r>
            <m:r>
              <m:t>0.550</m:t>
            </m:r>
            <m:sSub>
              <m:e>
                <m:r>
                  <m:t>M</m:t>
                </m:r>
              </m:e>
              <m:sub>
                <m:r>
                  <m:t>w</m:t>
                </m:r>
              </m:sub>
            </m:sSub>
            <m:r>
              <m:rPr>
                <m:sty m:val="p"/>
              </m:rPr>
              <m:t>+</m:t>
            </m:r>
            <m:r>
              <m:t>3.081</m:t>
            </m:r>
            <m:sSub>
              <m:e>
                <m:r>
                  <m:t>T</m:t>
                </m:r>
              </m:e>
              <m:sub>
                <m:r>
                  <m:t>s</m:t>
                </m:r>
              </m:sub>
            </m:sSub>
            <m:r>
              <m:rPr>
                <m:sty m:val="p"/>
              </m:rPr>
              <m:t>−</m:t>
            </m:r>
            <m:r>
              <m:t>0.803</m:t>
            </m:r>
            <m:sSubSup>
              <m:e>
                <m:r>
                  <m:t>T</m:t>
                </m:r>
              </m:e>
              <m:sub>
                <m:r>
                  <m:t>s</m:t>
                </m:r>
              </m:sub>
              <m:sup>
                <m:r>
                  <m:t>2</m:t>
                </m:r>
              </m:sup>
            </m:sSubSup>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0.73</m:t>
            </m:r>
            <m:r>
              <m:rPr>
                <m:sty m:val="p"/>
              </m:rPr>
              <m:t>.</m:t>
            </m:r>
          </m:e>
        </m:eqArr>
      </m:oMath>
      <w:r>
        <w:tab/>
      </w:r>
      <w:r>
        <w:t xml:space="preserve">(21)</w:t>
      </w:r>
      <w:bookmarkEnd w:id="100"/>
    </w:p>
    <w:p>
      <w:pPr>
        <w:pStyle w:val="BodyText"/>
      </w:pPr>
      <w:r>
        <w:t xml:space="preserve">The</w:t>
      </w:r>
      <w:r>
        <w:t xml:space="preserve"> </w:t>
      </w:r>
      <w:r>
        <w:rPr>
          <w:rStyle w:val="VerbatimChar"/>
        </w:rPr>
        <w:t xml:space="preserve">BM19</w:t>
      </w:r>
      <w:r>
        <w:t xml:space="preserve"> </w:t>
      </w:r>
      <w:r>
        <w:t xml:space="preserve">formulation</w:t>
      </w:r>
      <w:r>
        <w:t xml:space="preserve"> </w:t>
      </w:r>
      <w:r>
        <w:t xml:space="preserve">(</w:t>
      </w:r>
      <w:hyperlink w:anchor="ref-BrayMacedo2019">
        <w:r>
          <w:rPr>
            <w:rStyle w:val="Hyperlink"/>
          </w:rPr>
          <w:t xml:space="preserve">Bray and Macedo 2019</w:t>
        </w:r>
      </w:hyperlink>
      <w:r>
        <w:t xml:space="preserve">)</w:t>
      </w:r>
      <w:r>
        <w:t xml:space="preserve"> </w:t>
      </w:r>
      <w:r>
        <w:t xml:space="preserve">represents ordinary shallow crustal motions with</w:t>
      </w:r>
      <w:r>
        <w:t xml:space="preserve"> </w:t>
      </w:r>
      <m:oMath>
        <m:sSub>
          <m:e>
            <m:r>
              <m:t>S</m:t>
            </m:r>
          </m:e>
          <m:sub>
            <m:r>
              <m:t>a</m:t>
            </m:r>
          </m:sub>
        </m:sSub>
        <m:r>
          <m:rPr>
            <m:sty m:val="p"/>
          </m:rPr>
          <m:t>=</m:t>
        </m:r>
        <m:sSub>
          <m:e>
            <m:r>
              <m:t>S</m:t>
            </m:r>
          </m:e>
          <m:sub>
            <m:r>
              <m:t>a</m:t>
            </m:r>
          </m:sub>
        </m:sSub>
        <m:r>
          <m:rPr>
            <m:sty m:val="p"/>
          </m:rPr>
          <m:t>(</m:t>
        </m:r>
        <m:r>
          <m:t>1.3</m:t>
        </m:r>
        <m:sSub>
          <m:e>
            <m:r>
              <m:t>T</m:t>
            </m:r>
          </m:e>
          <m:sub>
            <m:r>
              <m:t>s</m:t>
            </m:r>
          </m:sub>
        </m:sSub>
        <m:r>
          <m:rPr>
            <m:sty m:val="p"/>
          </m:rPr>
          <m:t>)</m:t>
        </m:r>
      </m:oMath>
      <w:r>
        <w:t xml:space="preserve">:</w:t>
      </w:r>
    </w:p>
    <w:p>
      <w:pPr>
        <w:pStyle w:val="Equation"/>
      </w:pPr>
      <w:bookmarkStart w:id="101" w:name="eq-newmark-bm19"/>
      <w:r>
        <w:tab/>
      </w:r>
      <m:oMath>
        <m:eqArr>
          <m:e>
            <m:sSub>
              <m:e>
                <m:r>
                  <m:t>μ</m:t>
                </m:r>
              </m:e>
              <m:sub>
                <m:r>
                  <m:rPr>
                    <m:sty m:val="p"/>
                  </m:rPr>
                  <m:t>ln</m:t>
                </m:r>
                <m:r>
                  <m:t>D</m:t>
                </m:r>
              </m:sub>
            </m:sSub>
            <m:r>
              <m:t>&amp;</m:t>
            </m:r>
            <m:r>
              <m:rPr>
                <m:sty m:val="p"/>
              </m:rPr>
              <m:t>=</m:t>
            </m:r>
            <m:sSub>
              <m:e>
                <m:r>
                  <m:t>a</m:t>
                </m:r>
              </m:e>
              <m:sub>
                <m:r>
                  <m:t>0</m:t>
                </m:r>
              </m:sub>
            </m:sSub>
            <m:r>
              <m:rPr>
                <m:sty m:val="p"/>
              </m:rPr>
              <m:t>+</m:t>
            </m:r>
            <m:d>
              <m:dPr>
                <m:begChr m:val="("/>
                <m:sepChr m:val=""/>
                <m:endChr m:val=")"/>
                <m:grow/>
              </m:dPr>
              <m:e>
                <m:r>
                  <m:t>2.649</m:t>
                </m:r>
                <m:r>
                  <m:rPr>
                    <m:sty m:val="p"/>
                  </m:rPr>
                  <m:t>+</m:t>
                </m:r>
                <m:r>
                  <m:t>0.344</m:t>
                </m:r>
                <m:r>
                  <m:rPr>
                    <m:sty m:val="p"/>
                  </m:rPr>
                  <m:t>ln</m:t>
                </m:r>
                <m:sSub>
                  <m:e>
                    <m:r>
                      <m:t>k</m:t>
                    </m:r>
                  </m:e>
                  <m:sub>
                    <m:r>
                      <m:t>y</m:t>
                    </m:r>
                  </m:sub>
                </m:sSub>
              </m:e>
            </m:d>
            <m:r>
              <m:rPr>
                <m:sty m:val="p"/>
              </m:rPr>
              <m:t>ln</m:t>
            </m:r>
            <m:sSub>
              <m:e>
                <m:r>
                  <m:t>S</m:t>
                </m:r>
              </m:e>
              <m:sub>
                <m:r>
                  <m:t>a</m:t>
                </m:r>
              </m:sub>
            </m:sSub>
            <m:r>
              <m:rPr>
                <m:sty m:val="p"/>
              </m:rPr>
              <m:t>−</m:t>
            </m:r>
            <m:r>
              <m:t>0.090</m:t>
            </m:r>
            <m:r>
              <m:rPr>
                <m:sty m:val="p"/>
              </m:rPr>
              <m:t>(</m:t>
            </m:r>
            <m:r>
              <m:rPr>
                <m:sty m:val="p"/>
              </m:rPr>
              <m:t>ln</m:t>
            </m:r>
            <m:sSub>
              <m:e>
                <m:r>
                  <m:t>S</m:t>
                </m:r>
              </m:e>
              <m:sub>
                <m:r>
                  <m:t>a</m:t>
                </m:r>
              </m:sub>
            </m:sSub>
            <m:sSup>
              <m:e>
                <m:r>
                  <m:rPr>
                    <m:sty m:val="p"/>
                  </m:rPr>
                  <m:t>)</m:t>
                </m:r>
              </m:e>
              <m:sup>
                <m:r>
                  <m:t>2</m:t>
                </m:r>
              </m:sup>
            </m:sSup>
            <m:r>
              <m:rPr>
                <m:sty m:val="p"/>
              </m:rPr>
              <m:t>,</m:t>
            </m:r>
          </m:e>
          <m:e>
            <m:sSub>
              <m:e>
                <m:r>
                  <m:t>a</m:t>
                </m:r>
              </m:e>
              <m:sub>
                <m:r>
                  <m:t>0</m:t>
                </m:r>
                <m:r>
                  <m:rPr>
                    <m:sty m:val="p"/>
                  </m:rPr>
                  <m:t>,</m:t>
                </m:r>
                <m:r>
                  <m:rPr>
                    <m:sty m:val="p"/>
                  </m:rPr>
                  <m:t>&lt;</m:t>
                </m:r>
              </m:sub>
            </m:sSub>
            <m:r>
              <m:rPr>
                <m:sty m:val="p"/>
              </m:rPr>
              <m:t>=</m:t>
            </m:r>
            <m:r>
              <m:t>​</m:t>
            </m:r>
            <m:r>
              <m:t>&amp;</m:t>
            </m:r>
            <m:r>
              <m:rPr>
                <m:sty m:val="p"/>
              </m:rPr>
              <m:t>−</m:t>
            </m:r>
            <m:r>
              <m:t>4.684</m:t>
            </m:r>
            <m:r>
              <m:rPr>
                <m:sty m:val="p"/>
              </m:rPr>
              <m:t>+</m:t>
            </m:r>
            <m:r>
              <m:t>0.603</m:t>
            </m:r>
            <m:sSub>
              <m:e>
                <m:r>
                  <m:t>M</m:t>
                </m:r>
              </m:e>
              <m:sub>
                <m:r>
                  <m:t>w</m:t>
                </m:r>
              </m:sub>
            </m:sSub>
            <m:r>
              <m:rPr>
                <m:sty m:val="p"/>
              </m:rPr>
              <m:t>−</m:t>
            </m:r>
            <m:r>
              <m:t>9.471</m:t>
            </m:r>
            <m:sSub>
              <m:e>
                <m:r>
                  <m:t>T</m:t>
                </m:r>
              </m:e>
              <m:sub>
                <m:r>
                  <m:t>s</m:t>
                </m:r>
              </m:sub>
            </m:sSub>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5.981</m:t>
            </m:r>
            <m:r>
              <m:rPr>
                <m:sty m:val="p"/>
              </m:rPr>
              <m:t>+</m:t>
            </m:r>
            <m:r>
              <m:t>0.603</m:t>
            </m:r>
            <m:sSub>
              <m:e>
                <m:r>
                  <m:t>M</m:t>
                </m:r>
              </m:e>
              <m:sub>
                <m:r>
                  <m:t>w</m:t>
                </m:r>
              </m:sub>
            </m:sSub>
            <m:r>
              <m:rPr>
                <m:sty m:val="p"/>
              </m:rPr>
              <m:t>+</m:t>
            </m:r>
            <m:r>
              <m:t>3.223</m:t>
            </m:r>
            <m:sSub>
              <m:e>
                <m:r>
                  <m:t>T</m:t>
                </m:r>
              </m:e>
              <m:sub>
                <m:r>
                  <m:t>s</m:t>
                </m:r>
              </m:sub>
            </m:sSub>
            <m:r>
              <m:rPr>
                <m:sty m:val="p"/>
              </m:rPr>
              <m:t>−</m:t>
            </m:r>
            <m:r>
              <m:t>0.945</m:t>
            </m:r>
            <m:sSubSup>
              <m:e>
                <m:r>
                  <m:t>T</m:t>
                </m:r>
              </m:e>
              <m:sub>
                <m:r>
                  <m:t>s</m:t>
                </m:r>
              </m:sub>
              <m:sup>
                <m:r>
                  <m:t>2</m:t>
                </m:r>
              </m:sup>
            </m:sSubSup>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0.72</m:t>
            </m:r>
            <m:r>
              <m:rPr>
                <m:sty m:val="p"/>
              </m:rPr>
              <m:t>.</m:t>
            </m:r>
          </m:e>
        </m:eqArr>
      </m:oMath>
      <w:r>
        <w:tab/>
      </w:r>
      <w:r>
        <w:t xml:space="preserve">(22)</w:t>
      </w:r>
      <w:bookmarkEnd w:id="101"/>
    </w:p>
    <w:bookmarkEnd w:id="102"/>
    <w:bookmarkStart w:id="103" w:name="sec-newmark-ensemble"/>
    <w:p>
      <w:pPr>
        <w:pStyle w:val="Heading2"/>
      </w:pPr>
      <w:r>
        <w:t xml:space="preserve">Ensemble</w:t>
      </w:r>
    </w:p>
    <w:p>
      <w:pPr>
        <w:pStyle w:val="FirstParagraph"/>
      </w:pPr>
      <w:r>
        <w:t xml:space="preserve">The active configuration applies five formulations:</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and one BM branch –</w:t>
      </w:r>
      <w:r>
        <w:t xml:space="preserve"> </w:t>
      </w:r>
      <w:r>
        <w:rPr>
          <w:rStyle w:val="VerbatimChar"/>
        </w:rPr>
        <w:t xml:space="preserve">BM17</w:t>
      </w:r>
      <w:r>
        <w:t xml:space="preserve"> </w:t>
      </w:r>
      <w:r>
        <w:t xml:space="preserve">when the project declares subduction control,</w:t>
      </w:r>
      <w:r>
        <w:t xml:space="preserve"> </w:t>
      </w:r>
      <w:r>
        <w:rPr>
          <w:rStyle w:val="VerbatimChar"/>
        </w:rPr>
        <w:t xml:space="preserve">BM19</w:t>
      </w:r>
      <w:r>
        <w:t xml:space="preserve"> </w:t>
      </w:r>
      <w:r>
        <w:t xml:space="preserve">when it declares crustal control; each evaluation therefore applies five formulations, never both BM branches at once. The predictors and dispersions are applied in the published form of each model, and the five formulations are combined with the equal weights and the rigid and flexible families defined in Section</w:t>
      </w:r>
      <w:r>
        <w:t xml:space="preserve"> </w:t>
      </w:r>
      <w:hyperlink w:anchor="sec-coefficients">
        <w:r>
          <w:rPr>
            <w:rStyle w:val="Hyperlink"/>
          </w:rPr>
          <w:t xml:space="preserve">1.3</w:t>
        </w:r>
      </w:hyperlink>
      <w:r>
        <w:t xml:space="preserve">.</w:t>
      </w:r>
    </w:p>
    <w:bookmarkEnd w:id="103"/>
    <w:bookmarkStart w:id="154" w:name="references"/>
    <w:p>
      <w:pPr>
        <w:pStyle w:val="Heading2"/>
      </w:pPr>
      <w:r>
        <w:t xml:space="preserve">References</w:t>
      </w:r>
    </w:p>
    <w:bookmarkStart w:id="153" w:name="refs"/>
    <w:bookmarkStart w:id="104" w:name="ref-Aliberti2019"/>
    <w:p>
      <w:pPr>
        <w:pStyle w:val="Bibliography"/>
      </w:pPr>
      <w:r>
        <w:t xml:space="preserve">Aliberti, D., G. Biondi, E. Cascone, and S. Rampello. 2019.</w:t>
      </w:r>
      <w:r>
        <w:t xml:space="preserve"> </w:t>
      </w:r>
      <w:r>
        <w:t xml:space="preserve">“Performance</w:t>
      </w:r>
      <w:r>
        <w:t xml:space="preserve"> </w:t>
      </w:r>
      <w:r>
        <w:t xml:space="preserve">Indexes</w:t>
      </w:r>
      <w:r>
        <w:t xml:space="preserve"> </w:t>
      </w:r>
      <w:r>
        <w:t xml:space="preserve">for</w:t>
      </w:r>
      <w:r>
        <w:t xml:space="preserve"> </w:t>
      </w:r>
      <w:r>
        <w:t xml:space="preserve">Seismic</w:t>
      </w:r>
      <w:r>
        <w:t xml:space="preserve"> </w:t>
      </w:r>
      <w:r>
        <w:t xml:space="preserve">Analyses</w:t>
      </w:r>
      <w:r>
        <w:t xml:space="preserve"> </w:t>
      </w:r>
      <w:r>
        <w:t xml:space="preserve">of</w:t>
      </w:r>
      <w:r>
        <w:t xml:space="preserve"> </w:t>
      </w:r>
      <w:r>
        <w:t xml:space="preserve">Earth</w:t>
      </w:r>
      <w:r>
        <w:t xml:space="preserve"> </w:t>
      </w:r>
      <w:r>
        <w:t xml:space="preserve">Dams</w:t>
      </w:r>
      <w:r>
        <w:t xml:space="preserve">.”</w:t>
      </w:r>
      <w:r>
        <w:t xml:space="preserve"> </w:t>
      </w:r>
      <w:r>
        <w:t xml:space="preserve">In</w:t>
      </w:r>
      <w:r>
        <w:t xml:space="preserve"> </w:t>
      </w:r>
      <w:r>
        <w:rPr>
          <w:i/>
          <w:iCs/>
        </w:rPr>
        <w:t xml:space="preserve">Earthquake Geotechnical Engineering for Protection and Development of Environment and Constructions</w:t>
      </w:r>
      <w:r>
        <w:t xml:space="preserve">, edited by F. Silvestri and N. Moraci. Associazione Geotecnica Italiana.</w:t>
      </w:r>
    </w:p>
    <w:bookmarkEnd w:id="104"/>
    <w:bookmarkStart w:id="106" w:name="ref-AmbraseysMenu1988"/>
    <w:p>
      <w:pPr>
        <w:pStyle w:val="Bibliography"/>
      </w:pPr>
      <w:r>
        <w:t xml:space="preserve">Ambraseys, N. N., and J. M. Menu. 1988.</w:t>
      </w:r>
      <w:r>
        <w:t xml:space="preserve"> </w:t>
      </w:r>
      <w:r>
        <w:t xml:space="preserve">“Earthquake-Induced</w:t>
      </w:r>
      <w:r>
        <w:t xml:space="preserve"> </w:t>
      </w:r>
      <w:r>
        <w:t xml:space="preserve">Ground</w:t>
      </w:r>
      <w:r>
        <w:t xml:space="preserve"> </w:t>
      </w:r>
      <w:r>
        <w:t xml:space="preserve">Displacements</w:t>
      </w:r>
      <w:r>
        <w:t xml:space="preserve">.”</w:t>
      </w:r>
      <w:r>
        <w:t xml:space="preserve"> </w:t>
      </w:r>
      <w:r>
        <w:rPr>
          <w:i/>
          <w:iCs/>
        </w:rPr>
        <w:t xml:space="preserve">Earthquake Engineering &amp; Structural Dynamics</w:t>
      </w:r>
      <w:r>
        <w:t xml:space="preserve"> </w:t>
      </w:r>
      <w:r>
        <w:t xml:space="preserve">16 (7): 985–1006.</w:t>
      </w:r>
      <w:r>
        <w:t xml:space="preserve"> </w:t>
      </w:r>
      <w:hyperlink r:id="rId105">
        <w:r>
          <w:rPr>
            <w:rStyle w:val="Hyperlink"/>
          </w:rPr>
          <w:t xml:space="preserve">https://doi.org/10.1002/eqe.4290160704</w:t>
        </w:r>
      </w:hyperlink>
      <w:r>
        <w:t xml:space="preserve">.</w:t>
      </w:r>
    </w:p>
    <w:bookmarkEnd w:id="106"/>
    <w:bookmarkStart w:id="108" w:name="ref-AndersonEtAl2008"/>
    <w:p>
      <w:pPr>
        <w:pStyle w:val="Bibliography"/>
      </w:pPr>
      <w:r>
        <w:t xml:space="preserve">Anderson, Donald G., Geoffrey R. Martin, I. P. Lam, and John N. Wang. 2008.</w:t>
      </w:r>
      <w:r>
        <w:t xml:space="preserve"> </w:t>
      </w:r>
      <w:r>
        <w:rPr>
          <w:i/>
          <w:iCs/>
        </w:rPr>
        <w:t xml:space="preserve">Seismic</w:t>
      </w:r>
      <w:r>
        <w:rPr>
          <w:i/>
          <w:iCs/>
        </w:rPr>
        <w:t xml:space="preserve"> </w:t>
      </w:r>
      <w:r>
        <w:rPr>
          <w:i/>
          <w:iCs/>
        </w:rPr>
        <w:t xml:space="preserve">Analysis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Retaining</w:t>
      </w:r>
      <w:r>
        <w:rPr>
          <w:i/>
          <w:iCs/>
        </w:rPr>
        <w:t xml:space="preserve"> </w:t>
      </w:r>
      <w:r>
        <w:rPr>
          <w:i/>
          <w:iCs/>
        </w:rPr>
        <w:t xml:space="preserve">Walls</w:t>
      </w:r>
      <w:r>
        <w:rPr>
          <w:i/>
          <w:iCs/>
        </w:rPr>
        <w:t xml:space="preserve">,</w:t>
      </w:r>
      <w:r>
        <w:rPr>
          <w:i/>
          <w:iCs/>
        </w:rPr>
        <w:t xml:space="preserve"> </w:t>
      </w:r>
      <w:r>
        <w:rPr>
          <w:i/>
          <w:iCs/>
        </w:rPr>
        <w:t xml:space="preserve">Buried</w:t>
      </w:r>
      <w:r>
        <w:rPr>
          <w:i/>
          <w:iCs/>
        </w:rPr>
        <w:t xml:space="preserve"> </w:t>
      </w:r>
      <w:r>
        <w:rPr>
          <w:i/>
          <w:iCs/>
        </w:rPr>
        <w:t xml:space="preserve">Structures</w:t>
      </w:r>
      <w:r>
        <w:rPr>
          <w:i/>
          <w:iCs/>
        </w:rPr>
        <w:t xml:space="preserve">,</w:t>
      </w:r>
      <w:r>
        <w:rPr>
          <w:i/>
          <w:iCs/>
        </w:rPr>
        <w:t xml:space="preserve"> </w:t>
      </w:r>
      <w:r>
        <w:rPr>
          <w:i/>
          <w:iCs/>
        </w:rPr>
        <w:t xml:space="preserve">Slopes</w:t>
      </w:r>
      <w:r>
        <w:rPr>
          <w:i/>
          <w:iCs/>
        </w:rPr>
        <w:t xml:space="preserve">, and</w:t>
      </w:r>
      <w:r>
        <w:rPr>
          <w:i/>
          <w:iCs/>
        </w:rPr>
        <w:t xml:space="preserve"> </w:t>
      </w:r>
      <w:r>
        <w:rPr>
          <w:i/>
          <w:iCs/>
        </w:rPr>
        <w:t xml:space="preserve">Embankments</w:t>
      </w:r>
      <w:r>
        <w:t xml:space="preserve">. NCHRP Report No. 611. Transportation Research Board.</w:t>
      </w:r>
      <w:r>
        <w:t xml:space="preserve"> </w:t>
      </w:r>
      <w:hyperlink r:id="rId107">
        <w:r>
          <w:rPr>
            <w:rStyle w:val="Hyperlink"/>
          </w:rPr>
          <w:t xml:space="preserve">https://www.ce.memphis.edu/7137/PDFs/Seismic%20Manual/nchrp_rpt_611.pdf</w:t>
        </w:r>
      </w:hyperlink>
      <w:r>
        <w:t xml:space="preserve">.</w:t>
      </w:r>
    </w:p>
    <w:bookmarkEnd w:id="108"/>
    <w:bookmarkStart w:id="109" w:name="ref-ANCOLD2012"/>
    <w:p>
      <w:pPr>
        <w:pStyle w:val="Bibliography"/>
      </w:pPr>
      <w:r>
        <w:t xml:space="preserve">Australian National Committee on Large Dams. 2012.</w:t>
      </w:r>
      <w:r>
        <w:t xml:space="preserve"> </w:t>
      </w:r>
      <w:r>
        <w:rPr>
          <w:i/>
          <w:iCs/>
        </w:rPr>
        <w:t xml:space="preserve">Guidelines on</w:t>
      </w:r>
      <w:r>
        <w:rPr>
          <w:i/>
          <w:iCs/>
        </w:rPr>
        <w:t xml:space="preserve"> </w:t>
      </w:r>
      <w:r>
        <w:rPr>
          <w:i/>
          <w:iCs/>
        </w:rPr>
        <w:t xml:space="preserve">Tailings</w:t>
      </w:r>
      <w:r>
        <w:rPr>
          <w:i/>
          <w:iCs/>
        </w:rPr>
        <w:t xml:space="preserve"> </w:t>
      </w:r>
      <w:r>
        <w:rPr>
          <w:i/>
          <w:iCs/>
        </w:rPr>
        <w:t xml:space="preserve">Dams</w:t>
      </w:r>
      <w:r>
        <w:rPr>
          <w:i/>
          <w:iCs/>
        </w:rPr>
        <w:t xml:space="preserve">:</w:t>
      </w:r>
      <w:r>
        <w:rPr>
          <w:i/>
          <w:iCs/>
        </w:rPr>
        <w:t xml:space="preserve"> </w:t>
      </w:r>
      <w:r>
        <w:rPr>
          <w:i/>
          <w:iCs/>
        </w:rPr>
        <w:t xml:space="preserve">Planning</w:t>
      </w:r>
      <w:r>
        <w:rPr>
          <w:i/>
          <w:iCs/>
        </w:rPr>
        <w:t xml:space="preserve">,</w:t>
      </w:r>
      <w:r>
        <w:rPr>
          <w:i/>
          <w:iCs/>
        </w:rPr>
        <w:t xml:space="preserve"> </w:t>
      </w:r>
      <w:r>
        <w:rPr>
          <w:i/>
          <w:iCs/>
        </w:rPr>
        <w:t xml:space="preserve">Design</w:t>
      </w:r>
      <w:r>
        <w:rPr>
          <w:i/>
          <w:iCs/>
        </w:rPr>
        <w:t xml:space="preserve">,</w:t>
      </w:r>
      <w:r>
        <w:rPr>
          <w:i/>
          <w:iCs/>
        </w:rPr>
        <w:t xml:space="preserve"> </w:t>
      </w:r>
      <w:r>
        <w:rPr>
          <w:i/>
          <w:iCs/>
        </w:rPr>
        <w:t xml:space="preserve">Construction</w:t>
      </w:r>
      <w:r>
        <w:rPr>
          <w:i/>
          <w:iCs/>
        </w:rPr>
        <w:t xml:space="preserve">,</w:t>
      </w:r>
      <w:r>
        <w:rPr>
          <w:i/>
          <w:iCs/>
        </w:rPr>
        <w:t xml:space="preserve"> </w:t>
      </w:r>
      <w:r>
        <w:rPr>
          <w:i/>
          <w:iCs/>
        </w:rPr>
        <w:t xml:space="preserve">Operation</w:t>
      </w:r>
      <w:r>
        <w:rPr>
          <w:i/>
          <w:iCs/>
        </w:rPr>
        <w:t xml:space="preserve"> </w:t>
      </w:r>
      <w:r>
        <w:rPr>
          <w:i/>
          <w:iCs/>
        </w:rPr>
        <w:t xml:space="preserve">and</w:t>
      </w:r>
      <w:r>
        <w:rPr>
          <w:i/>
          <w:iCs/>
        </w:rPr>
        <w:t xml:space="preserve"> </w:t>
      </w:r>
      <w:r>
        <w:rPr>
          <w:i/>
          <w:iCs/>
        </w:rPr>
        <w:t xml:space="preserve">Closure</w:t>
      </w:r>
      <w:r>
        <w:t xml:space="preserve">. Australian National Committee on Large Dams.</w:t>
      </w:r>
    </w:p>
    <w:bookmarkEnd w:id="109"/>
    <w:bookmarkStart w:id="111" w:name="ref-BakerJayaram2008"/>
    <w:p>
      <w:pPr>
        <w:pStyle w:val="Bibliography"/>
      </w:pPr>
      <w:r>
        <w:t xml:space="preserve">Baker, Jack W., and Nirmal Jayaram. 2008.</w:t>
      </w:r>
      <w:r>
        <w:t xml:space="preserve"> </w:t>
      </w:r>
      <w:r>
        <w:t xml:space="preserve">“Correlation of</w:t>
      </w:r>
      <w:r>
        <w:t xml:space="preserve"> </w:t>
      </w:r>
      <w:r>
        <w:t xml:space="preserve">Spectral</w:t>
      </w:r>
      <w:r>
        <w:t xml:space="preserve"> </w:t>
      </w:r>
      <w:r>
        <w:t xml:space="preserve">Acceleration</w:t>
      </w:r>
      <w:r>
        <w:t xml:space="preserve"> </w:t>
      </w:r>
      <w:r>
        <w:t xml:space="preserve">Values</w:t>
      </w:r>
      <w:r>
        <w:t xml:space="preserve"> </w:t>
      </w:r>
      <w:r>
        <w:t xml:space="preserve">from</w:t>
      </w:r>
      <w:r>
        <w:t xml:space="preserve"> </w:t>
      </w:r>
      <w:r>
        <w:t xml:space="preserve">NGA</w:t>
      </w:r>
      <w:r>
        <w:t xml:space="preserve"> </w:t>
      </w:r>
      <w:r>
        <w:t xml:space="preserve">Ground</w:t>
      </w:r>
      <w:r>
        <w:t xml:space="preserve"> </w:t>
      </w:r>
      <w:r>
        <w:t xml:space="preserve">Motion</w:t>
      </w:r>
      <w:r>
        <w:t xml:space="preserve"> </w:t>
      </w:r>
      <w:r>
        <w:t xml:space="preserve">Models</w:t>
      </w:r>
      <w:r>
        <w:t xml:space="preserve">.”</w:t>
      </w:r>
      <w:r>
        <w:t xml:space="preserve"> </w:t>
      </w:r>
      <w:r>
        <w:rPr>
          <w:i/>
          <w:iCs/>
        </w:rPr>
        <w:t xml:space="preserve">Earthquake Spectra</w:t>
      </w:r>
      <w:r>
        <w:t xml:space="preserve"> </w:t>
      </w:r>
      <w:r>
        <w:t xml:space="preserve">24 (1): 299–317.</w:t>
      </w:r>
      <w:r>
        <w:t xml:space="preserve"> </w:t>
      </w:r>
      <w:hyperlink r:id="rId110">
        <w:r>
          <w:rPr>
            <w:rStyle w:val="Hyperlink"/>
          </w:rPr>
          <w:t xml:space="preserve">https://doi.org/10.1193/1.2857544</w:t>
        </w:r>
      </w:hyperlink>
      <w:r>
        <w:t xml:space="preserve">.</w:t>
      </w:r>
    </w:p>
    <w:bookmarkEnd w:id="111"/>
    <w:bookmarkStart w:id="113" w:name="ref-BrayTravasarou2007"/>
    <w:p>
      <w:pPr>
        <w:pStyle w:val="Bibliography"/>
      </w:pPr>
      <w:r>
        <w:t xml:space="preserve">Bray, J. D., and Thaleia Travasarou. 2007.</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Earthquake-Induced</w:t>
      </w:r>
      <w:r>
        <w:t xml:space="preserve"> </w:t>
      </w:r>
      <w:r>
        <w:t xml:space="preserve">Deviatoric</w:t>
      </w:r>
      <w:r>
        <w:t xml:space="preserve"> </w:t>
      </w:r>
      <w:r>
        <w:t xml:space="preserve">Slope</w:t>
      </w:r>
      <w:r>
        <w:t xml:space="preserve"> </w:t>
      </w:r>
      <w:r>
        <w:t xml:space="preserve">Displacements</w:t>
      </w:r>
      <w:r>
        <w:t xml:space="preserve">.”</w:t>
      </w:r>
      <w:r>
        <w:t xml:space="preserve"> </w:t>
      </w:r>
      <w:r>
        <w:rPr>
          <w:i/>
          <w:iCs/>
        </w:rPr>
        <w:t xml:space="preserve">Journal of Geotechnical and Geoenvironmental Engineering</w:t>
      </w:r>
      <w:r>
        <w:t xml:space="preserve"> </w:t>
      </w:r>
      <w:r>
        <w:t xml:space="preserve">133 (4): 381–92.</w:t>
      </w:r>
      <w:r>
        <w:t xml:space="preserve"> </w:t>
      </w:r>
      <w:hyperlink r:id="rId112">
        <w:r>
          <w:rPr>
            <w:rStyle w:val="Hyperlink"/>
          </w:rPr>
          <w:t xml:space="preserve">https://doi.org/10.1061/(ASCE)1090-0241(2007)133:4(381)</w:t>
        </w:r>
      </w:hyperlink>
      <w:r>
        <w:t xml:space="preserve">.</w:t>
      </w:r>
    </w:p>
    <w:bookmarkEnd w:id="113"/>
    <w:bookmarkStart w:id="115" w:name="ref-BrayMacedo2019"/>
    <w:p>
      <w:pPr>
        <w:pStyle w:val="Bibliography"/>
      </w:pPr>
      <w:r>
        <w:t xml:space="preserve">Bray, Jonathan D., and Jorge Macedo. 2019.</w:t>
      </w:r>
      <w:r>
        <w:t xml:space="preserve"> </w:t>
      </w:r>
      <w:r>
        <w:t xml:space="preserve">“Procedure for</w:t>
      </w:r>
      <w:r>
        <w:t xml:space="preserve"> </w:t>
      </w:r>
      <w:r>
        <w:t xml:space="preserve">Estimating</w:t>
      </w:r>
      <w:r>
        <w:t xml:space="preserve"> </w:t>
      </w:r>
      <w:r>
        <w:t xml:space="preserve">Shear-Induced</w:t>
      </w:r>
      <w:r>
        <w:t xml:space="preserve"> </w:t>
      </w:r>
      <w:r>
        <w:t xml:space="preserve">Seismic</w:t>
      </w:r>
      <w:r>
        <w:t xml:space="preserve"> </w:t>
      </w:r>
      <w:r>
        <w:t xml:space="preserve">Slope</w:t>
      </w:r>
      <w:r>
        <w:t xml:space="preserve"> </w:t>
      </w:r>
      <w:r>
        <w:t xml:space="preserve">Displacement</w:t>
      </w:r>
      <w:r>
        <w:t xml:space="preserve"> </w:t>
      </w:r>
      <w:r>
        <w:t xml:space="preserve">for</w:t>
      </w:r>
      <w:r>
        <w:t xml:space="preserve"> </w:t>
      </w:r>
      <w:r>
        <w:t xml:space="preserve">Shallow</w:t>
      </w:r>
      <w:r>
        <w:t xml:space="preserve"> </w:t>
      </w:r>
      <w:r>
        <w:t xml:space="preserve">Crustal</w:t>
      </w:r>
      <w:r>
        <w:t xml:space="preserve"> </w:t>
      </w:r>
      <w:r>
        <w:t xml:space="preserve">Earthquakes</w:t>
      </w:r>
      <w:r>
        <w:t xml:space="preserve">.”</w:t>
      </w:r>
      <w:r>
        <w:t xml:space="preserve"> </w:t>
      </w:r>
      <w:r>
        <w:rPr>
          <w:i/>
          <w:iCs/>
        </w:rPr>
        <w:t xml:space="preserve">Journal of Geotechnical and Geoenvironmental Engineering</w:t>
      </w:r>
      <w:r>
        <w:t xml:space="preserve"> </w:t>
      </w:r>
      <w:r>
        <w:t xml:space="preserve">145 (12): 04019106.</w:t>
      </w:r>
      <w:r>
        <w:t xml:space="preserve"> </w:t>
      </w:r>
      <w:hyperlink r:id="rId114">
        <w:r>
          <w:rPr>
            <w:rStyle w:val="Hyperlink"/>
          </w:rPr>
          <w:t xml:space="preserve">https://doi.org/10.1061/(ASCE)GT.1943-5606.0002143</w:t>
        </w:r>
      </w:hyperlink>
      <w:r>
        <w:t xml:space="preserve">.</w:t>
      </w:r>
    </w:p>
    <w:bookmarkEnd w:id="115"/>
    <w:bookmarkStart w:id="117" w:name="ref-BrayEtAl2018"/>
    <w:p>
      <w:pPr>
        <w:pStyle w:val="Bibliography"/>
      </w:pPr>
      <w:r>
        <w:t xml:space="preserve">Bray, Jonathan D., Jorge Macedo, and Thaleia Travasarou. 2018.</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Seismic</w:t>
      </w:r>
      <w:r>
        <w:t xml:space="preserve"> </w:t>
      </w:r>
      <w:r>
        <w:t xml:space="preserve">Slope</w:t>
      </w:r>
      <w:r>
        <w:t xml:space="preserve"> </w:t>
      </w:r>
      <w:r>
        <w:t xml:space="preserve">Displacements</w:t>
      </w:r>
      <w:r>
        <w:t xml:space="preserve"> </w:t>
      </w:r>
      <w:r>
        <w:t xml:space="preserve">for</w:t>
      </w:r>
      <w:r>
        <w:t xml:space="preserve"> </w:t>
      </w:r>
      <w:r>
        <w:t xml:space="preserve">Subduction</w:t>
      </w:r>
      <w:r>
        <w:t xml:space="preserve"> </w:t>
      </w:r>
      <w:r>
        <w:t xml:space="preserve">Zone</w:t>
      </w:r>
      <w:r>
        <w:t xml:space="preserve"> </w:t>
      </w:r>
      <w:r>
        <w:t xml:space="preserve">Earthquakes</w:t>
      </w:r>
      <w:r>
        <w:t xml:space="preserve">.”</w:t>
      </w:r>
      <w:r>
        <w:t xml:space="preserve"> </w:t>
      </w:r>
      <w:r>
        <w:rPr>
          <w:i/>
          <w:iCs/>
        </w:rPr>
        <w:t xml:space="preserve">Journal of Geotechnical and Geoenvironmental Engineering</w:t>
      </w:r>
      <w:r>
        <w:t xml:space="preserve"> </w:t>
      </w:r>
      <w:r>
        <w:t xml:space="preserve">144 (3): 04017124.</w:t>
      </w:r>
      <w:r>
        <w:t xml:space="preserve"> </w:t>
      </w:r>
      <w:hyperlink r:id="rId116">
        <w:r>
          <w:rPr>
            <w:rStyle w:val="Hyperlink"/>
          </w:rPr>
          <w:t xml:space="preserve">https://doi.org/10.1061/(ASCE)GT.1943-5606.0001833</w:t>
        </w:r>
      </w:hyperlink>
      <w:r>
        <w:t xml:space="preserve">.</w:t>
      </w:r>
    </w:p>
    <w:bookmarkEnd w:id="117"/>
    <w:bookmarkStart w:id="119" w:name="ref-BrayTravasarou2009"/>
    <w:p>
      <w:pPr>
        <w:pStyle w:val="Bibliography"/>
      </w:pPr>
      <w:r>
        <w:t xml:space="preserve">Bray, Jonathan D., and Thaleia Travasarou. 2009.</w:t>
      </w:r>
      <w:r>
        <w:t xml:space="preserve"> </w:t>
      </w:r>
      <w:r>
        <w:t xml:space="preserve">“Pseudostatic</w:t>
      </w:r>
      <w:r>
        <w:t xml:space="preserve"> </w:t>
      </w:r>
      <w:r>
        <w:t xml:space="preserve">Coefficient</w:t>
      </w:r>
      <w:r>
        <w:t xml:space="preserve"> </w:t>
      </w:r>
      <w:r>
        <w:t xml:space="preserve">for</w:t>
      </w:r>
      <w:r>
        <w:t xml:space="preserve"> </w:t>
      </w:r>
      <w:r>
        <w:t xml:space="preserve">Use</w:t>
      </w:r>
      <w:r>
        <w:t xml:space="preserve"> </w:t>
      </w:r>
      <w:r>
        <w:t xml:space="preserve">in</w:t>
      </w:r>
      <w:r>
        <w:t xml:space="preserve"> </w:t>
      </w:r>
      <w:r>
        <w:t xml:space="preserve">Simplified</w:t>
      </w:r>
      <w:r>
        <w:t xml:space="preserve"> </w:t>
      </w:r>
      <w:r>
        <w:t xml:space="preserve">Seismic</w:t>
      </w:r>
      <w:r>
        <w:t xml:space="preserve"> </w:t>
      </w:r>
      <w:r>
        <w:t xml:space="preserve">Slope</w:t>
      </w:r>
      <w:r>
        <w:t xml:space="preserve"> </w:t>
      </w:r>
      <w:r>
        <w:t xml:space="preserve">Stability</w:t>
      </w:r>
      <w:r>
        <w:t xml:space="preserve"> </w:t>
      </w:r>
      <w:r>
        <w:t xml:space="preserve">Evaluation</w:t>
      </w:r>
      <w:r>
        <w:t xml:space="preserve">.”</w:t>
      </w:r>
      <w:r>
        <w:t xml:space="preserve"> </w:t>
      </w:r>
      <w:r>
        <w:rPr>
          <w:i/>
          <w:iCs/>
        </w:rPr>
        <w:t xml:space="preserve">Journal of Geotechnical and Geoenvironmental Engineering</w:t>
      </w:r>
      <w:r>
        <w:t xml:space="preserve"> </w:t>
      </w:r>
      <w:r>
        <w:t xml:space="preserve">135 (9): 1336–40.</w:t>
      </w:r>
      <w:r>
        <w:t xml:space="preserve"> </w:t>
      </w:r>
      <w:hyperlink r:id="rId118">
        <w:r>
          <w:rPr>
            <w:rStyle w:val="Hyperlink"/>
          </w:rPr>
          <w:t xml:space="preserve">https://doi.org/10.1061/(ASCE)GT.1943-5606.0000012</w:t>
        </w:r>
      </w:hyperlink>
      <w:r>
        <w:t xml:space="preserve">.</w:t>
      </w:r>
    </w:p>
    <w:bookmarkEnd w:id="119"/>
    <w:bookmarkStart w:id="121" w:name="ref-DakoulasGazetas1985Inhomogeneous"/>
    <w:p>
      <w:pPr>
        <w:pStyle w:val="Bibliography"/>
      </w:pPr>
      <w:r>
        <w:t xml:space="preserve">Dakoulas, Panos, and George Gazetas. 1985.</w:t>
      </w:r>
      <w:r>
        <w:t xml:space="preserve"> </w:t>
      </w:r>
      <w:r>
        <w:t xml:space="preserve">“A</w:t>
      </w:r>
      <w:r>
        <w:t xml:space="preserve"> </w:t>
      </w:r>
      <w:r>
        <w:t xml:space="preserve">Class</w:t>
      </w:r>
      <w:r>
        <w:t xml:space="preserve"> </w:t>
      </w:r>
      <w:r>
        <w:t xml:space="preserve">of</w:t>
      </w:r>
      <w:r>
        <w:t xml:space="preserve"> </w:t>
      </w:r>
      <w:r>
        <w:t xml:space="preserve">Inhomogeneous</w:t>
      </w:r>
      <w:r>
        <w:t xml:space="preserve"> </w:t>
      </w:r>
      <w:r>
        <w:t xml:space="preserve">Shear</w:t>
      </w:r>
      <w:r>
        <w:t xml:space="preserve"> </w:t>
      </w:r>
      <w:r>
        <w:t xml:space="preserve">Models</w:t>
      </w:r>
      <w:r>
        <w:t xml:space="preserve"> </w:t>
      </w:r>
      <w:r>
        <w:t xml:space="preserve">for</w:t>
      </w:r>
      <w:r>
        <w:t xml:space="preserve"> </w:t>
      </w:r>
      <w:r>
        <w:t xml:space="preserve">Seismic</w:t>
      </w:r>
      <w:r>
        <w:t xml:space="preserve"> </w:t>
      </w:r>
      <w:r>
        <w:t xml:space="preserve">Response</w:t>
      </w:r>
      <w:r>
        <w:t xml:space="preserve"> </w:t>
      </w:r>
      <w:r>
        <w:t xml:space="preserve">of</w:t>
      </w:r>
      <w:r>
        <w:t xml:space="preserve"> </w:t>
      </w:r>
      <w:r>
        <w:t xml:space="preserve">Dams</w:t>
      </w:r>
      <w:r>
        <w:t xml:space="preserve"> </w:t>
      </w:r>
      <w:r>
        <w:t xml:space="preserve">and</w:t>
      </w:r>
      <w:r>
        <w:t xml:space="preserve"> </w:t>
      </w:r>
      <w:r>
        <w:t xml:space="preserve">Embankments</w:t>
      </w:r>
      <w:r>
        <w:t xml:space="preserve">.”</w:t>
      </w:r>
      <w:r>
        <w:t xml:space="preserve"> </w:t>
      </w:r>
      <w:r>
        <w:rPr>
          <w:i/>
          <w:iCs/>
        </w:rPr>
        <w:t xml:space="preserve">International Journal of Soil Dynamics and Earthquake Engineering</w:t>
      </w:r>
      <w:r>
        <w:t xml:space="preserve"> </w:t>
      </w:r>
      <w:r>
        <w:t xml:space="preserve">4 (4): 166–82.</w:t>
      </w:r>
      <w:r>
        <w:t xml:space="preserve"> </w:t>
      </w:r>
      <w:hyperlink r:id="rId120">
        <w:r>
          <w:rPr>
            <w:rStyle w:val="Hyperlink"/>
          </w:rPr>
          <w:t xml:space="preserve">https://doi.org/10.1016/0261-7277(85)90037-3</w:t>
        </w:r>
      </w:hyperlink>
      <w:r>
        <w:t xml:space="preserve">.</w:t>
      </w:r>
    </w:p>
    <w:bookmarkEnd w:id="121"/>
    <w:bookmarkStart w:id="122" w:name="ref-CEN2004"/>
    <w:p>
      <w:pPr>
        <w:pStyle w:val="Bibliography"/>
      </w:pPr>
      <w:r>
        <w:t xml:space="preserve">European Committee for Standardization. 2004.</w:t>
      </w:r>
      <w:r>
        <w:t xml:space="preserve"> </w:t>
      </w:r>
      <w:r>
        <w:rPr>
          <w:i/>
          <w:iCs/>
        </w:rPr>
        <w:t xml:space="preserve">Eurocode 8:</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Structures</w:t>
      </w:r>
      <w:r>
        <w:rPr>
          <w:i/>
          <w:iCs/>
        </w:rPr>
        <w:t xml:space="preserve"> </w:t>
      </w:r>
      <w:r>
        <w:rPr>
          <w:i/>
          <w:iCs/>
        </w:rPr>
        <w:t xml:space="preserve">for</w:t>
      </w:r>
      <w:r>
        <w:rPr>
          <w:i/>
          <w:iCs/>
        </w:rPr>
        <w:t xml:space="preserve"> </w:t>
      </w:r>
      <w:r>
        <w:rPr>
          <w:i/>
          <w:iCs/>
        </w:rPr>
        <w:t xml:space="preserve">Earthquake</w:t>
      </w:r>
      <w:r>
        <w:rPr>
          <w:i/>
          <w:iCs/>
        </w:rPr>
        <w:t xml:space="preserve"> </w:t>
      </w:r>
      <w:r>
        <w:rPr>
          <w:i/>
          <w:iCs/>
        </w:rPr>
        <w:t xml:space="preserve">Resistance</w:t>
      </w:r>
      <w:r>
        <w:rPr>
          <w:i/>
          <w:iCs/>
        </w:rPr>
        <w:t xml:space="preserve"> </w:t>
      </w:r>
      <w:r>
        <w:rPr>
          <w:i/>
          <w:iCs/>
        </w:rPr>
        <w:t xml:space="preserve">–</w:t>
      </w:r>
      <w:r>
        <w:rPr>
          <w:i/>
          <w:iCs/>
        </w:rPr>
        <w:t xml:space="preserve"> </w:t>
      </w:r>
      <w:r>
        <w:rPr>
          <w:i/>
          <w:iCs/>
        </w:rPr>
        <w:t xml:space="preserve">Part</w:t>
      </w:r>
      <w:r>
        <w:rPr>
          <w:i/>
          <w:iCs/>
        </w:rPr>
        <w:t xml:space="preserve"> </w:t>
      </w:r>
      <w:r>
        <w:rPr>
          <w:i/>
          <w:iCs/>
        </w:rPr>
        <w:t xml:space="preserve">5:</w:t>
      </w:r>
      <w:r>
        <w:rPr>
          <w:i/>
          <w:iCs/>
        </w:rPr>
        <w:t xml:space="preserve"> </w:t>
      </w:r>
      <w:r>
        <w:rPr>
          <w:i/>
          <w:iCs/>
        </w:rPr>
        <w:t xml:space="preserve">Foundations</w:t>
      </w:r>
      <w:r>
        <w:rPr>
          <w:i/>
          <w:iCs/>
        </w:rPr>
        <w:t xml:space="preserve">,</w:t>
      </w:r>
      <w:r>
        <w:rPr>
          <w:i/>
          <w:iCs/>
        </w:rPr>
        <w:t xml:space="preserve"> </w:t>
      </w:r>
      <w:r>
        <w:rPr>
          <w:i/>
          <w:iCs/>
        </w:rPr>
        <w:t xml:space="preserve">Retaining</w:t>
      </w:r>
      <w:r>
        <w:rPr>
          <w:i/>
          <w:iCs/>
        </w:rPr>
        <w:t xml:space="preserve"> </w:t>
      </w:r>
      <w:r>
        <w:rPr>
          <w:i/>
          <w:iCs/>
        </w:rPr>
        <w:t xml:space="preserve">Structures</w:t>
      </w:r>
      <w:r>
        <w:rPr>
          <w:i/>
          <w:iCs/>
        </w:rPr>
        <w:t xml:space="preserve"> </w:t>
      </w:r>
      <w:r>
        <w:rPr>
          <w:i/>
          <w:iCs/>
        </w:rPr>
        <w:t xml:space="preserve">and</w:t>
      </w:r>
      <w:r>
        <w:rPr>
          <w:i/>
          <w:iCs/>
        </w:rPr>
        <w:t xml:space="preserve"> </w:t>
      </w:r>
      <w:r>
        <w:rPr>
          <w:i/>
          <w:iCs/>
        </w:rPr>
        <w:t xml:space="preserve">Geotechnical</w:t>
      </w:r>
      <w:r>
        <w:rPr>
          <w:i/>
          <w:iCs/>
        </w:rPr>
        <w:t xml:space="preserve"> </w:t>
      </w:r>
      <w:r>
        <w:rPr>
          <w:i/>
          <w:iCs/>
        </w:rPr>
        <w:t xml:space="preserve">Aspects</w:t>
      </w:r>
      <w:r>
        <w:t xml:space="preserve">. European Standard EN 1998-5. European Committee for Standardization.</w:t>
      </w:r>
    </w:p>
    <w:bookmarkEnd w:id="122"/>
    <w:bookmarkStart w:id="123" w:name="ref-FEMA2005"/>
    <w:p>
      <w:pPr>
        <w:pStyle w:val="Bibliography"/>
      </w:pPr>
      <w:r>
        <w:t xml:space="preserve">Federal Emergency Management Agency. 2005.</w:t>
      </w:r>
      <w:r>
        <w:t xml:space="preserve"> </w:t>
      </w:r>
      <w:r>
        <w:rPr>
          <w:i/>
          <w:iCs/>
        </w:rPr>
        <w:t xml:space="preserve">Federal</w:t>
      </w:r>
      <w:r>
        <w:rPr>
          <w:i/>
          <w:iCs/>
        </w:rPr>
        <w:t xml:space="preserve"> </w:t>
      </w:r>
      <w:r>
        <w:rPr>
          <w:i/>
          <w:iCs/>
        </w:rPr>
        <w:t xml:space="preserve">Guidelines</w:t>
      </w:r>
      <w:r>
        <w:rPr>
          <w:i/>
          <w:iCs/>
        </w:rPr>
        <w:t xml:space="preserve"> </w:t>
      </w:r>
      <w:r>
        <w:rPr>
          <w:i/>
          <w:iCs/>
        </w:rPr>
        <w:t xml:space="preserve">for</w:t>
      </w:r>
      <w:r>
        <w:rPr>
          <w:i/>
          <w:iCs/>
        </w:rPr>
        <w:t xml:space="preserve"> </w:t>
      </w:r>
      <w:r>
        <w:rPr>
          <w:i/>
          <w:iCs/>
        </w:rPr>
        <w:t xml:space="preserve">Dam</w:t>
      </w:r>
      <w:r>
        <w:rPr>
          <w:i/>
          <w:iCs/>
        </w:rPr>
        <w:t xml:space="preserve"> </w:t>
      </w:r>
      <w:r>
        <w:rPr>
          <w:i/>
          <w:iCs/>
        </w:rPr>
        <w:t xml:space="preserve">Safety</w:t>
      </w:r>
      <w:r>
        <w:rPr>
          <w:i/>
          <w:iCs/>
        </w:rPr>
        <w:t xml:space="preserve">:</w:t>
      </w:r>
      <w:r>
        <w:rPr>
          <w:i/>
          <w:iCs/>
        </w:rPr>
        <w:t xml:space="preserve"> </w:t>
      </w:r>
      <w:r>
        <w:rPr>
          <w:i/>
          <w:iCs/>
        </w:rPr>
        <w:t xml:space="preserve">Earthquake</w:t>
      </w:r>
      <w:r>
        <w:rPr>
          <w:i/>
          <w:iCs/>
        </w:rPr>
        <w:t xml:space="preserve"> </w:t>
      </w:r>
      <w:r>
        <w:rPr>
          <w:i/>
          <w:iCs/>
        </w:rPr>
        <w:t xml:space="preserve">Analyses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Dams</w:t>
      </w:r>
      <w:r>
        <w:t xml:space="preserve">. P-65. Federal Emergency Management Agency.</w:t>
      </w:r>
    </w:p>
    <w:bookmarkEnd w:id="123"/>
    <w:bookmarkStart w:id="125" w:name="ref-HardinBlack1968"/>
    <w:p>
      <w:pPr>
        <w:pStyle w:val="Bibliography"/>
      </w:pPr>
      <w:r>
        <w:t xml:space="preserve">Hardin, Bobby O., and William L. Black. 1968.</w:t>
      </w:r>
      <w:r>
        <w:t xml:space="preserve"> </w:t>
      </w:r>
      <w:r>
        <w:t xml:space="preserve">“Vibration</w:t>
      </w:r>
      <w:r>
        <w:t xml:space="preserve"> </w:t>
      </w:r>
      <w:r>
        <w:t xml:space="preserve">Modulus</w:t>
      </w:r>
      <w:r>
        <w:t xml:space="preserve"> </w:t>
      </w:r>
      <w:r>
        <w:t xml:space="preserve">of</w:t>
      </w:r>
      <w:r>
        <w:t xml:space="preserve"> </w:t>
      </w:r>
      <w:r>
        <w:t xml:space="preserve">Normally</w:t>
      </w:r>
      <w:r>
        <w:t xml:space="preserve"> </w:t>
      </w:r>
      <w:r>
        <w:t xml:space="preserve">Consolidated</w:t>
      </w:r>
      <w:r>
        <w:t xml:space="preserve"> </w:t>
      </w:r>
      <w:r>
        <w:t xml:space="preserve">Clay</w:t>
      </w:r>
      <w:r>
        <w:t xml:space="preserve">.”</w:t>
      </w:r>
      <w:r>
        <w:t xml:space="preserve"> </w:t>
      </w:r>
      <w:r>
        <w:rPr>
          <w:i/>
          <w:iCs/>
        </w:rPr>
        <w:t xml:space="preserve">Journal of the Soil Mechanics and Foundations Division</w:t>
      </w:r>
      <w:r>
        <w:t xml:space="preserve"> </w:t>
      </w:r>
      <w:r>
        <w:t xml:space="preserve">94 (2): 353–69.</w:t>
      </w:r>
      <w:r>
        <w:t xml:space="preserve"> </w:t>
      </w:r>
      <w:hyperlink r:id="rId124">
        <w:r>
          <w:rPr>
            <w:rStyle w:val="Hyperlink"/>
          </w:rPr>
          <w:t xml:space="preserve">https://doi.org/10.1061/JSFEAQ.0001100</w:t>
        </w:r>
      </w:hyperlink>
      <w:r>
        <w:t xml:space="preserve">.</w:t>
      </w:r>
    </w:p>
    <w:bookmarkEnd w:id="125"/>
    <w:bookmarkStart w:id="127" w:name="ref-HardinDrnevich1972"/>
    <w:p>
      <w:pPr>
        <w:pStyle w:val="Bibliography"/>
      </w:pPr>
      <w:r>
        <w:t xml:space="preserve">Hardin, Bobby O., and Vincent P. Drnevich. 1972.</w:t>
      </w:r>
      <w:r>
        <w:t xml:space="preserve"> </w:t>
      </w:r>
      <w:r>
        <w:t xml:space="preserve">“Shear</w:t>
      </w:r>
      <w:r>
        <w:t xml:space="preserve"> </w:t>
      </w:r>
      <w:r>
        <w:t xml:space="preserve">Modulus</w:t>
      </w:r>
      <w:r>
        <w:t xml:space="preserve"> </w:t>
      </w:r>
      <w:r>
        <w:t xml:space="preserve">and</w:t>
      </w:r>
      <w:r>
        <w:t xml:space="preserve"> </w:t>
      </w:r>
      <w:r>
        <w:t xml:space="preserve">Damping</w:t>
      </w:r>
      <w:r>
        <w:t xml:space="preserve"> </w:t>
      </w:r>
      <w:r>
        <w:t xml:space="preserve">in</w:t>
      </w:r>
      <w:r>
        <w:t xml:space="preserve"> </w:t>
      </w:r>
      <w:r>
        <w:t xml:space="preserve">Soils</w:t>
      </w:r>
      <w:r>
        <w:t xml:space="preserve">:</w:t>
      </w:r>
      <w:r>
        <w:t xml:space="preserve"> </w:t>
      </w:r>
      <w:r>
        <w:t xml:space="preserve">Measurement</w:t>
      </w:r>
      <w:r>
        <w:t xml:space="preserve"> </w:t>
      </w:r>
      <w:r>
        <w:t xml:space="preserve">and</w:t>
      </w:r>
      <w:r>
        <w:t xml:space="preserve"> </w:t>
      </w:r>
      <w:r>
        <w:t xml:space="preserve">Parameter</w:t>
      </w:r>
      <w:r>
        <w:t xml:space="preserve"> </w:t>
      </w:r>
      <w:r>
        <w:t xml:space="preserve">Effects</w:t>
      </w:r>
      <w:r>
        <w:t xml:space="preserve">.”</w:t>
      </w:r>
      <w:r>
        <w:t xml:space="preserve"> </w:t>
      </w:r>
      <w:r>
        <w:rPr>
          <w:i/>
          <w:iCs/>
        </w:rPr>
        <w:t xml:space="preserve">Journal of the Soil Mechanics and Foundations Division</w:t>
      </w:r>
      <w:r>
        <w:t xml:space="preserve"> </w:t>
      </w:r>
      <w:r>
        <w:t xml:space="preserve">98 (6): 603–24.</w:t>
      </w:r>
      <w:r>
        <w:t xml:space="preserve"> </w:t>
      </w:r>
      <w:hyperlink r:id="rId126">
        <w:r>
          <w:rPr>
            <w:rStyle w:val="Hyperlink"/>
          </w:rPr>
          <w:t xml:space="preserve">https://doi.org/10.1061/JSFEAQ.0001756</w:t>
        </w:r>
      </w:hyperlink>
      <w:r>
        <w:t xml:space="preserve">.</w:t>
      </w:r>
    </w:p>
    <w:bookmarkEnd w:id="127"/>
    <w:bookmarkStart w:id="129" w:name="ref-Hashash2020"/>
    <w:p>
      <w:pPr>
        <w:pStyle w:val="Bibliography"/>
      </w:pPr>
      <w:r>
        <w:t xml:space="preserve">Hashash, Youssef M. A., Okan Ilhan, Joseph A. Harmon, et al. 2020.</w:t>
      </w:r>
      <w:r>
        <w:t xml:space="preserve"> </w:t>
      </w:r>
      <w:r>
        <w:t xml:space="preserve">“Nonlinear</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Ergodic</w:t>
      </w:r>
      <w:r>
        <w:t xml:space="preserve"> </w:t>
      </w:r>
      <w:r>
        <w:t xml:space="preserve">Seismic</w:t>
      </w:r>
      <w:r>
        <w:t xml:space="preserve"> </w:t>
      </w:r>
      <w:r>
        <w:t xml:space="preserve">Hazard</w:t>
      </w:r>
      <w:r>
        <w:t xml:space="preserve"> </w:t>
      </w:r>
      <w:r>
        <w:t xml:space="preserve">Analysis</w:t>
      </w:r>
      <w:r>
        <w:t xml:space="preserve"> </w:t>
      </w:r>
      <w:r>
        <w:t xml:space="preserve">in</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 </w:t>
      </w:r>
      <w:r>
        <w:rPr>
          <w:i/>
          <w:iCs/>
        </w:rPr>
        <w:t xml:space="preserve">Earthquake Spectra</w:t>
      </w:r>
      <w:r>
        <w:t xml:space="preserve"> </w:t>
      </w:r>
      <w:r>
        <w:t xml:space="preserve">36 (1): 69–86.</w:t>
      </w:r>
      <w:r>
        <w:t xml:space="preserve"> </w:t>
      </w:r>
      <w:hyperlink r:id="rId128">
        <w:r>
          <w:rPr>
            <w:rStyle w:val="Hyperlink"/>
          </w:rPr>
          <w:t xml:space="preserve">https://doi.org/10.1177/8755293019878193</w:t>
        </w:r>
      </w:hyperlink>
      <w:r>
        <w:t xml:space="preserve">.</w:t>
      </w:r>
    </w:p>
    <w:bookmarkEnd w:id="129"/>
    <w:bookmarkStart w:id="130" w:name="ref-ICOLD2016"/>
    <w:p>
      <w:pPr>
        <w:pStyle w:val="Bibliography"/>
      </w:pPr>
      <w:r>
        <w:t xml:space="preserve">International Commission on Large Dams. 2016.</w:t>
      </w:r>
      <w:r>
        <w:t xml:space="preserve"> </w:t>
      </w:r>
      <w:r>
        <w:rPr>
          <w:i/>
          <w:iCs/>
        </w:rPr>
        <w:t xml:space="preserve">Selecting</w:t>
      </w:r>
      <w:r>
        <w:rPr>
          <w:i/>
          <w:iCs/>
        </w:rPr>
        <w:t xml:space="preserve"> </w:t>
      </w:r>
      <w:r>
        <w:rPr>
          <w:i/>
          <w:iCs/>
        </w:rPr>
        <w:t xml:space="preserve">Seismic</w:t>
      </w:r>
      <w:r>
        <w:rPr>
          <w:i/>
          <w:iCs/>
        </w:rPr>
        <w:t xml:space="preserve"> </w:t>
      </w:r>
      <w:r>
        <w:rPr>
          <w:i/>
          <w:iCs/>
        </w:rPr>
        <w:t xml:space="preserve">Parameters</w:t>
      </w:r>
      <w:r>
        <w:rPr>
          <w:i/>
          <w:iCs/>
        </w:rPr>
        <w:t xml:space="preserve"> </w:t>
      </w:r>
      <w:r>
        <w:rPr>
          <w:i/>
          <w:iCs/>
        </w:rPr>
        <w:t xml:space="preserve">for</w:t>
      </w:r>
      <w:r>
        <w:rPr>
          <w:i/>
          <w:iCs/>
        </w:rPr>
        <w:t xml:space="preserve"> </w:t>
      </w:r>
      <w:r>
        <w:rPr>
          <w:i/>
          <w:iCs/>
        </w:rPr>
        <w:t xml:space="preserve">Large</w:t>
      </w:r>
      <w:r>
        <w:rPr>
          <w:i/>
          <w:iCs/>
        </w:rPr>
        <w:t xml:space="preserve"> </w:t>
      </w:r>
      <w:r>
        <w:rPr>
          <w:i/>
          <w:iCs/>
        </w:rPr>
        <w:t xml:space="preserve">Dams</w:t>
      </w:r>
      <w:r>
        <w:rPr>
          <w:i/>
          <w:iCs/>
        </w:rPr>
        <w:t xml:space="preserve"> </w:t>
      </w:r>
      <w:r>
        <w:rPr>
          <w:i/>
          <w:iCs/>
        </w:rPr>
        <w:t xml:space="preserve">–</w:t>
      </w:r>
      <w:r>
        <w:rPr>
          <w:i/>
          <w:iCs/>
        </w:rPr>
        <w:t xml:space="preserve"> </w:t>
      </w:r>
      <w:r>
        <w:rPr>
          <w:i/>
          <w:iCs/>
        </w:rPr>
        <w:t xml:space="preserve">Guidelines</w:t>
      </w:r>
      <w:r>
        <w:t xml:space="preserve">. Bulletin No. 148. International Commission on Large Dams.</w:t>
      </w:r>
    </w:p>
    <w:bookmarkEnd w:id="130"/>
    <w:bookmarkStart w:id="132" w:name="ref-Ishihara1996"/>
    <w:p>
      <w:pPr>
        <w:pStyle w:val="Bibliography"/>
      </w:pPr>
      <w:r>
        <w:t xml:space="preserve">Ishihara, Kenji. 1996.</w:t>
      </w:r>
      <w:r>
        <w:t xml:space="preserve"> </w:t>
      </w:r>
      <w:r>
        <w:rPr>
          <w:i/>
          <w:iCs/>
        </w:rPr>
        <w:t xml:space="preserve">Soil</w:t>
      </w:r>
      <w:r>
        <w:rPr>
          <w:i/>
          <w:iCs/>
        </w:rPr>
        <w:t xml:space="preserve"> </w:t>
      </w:r>
      <w:r>
        <w:rPr>
          <w:i/>
          <w:iCs/>
        </w:rPr>
        <w:t xml:space="preserve">Behaviour</w:t>
      </w:r>
      <w:r>
        <w:rPr>
          <w:i/>
          <w:iCs/>
        </w:rPr>
        <w:t xml:space="preserve"> </w:t>
      </w:r>
      <w:r>
        <w:rPr>
          <w:i/>
          <w:iCs/>
        </w:rPr>
        <w:t xml:space="preserve">in</w:t>
      </w:r>
      <w:r>
        <w:rPr>
          <w:i/>
          <w:iCs/>
        </w:rPr>
        <w:t xml:space="preserve"> </w:t>
      </w:r>
      <w:r>
        <w:rPr>
          <w:i/>
          <w:iCs/>
        </w:rPr>
        <w:t xml:space="preserve">Earthquake</w:t>
      </w:r>
      <w:r>
        <w:rPr>
          <w:i/>
          <w:iCs/>
        </w:rPr>
        <w:t xml:space="preserve"> </w:t>
      </w:r>
      <w:r>
        <w:rPr>
          <w:i/>
          <w:iCs/>
        </w:rPr>
        <w:t xml:space="preserve">Geotechnics</w:t>
      </w:r>
      <w:r>
        <w:t xml:space="preserve">. Clarendon Press; Oxford University Press.</w:t>
      </w:r>
      <w:r>
        <w:t xml:space="preserve"> </w:t>
      </w:r>
      <w:hyperlink r:id="rId131">
        <w:r>
          <w:rPr>
            <w:rStyle w:val="Hyperlink"/>
          </w:rPr>
          <w:t xml:space="preserve">https://doi.org/10.1093/oso/9780198562245.001.0001</w:t>
        </w:r>
      </w:hyperlink>
      <w:r>
        <w:t xml:space="preserve">.</w:t>
      </w:r>
    </w:p>
    <w:bookmarkEnd w:id="132"/>
    <w:bookmarkStart w:id="134" w:name="ref-Jibson2007"/>
    <w:p>
      <w:pPr>
        <w:pStyle w:val="Bibliography"/>
      </w:pPr>
      <w:r>
        <w:t xml:space="preserve">Jibson, R. W. 2007.</w:t>
      </w:r>
      <w:r>
        <w:t xml:space="preserve"> </w:t>
      </w:r>
      <w:r>
        <w:t xml:space="preserve">“Regression</w:t>
      </w:r>
      <w:r>
        <w:t xml:space="preserve"> </w:t>
      </w:r>
      <w:r>
        <w:t xml:space="preserve">Models</w:t>
      </w:r>
      <w:r>
        <w:t xml:space="preserve"> </w:t>
      </w:r>
      <w:r>
        <w:t xml:space="preserve">for</w:t>
      </w:r>
      <w:r>
        <w:t xml:space="preserve"> </w:t>
      </w:r>
      <w:r>
        <w:t xml:space="preserve">Estimating</w:t>
      </w:r>
      <w:r>
        <w:t xml:space="preserve"> </w:t>
      </w:r>
      <w:r>
        <w:t xml:space="preserve">Coseismic</w:t>
      </w:r>
      <w:r>
        <w:t xml:space="preserve"> </w:t>
      </w:r>
      <w:r>
        <w:t xml:space="preserve">Landslide</w:t>
      </w:r>
      <w:r>
        <w:t xml:space="preserve"> </w:t>
      </w:r>
      <w:r>
        <w:t xml:space="preserve">Displacement</w:t>
      </w:r>
      <w:r>
        <w:t xml:space="preserve">.”</w:t>
      </w:r>
      <w:r>
        <w:t xml:space="preserve"> </w:t>
      </w:r>
      <w:r>
        <w:rPr>
          <w:i/>
          <w:iCs/>
        </w:rPr>
        <w:t xml:space="preserve">Engineering Geology</w:t>
      </w:r>
      <w:r>
        <w:t xml:space="preserve"> </w:t>
      </w:r>
      <w:r>
        <w:t xml:space="preserve">91 (2–4): 209–18.</w:t>
      </w:r>
      <w:r>
        <w:t xml:space="preserve"> </w:t>
      </w:r>
      <w:hyperlink r:id="rId133">
        <w:r>
          <w:rPr>
            <w:rStyle w:val="Hyperlink"/>
          </w:rPr>
          <w:t xml:space="preserve">https://doi.org/10.1016/j.enggeo.2007.01.013</w:t>
        </w:r>
      </w:hyperlink>
      <w:r>
        <w:t xml:space="preserve">.</w:t>
      </w:r>
    </w:p>
    <w:bookmarkEnd w:id="134"/>
    <w:bookmarkStart w:id="136" w:name="ref-MacedoEtAl2018"/>
    <w:p>
      <w:pPr>
        <w:pStyle w:val="Bibliography"/>
      </w:pPr>
      <w:r>
        <w:t xml:space="preserve">Macedo, Jorge, Jonathan D. Bray, Norman A. Abrahamson, and Thaleia Travasarou. 2018.</w:t>
      </w:r>
      <w:r>
        <w:t xml:space="preserve"> </w:t>
      </w:r>
      <w:r>
        <w:t xml:space="preserve">“Performance-Based</w:t>
      </w:r>
      <w:r>
        <w:t xml:space="preserve"> </w:t>
      </w:r>
      <w:r>
        <w:t xml:space="preserve">Probabilistic</w:t>
      </w:r>
      <w:r>
        <w:t xml:space="preserve"> </w:t>
      </w:r>
      <w:r>
        <w:t xml:space="preserve">Seismic</w:t>
      </w:r>
      <w:r>
        <w:t xml:space="preserve"> </w:t>
      </w:r>
      <w:r>
        <w:t xml:space="preserve">Slope</w:t>
      </w:r>
      <w:r>
        <w:t xml:space="preserve"> </w:t>
      </w:r>
      <w:r>
        <w:t xml:space="preserve">Displacement</w:t>
      </w:r>
      <w:r>
        <w:t xml:space="preserve"> </w:t>
      </w:r>
      <w:r>
        <w:t xml:space="preserve">Procedure</w:t>
      </w:r>
      <w:r>
        <w:t xml:space="preserve">.”</w:t>
      </w:r>
      <w:r>
        <w:t xml:space="preserve"> </w:t>
      </w:r>
      <w:r>
        <w:rPr>
          <w:i/>
          <w:iCs/>
        </w:rPr>
        <w:t xml:space="preserve">Earthquake Spectra</w:t>
      </w:r>
      <w:r>
        <w:t xml:space="preserve"> </w:t>
      </w:r>
      <w:r>
        <w:t xml:space="preserve">34 (2): 673–95.</w:t>
      </w:r>
      <w:r>
        <w:t xml:space="preserve"> </w:t>
      </w:r>
      <w:hyperlink r:id="rId135">
        <w:r>
          <w:rPr>
            <w:rStyle w:val="Hyperlink"/>
          </w:rPr>
          <w:t xml:space="preserve">https://doi.org/10.1193/122516EQS251M</w:t>
        </w:r>
      </w:hyperlink>
      <w:r>
        <w:t xml:space="preserve">.</w:t>
      </w:r>
    </w:p>
    <w:bookmarkEnd w:id="136"/>
    <w:bookmarkStart w:id="138" w:name="ref-MakdisiSeed1978"/>
    <w:p>
      <w:pPr>
        <w:pStyle w:val="Bibliography"/>
      </w:pPr>
      <w:r>
        <w:t xml:space="preserve">Makdisi, Faiz I., and H. Bolton Seed. 1978.</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Dam</w:t>
      </w:r>
      <w:r>
        <w:t xml:space="preserve"> </w:t>
      </w:r>
      <w:r>
        <w:t xml:space="preserve">and</w:t>
      </w:r>
      <w:r>
        <w:t xml:space="preserve"> </w:t>
      </w:r>
      <w:r>
        <w:t xml:space="preserve">Embankment</w:t>
      </w:r>
      <w:r>
        <w:t xml:space="preserve"> </w:t>
      </w:r>
      <w:r>
        <w:t xml:space="preserve">Earthquake-Induced</w:t>
      </w:r>
      <w:r>
        <w:t xml:space="preserve"> </w:t>
      </w:r>
      <w:r>
        <w:t xml:space="preserve">Deformations</w:t>
      </w:r>
      <w:r>
        <w:t xml:space="preserve">.”</w:t>
      </w:r>
      <w:r>
        <w:t xml:space="preserve"> </w:t>
      </w:r>
      <w:r>
        <w:rPr>
          <w:i/>
          <w:iCs/>
        </w:rPr>
        <w:t xml:space="preserve">Journal of the Geotechnical Engineering Division</w:t>
      </w:r>
      <w:r>
        <w:t xml:space="preserve"> </w:t>
      </w:r>
      <w:r>
        <w:t xml:space="preserve">104 (GT7): 849–67.</w:t>
      </w:r>
      <w:r>
        <w:t xml:space="preserve"> </w:t>
      </w:r>
      <w:hyperlink r:id="rId137">
        <w:r>
          <w:rPr>
            <w:rStyle w:val="Hyperlink"/>
          </w:rPr>
          <w:t xml:space="preserve">https://doi.org/10.1061/AJGEB6.0000668</w:t>
        </w:r>
      </w:hyperlink>
      <w:r>
        <w:t xml:space="preserve">.</w:t>
      </w:r>
    </w:p>
    <w:bookmarkEnd w:id="138"/>
    <w:bookmarkStart w:id="140" w:name="ref-Newmark1965"/>
    <w:p>
      <w:pPr>
        <w:pStyle w:val="Bibliography"/>
      </w:pPr>
      <w:r>
        <w:t xml:space="preserve">Newmark, Nathan M. 1965.</w:t>
      </w:r>
      <w:r>
        <w:t xml:space="preserve"> </w:t>
      </w:r>
      <w:r>
        <w:t xml:space="preserve">“Effects of</w:t>
      </w:r>
      <w:r>
        <w:t xml:space="preserve"> </w:t>
      </w:r>
      <w:r>
        <w:t xml:space="preserve">Earthquakes</w:t>
      </w:r>
      <w:r>
        <w:t xml:space="preserve"> </w:t>
      </w:r>
      <w:r>
        <w:t xml:space="preserve">on</w:t>
      </w:r>
      <w:r>
        <w:t xml:space="preserve"> </w:t>
      </w:r>
      <w:r>
        <w:t xml:space="preserve">Dams</w:t>
      </w:r>
      <w:r>
        <w:t xml:space="preserve"> </w:t>
      </w:r>
      <w:r>
        <w:t xml:space="preserve">and</w:t>
      </w:r>
      <w:r>
        <w:t xml:space="preserve"> </w:t>
      </w:r>
      <w:r>
        <w:t xml:space="preserve">Embankments</w:t>
      </w:r>
      <w:r>
        <w:t xml:space="preserve">.”</w:t>
      </w:r>
      <w:r>
        <w:t xml:space="preserve"> </w:t>
      </w:r>
      <w:r>
        <w:rPr>
          <w:i/>
          <w:iCs/>
        </w:rPr>
        <w:t xml:space="preserve">Géotechnique</w:t>
      </w:r>
      <w:r>
        <w:t xml:space="preserve"> </w:t>
      </w:r>
      <w:r>
        <w:t xml:space="preserve">15 (2): 139–60.</w:t>
      </w:r>
      <w:r>
        <w:t xml:space="preserve"> </w:t>
      </w:r>
      <w:hyperlink r:id="rId139">
        <w:r>
          <w:rPr>
            <w:rStyle w:val="Hyperlink"/>
          </w:rPr>
          <w:t xml:space="preserve">https://doi.org/10.1680/geot.1965.15.2.139</w:t>
        </w:r>
      </w:hyperlink>
      <w:r>
        <w:t xml:space="preserve">.</w:t>
      </w:r>
    </w:p>
    <w:bookmarkEnd w:id="140"/>
    <w:bookmarkStart w:id="141" w:name="ref-SaygiliRathje2008"/>
    <w:p>
      <w:pPr>
        <w:pStyle w:val="Bibliography"/>
      </w:pPr>
      <w:r>
        <w:t xml:space="preserve">Saygili, G., and E. M. Rathje. 2008.</w:t>
      </w:r>
      <w:r>
        <w:t xml:space="preserve"> </w:t>
      </w:r>
      <w:r>
        <w:t xml:space="preserve">“Empirical</w:t>
      </w:r>
      <w:r>
        <w:t xml:space="preserve"> </w:t>
      </w:r>
      <w:r>
        <w:t xml:space="preserve">Predictive</w:t>
      </w:r>
      <w:r>
        <w:t xml:space="preserve"> </w:t>
      </w:r>
      <w:r>
        <w:t xml:space="preserve">Models</w:t>
      </w:r>
      <w:r>
        <w:t xml:space="preserve"> </w:t>
      </w:r>
      <w:r>
        <w:t xml:space="preserve">for</w:t>
      </w:r>
      <w:r>
        <w:t xml:space="preserve"> </w:t>
      </w:r>
      <w:r>
        <w:t xml:space="preserve">Earthquake-Induced</w:t>
      </w:r>
      <w:r>
        <w:t xml:space="preserve"> </w:t>
      </w:r>
      <w:r>
        <w:t xml:space="preserve">Sliding</w:t>
      </w:r>
      <w:r>
        <w:t xml:space="preserve"> </w:t>
      </w:r>
      <w:r>
        <w:t xml:space="preserve">Displacements</w:t>
      </w:r>
      <w:r>
        <w:t xml:space="preserve"> </w:t>
      </w:r>
      <w:r>
        <w:t xml:space="preserve">of</w:t>
      </w:r>
      <w:r>
        <w:t xml:space="preserve"> </w:t>
      </w:r>
      <w:r>
        <w:t xml:space="preserve">Slopes</w:t>
      </w:r>
      <w:r>
        <w:t xml:space="preserve">.”</w:t>
      </w:r>
      <w:r>
        <w:t xml:space="preserve"> </w:t>
      </w:r>
      <w:r>
        <w:rPr>
          <w:i/>
          <w:iCs/>
        </w:rPr>
        <w:t xml:space="preserve">Journal of Geotechnical and Geoenvironmental Engineering</w:t>
      </w:r>
      <w:r>
        <w:t xml:space="preserve"> </w:t>
      </w:r>
      <w:r>
        <w:t xml:space="preserve">134 (6): 790–803.</w:t>
      </w:r>
    </w:p>
    <w:bookmarkEnd w:id="141"/>
    <w:bookmarkStart w:id="143" w:name="ref-ShibataSoelarno1975"/>
    <w:p>
      <w:pPr>
        <w:pStyle w:val="Bibliography"/>
      </w:pPr>
      <w:r>
        <w:t xml:space="preserve">Shibata, Toru, and Dojoko S. Soelarno. 1975.</w:t>
      </w:r>
      <w:r>
        <w:t xml:space="preserve"> </w:t>
      </w:r>
      <w:r>
        <w:t xml:space="preserve">“Stress-Strain</w:t>
      </w:r>
      <w:r>
        <w:t xml:space="preserve"> </w:t>
      </w:r>
      <w:r>
        <w:t xml:space="preserve">Characteristics</w:t>
      </w:r>
      <w:r>
        <w:t xml:space="preserve"> </w:t>
      </w:r>
      <w:r>
        <w:t xml:space="preserve">of</w:t>
      </w:r>
      <w:r>
        <w:t xml:space="preserve"> </w:t>
      </w:r>
      <w:r>
        <w:t xml:space="preserve">Sands</w:t>
      </w:r>
      <w:r>
        <w:t xml:space="preserve"> </w:t>
      </w:r>
      <w:r>
        <w:t xml:space="preserve">Under</w:t>
      </w:r>
      <w:r>
        <w:t xml:space="preserve"> </w:t>
      </w:r>
      <w:r>
        <w:t xml:space="preserve">Cyclic</w:t>
      </w:r>
      <w:r>
        <w:t xml:space="preserve"> </w:t>
      </w:r>
      <w:r>
        <w:t xml:space="preserve">Loading</w:t>
      </w:r>
      <w:r>
        <w:t xml:space="preserve">.”</w:t>
      </w:r>
      <w:r>
        <w:t xml:space="preserve"> </w:t>
      </w:r>
      <w:r>
        <w:rPr>
          <w:i/>
          <w:iCs/>
        </w:rPr>
        <w:t xml:space="preserve">Proceedings of the Japan Society of Civil Engineers</w:t>
      </w:r>
      <w:r>
        <w:t xml:space="preserve"> </w:t>
      </w:r>
      <w:r>
        <w:t xml:space="preserve">1975 (239): 57–65.</w:t>
      </w:r>
      <w:r>
        <w:t xml:space="preserve"> </w:t>
      </w:r>
      <w:hyperlink r:id="rId142">
        <w:r>
          <w:rPr>
            <w:rStyle w:val="Hyperlink"/>
          </w:rPr>
          <w:t xml:space="preserve">https://doi.org/10.2208/jscej1969.1975.57</w:t>
        </w:r>
      </w:hyperlink>
      <w:r>
        <w:t xml:space="preserve">.</w:t>
      </w:r>
    </w:p>
    <w:bookmarkEnd w:id="143"/>
    <w:bookmarkStart w:id="145" w:name="ref-Stewart2020"/>
    <w:p>
      <w:pPr>
        <w:pStyle w:val="Bibliography"/>
      </w:pPr>
      <w:r>
        <w:t xml:space="preserve">Stewart, Jonathan P., Grace A. Parker, Gail M. Atkinson, David M. Boore, Youssef M. A. Hashash, and Walter J. Silva. 2020.</w:t>
      </w:r>
      <w:r>
        <w:t xml:space="preserve"> </w:t>
      </w:r>
      <w:r>
        <w:t xml:space="preserve">“Ergodic</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 </w:t>
      </w:r>
      <w:r>
        <w:rPr>
          <w:i/>
          <w:iCs/>
        </w:rPr>
        <w:t xml:space="preserve">Earthquake Spectra</w:t>
      </w:r>
      <w:r>
        <w:t xml:space="preserve"> </w:t>
      </w:r>
      <w:r>
        <w:t xml:space="preserve">36 (1): 42–68.</w:t>
      </w:r>
      <w:r>
        <w:t xml:space="preserve"> </w:t>
      </w:r>
      <w:hyperlink r:id="rId144">
        <w:r>
          <w:rPr>
            <w:rStyle w:val="Hyperlink"/>
          </w:rPr>
          <w:t xml:space="preserve">https://doi.org/10.1177/8755293019878185</w:t>
        </w:r>
      </w:hyperlink>
      <w:r>
        <w:t xml:space="preserve">.</w:t>
      </w:r>
    </w:p>
    <w:bookmarkEnd w:id="145"/>
    <w:bookmarkStart w:id="147" w:name="ref-USACE1995"/>
    <w:p>
      <w:pPr>
        <w:pStyle w:val="Bibliography"/>
      </w:pPr>
      <w:r>
        <w:t xml:space="preserve">U.S. Army Corps of Engineers. 1995.</w:t>
      </w:r>
      <w:r>
        <w:t xml:space="preserve"> </w:t>
      </w:r>
      <w:r>
        <w:rPr>
          <w:i/>
          <w:iCs/>
        </w:rPr>
        <w:t xml:space="preserve">Earthquake</w:t>
      </w:r>
      <w:r>
        <w:rPr>
          <w:i/>
          <w:iCs/>
        </w:rPr>
        <w:t xml:space="preserve"> </w:t>
      </w:r>
      <w:r>
        <w:rPr>
          <w:i/>
          <w:iCs/>
        </w:rPr>
        <w:t xml:space="preserve">Design</w:t>
      </w:r>
      <w:r>
        <w:rPr>
          <w:i/>
          <w:iCs/>
        </w:rPr>
        <w:t xml:space="preserve"> </w:t>
      </w:r>
      <w:r>
        <w:rPr>
          <w:i/>
          <w:iCs/>
        </w:rPr>
        <w:t xml:space="preserve">and</w:t>
      </w:r>
      <w:r>
        <w:rPr>
          <w:i/>
          <w:iCs/>
        </w:rPr>
        <w:t xml:space="preserve"> </w:t>
      </w:r>
      <w:r>
        <w:rPr>
          <w:i/>
          <w:iCs/>
        </w:rPr>
        <w:t xml:space="preserve">Evaluation</w:t>
      </w:r>
      <w:r>
        <w:rPr>
          <w:i/>
          <w:iCs/>
        </w:rPr>
        <w:t xml:space="preserve"> </w:t>
      </w:r>
      <w:r>
        <w:rPr>
          <w:i/>
          <w:iCs/>
        </w:rPr>
        <w:t xml:space="preserve">for</w:t>
      </w:r>
      <w:r>
        <w:rPr>
          <w:i/>
          <w:iCs/>
        </w:rPr>
        <w:t xml:space="preserve"> </w:t>
      </w:r>
      <w:r>
        <w:rPr>
          <w:i/>
          <w:iCs/>
        </w:rPr>
        <w:t xml:space="preserve">Civil</w:t>
      </w:r>
      <w:r>
        <w:rPr>
          <w:i/>
          <w:iCs/>
        </w:rPr>
        <w:t xml:space="preserve"> </w:t>
      </w:r>
      <w:r>
        <w:rPr>
          <w:i/>
          <w:iCs/>
        </w:rPr>
        <w:t xml:space="preserve">Works</w:t>
      </w:r>
      <w:r>
        <w:rPr>
          <w:i/>
          <w:iCs/>
        </w:rPr>
        <w:t xml:space="preserve"> </w:t>
      </w:r>
      <w:r>
        <w:rPr>
          <w:i/>
          <w:iCs/>
        </w:rPr>
        <w:t xml:space="preserve">Projects</w:t>
      </w:r>
      <w:r>
        <w:t xml:space="preserve">. Engineer Regulation ER 1110-2-1806. U.S. Army Corps of Engineers.</w:t>
      </w:r>
      <w:r>
        <w:t xml:space="preserve"> </w:t>
      </w:r>
      <w:hyperlink r:id="rId146">
        <w:r>
          <w:rPr>
            <w:rStyle w:val="Hyperlink"/>
          </w:rPr>
          <w:t xml:space="preserve">https://www.publications.usace.army.mil/Portals/76/Publications/EngineerRegulations/ER_1110-2-1806.pdf</w:t>
        </w:r>
      </w:hyperlink>
      <w:r>
        <w:t xml:space="preserve">.</w:t>
      </w:r>
    </w:p>
    <w:bookmarkEnd w:id="147"/>
    <w:bookmarkStart w:id="149" w:name="ref-USACE2003"/>
    <w:p>
      <w:pPr>
        <w:pStyle w:val="Bibliography"/>
      </w:pPr>
      <w:r>
        <w:t xml:space="preserve">U.S. Army Corps of Engineers. 2003.</w:t>
      </w:r>
      <w:r>
        <w:t xml:space="preserve"> </w:t>
      </w:r>
      <w:r>
        <w:rPr>
          <w:i/>
          <w:iCs/>
        </w:rPr>
        <w:t xml:space="preserve">Slope</w:t>
      </w:r>
      <w:r>
        <w:rPr>
          <w:i/>
          <w:iCs/>
        </w:rPr>
        <w:t xml:space="preserve"> </w:t>
      </w:r>
      <w:r>
        <w:rPr>
          <w:i/>
          <w:iCs/>
        </w:rPr>
        <w:t xml:space="preserve">Stability</w:t>
      </w:r>
      <w:r>
        <w:t xml:space="preserve">. Engineer Manual EM 1110-2-1902. U.S. Army Corps of Engineers.</w:t>
      </w:r>
      <w:r>
        <w:t xml:space="preserve"> </w:t>
      </w:r>
      <w:hyperlink r:id="rId148">
        <w:r>
          <w:rPr>
            <w:rStyle w:val="Hyperlink"/>
          </w:rPr>
          <w:t xml:space="preserve">https://www.publications.usace.army.mil/Portals/76/Publications/EngineerManuals/EM_1110-2-1902.pdf</w:t>
        </w:r>
      </w:hyperlink>
      <w:r>
        <w:t xml:space="preserve">.</w:t>
      </w:r>
    </w:p>
    <w:bookmarkEnd w:id="149"/>
    <w:bookmarkStart w:id="151" w:name="ref-USACE2005"/>
    <w:p>
      <w:pPr>
        <w:pStyle w:val="Bibliography"/>
      </w:pPr>
      <w:r>
        <w:t xml:space="preserve">U.S. Army Corps of Engineers. 2005.</w:t>
      </w:r>
      <w:r>
        <w:t xml:space="preserve"> </w:t>
      </w:r>
      <w:r>
        <w:rPr>
          <w:i/>
          <w:iCs/>
        </w:rPr>
        <w:t xml:space="preserve">Stability of</w:t>
      </w:r>
      <w:r>
        <w:rPr>
          <w:i/>
          <w:iCs/>
        </w:rPr>
        <w:t xml:space="preserve"> </w:t>
      </w:r>
      <w:r>
        <w:rPr>
          <w:i/>
          <w:iCs/>
        </w:rPr>
        <w:t xml:space="preserve">Concrete</w:t>
      </w:r>
      <w:r>
        <w:rPr>
          <w:i/>
          <w:iCs/>
        </w:rPr>
        <w:t xml:space="preserve"> </w:t>
      </w:r>
      <w:r>
        <w:rPr>
          <w:i/>
          <w:iCs/>
        </w:rPr>
        <w:t xml:space="preserve">Structures</w:t>
      </w:r>
      <w:r>
        <w:t xml:space="preserve">. Engineer Manual EM 1110-2-2100. U.S. Army Corps of Engineers.</w:t>
      </w:r>
      <w:r>
        <w:t xml:space="preserve"> </w:t>
      </w:r>
      <w:hyperlink r:id="rId150">
        <w:r>
          <w:rPr>
            <w:rStyle w:val="Hyperlink"/>
          </w:rPr>
          <w:t xml:space="preserve">https://www.publications.usace.army.mil/portals/76/publications/engineermanuals/em_1110-2-2100.pdf</w:t>
        </w:r>
      </w:hyperlink>
      <w:r>
        <w:t xml:space="preserve">.</w:t>
      </w:r>
    </w:p>
    <w:bookmarkEnd w:id="151"/>
    <w:bookmarkStart w:id="152" w:name="ref-VerriKozlowski2026Newmark"/>
    <w:p>
      <w:pPr>
        <w:pStyle w:val="Bibliography"/>
      </w:pPr>
      <w:r>
        <w:t xml:space="preserve">Verri Kozlowski, Alejandro. 2026.</w:t>
      </w:r>
      <w:r>
        <w:t xml:space="preserve"> </w:t>
      </w:r>
      <w:r>
        <w:t xml:space="preserve">“Probabilistic</w:t>
      </w:r>
      <w:r>
        <w:t xml:space="preserve"> </w:t>
      </w:r>
      <w:r>
        <w:t xml:space="preserve">Estimation</w:t>
      </w:r>
      <w:r>
        <w:t xml:space="preserve"> </w:t>
      </w:r>
      <w:r>
        <w:t xml:space="preserve">of</w:t>
      </w:r>
      <w:r>
        <w:t xml:space="preserve"> </w:t>
      </w:r>
      <w:r>
        <w:t xml:space="preserve">Newmark</w:t>
      </w:r>
      <w:r>
        <w:t xml:space="preserve"> </w:t>
      </w:r>
      <w:r>
        <w:t xml:space="preserve">Displacements</w:t>
      </w:r>
      <w:r>
        <w:t xml:space="preserve"> </w:t>
      </w:r>
      <w:r>
        <w:t xml:space="preserve">and</w:t>
      </w:r>
      <w:r>
        <w:t xml:space="preserve"> </w:t>
      </w:r>
      <w:r>
        <w:t xml:space="preserve">Seismic</w:t>
      </w:r>
      <w:r>
        <w:t xml:space="preserve"> </w:t>
      </w:r>
      <w:r>
        <w:t xml:space="preserve">Coefficients</w:t>
      </w:r>
      <w:r>
        <w:t xml:space="preserve"> </w:t>
      </w:r>
      <w:r>
        <w:t xml:space="preserve">Under</w:t>
      </w:r>
      <w:r>
        <w:t xml:space="preserve"> </w:t>
      </w:r>
      <w:r>
        <w:t xml:space="preserve">Hazard</w:t>
      </w:r>
      <w:r>
        <w:t xml:space="preserve"> </w:t>
      </w:r>
      <w:r>
        <w:t xml:space="preserve">Uncertainty</w:t>
      </w:r>
      <w:r>
        <w:t xml:space="preserve">.”</w:t>
      </w:r>
      <w:r>
        <w:t xml:space="preserve"> </w:t>
      </w:r>
      <w:r>
        <w:t xml:space="preserve">Unpublished manuscript. In press.</w:t>
      </w:r>
    </w:p>
    <w:bookmarkEnd w:id="152"/>
    <w:bookmarkEnd w:id="153"/>
    <w:bookmarkEnd w:id="154"/>
    <w:bookmarkEnd w:id="155"/>
    <w:sectPr w:rsidR="00556780" w:rsidSect="008C0599">
      <w:headerReference r:id="srk1" w:type="default"/>
      <w:footerReference r:id="srk2" w:type="default"/>
      <w:headerReference r:id="srk1" w:type="first"/>
      <w:headerReference r:id="srk1" w:type="even"/>
      <w:footerReference r:id="srk2" w:type="first"/>
      <w:footerReference r:id="srk2" w:type="even"/>
      <w:type w:val="nextPage"/>
      <w:pgSz w:h="15840" w:w="12240"/>
      <w:pgMar w:bottom="1440" w:footer="720" w:gutter="0" w:header="720" w:left="144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Math">
    <w:altName w:val="Calibri"/>
    <w:panose1 w:val="020B0604020202020204"/>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Pr="00FB44C7" w:rsidRDefault="00000000" w:rsidP="000E7922">
    <w:pPr>
      <w:pStyle w:val="Footer"/>
      <w:pBdr>
        <w:top w:val="single" w:sz="4" w:space="1" w:color="auto"/>
      </w:pBdr>
      <w:tabs>
        <w:tab w:val="left" w:pos="8280"/>
      </w:tabs>
      <w:rPr>
        <w:lang w:val="en-US"/>
      </w:rPr>
    </w:pPr>
    <w:sdt>
      <w:sdtPr>
        <w:tag w:val="srk.project"/>
        <w:text/>
      </w:sdtPr>
      <w:sdtContent>
        <w:r>
          <w:t>AR-M2V4D</w:t>
        </w:r>
      </w:sdtContent>
    </w:sdt>
    <w:r>
      <w:tab/>
    </w:r>
    <w:r>
      <w:tab/>
    </w:r>
    <w:sdt>
      <w:sdtPr>
        <w:tag w:val="srk.date"/>
        <w:text/>
      </w:sdtPr>
      <w:sdtContent>
        <w:r>
          <w:t>15/10/2026</w:t>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rPr>
          <w:rStyle w:val="VerbatimChar"/>
        </w:rPr>
        <w:t xml:space="preserve">IDm</w:t>
      </w:r>
      <w:r>
        <w:t xml:space="preserve"> </w:t>
      </w:r>
      <w:r>
        <w:t xml:space="preserve">identifies the material scenario and</w:t>
      </w:r>
      <w:r>
        <w:t xml:space="preserve"> </w:t>
      </w:r>
      <w:r>
        <w:rPr>
          <w:rStyle w:val="VerbatimChar"/>
        </w:rPr>
        <w:t xml:space="preserve">USCS</w:t>
      </w:r>
      <w:r>
        <w:t xml:space="preserve"> </w:t>
      </w:r>
      <w:r>
        <w:t xml:space="preserve">the classification of the slope materials.</w:t>
      </w:r>
      <w:r>
        <w:t xml:space="preserve"> </w:t>
      </w:r>
      <m:oMath>
        <m:sSub>
          <m:e>
            <m:r>
              <m:t>H</m:t>
            </m:r>
          </m:e>
          <m:sub>
            <m:r>
              <m:t>s</m:t>
            </m:r>
          </m:sub>
        </m:sSub>
      </m:oMath>
      <w:r>
        <w:t xml:space="preserve"> </w:t>
      </w:r>
      <w:r>
        <w:t xml:space="preserve">is the slope height and</w:t>
      </w:r>
      <w:r>
        <w:t xml:space="preserve"> </w:t>
      </w:r>
      <m:oMath>
        <m:r>
          <m:t>b</m:t>
        </m:r>
      </m:oMath>
      <w:r>
        <w:t xml:space="preserve"> </w:t>
      </w:r>
      <w:r>
        <w:t xml:space="preserve">the berm width, both in m;</w:t>
      </w:r>
      <w:r>
        <w:t xml:space="preserve"> </w:t>
      </w:r>
      <m:oMath>
        <m:r>
          <m:t>s</m:t>
        </m:r>
      </m:oMath>
      <w:r>
        <w:t xml:space="preserve"> </w:t>
      </w:r>
      <w:r>
        <w:t xml:space="preserve">is the slope ratio (</w:t>
      </w:r>
      <m:oMath>
        <m:r>
          <m:rPr>
            <m:sty m:val="p"/>
          </m:rPr>
          <m:t>tan</m:t>
        </m:r>
        <m:r>
          <m:t>β</m:t>
        </m:r>
        <m:r>
          <m:rPr>
            <m:sty m:val="p"/>
          </m:rPr>
          <m:t>=</m:t>
        </m:r>
        <m:r>
          <m:t>1</m:t>
        </m:r>
        <m:r>
          <m:rPr>
            <m:sty m:val="p"/>
          </m:rPr>
          <m:t>/</m:t>
        </m:r>
        <m:r>
          <m:t>s</m:t>
        </m:r>
      </m:oMath>
      <w:r>
        <w:t xml:space="preserve">) and</w:t>
      </w:r>
      <w:r>
        <w:t xml:space="preserve"> </w:t>
      </w:r>
      <m:oMath>
        <m:sSub>
          <m:e>
            <m:r>
              <m:t>λ</m:t>
            </m:r>
          </m:e>
          <m:sub>
            <m:r>
              <m:t>o</m:t>
            </m:r>
          </m:sub>
        </m:sSub>
      </m:oMath>
      <w:r>
        <w:t xml:space="preserve"> </w:t>
      </w:r>
      <w:r>
        <w:t xml:space="preserve">the truncation ratio, both dimensionless;</w:t>
      </w:r>
      <w:r>
        <w:t xml:space="preserve"> </w:t>
      </w:r>
      <m:oMath>
        <m:sSub>
          <m:e>
            <m:r>
              <m:t>G</m:t>
            </m:r>
          </m:e>
          <m:sub>
            <m:r>
              <m:t>o</m:t>
            </m:r>
          </m:sub>
        </m:sSub>
      </m:oMath>
      <w:r>
        <w:t xml:space="preserve"> </w:t>
      </w:r>
      <w:r>
        <w:t xml:space="preserve">is the shear modulus of the profile at</w:t>
      </w:r>
      <w:r>
        <w:t xml:space="preserve"> </w:t>
      </w:r>
      <m:oMath>
        <m:r>
          <m:t>z</m:t>
        </m:r>
        <m:r>
          <m:rPr>
            <m:sty m:val="p"/>
          </m:rPr>
          <m:t>/</m:t>
        </m:r>
        <m:sSub>
          <m:e>
            <m:r>
              <m:t>H</m:t>
            </m:r>
          </m:e>
          <m:sub>
            <m:r>
              <m:t>s</m:t>
            </m:r>
          </m:sub>
        </m:sSub>
        <m:r>
          <m:rPr>
            <m:sty m:val="p"/>
          </m:rPr>
          <m:t>=</m:t>
        </m:r>
        <m:r>
          <m:t>1</m:t>
        </m:r>
      </m:oMath>
      <w:r>
        <w:t xml:space="preserve">, in MPa, and</w:t>
      </w:r>
      <w:r>
        <w:t xml:space="preserve"> </w:t>
      </w:r>
      <m:oMath>
        <m:sSub>
          <m:e>
            <m:r>
              <m:t>m</m:t>
            </m:r>
          </m:e>
          <m:sub>
            <m:r>
              <m:t>o</m:t>
            </m:r>
          </m:sub>
        </m:sSub>
      </m:oMath>
      <w:r>
        <w:t xml:space="preserve"> </w:t>
      </w:r>
      <w:r>
        <w:t xml:space="preserve">the exponent of its power law, dimensionless;</w:t>
      </w:r>
      <w:r>
        <w:t xml:space="preserve"> </w:t>
      </w:r>
      <m:oMath>
        <m:sSub>
          <m:e>
            <m:r>
              <m:t>a</m:t>
            </m:r>
          </m:e>
          <m:sub>
            <m:r>
              <m:t>1</m:t>
            </m:r>
          </m:sub>
        </m:sSub>
      </m:oMath>
      <w:r>
        <w:t xml:space="preserve"> </w:t>
      </w:r>
      <w:r>
        <w:t xml:space="preserve">is the first modal root, dimensionless;</w:t>
      </w:r>
      <w:r>
        <w:t xml:space="preserve"> </w:t>
      </w:r>
      <m:oMath>
        <m:sSubSup>
          <m:e>
            <m:r>
              <m:t>V</m:t>
            </m:r>
          </m:e>
          <m:sub>
            <m:r>
              <m:t>S</m:t>
            </m:r>
          </m:sub>
          <m:sup>
            <m:r>
              <m:t>o</m:t>
            </m:r>
          </m:sup>
        </m:sSubSup>
      </m:oMath>
      <w:r>
        <w:t xml:space="preserve"> </w:t>
      </w:r>
      <w:r>
        <w:t xml:space="preserve">is the basal shear-wave velocity and</w:t>
      </w:r>
      <w:r>
        <w:t xml:space="preserve"> </w:t>
      </w:r>
      <m:oMath>
        <m:sSub>
          <m:e>
            <m:r>
              <m:t>V</m:t>
            </m:r>
          </m:e>
          <m:sub>
            <m:r>
              <m:t>S</m:t>
            </m:r>
            <m:r>
              <m:t>30</m:t>
            </m:r>
          </m:sub>
        </m:sSub>
      </m:oMath>
      <w:r>
        <w:t xml:space="preserve"> </w:t>
      </w:r>
      <w:r>
        <w:t xml:space="preserve">the travel-time-averaged shear-wave velocity in the uppermost 30 m, both in m/s.</w:t>
      </w:r>
    </w:p>
  </w:footnote>
  <w:footnote w:id="33">
    <w:p>
      <w:pPr>
        <w:pStyle w:val="FootnoteText"/>
      </w:pPr>
      <w:r>
        <w:rPr>
          <w:rStyle w:val="FootnoteReference"/>
        </w:rPr>
        <w:footnoteRef/>
      </w:r>
      <w:r>
        <w:t xml:space="preserve"> </w:t>
      </w:r>
      <w:r>
        <w:t xml:space="preserve">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38">
    <w:p>
      <w:pPr>
        <w:pStyle w:val="FootnoteText"/>
      </w:pPr>
      <w:r>
        <w:rPr>
          <w:rStyle w:val="FootnoteReference"/>
        </w:rPr>
        <w:footnoteRef/>
      </w:r>
      <w:r>
        <w:t xml:space="preserve"> </w:t>
      </w:r>
      <w:r>
        <w:t xml:space="preserve">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43">
    <w:p>
      <w:pPr>
        <w:pStyle w:val="FootnoteText"/>
      </w:pPr>
      <w:r>
        <w:rPr>
          <w:rStyle w:val="FootnoteReference"/>
        </w:rPr>
        <w:footnoteRef/>
      </w:r>
      <w:r>
        <w:t xml:space="preserve"> </w:t>
      </w:r>
      <w:r>
        <w:t xml:space="preserve">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48">
    <w:p>
      <w:pPr>
        <w:pStyle w:val="FootnoteText"/>
      </w:pPr>
      <w:r>
        <w:rPr>
          <w:rStyle w:val="FootnoteReference"/>
        </w:rPr>
        <w:footnoteRef/>
      </w:r>
      <w:r>
        <w:t xml:space="preserve"> </w:t>
      </w:r>
      <w:r>
        <w:t xml:space="preserve">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50">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arithmetic mean at each allowable permanent displacement relative to slope height,</w:t>
      </w:r>
      <w:r>
        <w:t xml:space="preserve"> </w:t>
      </w:r>
      <m:oMath>
        <m:sSub>
          <m:e>
            <m:r>
              <m:t>D</m:t>
            </m:r>
          </m:e>
          <m:sub>
            <m:r>
              <m:t>a</m:t>
            </m:r>
          </m:sub>
        </m:sSub>
        <m:r>
          <m:rPr>
            <m:sty m:val="p"/>
          </m:rPr>
          <m:t>/</m:t>
        </m:r>
        <m:r>
          <m:t>H</m:t>
        </m:r>
      </m:oMath>
      <w:r>
        <w:t xml:space="preserve"> </w:t>
      </w:r>
      <w:r>
        <w:t xml:space="preserve">[%]. The fractiles associated with the exceedance target</w:t>
      </w:r>
      <w:r>
        <w:t xml:space="preserve"> </w:t>
      </w:r>
      <m:oMath>
        <m:sSub>
          <m:e>
            <m:r>
              <m:t>p</m:t>
            </m:r>
          </m:e>
          <m:sub>
            <m:r>
              <m:t>e</m:t>
            </m:r>
          </m:sub>
        </m:sSub>
      </m:oMath>
      <w:r>
        <w:t xml:space="preserve"> </w:t>
      </w:r>
      <w:r>
        <w:t xml:space="preserve">are defined in the seismic-coefficient section.</w:t>
      </w:r>
    </w:p>
  </w:footnote>
  <w:footnote w:id="52">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arithmetic mean at each allowable permanent displacement relative to slope height,</w:t>
      </w:r>
      <w:r>
        <w:t xml:space="preserve"> </w:t>
      </w:r>
      <m:oMath>
        <m:sSub>
          <m:e>
            <m:r>
              <m:t>D</m:t>
            </m:r>
          </m:e>
          <m:sub>
            <m:r>
              <m:t>a</m:t>
            </m:r>
          </m:sub>
        </m:sSub>
        <m:r>
          <m:rPr>
            <m:sty m:val="p"/>
          </m:rPr>
          <m:t>/</m:t>
        </m:r>
        <m:r>
          <m:t>H</m:t>
        </m:r>
      </m:oMath>
      <w:r>
        <w:t xml:space="preserve"> </w:t>
      </w:r>
      <w:r>
        <w:t xml:space="preserve">[%]. The fractiles associated with the exceedance target</w:t>
      </w:r>
      <w:r>
        <w:t xml:space="preserve"> </w:t>
      </w:r>
      <m:oMath>
        <m:sSub>
          <m:e>
            <m:r>
              <m:t>p</m:t>
            </m:r>
          </m:e>
          <m:sub>
            <m:r>
              <m:t>e</m:t>
            </m:r>
          </m:sub>
        </m:sSub>
      </m:oMath>
      <w:r>
        <w:t xml:space="preserve"> </w:t>
      </w:r>
      <w:r>
        <w:t xml:space="preserve">are defined in the seismic-coefficient section.</w:t>
      </w:r>
    </w:p>
  </w:footnote>
  <w:footnote w:id="54">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arithmetic mean at each allowable permanent displacement relative to slope height,</w:t>
      </w:r>
      <w:r>
        <w:t xml:space="preserve"> </w:t>
      </w:r>
      <m:oMath>
        <m:sSub>
          <m:e>
            <m:r>
              <m:t>D</m:t>
            </m:r>
          </m:e>
          <m:sub>
            <m:r>
              <m:t>a</m:t>
            </m:r>
          </m:sub>
        </m:sSub>
        <m:r>
          <m:rPr>
            <m:sty m:val="p"/>
          </m:rPr>
          <m:t>/</m:t>
        </m:r>
        <m:r>
          <m:t>H</m:t>
        </m:r>
      </m:oMath>
      <w:r>
        <w:t xml:space="preserve"> </w:t>
      </w:r>
      <w:r>
        <w:t xml:space="preserve">[%]. The fractiles associated with the exceedance target</w:t>
      </w:r>
      <w:r>
        <w:t xml:space="preserve"> </w:t>
      </w:r>
      <m:oMath>
        <m:sSub>
          <m:e>
            <m:r>
              <m:t>p</m:t>
            </m:r>
          </m:e>
          <m:sub>
            <m:r>
              <m:t>e</m:t>
            </m:r>
          </m:sub>
        </m:sSub>
      </m:oMath>
      <w:r>
        <w:t xml:space="preserve"> </w:t>
      </w:r>
      <w:r>
        <w:t xml:space="preserve">are defined in the seismic-coefficient section.</w:t>
      </w:r>
    </w:p>
  </w:footnote>
  <w:footnote w:id="56">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arithmetic mean at each allowable permanent displacement relative to slope height,</w:t>
      </w:r>
      <w:r>
        <w:t xml:space="preserve"> </w:t>
      </w:r>
      <m:oMath>
        <m:sSub>
          <m:e>
            <m:r>
              <m:t>D</m:t>
            </m:r>
          </m:e>
          <m:sub>
            <m:r>
              <m:t>a</m:t>
            </m:r>
          </m:sub>
        </m:sSub>
        <m:r>
          <m:rPr>
            <m:sty m:val="p"/>
          </m:rPr>
          <m:t>/</m:t>
        </m:r>
        <m:r>
          <m:t>H</m:t>
        </m:r>
      </m:oMath>
      <w:r>
        <w:t xml:space="preserve"> </w:t>
      </w:r>
      <w:r>
        <w:t xml:space="preserve">[%]. The fractiles associated with the exceedance target</w:t>
      </w:r>
      <w:r>
        <w:t xml:space="preserve"> </w:t>
      </w:r>
      <m:oMath>
        <m:sSub>
          <m:e>
            <m:r>
              <m:t>p</m:t>
            </m:r>
          </m:e>
          <m:sub>
            <m:r>
              <m:t>e</m:t>
            </m:r>
          </m:sub>
        </m:sSub>
      </m:oMath>
      <w:r>
        <w:t xml:space="preserve"> </w:t>
      </w:r>
      <w:r>
        <w:t xml:space="preserve">are defined in the seismic-coefficient section.</w:t>
      </w:r>
    </w:p>
  </w:footnote>
  <w:footnote w:id="58">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arithmetic mean at each allowable permanent displacement relative to slope height,</w:t>
      </w:r>
      <w:r>
        <w:t xml:space="preserve"> </w:t>
      </w:r>
      <m:oMath>
        <m:sSub>
          <m:e>
            <m:r>
              <m:t>D</m:t>
            </m:r>
          </m:e>
          <m:sub>
            <m:r>
              <m:t>a</m:t>
            </m:r>
          </m:sub>
        </m:sSub>
        <m:r>
          <m:rPr>
            <m:sty m:val="p"/>
          </m:rPr>
          <m:t>/</m:t>
        </m:r>
        <m:r>
          <m:t>H</m:t>
        </m:r>
      </m:oMath>
      <w:r>
        <w:t xml:space="preserve"> </w:t>
      </w:r>
      <w:r>
        <w:t xml:space="preserve">[%]. The fractiles associated with the exceedance target</w:t>
      </w:r>
      <w:r>
        <w:t xml:space="preserve"> </w:t>
      </w:r>
      <m:oMath>
        <m:sSub>
          <m:e>
            <m:r>
              <m:t>p</m:t>
            </m:r>
          </m:e>
          <m:sub>
            <m:r>
              <m:t>e</m:t>
            </m:r>
          </m:sub>
        </m:sSub>
      </m:oMath>
      <w:r>
        <w:t xml:space="preserve"> </w:t>
      </w:r>
      <w:r>
        <w:t xml:space="preserve">are defined in the seismic-coefficient section.</w:t>
      </w:r>
    </w:p>
  </w:footnote>
  <w:footnote w:id="64">
    <w:p>
      <w:pPr>
        <w:pStyle w:val="FootnoteText"/>
      </w:pPr>
      <w:r>
        <w:rPr>
          <w:rStyle w:val="FootnoteReference"/>
        </w:rPr>
        <w:footnoteRef/>
      </w:r>
      <w:r>
        <w:t xml:space="preserve"> </w:t>
      </w:r>
      <w:r>
        <w:t xml:space="preserve">The coefficient is expressed as</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69">
    <w:p>
      <w:pPr>
        <w:pStyle w:val="FootnoteText"/>
      </w:pPr>
      <w:r>
        <w:rPr>
          <w:rStyle w:val="FootnoteReference"/>
        </w:rPr>
        <w:footnoteRef/>
      </w:r>
      <w:r>
        <w:t xml:space="preserve"> </w:t>
      </w:r>
      <w:r>
        <w:t xml:space="preserve">The coefficient is expressed as</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74">
    <w:p>
      <w:pPr>
        <w:pStyle w:val="FootnoteText"/>
      </w:pPr>
      <w:r>
        <w:rPr>
          <w:rStyle w:val="FootnoteReference"/>
        </w:rPr>
        <w:footnoteRef/>
      </w:r>
      <w:r>
        <w:t xml:space="preserve"> </w:t>
      </w:r>
      <w:r>
        <w:t xml:space="preserve">The coefficient is expressed as</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79">
    <w:p>
      <w:pPr>
        <w:pStyle w:val="FootnoteText"/>
      </w:pPr>
      <w:r>
        <w:rPr>
          <w:rStyle w:val="FootnoteReference"/>
        </w:rPr>
        <w:footnoteRef/>
      </w:r>
      <w:r>
        <w:t xml:space="preserve"> </w:t>
      </w:r>
      <w:r>
        <w:t xml:space="preserve">The coefficient is expressed as</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Color identifies the scenario and line pattern identifies the set: solid for</w:t>
      </w:r>
      <w:r>
        <w:t xml:space="preserve"> </w:t>
      </w:r>
      <w:r>
        <w:rPr>
          <w:rStyle w:val="VerbatimChar"/>
        </w:rPr>
        <w:t xml:space="preserve">rigid</w:t>
      </w:r>
      <w:r>
        <w:t xml:space="preserve">, short dashes for</w:t>
      </w:r>
      <w:r>
        <w:t xml:space="preserve"> </w:t>
      </w:r>
      <w:r>
        <w:rPr>
          <w:rStyle w:val="VerbatimChar"/>
        </w:rPr>
        <w:t xml:space="preserve">ensemble</w:t>
      </w:r>
      <w:r>
        <w:t xml:space="preserve">, and long dashes for</w:t>
      </w:r>
      <w:r>
        <w:t xml:space="preserve"> </w:t>
      </w:r>
      <w:r>
        <w:rPr>
          <w:rStyle w:val="VerbatimChar"/>
        </w:rPr>
        <w:t xml:space="preserve">flexible</w:t>
      </w:r>
      <w:r>
        <w:t xml:space="preserve">. The shaded bands are delimited by the damage thresholds</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81">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mean estimate at each allowable permanent displacement relative to slope height,</w:t>
      </w:r>
      <w:r>
        <w:t xml:space="preserve"> </w:t>
      </w:r>
      <m:oMath>
        <m:sSub>
          <m:e>
            <m:r>
              <m:t>D</m:t>
            </m:r>
          </m:e>
          <m:sub>
            <m:r>
              <m:t>a</m:t>
            </m:r>
          </m:sub>
        </m:sSub>
        <m:r>
          <m:rPr>
            <m:sty m:val="p"/>
          </m:rPr>
          <m:t>/</m:t>
        </m:r>
        <m:r>
          <m:t>H</m:t>
        </m:r>
      </m:oMath>
      <w:r>
        <w:t xml:space="preserve"> </w:t>
      </w:r>
      <w:r>
        <w:t xml:space="preserve">[%], expressed as</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3">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mean estimate at each allowable permanent displacement relative to slope height,</w:t>
      </w:r>
      <w:r>
        <w:t xml:space="preserve"> </w:t>
      </w:r>
      <m:oMath>
        <m:sSub>
          <m:e>
            <m:r>
              <m:t>D</m:t>
            </m:r>
          </m:e>
          <m:sub>
            <m:r>
              <m:t>a</m:t>
            </m:r>
          </m:sub>
        </m:sSub>
        <m:r>
          <m:rPr>
            <m:sty m:val="p"/>
          </m:rPr>
          <m:t>/</m:t>
        </m:r>
        <m:r>
          <m:t>H</m:t>
        </m:r>
      </m:oMath>
      <w:r>
        <w:t xml:space="preserve"> </w:t>
      </w:r>
      <w:r>
        <w:t xml:space="preserve">[%], expressed as</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5">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mean estimate at each allowable permanent displacement relative to slope height,</w:t>
      </w:r>
      <w:r>
        <w:t xml:space="preserve"> </w:t>
      </w:r>
      <m:oMath>
        <m:sSub>
          <m:e>
            <m:r>
              <m:t>D</m:t>
            </m:r>
          </m:e>
          <m:sub>
            <m:r>
              <m:t>a</m:t>
            </m:r>
          </m:sub>
        </m:sSub>
        <m:r>
          <m:rPr>
            <m:sty m:val="p"/>
          </m:rPr>
          <m:t>/</m:t>
        </m:r>
        <m:r>
          <m:t>H</m:t>
        </m:r>
      </m:oMath>
      <w:r>
        <w:t xml:space="preserve"> </w:t>
      </w:r>
      <w:r>
        <w:t xml:space="preserve">[%], expressed as</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7">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mean estimate at each allowable permanent displacement relative to slope height,</w:t>
      </w:r>
      <w:r>
        <w:t xml:space="preserve"> </w:t>
      </w:r>
      <m:oMath>
        <m:sSub>
          <m:e>
            <m:r>
              <m:t>D</m:t>
            </m:r>
          </m:e>
          <m:sub>
            <m:r>
              <m:t>a</m:t>
            </m:r>
          </m:sub>
        </m:sSub>
        <m:r>
          <m:rPr>
            <m:sty m:val="p"/>
          </m:rPr>
          <m:t>/</m:t>
        </m:r>
        <m:r>
          <m:t>H</m:t>
        </m:r>
      </m:oMath>
      <w:r>
        <w:t xml:space="preserve"> </w:t>
      </w:r>
      <w:r>
        <w:t xml:space="preserve">[%], expressed as</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9">
    <w:p>
      <w:pPr>
        <w:pStyle w:val="FootnoteText"/>
      </w:pPr>
      <w:r>
        <w:rPr>
          <w:rStyle w:val="FootnoteReference"/>
        </w:rPr>
        <w:footnoteRef/>
      </w:r>
      <w:r>
        <w:t xml:space="preserve"> </w:t>
      </w:r>
      <w:r>
        <w:rPr>
          <w:rStyle w:val="VerbatimChar"/>
        </w:rPr>
        <w:t xml:space="preserve">ID</w:t>
      </w:r>
      <w:r>
        <w:t xml:space="preserve"> </w:t>
      </w:r>
      <w:r>
        <w:t xml:space="preserve">identifies the seismic demand and</w:t>
      </w:r>
      <w:r>
        <w:t xml:space="preserve"> </w:t>
      </w:r>
      <w:r>
        <w:rPr>
          <w:rStyle w:val="VerbatimChar"/>
        </w:rPr>
        <w:t xml:space="preserve">IDn</w:t>
      </w:r>
      <w:r>
        <w:t xml:space="preserve"> </w:t>
      </w:r>
      <w:r>
        <w:t xml:space="preserve">the model set (</w:t>
      </w:r>
      <w:r>
        <w:rPr>
          <w:rStyle w:val="VerbatimChar"/>
        </w:rPr>
        <w:t xml:space="preserve">rigid</w:t>
      </w:r>
      <w:r>
        <w:t xml:space="preserve">,</w:t>
      </w:r>
      <w:r>
        <w:t xml:space="preserve"> </w:t>
      </w:r>
      <w:r>
        <w:rPr>
          <w:rStyle w:val="VerbatimChar"/>
        </w:rPr>
        <w:t xml:space="preserve">ensemble</w:t>
      </w:r>
      <w:r>
        <w:t xml:space="preserve">, or</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is the fundamental period of the slope [s] and</w:t>
      </w:r>
      <w:r>
        <w:t xml:space="preserve"> </w:t>
      </w:r>
      <m:oMath>
        <m:sSub>
          <m:e>
            <m:r>
              <m:t>V</m:t>
            </m:r>
          </m:e>
          <m:sub>
            <m:r>
              <m:t>S</m:t>
            </m:r>
            <m:r>
              <m:t>30</m:t>
            </m:r>
          </m:sub>
        </m:sSub>
      </m:oMath>
      <w:r>
        <w:t xml:space="preserve"> </w:t>
      </w:r>
      <w:r>
        <w:t xml:space="preserve">the shear-wave velocity of the evaluated condition [m/s]. The coefficient columns report the mean estimate at each allowable permanent displacement relative to slope height,</w:t>
      </w:r>
      <w:r>
        <w:t xml:space="preserve"> </w:t>
      </w:r>
      <m:oMath>
        <m:sSub>
          <m:e>
            <m:r>
              <m:t>D</m:t>
            </m:r>
          </m:e>
          <m:sub>
            <m:r>
              <m:t>a</m:t>
            </m:r>
          </m:sub>
        </m:sSub>
        <m:r>
          <m:rPr>
            <m:sty m:val="p"/>
          </m:rPr>
          <m:t>/</m:t>
        </m:r>
        <m:r>
          <m:t>H</m:t>
        </m:r>
      </m:oMath>
      <w:r>
        <w:t xml:space="preserve"> </w:t>
      </w:r>
      <w:r>
        <w:t xml:space="preserve">[%], expressed as</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93">
    <w:p>
      <w:pPr>
        <w:pStyle w:val="FootnoteText"/>
      </w:pPr>
      <w:r>
        <w:rPr>
          <w:rStyle w:val="FootnoteReference"/>
        </w:rPr>
        <w:footnoteRef/>
      </w:r>
      <w:r>
        <w:t xml:space="preserve"> </w:t>
      </w:r>
      <w:r>
        <w:t xml:space="preserve">The numerical support of</w:t>
      </w:r>
      <w:r>
        <w:t xml:space="preserve"> </w:t>
      </w:r>
      <m:oMath>
        <m:sSub>
          <m:e>
            <m:r>
              <m:t>k</m:t>
            </m:r>
          </m:e>
          <m:sub>
            <m:r>
              <m:t>y</m:t>
            </m:r>
          </m:sub>
        </m:sSub>
      </m:oMath>
      <w:r>
        <w:t xml:space="preserve"> </w:t>
      </w:r>
      <w:r>
        <w:t xml:space="preserve">corresponds to the interval defined in Section</w:t>
      </w:r>
      <w:r>
        <w:t xml:space="preserve"> </w:t>
      </w:r>
      <w:hyperlink w:anchor="sec-coefficients">
        <w:r>
          <w:rPr>
            <w:rStyle w:val="Hyperlink"/>
          </w:rPr>
          <w:t xml:space="preserve">1.3</w:t>
        </w:r>
      </w:hyperlink>
      <w:r>
        <w:t xml:space="preserve">; when a complete AM88 realization reaches the limit</w:t>
      </w:r>
      <w:r>
        <w:t xml:space="preserve"> </w:t>
      </w:r>
      <m:oMath>
        <m:sSup>
          <m:e>
            <m:r>
              <m:t>r</m:t>
            </m:r>
          </m:e>
          <m:sup>
            <m:r>
              <m:rPr>
                <m:sty m:val="p"/>
              </m:rPr>
              <m:t>⋆</m:t>
            </m:r>
          </m:sup>
        </m:sSup>
        <m:r>
          <m:rPr>
            <m:sty m:val="p"/>
          </m:rPr>
          <m:t>=</m:t>
        </m:r>
        <m:r>
          <m:t>0.9999</m:t>
        </m:r>
      </m:oMath>
      <w:r>
        <w:t xml:space="preserve">, its inversion retains the sampled PGA and recovers the physical branch according to</w:t>
      </w:r>
      <w:r>
        <w:t xml:space="preserve"> </w:t>
      </w:r>
      <w:hyperlink w:anchor="eq-kmax-am88-limit">
        <w:r>
          <w:rPr>
            <w:rStyle w:val="Hyperlink"/>
          </w:rPr>
          <w:t xml:space="preserve">eq. 19</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Default="002413B7" w:rsidP="00B6691D">
    <w:pPr>
      <w:pStyle w:val="Header"/>
      <w:rPr>
        <w:lang w:val="en-US"/>
      </w:rPr>
    </w:pPr>
    <w:sdt>
      <w:sdtPr>
        <w:tag w:val="srk.company"/>
        <w:text/>
      </w:sdtPr>
      <w:sdtContent>
        <w:r>
          <w:t>SRK Consulting (Canada), Inc. and Paterson &amp; Cooke</w:t>
        </w:r>
      </w:sdtContent>
    </w:sdt>
  </w:p>
  <w:p w:rsidR="002413B7" w:rsidRPr="00B6691D" w:rsidRDefault="00000000" w:rsidP="00764A2E">
    <w:pPr>
      <w:pStyle w:val="Header"/>
      <w:pBdr>
        <w:bottom w:val="single" w:sz="4" w:space="1" w:color="auto"/>
      </w:pBdr>
      <w:tabs>
        <w:tab w:val="left" w:pos="8745"/>
      </w:tabs>
      <w:rPr>
        <w:lang w:val="en-US"/>
      </w:rPr>
    </w:pPr>
    <w:sdt>
      <w:sdtPr>
        <w:tag w:val="srk.title"/>
        <w:text/>
      </w:sdtPr>
      <w:sdtContent>
        <w:r>
          <w:t>Ground-Motion Design Parameters</w:t>
        </w:r>
      </w:sdtContent>
    </w:sdt>
    <w:r w:rsidR="002413B7">
      <w:rPr>
        <w:lang w:val="en-US"/>
      </w:rPr>
      <w:tab/>
    </w:r>
    <w:r w:rsidR="002413B7">
      <w:rPr>
        <w:lang w:val="en-US"/>
      </w:rPr>
      <w:tab/>
    </w:r>
    <w:r w:rsidR="00764A2E">
      <w:rPr>
        <w:lang w:val="en-US"/>
      </w:rPr>
      <w:tab/>
    </w:r>
    <w:r w:rsidR="002413B7">
      <w:rPr>
        <w:lang w:val="en-US"/>
      </w:rPr>
      <w:t xml:space="preserve">Page </w:t>
    </w:r>
    <w:r w:rsidR="002413B7" w:rsidRPr="00090F41">
      <w:rPr>
        <w:lang w:val="en-US"/>
      </w:rPr>
      <w:fldChar w:fldCharType="begin"/>
    </w:r>
    <w:r w:rsidR="002413B7" w:rsidRPr="00090F41">
      <w:rPr>
        <w:lang w:val="en-US"/>
      </w:rPr>
      <w:instrText xml:space="preserve"> PAGE   \* MERGEFORMAT </w:instrText>
    </w:r>
    <w:r w:rsidR="002413B7" w:rsidRPr="00090F41">
      <w:rPr>
        <w:lang w:val="en-US"/>
      </w:rPr>
      <w:fldChar w:fldCharType="separate"/>
    </w:r>
    <w:r w:rsidR="003F5B70">
      <w:rPr>
        <w:noProof/>
        <w:lang w:val="en-US"/>
      </w:rPr>
      <w:t>1</w:t>
    </w:r>
    <w:r w:rsidR="002413B7" w:rsidRPr="00090F41">
      <w:rPr>
        <w:noProof/>
        <w:lang w:val="en-US"/>
      </w:rPr>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652AA1"/>
    <w:multiLevelType w:val="multilevel"/>
    <w:tmpl w:val="27044B44"/>
    <w:styleLink w:val="ListBullets"/>
    <w:lvl w:ilvl="0">
      <w:start w:val="1"/>
      <w:numFmt w:val="bullet"/>
      <w:lvlText w:val=""/>
      <w:lvlJc w:val="left"/>
      <w:pPr>
        <w:tabs>
          <w:tab w:pos="1080" w:val="num"/>
        </w:tabs>
        <w:ind w:hanging="360" w:left="1080"/>
      </w:pPr>
      <w:rPr>
        <w:rFonts w:ascii="Symbol" w:hAnsi="Symbol" w:hint="default"/>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
    <w:nsid w:val="01BE1033"/>
    <w:multiLevelType w:val="multilevel"/>
    <w:tmpl w:val="0FC69186"/>
    <w:styleLink w:val="ListNumbers"/>
    <w:lvl w:ilvl="0">
      <w:start w:val="1"/>
      <w:numFmt w:val="decimal"/>
      <w:pStyle w:val="ListNumber"/>
      <w:lvlText w:val="%1."/>
      <w:lvlJc w:val="left"/>
      <w:pPr>
        <w:tabs>
          <w:tab w:pos="1080" w:val="num"/>
        </w:tabs>
        <w:ind w:hanging="360" w:left="1080"/>
      </w:pPr>
      <w:rPr>
        <w:rFonts w:asciiTheme="minorHAnsi" w:cstheme="minorBidi" w:hAnsiTheme="minorHAnsi" w:hint="default"/>
        <w:b w:val="0"/>
        <w:bCs w:val="0"/>
        <w:i w:val="0"/>
        <w:iCs w:val="0"/>
        <w:color w:themeColor="accent6" w:themeShade="BF" w:val="E36C0A"/>
        <w:spacing w:val="-1"/>
        <w:w w:val="100"/>
        <w:sz w:val="20"/>
        <w:szCs w:val="18"/>
        <w:vertAlign w:val="baseline"/>
      </w:rPr>
    </w:lvl>
    <w:lvl w:ilvl="1">
      <w:start w:val="1"/>
      <w:numFmt w:val="lowerLetter"/>
      <w:pStyle w:val="ListNumber2"/>
      <w:lvlText w:val="(%2)"/>
      <w:lvlJc w:val="left"/>
      <w:pPr>
        <w:tabs>
          <w:tab w:pos="1440" w:val="num"/>
        </w:tabs>
        <w:ind w:hanging="360" w:left="1440"/>
      </w:pPr>
      <w:rPr>
        <w:rFonts w:hint="default"/>
      </w:rPr>
    </w:lvl>
    <w:lvl w:ilvl="2">
      <w:start w:val="1"/>
      <w:numFmt w:val="decimal"/>
      <w:pStyle w:val="ListNumber3"/>
      <w:lvlText w:val="%3."/>
      <w:lvlJc w:val="left"/>
      <w:pPr>
        <w:tabs>
          <w:tab w:pos="1800" w:val="num"/>
        </w:tabs>
        <w:ind w:hanging="360" w:left="1800"/>
      </w:pPr>
      <w:rPr>
        <w:rFonts w:hint="default"/>
      </w:rPr>
    </w:lvl>
    <w:lvl w:ilvl="3">
      <w:start w:val="1"/>
      <w:numFmt w:val="lowerLetter"/>
      <w:pStyle w:val="ListNumber4"/>
      <w:lvlText w:val="(%4)"/>
      <w:lvlJc w:val="left"/>
      <w:pPr>
        <w:tabs>
          <w:tab w:pos="2160" w:val="num"/>
        </w:tabs>
        <w:ind w:hanging="360" w:left="2160"/>
      </w:pPr>
      <w:rPr>
        <w:rFonts w:hint="default"/>
      </w:rPr>
    </w:lvl>
    <w:lvl w:ilvl="4">
      <w:start w:val="1"/>
      <w:numFmt w:val="lowerRoman"/>
      <w:pStyle w:val="ListNumber5"/>
      <w:lvlText w:val="(%5)"/>
      <w:lvlJc w:val="left"/>
      <w:pPr>
        <w:tabs>
          <w:tab w:pos="2520" w:val="num"/>
        </w:tabs>
        <w:ind w:hanging="360" w:left="2520"/>
      </w:pPr>
      <w:rPr>
        <w:rFonts w:hint="default"/>
      </w:rPr>
    </w:lvl>
    <w:lvl w:ilvl="5">
      <w:start w:val="1"/>
      <w:numFmt w:val="none"/>
      <w:lvlText w:val=""/>
      <w:lvlJc w:val="left"/>
      <w:pPr>
        <w:tabs>
          <w:tab w:pos="2880" w:val="num"/>
        </w:tabs>
        <w:ind w:hanging="360" w:left="2880"/>
      </w:pPr>
      <w:rPr>
        <w:rFonts w:hint="default"/>
      </w:rPr>
    </w:lvl>
    <w:lvl w:ilvl="6">
      <w:start w:val="1"/>
      <w:numFmt w:val="none"/>
      <w:lvlText w:val=""/>
      <w:lvlJc w:val="left"/>
      <w:pPr>
        <w:tabs>
          <w:tab w:pos="3240" w:val="num"/>
        </w:tabs>
        <w:ind w:hanging="360" w:left="3240"/>
      </w:pPr>
      <w:rPr>
        <w:rFonts w:hint="default"/>
      </w:rPr>
    </w:lvl>
    <w:lvl w:ilvl="7">
      <w:start w:val="1"/>
      <w:numFmt w:val="none"/>
      <w:lvlText w:val=""/>
      <w:lvlJc w:val="left"/>
      <w:pPr>
        <w:tabs>
          <w:tab w:pos="2880" w:val="num"/>
        </w:tabs>
        <w:ind w:hanging="360" w:left="3600"/>
      </w:pPr>
      <w:rPr>
        <w:rFonts w:hint="default"/>
      </w:rPr>
    </w:lvl>
    <w:lvl w:ilvl="8">
      <w:start w:val="1"/>
      <w:numFmt w:val="none"/>
      <w:lvlText w:val=""/>
      <w:lvlJc w:val="left"/>
      <w:pPr>
        <w:tabs>
          <w:tab w:pos="3960" w:val="num"/>
        </w:tabs>
        <w:ind w:hanging="360" w:left="3960"/>
      </w:pPr>
      <w:rPr>
        <w:rFonts w:hint="default"/>
      </w:rPr>
    </w:lvl>
  </w:abstractNum>
  <w:abstractNum w15:restartNumberingAfterBreak="0" w:abstractNumId="2">
    <w:nsid w:val="030C00BB"/>
    <w:multiLevelType w:val="hybridMultilevel"/>
    <w:tmpl w:val="5B52AF98"/>
    <w:lvl w:ilvl="0" w:tplc="C42E8BD4">
      <w:start w:val="1"/>
      <w:numFmt w:val="lowerLetter"/>
      <w:lvlText w:val="%1."/>
      <w:lvlJc w:val="left"/>
      <w:pPr>
        <w:ind w:hanging="360" w:left="1498"/>
      </w:pPr>
      <w:rPr>
        <w:rFonts w:hint="default"/>
        <w:color w:themeColor="accent6" w:themeShade="BF" w:val="E36C0A"/>
      </w:rPr>
    </w:lvl>
    <w:lvl w:ilvl="1" w:tentative="1" w:tplc="04090019">
      <w:start w:val="1"/>
      <w:numFmt w:val="lowerLetter"/>
      <w:lvlText w:val="%2."/>
      <w:lvlJc w:val="left"/>
      <w:pPr>
        <w:ind w:hanging="360" w:left="2218"/>
      </w:pPr>
    </w:lvl>
    <w:lvl w:ilvl="2" w:tentative="1" w:tplc="0409001B">
      <w:start w:val="1"/>
      <w:numFmt w:val="lowerRoman"/>
      <w:lvlText w:val="%3."/>
      <w:lvlJc w:val="right"/>
      <w:pPr>
        <w:ind w:hanging="180" w:left="2938"/>
      </w:pPr>
    </w:lvl>
    <w:lvl w:ilvl="3" w:tentative="1" w:tplc="0409000F">
      <w:start w:val="1"/>
      <w:numFmt w:val="decimal"/>
      <w:lvlText w:val="%4."/>
      <w:lvlJc w:val="left"/>
      <w:pPr>
        <w:ind w:hanging="360" w:left="3658"/>
      </w:pPr>
    </w:lvl>
    <w:lvl w:ilvl="4" w:tentative="1" w:tplc="04090019">
      <w:start w:val="1"/>
      <w:numFmt w:val="lowerLetter"/>
      <w:lvlText w:val="%5."/>
      <w:lvlJc w:val="left"/>
      <w:pPr>
        <w:ind w:hanging="360" w:left="4378"/>
      </w:pPr>
    </w:lvl>
    <w:lvl w:ilvl="5" w:tentative="1" w:tplc="0409001B">
      <w:start w:val="1"/>
      <w:numFmt w:val="lowerRoman"/>
      <w:lvlText w:val="%6."/>
      <w:lvlJc w:val="right"/>
      <w:pPr>
        <w:ind w:hanging="180" w:left="5098"/>
      </w:pPr>
    </w:lvl>
    <w:lvl w:ilvl="6" w:tentative="1" w:tplc="0409000F">
      <w:start w:val="1"/>
      <w:numFmt w:val="decimal"/>
      <w:lvlText w:val="%7."/>
      <w:lvlJc w:val="left"/>
      <w:pPr>
        <w:ind w:hanging="360" w:left="5818"/>
      </w:pPr>
    </w:lvl>
    <w:lvl w:ilvl="7" w:tentative="1" w:tplc="04090019">
      <w:start w:val="1"/>
      <w:numFmt w:val="lowerLetter"/>
      <w:lvlText w:val="%8."/>
      <w:lvlJc w:val="left"/>
      <w:pPr>
        <w:ind w:hanging="360" w:left="6538"/>
      </w:pPr>
    </w:lvl>
    <w:lvl w:ilvl="8" w:tentative="1" w:tplc="0409001B">
      <w:start w:val="1"/>
      <w:numFmt w:val="lowerRoman"/>
      <w:lvlText w:val="%9."/>
      <w:lvlJc w:val="right"/>
      <w:pPr>
        <w:ind w:hanging="180" w:left="7258"/>
      </w:pPr>
    </w:lvl>
  </w:abstractNum>
  <w:abstractNum w15:restartNumberingAfterBreak="0" w:abstractNumId="3">
    <w:nsid w:val="049E49B6"/>
    <w:multiLevelType w:val="hybridMultilevel"/>
    <w:tmpl w:val="A9ACBD12"/>
    <w:lvl w:ilvl="0" w:tplc="4470DCEC">
      <w:start w:val="1"/>
      <w:numFmt w:val="bullet"/>
      <w:lvlText w:val=""/>
      <w:lvlJc w:val="left"/>
      <w:pPr>
        <w:ind w:hanging="360" w:left="720"/>
      </w:pPr>
      <w:rPr>
        <w:rFonts w:ascii="Wingdings" w:hAnsi="Wingdings" w:hint="default"/>
        <w:color w:themeColor="accent6" w:themeShade="BF" w:val="E36C0A"/>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
    <w:nsid w:val="06605324"/>
    <w:multiLevelType w:val="hybridMultilevel"/>
    <w:tmpl w:val="85F0D228"/>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
    <w:nsid w:val="0BF3272C"/>
    <w:multiLevelType w:val="hybridMultilevel"/>
    <w:tmpl w:val="10A62FD2"/>
    <w:lvl w:ilvl="0" w:tplc="4470DCEC">
      <w:start w:val="1"/>
      <w:numFmt w:val="bullet"/>
      <w:lvlText w:val=""/>
      <w:lvlJc w:val="left"/>
      <w:pPr>
        <w:ind w:hanging="360" w:left="2160"/>
      </w:pPr>
      <w:rPr>
        <w:rFonts w:ascii="Wingdings" w:hAnsi="Wingdings" w:hint="default"/>
        <w:color w:themeColor="accent6" w:themeShade="BF" w:val="E36C0A"/>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F99618B"/>
    <w:multiLevelType w:val="hybridMultilevel"/>
    <w:tmpl w:val="DE8E709E"/>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7">
    <w:nsid w:val="22927EC2"/>
    <w:multiLevelType w:val="multilevel"/>
    <w:tmpl w:val="C87E2F2A"/>
    <w:numStyleLink w:val="Headings"/>
  </w:abstractNum>
  <w:abstractNum w15:restartNumberingAfterBreak="0" w:abstractNumId="8">
    <w:nsid w:val="3DCA405A"/>
    <w:multiLevelType w:val="hybridMultilevel"/>
    <w:tmpl w:val="1928771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48286D71"/>
    <w:multiLevelType w:val="multilevel"/>
    <w:tmpl w:val="C87E2F2A"/>
    <w:styleLink w:val="Headings"/>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none"/>
      <w:lvlText w:val=""/>
      <w:lvlJc w:val="left"/>
      <w:pPr>
        <w:ind w:hanging="720" w:left="720"/>
      </w:pPr>
      <w:rPr>
        <w:rFonts w:hint="default"/>
      </w:rPr>
    </w:lvl>
    <w:lvl w:ilvl="5">
      <w:start w:val="1"/>
      <w:numFmt w:val="none"/>
      <w:pStyle w:val="Heading6"/>
      <w:lvlText w:val=""/>
      <w:lvlJc w:val="left"/>
      <w:pPr>
        <w:ind w:hanging="720" w:left="720"/>
      </w:pPr>
      <w:rPr>
        <w:rFonts w:hint="default"/>
      </w:rPr>
    </w:lvl>
    <w:lvl w:ilvl="6">
      <w:start w:val="1"/>
      <w:numFmt w:val="none"/>
      <w:pStyle w:val="Heading7"/>
      <w:lvlText w:val=""/>
      <w:lvlJc w:val="left"/>
      <w:pPr>
        <w:ind w:hanging="720" w:left="720"/>
      </w:pPr>
      <w:rPr>
        <w:rFonts w:hint="default"/>
      </w:rPr>
    </w:lvl>
    <w:lvl w:ilvl="7">
      <w:start w:val="1"/>
      <w:numFmt w:val="upperLetter"/>
      <w:pStyle w:val="Heading8"/>
      <w:suff w:val="space"/>
      <w:lvlText w:val="Appendix %8"/>
      <w:lvlJc w:val="left"/>
      <w:pPr>
        <w:ind w:hanging="720" w:left="720"/>
      </w:pPr>
      <w:rPr>
        <w:rFonts w:hint="default"/>
      </w:rPr>
    </w:lvl>
    <w:lvl w:ilvl="8">
      <w:start w:val="1"/>
      <w:numFmt w:val="decimal"/>
      <w:pStyle w:val="Heading9"/>
      <w:suff w:val="space"/>
      <w:lvlText w:val="Appendix %8%9"/>
      <w:lvlJc w:val="left"/>
      <w:pPr>
        <w:ind w:hanging="720" w:left="720"/>
      </w:pPr>
      <w:rPr>
        <w:rFonts w:hint="default"/>
      </w:rPr>
    </w:lvl>
  </w:abstractNum>
  <w:abstractNum w15:restartNumberingAfterBreak="0" w:abstractNumId="10">
    <w:nsid w:val="4AE33946"/>
    <w:multiLevelType w:val="hybridMultilevel"/>
    <w:tmpl w:val="FA7858A2"/>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1">
    <w:nsid w:val="4C8544A6"/>
    <w:multiLevelType w:val="hybridMultilevel"/>
    <w:tmpl w:val="1560582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4CBE6387"/>
    <w:multiLevelType w:val="multilevel"/>
    <w:tmpl w:val="D4D69764"/>
    <w:lvl w:ilvl="0">
      <w:start w:val="1"/>
      <w:numFmt w:val="bullet"/>
      <w:lvlText w:val=""/>
      <w:lvlJc w:val="left"/>
      <w:pPr>
        <w:tabs>
          <w:tab w:pos="1080" w:val="num"/>
        </w:tabs>
        <w:ind w:hanging="360" w:left="1080"/>
      </w:pPr>
      <w:rPr>
        <w:rFonts w:ascii="Wingdings" w:hAnsi="Wingdings" w:hint="default"/>
        <w:color w:themeColor="accent6" w:themeShade="BF" w:val="E36C0A"/>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3">
    <w:nsid w:val="566B0801"/>
    <w:multiLevelType w:val="hybridMultilevel"/>
    <w:tmpl w:val="03FAE786"/>
    <w:lvl w:ilvl="0" w:tplc="C42E8BD4">
      <w:start w:val="1"/>
      <w:numFmt w:val="lowerLetter"/>
      <w:lvlText w:val="%1."/>
      <w:lvlJc w:val="left"/>
      <w:pPr>
        <w:ind w:hanging="360" w:left="1440"/>
      </w:pPr>
      <w:rPr>
        <w:rFonts w:hint="default"/>
        <w:color w:themeColor="accent6" w:themeShade="BF" w:val="E36C0A"/>
      </w:rPr>
    </w:lvl>
    <w:lvl w:ilvl="1" w:tentative="1" w:tplc="FFFFFFFF">
      <w:start w:val="1"/>
      <w:numFmt w:val="bullet"/>
      <w:lvlText w:val="o"/>
      <w:lvlJc w:val="left"/>
      <w:pPr>
        <w:ind w:hanging="360" w:left="2160"/>
      </w:pPr>
      <w:rPr>
        <w:rFonts w:ascii="Courier New" w:cs="Courier New" w:hAnsi="Courier New" w:hint="default"/>
      </w:rPr>
    </w:lvl>
    <w:lvl w:ilvl="2" w:tentative="1" w:tplc="FFFFFFFF">
      <w:start w:val="1"/>
      <w:numFmt w:val="bullet"/>
      <w:lvlText w:val=""/>
      <w:lvlJc w:val="left"/>
      <w:pPr>
        <w:ind w:hanging="360" w:left="2880"/>
      </w:pPr>
      <w:rPr>
        <w:rFonts w:ascii="Wingdings" w:hAnsi="Wingdings" w:hint="default"/>
      </w:rPr>
    </w:lvl>
    <w:lvl w:ilvl="3" w:tentative="1" w:tplc="FFFFFFFF">
      <w:start w:val="1"/>
      <w:numFmt w:val="bullet"/>
      <w:lvlText w:val=""/>
      <w:lvlJc w:val="left"/>
      <w:pPr>
        <w:ind w:hanging="360" w:left="3600"/>
      </w:pPr>
      <w:rPr>
        <w:rFonts w:ascii="Symbol" w:hAnsi="Symbol" w:hint="default"/>
      </w:rPr>
    </w:lvl>
    <w:lvl w:ilvl="4" w:tentative="1" w:tplc="FFFFFFFF">
      <w:start w:val="1"/>
      <w:numFmt w:val="bullet"/>
      <w:lvlText w:val="o"/>
      <w:lvlJc w:val="left"/>
      <w:pPr>
        <w:ind w:hanging="360" w:left="4320"/>
      </w:pPr>
      <w:rPr>
        <w:rFonts w:ascii="Courier New" w:cs="Courier New" w:hAnsi="Courier New" w:hint="default"/>
      </w:rPr>
    </w:lvl>
    <w:lvl w:ilvl="5" w:tentative="1" w:tplc="FFFFFFFF">
      <w:start w:val="1"/>
      <w:numFmt w:val="bullet"/>
      <w:lvlText w:val=""/>
      <w:lvlJc w:val="left"/>
      <w:pPr>
        <w:ind w:hanging="360" w:left="5040"/>
      </w:pPr>
      <w:rPr>
        <w:rFonts w:ascii="Wingdings" w:hAnsi="Wingdings" w:hint="default"/>
      </w:rPr>
    </w:lvl>
    <w:lvl w:ilvl="6" w:tentative="1" w:tplc="FFFFFFFF">
      <w:start w:val="1"/>
      <w:numFmt w:val="bullet"/>
      <w:lvlText w:val=""/>
      <w:lvlJc w:val="left"/>
      <w:pPr>
        <w:ind w:hanging="360" w:left="5760"/>
      </w:pPr>
      <w:rPr>
        <w:rFonts w:ascii="Symbol" w:hAnsi="Symbol" w:hint="default"/>
      </w:rPr>
    </w:lvl>
    <w:lvl w:ilvl="7" w:tentative="1" w:tplc="FFFFFFFF">
      <w:start w:val="1"/>
      <w:numFmt w:val="bullet"/>
      <w:lvlText w:val="o"/>
      <w:lvlJc w:val="left"/>
      <w:pPr>
        <w:ind w:hanging="360" w:left="6480"/>
      </w:pPr>
      <w:rPr>
        <w:rFonts w:ascii="Courier New" w:cs="Courier New" w:hAnsi="Courier New" w:hint="default"/>
      </w:rPr>
    </w:lvl>
    <w:lvl w:ilvl="8" w:tentative="1" w:tplc="FFFFFFFF">
      <w:start w:val="1"/>
      <w:numFmt w:val="bullet"/>
      <w:lvlText w:val=""/>
      <w:lvlJc w:val="left"/>
      <w:pPr>
        <w:ind w:hanging="360" w:left="7200"/>
      </w:pPr>
      <w:rPr>
        <w:rFonts w:ascii="Wingdings" w:hAnsi="Wingdings" w:hint="default"/>
      </w:rPr>
    </w:lvl>
  </w:abstractNum>
  <w:abstractNum w15:restartNumberingAfterBreak="0" w:abstractNumId="14">
    <w:nsid w:val="65343627"/>
    <w:multiLevelType w:val="hybridMultilevel"/>
    <w:tmpl w:val="4DC87BB6"/>
    <w:lvl w:ilvl="0" w:tplc="8BD4C846">
      <w:start w:val="1"/>
      <w:numFmt w:val="decimal"/>
      <w:lvlText w:val="%1."/>
      <w:lvlJc w:val="left"/>
      <w:pPr>
        <w:ind w:hanging="360" w:left="2160"/>
      </w:pPr>
      <w:rPr>
        <w:rFonts w:ascii="Arial" w:cs="Arial" w:hAnsi="Arial" w:hint="default"/>
        <w:b w:val="0"/>
        <w:bCs w:val="0"/>
        <w:i w:val="0"/>
        <w:iCs w:val="0"/>
        <w:color w:themeColor="accent6" w:themeShade="BF" w:val="E36C0A"/>
        <w:spacing w:val="-1"/>
        <w:w w:val="100"/>
        <w:sz w:val="20"/>
        <w:szCs w:val="18"/>
        <w:vertAlign w:val="baseline"/>
      </w:r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15">
    <w:nsid w:val="6E521A23"/>
    <w:multiLevelType w:val="hybridMultilevel"/>
    <w:tmpl w:val="E1C4A10E"/>
    <w:lvl w:ilvl="0" w:tplc="4470DCEC">
      <w:start w:val="1"/>
      <w:numFmt w:val="bullet"/>
      <w:lvlText w:val=""/>
      <w:lvlJc w:val="left"/>
      <w:pPr>
        <w:ind w:hanging="360" w:left="1494"/>
      </w:pPr>
      <w:rPr>
        <w:rFonts w:ascii="Wingdings" w:hAnsi="Wingdings" w:hint="default"/>
        <w:color w:themeColor="accent6" w:themeShade="BF" w:val="E36C0A"/>
      </w:rPr>
    </w:lvl>
    <w:lvl w:ilvl="1" w:tplc="04090017">
      <w:start w:val="1"/>
      <w:numFmt w:val="lowerLetter"/>
      <w:lvlText w:val="%2)"/>
      <w:lvlJc w:val="left"/>
      <w:pPr>
        <w:ind w:hanging="360" w:left="2214"/>
      </w:pPr>
    </w:lvl>
    <w:lvl w:ilvl="2" w:tentative="1" w:tplc="04090005">
      <w:start w:val="1"/>
      <w:numFmt w:val="bullet"/>
      <w:lvlText w:val=""/>
      <w:lvlJc w:val="left"/>
      <w:pPr>
        <w:ind w:hanging="360" w:left="2934"/>
      </w:pPr>
      <w:rPr>
        <w:rFonts w:ascii="Wingdings" w:hAnsi="Wingdings" w:hint="default"/>
      </w:rPr>
    </w:lvl>
    <w:lvl w:ilvl="3" w:tentative="1" w:tplc="04090001">
      <w:start w:val="1"/>
      <w:numFmt w:val="bullet"/>
      <w:lvlText w:val=""/>
      <w:lvlJc w:val="left"/>
      <w:pPr>
        <w:ind w:hanging="360" w:left="3654"/>
      </w:pPr>
      <w:rPr>
        <w:rFonts w:ascii="Symbol" w:hAnsi="Symbol" w:hint="default"/>
      </w:rPr>
    </w:lvl>
    <w:lvl w:ilvl="4" w:tentative="1" w:tplc="04090003">
      <w:start w:val="1"/>
      <w:numFmt w:val="bullet"/>
      <w:lvlText w:val="o"/>
      <w:lvlJc w:val="left"/>
      <w:pPr>
        <w:ind w:hanging="360" w:left="4374"/>
      </w:pPr>
      <w:rPr>
        <w:rFonts w:ascii="Courier New" w:cs="Courier New" w:hAnsi="Courier New" w:hint="default"/>
      </w:rPr>
    </w:lvl>
    <w:lvl w:ilvl="5" w:tentative="1" w:tplc="04090005">
      <w:start w:val="1"/>
      <w:numFmt w:val="bullet"/>
      <w:lvlText w:val=""/>
      <w:lvlJc w:val="left"/>
      <w:pPr>
        <w:ind w:hanging="360" w:left="5094"/>
      </w:pPr>
      <w:rPr>
        <w:rFonts w:ascii="Wingdings" w:hAnsi="Wingdings" w:hint="default"/>
      </w:rPr>
    </w:lvl>
    <w:lvl w:ilvl="6" w:tentative="1" w:tplc="04090001">
      <w:start w:val="1"/>
      <w:numFmt w:val="bullet"/>
      <w:lvlText w:val=""/>
      <w:lvlJc w:val="left"/>
      <w:pPr>
        <w:ind w:hanging="360" w:left="5814"/>
      </w:pPr>
      <w:rPr>
        <w:rFonts w:ascii="Symbol" w:hAnsi="Symbol" w:hint="default"/>
      </w:rPr>
    </w:lvl>
    <w:lvl w:ilvl="7" w:tentative="1" w:tplc="04090003">
      <w:start w:val="1"/>
      <w:numFmt w:val="bullet"/>
      <w:lvlText w:val="o"/>
      <w:lvlJc w:val="left"/>
      <w:pPr>
        <w:ind w:hanging="360" w:left="6534"/>
      </w:pPr>
      <w:rPr>
        <w:rFonts w:ascii="Courier New" w:cs="Courier New" w:hAnsi="Courier New" w:hint="default"/>
      </w:rPr>
    </w:lvl>
    <w:lvl w:ilvl="8" w:tentative="1" w:tplc="04090005">
      <w:start w:val="1"/>
      <w:numFmt w:val="bullet"/>
      <w:lvlText w:val=""/>
      <w:lvlJc w:val="left"/>
      <w:pPr>
        <w:ind w:hanging="360" w:left="7254"/>
      </w:pPr>
      <w:rPr>
        <w:rFonts w:ascii="Wingdings" w:hAnsi="Wingdings" w:hint="default"/>
      </w:rPr>
    </w:lvl>
  </w:abstractNum>
  <w:abstractNum w15:restartNumberingAfterBreak="0" w:abstractNumId="16">
    <w:nsid w:val="7CB0413F"/>
    <w:multiLevelType w:val="hybridMultilevel"/>
    <w:tmpl w:val="0D2A8512"/>
    <w:lvl w:ilvl="0" w:tplc="A2508538">
      <w:start w:val="1"/>
      <w:numFmt w:val="decimal"/>
      <w:lvlText w:val="%1."/>
      <w:lvlJc w:val="left"/>
      <w:pPr>
        <w:ind w:hanging="360" w:left="1498"/>
      </w:pPr>
      <w:rPr>
        <w:rFonts w:ascii="Arial" w:cs="Arial" w:hAnsi="Arial" w:hint="default"/>
        <w:b w:val="0"/>
        <w:bCs w:val="0"/>
        <w:i w:val="0"/>
        <w:iCs w:val="0"/>
        <w:color w:themeColor="accent6" w:themeShade="BF" w:val="E36C0A"/>
        <w:spacing w:val="-1"/>
        <w:w w:val="100"/>
        <w:sz w:val="20"/>
        <w:szCs w:val="18"/>
        <w:vertAlign w:val="baseline"/>
      </w:rPr>
    </w:lvl>
    <w:lvl w:ilvl="1" w:tentative="1" w:tplc="FFFFFFFF">
      <w:start w:val="1"/>
      <w:numFmt w:val="lowerLetter"/>
      <w:lvlText w:val="%2."/>
      <w:lvlJc w:val="left"/>
      <w:pPr>
        <w:ind w:hanging="360" w:left="2218"/>
      </w:pPr>
    </w:lvl>
    <w:lvl w:ilvl="2" w:tentative="1" w:tplc="FFFFFFFF">
      <w:start w:val="1"/>
      <w:numFmt w:val="lowerRoman"/>
      <w:lvlText w:val="%3."/>
      <w:lvlJc w:val="right"/>
      <w:pPr>
        <w:ind w:hanging="180" w:left="2938"/>
      </w:pPr>
    </w:lvl>
    <w:lvl w:ilvl="3" w:tentative="1" w:tplc="FFFFFFFF">
      <w:start w:val="1"/>
      <w:numFmt w:val="decimal"/>
      <w:lvlText w:val="%4."/>
      <w:lvlJc w:val="left"/>
      <w:pPr>
        <w:ind w:hanging="360" w:left="3658"/>
      </w:pPr>
    </w:lvl>
    <w:lvl w:ilvl="4" w:tentative="1" w:tplc="FFFFFFFF">
      <w:start w:val="1"/>
      <w:numFmt w:val="lowerLetter"/>
      <w:lvlText w:val="%5."/>
      <w:lvlJc w:val="left"/>
      <w:pPr>
        <w:ind w:hanging="360" w:left="4378"/>
      </w:pPr>
    </w:lvl>
    <w:lvl w:ilvl="5" w:tentative="1" w:tplc="FFFFFFFF">
      <w:start w:val="1"/>
      <w:numFmt w:val="lowerRoman"/>
      <w:lvlText w:val="%6."/>
      <w:lvlJc w:val="right"/>
      <w:pPr>
        <w:ind w:hanging="180" w:left="5098"/>
      </w:pPr>
    </w:lvl>
    <w:lvl w:ilvl="6" w:tentative="1" w:tplc="FFFFFFFF">
      <w:start w:val="1"/>
      <w:numFmt w:val="decimal"/>
      <w:lvlText w:val="%7."/>
      <w:lvlJc w:val="left"/>
      <w:pPr>
        <w:ind w:hanging="360" w:left="5818"/>
      </w:pPr>
    </w:lvl>
    <w:lvl w:ilvl="7" w:tentative="1" w:tplc="FFFFFFFF">
      <w:start w:val="1"/>
      <w:numFmt w:val="lowerLetter"/>
      <w:lvlText w:val="%8."/>
      <w:lvlJc w:val="left"/>
      <w:pPr>
        <w:ind w:hanging="360" w:left="6538"/>
      </w:pPr>
    </w:lvl>
    <w:lvl w:ilvl="8" w:tentative="1" w:tplc="FFFFFFFF">
      <w:start w:val="1"/>
      <w:numFmt w:val="lowerRoman"/>
      <w:lvlText w:val="%9."/>
      <w:lvlJc w:val="right"/>
      <w:pPr>
        <w:ind w:hanging="180" w:left="725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15:restartNumberingAfterBreak="0">
    <w:nsid w:val="1F344D6D"/>
    <w:multiLevelType w:val="multilevel"/>
    <w:tmpl w:val="C87E2F2A"/>
    <w:numStyleLink w:val="SRKHeadings"/>
  </w:abstractNum>
  <w:abstractNum w:abstractNumId="992" w15:restartNumberingAfterBreak="0">
    <w:nsid w:val="01D7AAF6"/>
    <w:multiLevelType w:val="multilevel"/>
    <w:tmpl w:val="C87E2F2A"/>
    <w:styleLink w:val="SRKHeadings"/>
    <w:lvl w:ilvl="0">
      <w:start w:val="1"/>
      <w:numFmt w:val="decimal"/>
      <w:pStyle w:val="SRKHeading1"/>
      <w:lvlText w:val="%1"/>
      <w:lvlJc w:val="left"/>
      <w:pPr>
        <w:ind w:left="720" w:hanging="720"/>
      </w:pPr>
      <w:rPr>
        <w:rFonts w:hint="default"/>
      </w:rPr>
    </w:lvl>
    <w:lvl w:ilvl="1">
      <w:start w:val="1"/>
      <w:numFmt w:val="decimal"/>
      <w:pStyle w:val="SRKHeading2"/>
      <w:lvlText w:val="%1.%2"/>
      <w:lvlJc w:val="left"/>
      <w:pPr>
        <w:ind w:left="720" w:hanging="720"/>
      </w:pPr>
      <w:rPr>
        <w:rFonts w:hint="default"/>
      </w:rPr>
    </w:lvl>
    <w:lvl w:ilvl="2">
      <w:start w:val="1"/>
      <w:numFmt w:val="decimal"/>
      <w:pStyle w:val="SRK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
      <w:lvlJc w:val="left"/>
      <w:pPr>
        <w:ind w:left="720" w:hanging="720"/>
      </w:pPr>
      <w:rPr>
        <w:rFonts w:hint="default"/>
      </w:rPr>
    </w:lvl>
    <w:lvl w:ilvl="5">
      <w:start w:val="1"/>
      <w:numFmt w:val="none"/>
      <w:pStyle w:val="SRKHeading6"/>
      <w:lvlText w:val=""/>
      <w:lvlJc w:val="left"/>
      <w:pPr>
        <w:ind w:left="720" w:hanging="720"/>
      </w:pPr>
      <w:rPr>
        <w:rFonts w:hint="default"/>
      </w:rPr>
    </w:lvl>
    <w:lvl w:ilvl="6">
      <w:start w:val="1"/>
      <w:numFmt w:val="none"/>
      <w:pStyle w:val="SRKHeading7"/>
      <w:lvlText w:val=""/>
      <w:lvlJc w:val="left"/>
      <w:pPr>
        <w:ind w:left="720" w:hanging="720"/>
      </w:pPr>
      <w:rPr>
        <w:rFonts w:hint="default"/>
      </w:rPr>
    </w:lvl>
    <w:lvl w:ilvl="7">
      <w:start w:val="1"/>
      <w:numFmt w:val="upperLetter"/>
      <w:pStyle w:val="SRKHeading8"/>
      <w:suff w:val="space"/>
      <w:lvlText w:val="Appendix %8"/>
      <w:lvlJc w:val="left"/>
      <w:pPr>
        <w:ind w:left="720" w:hanging="720"/>
      </w:pPr>
      <w:rPr>
        <w:rFonts w:hint="default"/>
      </w:rPr>
    </w:lvl>
    <w:lvl w:ilvl="8">
      <w:start w:val="1"/>
      <w:numFmt w:val="decimal"/>
      <w:pStyle w:val="SRKHeading9"/>
      <w:suff w:val="space"/>
      <w:lvlText w:val="Appendix %8%9"/>
      <w:lvlJc w:val="left"/>
      <w:pPr>
        <w:ind w:left="720" w:hanging="720"/>
      </w:pPr>
      <w:rPr>
        <w:rFonts w:hint="default"/>
      </w:rPr>
    </w:lvl>
  </w:abstractNum>
  <w:num w16cid:durableId="199904699" w:numId="1">
    <w:abstractNumId w:val="9"/>
  </w:num>
  <w:num w16cid:durableId="1117486440" w:numId="2">
    <w:abstractNumId w:val="0"/>
  </w:num>
  <w:num w16cid:durableId="1912503736" w:numId="3">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852256892" w:numId="4">
    <w:abstractNumId w:val="12"/>
  </w:num>
  <w:num w16cid:durableId="857817665" w:numId="5">
    <w:abstractNumId w:val="2"/>
  </w:num>
  <w:num w16cid:durableId="926622198" w:numId="6">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lvl>
    </w:lvlOverride>
    <w:lvlOverride w:ilvl="8">
      <w:lvl w:ilvl="8">
        <w:start w:val="1"/>
        <w:numFmt w:val="decimal"/>
        <w:pStyle w:val="Heading9"/>
        <w:suff w:val="space"/>
        <w:lvlText w:val="Appendix %8%9"/>
        <w:lvlJc w:val="left"/>
        <w:pPr>
          <w:ind w:hanging="720" w:left="5940"/>
        </w:pPr>
      </w:lvl>
    </w:lvlOverride>
  </w:num>
  <w:num w16cid:durableId="2098401627" w:numId="7">
    <w:abstractNumId w:val="5"/>
  </w:num>
  <w:num w16cid:durableId="208734112" w:numId="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113132399" w:numId="9">
    <w:abstractNumId w:val="13"/>
  </w:num>
  <w:num w16cid:durableId="1207989204" w:numId="10">
    <w:abstractNumId w:val="14"/>
  </w:num>
  <w:num w16cid:durableId="247469269" w:numId="11">
    <w:abstractNumId w:val="3"/>
  </w:num>
  <w:num w16cid:durableId="239485984" w:numId="12">
    <w:abstractNumId w:val="10"/>
  </w:num>
  <w:num w16cid:durableId="805783271" w:numId="13">
    <w:abstractNumId w:val="8"/>
  </w:num>
  <w:num w16cid:durableId="932519347" w:numId="14">
    <w:abstractNumId w:val="4"/>
  </w:num>
  <w:num w16cid:durableId="652106454" w:numId="15">
    <w:abstractNumId w:val="6"/>
  </w:num>
  <w:num w16cid:durableId="1527713650" w:numId="16">
    <w:abstractNumId w:val="16"/>
  </w:num>
  <w:num w16cid:durableId="554509743" w:numId="17">
    <w:abstractNumId w:val="15"/>
  </w:num>
  <w:num w16cid:durableId="1022168768" w:numId="1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443579039" w:numId="19">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46749121" w:numId="20">
    <w:abstractNumId w:val="11"/>
  </w:num>
  <w:num w16cid:durableId="553584100" w:numId="21">
    <w:abstractNumId w:val="7"/>
    <w:lvlOverride w:ilvl="0">
      <w:startOverride w:val="1"/>
      <w:lvl w:ilvl="0">
        <w:start w:val="1"/>
        <w:numFmt w:val="decimal"/>
        <w:lvlText w:val="%1"/>
        <w:lvlJc w:val="left"/>
        <w:pPr>
          <w:ind w:hanging="720" w:left="720"/>
        </w:pPr>
        <w:rPr>
          <w:rFonts w:hint="default"/>
        </w:rPr>
      </w:lvl>
    </w:lvlOverride>
    <w:lvlOverride w:ilvl="1">
      <w:startOverride w:val="1"/>
      <w:lvl w:ilvl="1">
        <w:start w:val="1"/>
        <w:numFmt w:val="decimal"/>
        <w:lvlText w:val="%1.%2"/>
        <w:lvlJc w:val="left"/>
        <w:pPr>
          <w:ind w:hanging="720" w:left="720"/>
        </w:pPr>
        <w:rPr>
          <w:rFonts w:hint="default"/>
        </w:rPr>
      </w:lvl>
    </w:lvlOverride>
    <w:lvlOverride w:ilvl="2">
      <w:startOverride w:val="1"/>
      <w:lvl w:ilvl="2">
        <w:start w:val="1"/>
        <w:numFmt w:val="decimal"/>
        <w:lvlText w:val="%1.%2.%3"/>
        <w:lvlJc w:val="left"/>
        <w:pPr>
          <w:ind w:hanging="720" w:left="720"/>
        </w:pPr>
        <w:rPr>
          <w:rFonts w:hint="default"/>
        </w:rPr>
      </w:lvl>
    </w:lvlOverride>
    <w:lvlOverride w:ilvl="3">
      <w:startOverride w:val="1"/>
      <w:lvl w:ilvl="3">
        <w:start w:val="1"/>
        <w:numFmt w:val="decimal"/>
        <w:lvlText w:val="%1.%2.%3.%4"/>
        <w:lvlJc w:val="left"/>
        <w:pPr>
          <w:ind w:hanging="720" w:left="720"/>
        </w:pPr>
        <w:rPr>
          <w:rFonts w:hint="default"/>
        </w:rPr>
      </w:lvl>
    </w:lvlOverride>
    <w:lvlOverride w:ilvl="4">
      <w:startOverride w:val="1"/>
      <w:lvl w:ilvl="4">
        <w:start w:val="1"/>
        <w:numFmt w:val="none"/>
        <w:lvlText w:val=""/>
        <w:lvlJc w:val="left"/>
        <w:pPr>
          <w:ind w:hanging="720" w:left="720"/>
        </w:pPr>
        <w:rPr>
          <w:rFonts w:hint="default"/>
        </w:rPr>
      </w:lvl>
    </w:lvlOverride>
    <w:lvlOverride w:ilvl="5">
      <w:startOverride w:val="1"/>
      <w:lvl w:ilvl="5">
        <w:start w:val="1"/>
        <w:numFmt w:val="none"/>
        <w:pStyle w:val="Heading6"/>
        <w:lvlText w:val=""/>
        <w:lvlJc w:val="left"/>
        <w:pPr>
          <w:ind w:hanging="720" w:left="720"/>
        </w:pPr>
        <w:rPr>
          <w:rFonts w:hint="default"/>
        </w:rPr>
      </w:lvl>
    </w:lvlOverride>
    <w:lvlOverride w:ilvl="6">
      <w:startOverride w:val="1"/>
      <w:lvl w:ilvl="6">
        <w:start w:val="1"/>
        <w:numFmt w:val="none"/>
        <w:pStyle w:val="Heading7"/>
        <w:lvlText w:val=""/>
        <w:lvlJc w:val="left"/>
        <w:pPr>
          <w:ind w:hanging="720" w:left="720"/>
        </w:pPr>
        <w:rPr>
          <w:rFonts w:hint="default"/>
        </w:rPr>
      </w:lvl>
    </w:lvlOverride>
    <w:lvlOverride w:ilvl="7">
      <w:startOverride w:val="1"/>
      <w:lvl w:ilvl="7">
        <w:start w:val="1"/>
        <w:numFmt w:val="upperLetter"/>
        <w:pStyle w:val="Heading8"/>
        <w:suff w:val="space"/>
        <w:lvlText w:val="Appendix %8"/>
        <w:lvlJc w:val="left"/>
        <w:pPr>
          <w:ind w:hanging="720" w:left="720"/>
        </w:pPr>
        <w:rPr>
          <w:rFonts w:hint="default"/>
        </w:rPr>
      </w:lvl>
    </w:lvlOverride>
    <w:lvlOverride w:ilvl="8">
      <w:startOverride w:val="1"/>
      <w:lvl w:ilvl="8">
        <w:start w:val="1"/>
        <w:numFmt w:val="decimal"/>
        <w:pStyle w:val="Heading9"/>
        <w:suff w:val="space"/>
        <w:lvlText w:val="Appendix %8%9"/>
        <w:lvlJc w:val="left"/>
        <w:pPr>
          <w:ind w:hanging="720" w:left="720"/>
        </w:pPr>
        <w:rPr>
          <w:rFonts w:hint="default"/>
        </w:rPr>
      </w:lvl>
    </w:lvlOverride>
  </w:num>
  <w:num w16cid:durableId="1046489821" w:numId="22">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260522086" w:numId="23">
    <w:abstractNumId w:val="1"/>
    <w:lvlOverride w:ilvl="0">
      <w:startOverride w:val="1"/>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startOverride w:val="1"/>
      <w:lvl w:ilvl="1">
        <w:start w:val="1"/>
        <w:numFmt w:val="lowerLetter"/>
        <w:pStyle w:val="ListNumber2"/>
        <w:lvlText w:val="(%2)"/>
        <w:lvlJc w:val="left"/>
        <w:pPr>
          <w:tabs>
            <w:tab w:pos="1440" w:val="num"/>
          </w:tabs>
          <w:ind w:hanging="360" w:left="1440"/>
        </w:pPr>
        <w:rPr>
          <w:rFonts w:hint="default"/>
        </w:rPr>
      </w:lvl>
    </w:lvlOverride>
    <w:lvlOverride w:ilvl="2">
      <w:startOverride w:val="1"/>
      <w:lvl w:ilvl="2">
        <w:start w:val="1"/>
        <w:numFmt w:val="decimal"/>
        <w:pStyle w:val="ListNumber3"/>
        <w:lvlText w:val="%3."/>
        <w:lvlJc w:val="left"/>
        <w:pPr>
          <w:tabs>
            <w:tab w:pos="1800" w:val="num"/>
          </w:tabs>
          <w:ind w:hanging="360" w:left="1800"/>
        </w:pPr>
        <w:rPr>
          <w:rFonts w:hint="default"/>
        </w:rPr>
      </w:lvl>
    </w:lvlOverride>
    <w:lvlOverride w:ilvl="3">
      <w:startOverride w:val="1"/>
      <w:lvl w:ilvl="3">
        <w:start w:val="1"/>
        <w:numFmt w:val="lowerLetter"/>
        <w:pStyle w:val="ListNumber4"/>
        <w:lvlText w:val="(%4)"/>
        <w:lvlJc w:val="left"/>
        <w:pPr>
          <w:tabs>
            <w:tab w:pos="2160" w:val="num"/>
          </w:tabs>
          <w:ind w:hanging="360" w:left="2160"/>
        </w:pPr>
        <w:rPr>
          <w:rFonts w:hint="default"/>
        </w:rPr>
      </w:lvl>
    </w:lvlOverride>
    <w:lvlOverride w:ilvl="4">
      <w:startOverride w:val="1"/>
      <w:lvl w:ilvl="4">
        <w:start w:val="1"/>
        <w:numFmt w:val="lowerRoman"/>
        <w:pStyle w:val="ListNumber5"/>
        <w:lvlText w:val="(%5)"/>
        <w:lvlJc w:val="left"/>
        <w:pPr>
          <w:tabs>
            <w:tab w:pos="2520" w:val="num"/>
          </w:tabs>
          <w:ind w:hanging="360" w:left="2520"/>
        </w:pPr>
        <w:rPr>
          <w:rFonts w:hint="default"/>
        </w:rPr>
      </w:lvl>
    </w:lvlOverride>
    <w:lvlOverride w:ilvl="5">
      <w:startOverride w:val="1"/>
      <w:lvl w:ilvl="5">
        <w:start w:val="1"/>
        <w:numFmt w:val="none"/>
        <w:lvlText w:val=""/>
        <w:lvlJc w:val="left"/>
        <w:pPr>
          <w:tabs>
            <w:tab w:pos="2880" w:val="num"/>
          </w:tabs>
          <w:ind w:hanging="360" w:left="2880"/>
        </w:pPr>
        <w:rPr>
          <w:rFonts w:hint="default"/>
        </w:rPr>
      </w:lvl>
    </w:lvlOverride>
    <w:lvlOverride w:ilvl="6">
      <w:startOverride w:val="1"/>
      <w:lvl w:ilvl="6">
        <w:start w:val="1"/>
        <w:numFmt w:val="none"/>
        <w:lvlText w:val=""/>
        <w:lvlJc w:val="left"/>
        <w:pPr>
          <w:tabs>
            <w:tab w:pos="3240" w:val="num"/>
          </w:tabs>
          <w:ind w:hanging="360" w:left="3240"/>
        </w:pPr>
        <w:rPr>
          <w:rFonts w:hint="default"/>
        </w:rPr>
      </w:lvl>
    </w:lvlOverride>
    <w:lvlOverride w:ilvl="7">
      <w:startOverride w:val="1"/>
      <w:lvl w:ilvl="7">
        <w:start w:val="1"/>
        <w:numFmt w:val="none"/>
        <w:lvlText w:val=""/>
        <w:lvlJc w:val="left"/>
        <w:pPr>
          <w:tabs>
            <w:tab w:pos="2880" w:val="num"/>
          </w:tabs>
          <w:ind w:hanging="360" w:left="3600"/>
        </w:pPr>
        <w:rPr>
          <w:rFonts w:hint="default"/>
        </w:rPr>
      </w:lvl>
    </w:lvlOverride>
    <w:lvlOverride w:ilvl="8">
      <w:startOverride w:val="1"/>
      <w:lvl w:ilvl="8">
        <w:start w:val="1"/>
        <w:numFmt w:val="none"/>
        <w:lvlText w:val=""/>
        <w:lvlJc w:val="left"/>
        <w:pPr>
          <w:tabs>
            <w:tab w:pos="3960" w:val="num"/>
          </w:tabs>
          <w:ind w:hanging="360" w:left="3960"/>
        </w:pPr>
        <w:rPr>
          <w:rFonts w:hint="default"/>
        </w:rPr>
      </w:lvl>
    </w:lvlOverride>
  </w:num>
  <w:num w16cid:durableId="1692023087" w:numId="24">
    <w:abstractNumId w:val="1"/>
  </w:num>
  <w:num w:numId="1000">
    <w:abstractNumId w:val="990"/>
  </w:num>
  <w:num w:numId="1001" w16cid:durableId="199904699">
    <w:abstractNumId w:val="992"/>
  </w:num>
  <w:num w:numId="1002" w16cid:durableId="926622198">
    <w:abstractNumId w:val="991"/>
    <w:lvlOverride w:ilvl="0">
      <w:lvl w:ilvl="0">
        <w:start w:val="1"/>
        <w:numFmt w:val="decimal"/>
        <w:pStyle w:val="SRKHeading1"/>
        <w:lvlText w:val="%1"/>
        <w:lvlJc w:val="left"/>
        <w:pPr>
          <w:ind w:left="720" w:hanging="720"/>
        </w:pPr>
        <w:rPr>
          <w:rFonts w:hint="default"/>
        </w:rPr>
      </w:lvl>
    </w:lvlOverride>
    <w:lvlOverride w:ilvl="1">
      <w:lvl w:ilvl="1">
        <w:start w:val="1"/>
        <w:numFmt w:val="decimal"/>
        <w:pStyle w:val="SRKHeading2"/>
        <w:lvlText w:val="%1.%2"/>
        <w:lvlJc w:val="left"/>
        <w:pPr>
          <w:ind w:left="720" w:hanging="720"/>
        </w:pPr>
        <w:rPr>
          <w:rFonts w:hint="default"/>
        </w:rPr>
      </w:lvl>
    </w:lvlOverride>
    <w:lvlOverride w:ilvl="2">
      <w:lvl w:ilvl="2">
        <w:start w:val="1"/>
        <w:numFmt w:val="decimal"/>
        <w:pStyle w:val="SRK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none"/>
        <w:lvlText w:val=""/>
        <w:lvlJc w:val="left"/>
        <w:pPr>
          <w:ind w:left="720" w:hanging="720"/>
        </w:pPr>
        <w:rPr>
          <w:rFonts w:hint="default"/>
        </w:rPr>
      </w:lvl>
    </w:lvlOverride>
    <w:lvlOverride w:ilvl="5">
      <w:lvl w:ilvl="5">
        <w:start w:val="1"/>
        <w:numFmt w:val="none"/>
        <w:pStyle w:val="SRKHeading6"/>
        <w:lvlText w:val=""/>
        <w:lvlJc w:val="left"/>
        <w:pPr>
          <w:ind w:left="720" w:hanging="720"/>
        </w:pPr>
        <w:rPr>
          <w:rFonts w:hint="default"/>
        </w:rPr>
      </w:lvl>
    </w:lvlOverride>
    <w:lvlOverride w:ilvl="6">
      <w:lvl w:ilvl="6">
        <w:start w:val="1"/>
        <w:numFmt w:val="none"/>
        <w:pStyle w:val="SRKHeading7"/>
        <w:lvlText w:val=""/>
        <w:lvlJc w:val="left"/>
        <w:pPr>
          <w:ind w:left="720" w:hanging="720"/>
        </w:pPr>
        <w:rPr>
          <w:rFonts w:hint="default"/>
        </w:rPr>
      </w:lvl>
    </w:lvlOverride>
    <w:lvlOverride w:ilvl="7">
      <w:lvl w:ilvl="7">
        <w:start w:val="1"/>
        <w:numFmt w:val="upperLetter"/>
        <w:pStyle w:val="SRKHeading8"/>
        <w:suff w:val="space"/>
        <w:lvlText w:val="Appendix %8"/>
        <w:lvlJc w:val="left"/>
        <w:pPr>
          <w:ind w:left="720" w:hanging="720"/>
        </w:pPr>
      </w:lvl>
    </w:lvlOverride>
    <w:lvlOverride w:ilvl="8">
      <w:lvl w:ilvl="8">
        <w:start w:val="1"/>
        <w:numFmt w:val="decimal"/>
        <w:pStyle w:val="SRKHeading9"/>
        <w:suff w:val="space"/>
        <w:lvlText w:val="Appendix %8%9"/>
        <w:lvlJc w:val="left"/>
        <w:pPr>
          <w:ind w:left="5940" w:hanging="720"/>
        </w:pPr>
      </w:lvl>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ja-JP"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rk-cover-footer.xml><?xml version="1.0" encoding="utf-8"?>
<w:ftr xmlns:w="http://schemas.openxmlformats.org/wordprocessingml/2006/main">
  <w:p/>
</w:ftr>
</file>

<file path=word/srk-empty-footer.xml><?xml version="1.0" encoding="utf-8"?>
<w:ftr xmlns:w="http://schemas.openxmlformats.org/wordprocessingml/2006/main">
  <w:p/>
</w:ftr>
</file>

<file path=word/srk-empty-header.xml><?xml version="1.0" encoding="utf-8"?>
<w:hdr xmlns:w="http://schemas.openxmlformats.org/wordprocessingml/2006/main">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28"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qFormat="1" w:semiHidden="1" w:unhideWhenUsed="1"/>
    <w:lsdException w:name="List Number 3" w:qFormat="1" w:semiHidden="1" w:unhideWhenUsed="1"/>
    <w:lsdException w:name="List Number 4" w:qFormat="1" w:semiHidden="1" w:unhideWhenUsed="1"/>
    <w:lsdException w:name="List Number 5" w:qFormat="1"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qFormat="1"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rsid w:val="00A9285F"/>
    <w:pPr>
      <w:spacing w:after="0"/>
    </w:pPr>
    <w:rPr>
      <w:rFonts w:ascii="Arial" w:hAnsi="Arial"/>
      <w:sz w:val="20"/>
    </w:rPr>
  </w:style>
  <w:style w:styleId="Heading1" w:type="paragraph">
    <w:name w:val="heading 1"/>
    <w:next w:val="BodyText"/>
    <w:link w:val="Heading1Char"/>
    <w:uiPriority w:val="9"/>
    <w:qFormat/>
    <w:rsid w:val="00F93B17"/>
    <w:pPr>
      <w:keepNext/>
      <w:keepLines/>
      <w:tabs>
        <w:tab w:pos="720" w:val="left"/>
      </w:tabs>
      <w:spacing w:after="240" w:before="240" w:line="240" w:lineRule="auto"/>
      <w:ind w:hanging="720" w:left="720"/>
      <w:outlineLvl w:val="0"/>
    </w:pPr>
    <w:rPr>
      <w:rFonts w:ascii="Arial" w:cstheme="majorBidi" w:eastAsiaTheme="majorEastAsia" w:hAnsi="Arial"/>
      <w:b/>
      <w:bCs/>
      <w:sz w:val="32"/>
      <w:szCs w:val="28"/>
    </w:rPr>
  </w:style>
  <w:style w:styleId="Heading2" w:type="paragraph">
    <w:name w:val="heading 2"/>
    <w:next w:val="BodyText"/>
    <w:link w:val="Heading2Char"/>
    <w:qFormat/>
    <w:rsid w:val="00FE731A"/>
    <w:pPr>
      <w:keepNext/>
      <w:keepLines/>
      <w:tabs>
        <w:tab w:pos="720" w:val="left"/>
      </w:tabs>
      <w:spacing w:after="240" w:line="240" w:lineRule="auto"/>
      <w:ind w:hanging="720" w:left="720"/>
      <w:outlineLvl w:val="1"/>
    </w:pPr>
    <w:rPr>
      <w:rFonts w:ascii="Arial" w:cstheme="majorBidi" w:eastAsiaTheme="majorEastAsia" w:hAnsi="Arial"/>
      <w:b/>
      <w:bCs/>
      <w:sz w:val="24"/>
      <w:szCs w:val="26"/>
    </w:rPr>
  </w:style>
  <w:style w:styleId="Heading3" w:type="paragraph">
    <w:name w:val="heading 3"/>
    <w:next w:val="BodyText"/>
    <w:link w:val="Heading3Char"/>
    <w:qFormat/>
    <w:rsid w:val="00FE731A"/>
    <w:pPr>
      <w:keepNext/>
      <w:keepLines/>
      <w:tabs>
        <w:tab w:pos="720" w:val="left"/>
      </w:tabs>
      <w:spacing w:after="240" w:line="240" w:lineRule="auto"/>
      <w:ind w:hanging="720" w:left="720"/>
      <w:outlineLvl w:val="2"/>
    </w:pPr>
    <w:rPr>
      <w:rFonts w:ascii="Arial" w:cstheme="majorBidi" w:eastAsiaTheme="majorEastAsia" w:hAnsi="Arial"/>
      <w:b/>
      <w:bCs/>
      <w:sz w:val="20"/>
    </w:rPr>
  </w:style>
  <w:style w:styleId="Heading4" w:type="paragraph">
    <w:name w:val="heading 4"/>
    <w:next w:val="BodyText"/>
    <w:link w:val="Heading4Char"/>
    <w:qFormat/>
    <w:rsid w:val="00EE5D6C"/>
    <w:pPr>
      <w:keepNext/>
      <w:keepLines/>
      <w:spacing w:after="240" w:line="240" w:lineRule="auto"/>
      <w:ind w:left="720"/>
      <w:outlineLvl w:val="3"/>
    </w:pPr>
    <w:rPr>
      <w:rFonts w:ascii="Arial" w:cstheme="majorBidi" w:eastAsiaTheme="majorEastAsia" w:hAnsi="Arial"/>
      <w:b/>
      <w:bCs/>
      <w:iCs/>
      <w:sz w:val="20"/>
    </w:rPr>
  </w:style>
  <w:style w:styleId="Heading5" w:type="paragraph">
    <w:name w:val="heading 5"/>
    <w:next w:val="BodyText"/>
    <w:link w:val="Heading5Char"/>
    <w:uiPriority w:val="1"/>
    <w:qFormat/>
    <w:rsid w:val="009976EC"/>
    <w:pPr>
      <w:keepNext/>
      <w:keepLines/>
      <w:spacing w:after="240" w:line="240" w:lineRule="auto"/>
      <w:ind w:left="720"/>
      <w:outlineLvl w:val="4"/>
    </w:pPr>
    <w:rPr>
      <w:rFonts w:ascii="Arial" w:cstheme="majorBidi" w:eastAsiaTheme="majorEastAsia" w:hAnsi="Arial"/>
      <w:sz w:val="20"/>
    </w:rPr>
  </w:style>
  <w:style w:styleId="Heading6" w:type="paragraph">
    <w:name w:val="heading 6"/>
    <w:next w:val="BodyText"/>
    <w:link w:val="Heading6Char"/>
    <w:uiPriority w:val="1"/>
    <w:qFormat/>
    <w:rsid w:val="00FE731A"/>
    <w:pPr>
      <w:keepNext/>
      <w:keepLines/>
      <w:numPr>
        <w:ilvl w:val="5"/>
        <w:numId w:val="6"/>
      </w:numPr>
      <w:spacing w:after="240" w:line="240" w:lineRule="auto"/>
      <w:outlineLvl w:val="5"/>
    </w:pPr>
    <w:rPr>
      <w:rFonts w:ascii="Arial" w:cstheme="majorBidi" w:eastAsiaTheme="majorEastAsia" w:hAnsi="Arial"/>
      <w:i/>
      <w:iCs/>
      <w:sz w:val="20"/>
    </w:rPr>
  </w:style>
  <w:style w:styleId="Heading7" w:type="paragraph">
    <w:name w:val="heading 7"/>
    <w:next w:val="BodyText"/>
    <w:link w:val="Heading7Char"/>
    <w:uiPriority w:val="1"/>
    <w:qFormat/>
    <w:rsid w:val="00FE731A"/>
    <w:pPr>
      <w:keepNext/>
      <w:keepLines/>
      <w:numPr>
        <w:ilvl w:val="6"/>
        <w:numId w:val="6"/>
      </w:numPr>
      <w:spacing w:after="240" w:line="240" w:lineRule="auto"/>
      <w:outlineLvl w:val="6"/>
    </w:pPr>
    <w:rPr>
      <w:rFonts w:ascii="Arial" w:cstheme="majorBidi" w:eastAsiaTheme="majorEastAsia" w:hAnsi="Arial"/>
      <w:iCs/>
      <w:sz w:val="20"/>
      <w:u w:val="single"/>
    </w:rPr>
  </w:style>
  <w:style w:styleId="Heading8" w:type="paragraph">
    <w:name w:val="heading 8"/>
    <w:next w:val="BodyText"/>
    <w:link w:val="Heading8Char"/>
    <w:uiPriority w:val="1"/>
    <w:qFormat/>
    <w:rsid w:val="007F4D23"/>
    <w:pPr>
      <w:keepNext/>
      <w:keepLines/>
      <w:numPr>
        <w:ilvl w:val="7"/>
        <w:numId w:val="6"/>
      </w:numPr>
      <w:pBdr>
        <w:bottom w:color="auto" w:space="1" w:sz="4" w:val="single"/>
      </w:pBdr>
      <w:spacing w:after="0" w:line="240" w:lineRule="auto"/>
      <w:jc w:val="right"/>
      <w:outlineLvl w:val="7"/>
    </w:pPr>
    <w:rPr>
      <w:rFonts w:ascii="Arial" w:cstheme="majorBidi" w:eastAsiaTheme="majorEastAsia" w:hAnsi="Arial"/>
      <w:b/>
      <w:bCs/>
      <w:sz w:val="26"/>
      <w:szCs w:val="20"/>
    </w:rPr>
  </w:style>
  <w:style w:styleId="Heading9" w:type="paragraph">
    <w:name w:val="heading 9"/>
    <w:next w:val="BodyText"/>
    <w:link w:val="Heading9Char"/>
    <w:uiPriority w:val="1"/>
    <w:qFormat/>
    <w:rsid w:val="00A95C6D"/>
    <w:pPr>
      <w:keepNext/>
      <w:keepLines/>
      <w:numPr>
        <w:ilvl w:val="8"/>
        <w:numId w:val="6"/>
      </w:numPr>
      <w:pBdr>
        <w:bottom w:color="auto" w:space="1" w:sz="4" w:val="single"/>
      </w:pBdr>
      <w:spacing w:after="0" w:line="240" w:lineRule="auto"/>
      <w:jc w:val="right"/>
      <w:outlineLvl w:val="8"/>
    </w:pPr>
    <w:rPr>
      <w:rFonts w:ascii="Arial" w:cstheme="majorBidi" w:eastAsiaTheme="majorEastAsia" w:hAnsi="Arial"/>
      <w:b/>
      <w:iCs/>
      <w:sz w:val="26"/>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qFormat/>
    <w:rsid w:val="00090F41"/>
    <w:pPr>
      <w:tabs>
        <w:tab w:pos="4680" w:val="center"/>
        <w:tab w:pos="9360" w:val="right"/>
      </w:tabs>
      <w:spacing w:line="240" w:lineRule="auto"/>
    </w:pPr>
    <w:rPr>
      <w:sz w:val="16"/>
    </w:rPr>
  </w:style>
  <w:style w:customStyle="1" w:styleId="HeaderChar" w:type="character">
    <w:name w:val="Header Char"/>
    <w:basedOn w:val="DefaultParagraphFont"/>
    <w:link w:val="Header"/>
    <w:rsid w:val="00FB4F77"/>
    <w:rPr>
      <w:rFonts w:ascii="Arial" w:hAnsi="Arial"/>
      <w:sz w:val="16"/>
    </w:rPr>
  </w:style>
  <w:style w:styleId="Footer" w:type="paragraph">
    <w:name w:val="footer"/>
    <w:basedOn w:val="Normal"/>
    <w:link w:val="FooterChar"/>
    <w:qFormat/>
    <w:rsid w:val="00A612D0"/>
    <w:pPr>
      <w:tabs>
        <w:tab w:pos="4680" w:val="center"/>
        <w:tab w:pos="9360" w:val="right"/>
      </w:tabs>
      <w:spacing w:line="240" w:lineRule="auto"/>
    </w:pPr>
    <w:rPr>
      <w:sz w:val="12"/>
    </w:rPr>
  </w:style>
  <w:style w:customStyle="1" w:styleId="FooterChar" w:type="character">
    <w:name w:val="Footer Char"/>
    <w:basedOn w:val="DefaultParagraphFont"/>
    <w:link w:val="Footer"/>
    <w:rsid w:val="00A612D0"/>
    <w:rPr>
      <w:rFonts w:ascii="Arial" w:hAnsi="Arial"/>
      <w:sz w:val="12"/>
    </w:rPr>
  </w:style>
  <w:style w:styleId="TableGrid" w:type="table">
    <w:name w:val="Table Grid"/>
    <w:basedOn w:val="TableNormal"/>
    <w:rsid w:val="00B33DB6"/>
    <w:pPr>
      <w:spacing w:after="0" w:line="240" w:lineRule="auto"/>
    </w:pPr>
    <w:rPr>
      <w:rFonts w:ascii="Arial" w:hAnsi="Arial"/>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58"/>
        <w:left w:type="dxa" w:w="58"/>
        <w:bottom w:type="dxa" w:w="58"/>
        <w:right w:type="dxa" w:w="58"/>
      </w:tblCellMar>
    </w:tblPr>
  </w:style>
  <w:style w:styleId="NoSpacing" w:type="paragraph">
    <w:name w:val="No Spacing"/>
    <w:aliases w:val="±NoSpacing,±BaseStyle"/>
    <w:link w:val="NoSpacingChar"/>
    <w:qFormat/>
    <w:rsid w:val="00F51C8D"/>
    <w:pPr>
      <w:spacing w:after="0" w:line="240" w:lineRule="auto"/>
    </w:pPr>
    <w:rPr>
      <w:rFonts w:eastAsiaTheme="minorEastAsia"/>
      <w:lang w:eastAsia="ja-JP" w:val="en"/>
    </w:rPr>
  </w:style>
  <w:style w:customStyle="1" w:styleId="NoSpacingChar" w:type="character">
    <w:name w:val="No Spacing Char"/>
    <w:aliases w:val="±NoSpacing Char,±BaseStyle Char"/>
    <w:basedOn w:val="DefaultParagraphFont"/>
    <w:link w:val="NoSpacing"/>
    <w:rsid w:val="00DA0304"/>
    <w:rPr>
      <w:rFonts w:eastAsiaTheme="minorEastAsia"/>
      <w:lang w:eastAsia="ja-JP" w:val="en"/>
    </w:rPr>
  </w:style>
  <w:style w:styleId="BalloonText" w:type="paragraph">
    <w:name w:val="Balloon Text"/>
    <w:basedOn w:val="Normal"/>
    <w:link w:val="BalloonTextChar"/>
    <w:uiPriority w:val="99"/>
    <w:semiHidden/>
    <w:unhideWhenUsed/>
    <w:rsid w:val="00F51C8D"/>
    <w:pPr>
      <w:spacing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51C8D"/>
    <w:rPr>
      <w:rFonts w:ascii="Tahoma" w:cs="Tahoma" w:hAnsi="Tahoma"/>
      <w:sz w:val="16"/>
      <w:szCs w:val="16"/>
    </w:rPr>
  </w:style>
  <w:style w:customStyle="1" w:styleId="Cover1" w:type="paragraph">
    <w:name w:val="Cover 1"/>
    <w:next w:val="Normal"/>
    <w:uiPriority w:val="1"/>
    <w:rsid w:val="00F34958"/>
    <w:pPr>
      <w:spacing w:after="0" w:line="240" w:lineRule="auto"/>
    </w:pPr>
    <w:rPr>
      <w:rFonts w:ascii="Arial" w:hAnsi="Arial"/>
      <w:sz w:val="48"/>
    </w:rPr>
  </w:style>
  <w:style w:styleId="PlaceholderText" w:type="character">
    <w:name w:val="Placeholder Text"/>
    <w:basedOn w:val="DefaultParagraphFont"/>
    <w:uiPriority w:val="99"/>
    <w:semiHidden/>
    <w:rsid w:val="00FC2730"/>
    <w:rPr>
      <w:color w:val="808080"/>
    </w:rPr>
  </w:style>
  <w:style w:styleId="Strong" w:type="character">
    <w:name w:val="Strong"/>
    <w:basedOn w:val="DefaultParagraphFont"/>
    <w:uiPriority w:val="22"/>
    <w:qFormat/>
    <w:rsid w:val="000B4AE4"/>
    <w:rPr>
      <w:b/>
      <w:bCs/>
    </w:rPr>
  </w:style>
  <w:style w:customStyle="1" w:styleId="Cover3" w:type="paragraph">
    <w:name w:val="Cover 3"/>
    <w:next w:val="Normal"/>
    <w:uiPriority w:val="1"/>
    <w:rsid w:val="00F34958"/>
    <w:pPr>
      <w:spacing w:after="0" w:line="240" w:lineRule="auto"/>
    </w:pPr>
    <w:rPr>
      <w:rFonts w:ascii="Arial" w:hAnsi="Arial"/>
      <w:sz w:val="36"/>
    </w:rPr>
  </w:style>
  <w:style w:customStyle="1" w:styleId="Cover2" w:type="paragraph">
    <w:name w:val="Cover 2"/>
    <w:next w:val="Normal"/>
    <w:uiPriority w:val="1"/>
    <w:rsid w:val="008048AE"/>
    <w:rPr>
      <w:rFonts w:ascii="Arial" w:hAnsi="Arial"/>
      <w:sz w:val="42"/>
    </w:rPr>
  </w:style>
  <w:style w:customStyle="1" w:styleId="Cover4" w:type="paragraph">
    <w:name w:val="Cover 4"/>
    <w:next w:val="Normal"/>
    <w:uiPriority w:val="1"/>
    <w:rsid w:val="006B1045"/>
    <w:rPr>
      <w:rFonts w:ascii="Arial" w:hAnsi="Arial"/>
      <w:sz w:val="30"/>
    </w:rPr>
  </w:style>
  <w:style w:styleId="BodyText" w:type="paragraph">
    <w:name w:val="Body Text"/>
    <w:link w:val="BodyTextChar"/>
    <w:qFormat/>
    <w:rsid w:val="007B7100"/>
    <w:pPr>
      <w:spacing w:after="240" w:line="300" w:lineRule="auto"/>
      <w:ind w:left="720"/>
    </w:pPr>
    <w:rPr>
      <w:rFonts w:ascii="Arial" w:hAnsi="Arial"/>
      <w:sz w:val="20"/>
    </w:rPr>
  </w:style>
  <w:style w:customStyle="1" w:styleId="BodyTextChar" w:type="character">
    <w:name w:val="Body Text Char"/>
    <w:basedOn w:val="DefaultParagraphFont"/>
    <w:link w:val="BodyText"/>
    <w:rsid w:val="00DA0304"/>
    <w:rPr>
      <w:rFonts w:ascii="Arial" w:hAnsi="Arial"/>
      <w:sz w:val="20"/>
    </w:rPr>
  </w:style>
  <w:style w:customStyle="1" w:styleId="Headings" w:type="numbering">
    <w:name w:val="Headings"/>
    <w:uiPriority w:val="99"/>
    <w:rsid w:val="00FE731A"/>
    <w:pPr>
      <w:numPr>
        <w:numId w:val="1"/>
      </w:numPr>
    </w:pPr>
  </w:style>
  <w:style w:customStyle="1" w:styleId="Heading1Char" w:type="character">
    <w:name w:val="Heading 1 Char"/>
    <w:basedOn w:val="DefaultParagraphFont"/>
    <w:link w:val="Heading1"/>
    <w:uiPriority w:val="9"/>
    <w:rsid w:val="00F93B17"/>
    <w:rPr>
      <w:rFonts w:ascii="Arial" w:cstheme="majorBidi" w:eastAsiaTheme="majorEastAsia" w:hAnsi="Arial"/>
      <w:b/>
      <w:bCs/>
      <w:sz w:val="32"/>
      <w:szCs w:val="28"/>
    </w:rPr>
  </w:style>
  <w:style w:customStyle="1" w:styleId="Heading2Char" w:type="character">
    <w:name w:val="Heading 2 Char"/>
    <w:basedOn w:val="DefaultParagraphFont"/>
    <w:link w:val="Heading2"/>
    <w:rsid w:val="00FE731A"/>
    <w:rPr>
      <w:rFonts w:ascii="Arial" w:cstheme="majorBidi" w:eastAsiaTheme="majorEastAsia" w:hAnsi="Arial"/>
      <w:b/>
      <w:bCs/>
      <w:sz w:val="24"/>
      <w:szCs w:val="26"/>
    </w:rPr>
  </w:style>
  <w:style w:customStyle="1" w:styleId="Heading3Char" w:type="character">
    <w:name w:val="Heading 3 Char"/>
    <w:basedOn w:val="DefaultParagraphFont"/>
    <w:link w:val="Heading3"/>
    <w:rsid w:val="00FE731A"/>
    <w:rPr>
      <w:rFonts w:ascii="Arial" w:cstheme="majorBidi" w:eastAsiaTheme="majorEastAsia" w:hAnsi="Arial"/>
      <w:b/>
      <w:bCs/>
      <w:sz w:val="20"/>
    </w:rPr>
  </w:style>
  <w:style w:customStyle="1" w:styleId="Heading4Char" w:type="character">
    <w:name w:val="Heading 4 Char"/>
    <w:basedOn w:val="DefaultParagraphFont"/>
    <w:link w:val="Heading4"/>
    <w:rsid w:val="00DA0304"/>
    <w:rPr>
      <w:rFonts w:ascii="Arial" w:cstheme="majorBidi" w:eastAsiaTheme="majorEastAsia" w:hAnsi="Arial"/>
      <w:b/>
      <w:bCs/>
      <w:iCs/>
      <w:sz w:val="20"/>
    </w:rPr>
  </w:style>
  <w:style w:customStyle="1" w:styleId="Heading5Char" w:type="character">
    <w:name w:val="Heading 5 Char"/>
    <w:basedOn w:val="DefaultParagraphFont"/>
    <w:link w:val="Heading5"/>
    <w:uiPriority w:val="1"/>
    <w:rsid w:val="009B6A67"/>
    <w:rPr>
      <w:rFonts w:ascii="Arial" w:cstheme="majorBidi" w:eastAsiaTheme="majorEastAsia" w:hAnsi="Arial"/>
      <w:sz w:val="20"/>
    </w:rPr>
  </w:style>
  <w:style w:customStyle="1" w:styleId="Heading6Char" w:type="character">
    <w:name w:val="Heading 6 Char"/>
    <w:basedOn w:val="DefaultParagraphFont"/>
    <w:link w:val="Heading6"/>
    <w:rsid w:val="00FE731A"/>
    <w:rPr>
      <w:rFonts w:ascii="Arial" w:cstheme="majorBidi" w:eastAsiaTheme="majorEastAsia" w:hAnsi="Arial"/>
      <w:i/>
      <w:iCs/>
      <w:sz w:val="20"/>
    </w:rPr>
  </w:style>
  <w:style w:customStyle="1" w:styleId="Heading7Char" w:type="character">
    <w:name w:val="Heading 7 Char"/>
    <w:basedOn w:val="DefaultParagraphFont"/>
    <w:link w:val="Heading7"/>
    <w:uiPriority w:val="1"/>
    <w:rsid w:val="00FE731A"/>
    <w:rPr>
      <w:rFonts w:ascii="Arial" w:cstheme="majorBidi" w:eastAsiaTheme="majorEastAsia" w:hAnsi="Arial"/>
      <w:iCs/>
      <w:sz w:val="20"/>
      <w:u w:val="single"/>
    </w:rPr>
  </w:style>
  <w:style w:customStyle="1" w:styleId="Heading8Char" w:type="character">
    <w:name w:val="Heading 8 Char"/>
    <w:basedOn w:val="DefaultParagraphFont"/>
    <w:link w:val="Heading8"/>
    <w:uiPriority w:val="1"/>
    <w:rsid w:val="007F4D23"/>
    <w:rPr>
      <w:rFonts w:ascii="Arial" w:cstheme="majorBidi" w:eastAsiaTheme="majorEastAsia" w:hAnsi="Arial"/>
      <w:b/>
      <w:bCs/>
      <w:sz w:val="26"/>
      <w:szCs w:val="20"/>
    </w:rPr>
  </w:style>
  <w:style w:customStyle="1" w:styleId="Heading9Char" w:type="character">
    <w:name w:val="Heading 9 Char"/>
    <w:basedOn w:val="DefaultParagraphFont"/>
    <w:link w:val="Heading9"/>
    <w:uiPriority w:val="1"/>
    <w:rsid w:val="00A95C6D"/>
    <w:rPr>
      <w:rFonts w:ascii="Arial" w:cstheme="majorBidi" w:eastAsiaTheme="majorEastAsia" w:hAnsi="Arial"/>
      <w:b/>
      <w:iCs/>
      <w:sz w:val="26"/>
      <w:szCs w:val="20"/>
    </w:rPr>
  </w:style>
  <w:style w:styleId="TOC2" w:type="paragraph">
    <w:name w:val="toc 2"/>
    <w:next w:val="Normal"/>
    <w:autoRedefine/>
    <w:uiPriority w:val="39"/>
    <w:unhideWhenUsed/>
    <w:rsid w:val="00795836"/>
    <w:pPr>
      <w:tabs>
        <w:tab w:pos="900" w:val="left"/>
        <w:tab w:leader="dot" w:pos="9350" w:val="right"/>
      </w:tabs>
      <w:spacing w:after="120" w:line="240" w:lineRule="auto"/>
      <w:ind w:hanging="864" w:left="1296"/>
    </w:pPr>
    <w:rPr>
      <w:rFonts w:ascii="Arial" w:hAnsi="Arial"/>
      <w:sz w:val="20"/>
    </w:rPr>
  </w:style>
  <w:style w:styleId="Hyperlink" w:type="character">
    <w:name w:val="Hyperlink"/>
    <w:basedOn w:val="DefaultParagraphFont"/>
    <w:uiPriority w:val="99"/>
    <w:unhideWhenUsed/>
    <w:rsid w:val="00A93B31"/>
    <w:rPr>
      <w:color w:themeColor="hyperlink" w:val="0000FF"/>
      <w:u w:val="single"/>
    </w:rPr>
  </w:style>
  <w:style w:styleId="TOCHeading" w:type="paragraph">
    <w:name w:val="TOC Heading"/>
    <w:basedOn w:val="Heading1"/>
    <w:next w:val="Normal"/>
    <w:uiPriority w:val="39"/>
    <w:unhideWhenUsed/>
    <w:qFormat/>
    <w:rsid w:val="00A93B31"/>
    <w:pPr>
      <w:numPr>
        <w:numId w:val="0"/>
      </w:numPr>
      <w:outlineLvl w:val="9"/>
    </w:pPr>
    <w:rPr>
      <w:lang w:eastAsia="ja-JP" w:val="en"/>
    </w:rPr>
  </w:style>
  <w:style w:styleId="TOC1" w:type="paragraph">
    <w:name w:val="toc 1"/>
    <w:next w:val="Normal"/>
    <w:autoRedefine/>
    <w:uiPriority w:val="39"/>
    <w:unhideWhenUsed/>
    <w:rsid w:val="00795836"/>
    <w:pPr>
      <w:tabs>
        <w:tab w:pos="720" w:val="left"/>
        <w:tab w:leader="dot" w:pos="9350" w:val="right"/>
      </w:tabs>
      <w:spacing w:after="120" w:line="240" w:lineRule="auto"/>
      <w:ind w:hanging="432" w:left="432"/>
    </w:pPr>
    <w:rPr>
      <w:rFonts w:ascii="Arial" w:eastAsiaTheme="minorEastAsia" w:hAnsi="Arial"/>
      <w:b/>
      <w:lang w:eastAsia="ja-JP" w:val="en"/>
    </w:rPr>
  </w:style>
  <w:style w:styleId="TOC3" w:type="paragraph">
    <w:name w:val="toc 3"/>
    <w:next w:val="Normal"/>
    <w:autoRedefine/>
    <w:uiPriority w:val="39"/>
    <w:unhideWhenUsed/>
    <w:rsid w:val="00795836"/>
    <w:pPr>
      <w:tabs>
        <w:tab w:pos="1440" w:val="left"/>
        <w:tab w:leader="dot" w:pos="9350" w:val="right"/>
      </w:tabs>
      <w:spacing w:after="120" w:line="240" w:lineRule="auto"/>
      <w:ind w:hanging="1296" w:left="2160"/>
    </w:pPr>
    <w:rPr>
      <w:rFonts w:ascii="Arial" w:eastAsiaTheme="minorEastAsia" w:hAnsi="Arial"/>
      <w:sz w:val="20"/>
      <w:lang w:eastAsia="ja-JP" w:val="en"/>
    </w:rPr>
  </w:style>
  <w:style w:styleId="TOC4" w:type="paragraph">
    <w:name w:val="toc 4"/>
    <w:basedOn w:val="Normal"/>
    <w:next w:val="Normal"/>
    <w:autoRedefine/>
    <w:uiPriority w:val="39"/>
    <w:semiHidden/>
    <w:unhideWhenUsed/>
    <w:rsid w:val="00795836"/>
    <w:pPr>
      <w:spacing w:after="120" w:line="240" w:lineRule="auto"/>
      <w:ind w:hanging="1728" w:left="3024"/>
    </w:pPr>
  </w:style>
  <w:style w:styleId="BodyText3" w:type="paragraph">
    <w:name w:val="Body Text 3"/>
    <w:basedOn w:val="BodyText"/>
    <w:link w:val="BodyText3Char"/>
    <w:qFormat/>
    <w:rsid w:val="00126AF9"/>
    <w:pPr>
      <w:spacing w:after="120" w:line="240" w:lineRule="auto"/>
      <w:jc w:val="both"/>
    </w:pPr>
    <w:rPr>
      <w:sz w:val="16"/>
      <w:szCs w:val="16"/>
    </w:rPr>
  </w:style>
  <w:style w:styleId="Caption" w:type="paragraph">
    <w:name w:val="caption"/>
    <w:aliases w:val="±Caption"/>
    <w:basedOn w:val="Normal"/>
    <w:next w:val="Normal"/>
    <w:link w:val="CaptionChar"/>
    <w:uiPriority w:val="28"/>
    <w:qFormat/>
    <w:rsid w:val="006B7D5A"/>
    <w:pPr>
      <w:tabs>
        <w:tab w:pos="1800" w:val="left"/>
      </w:tabs>
      <w:spacing w:after="240" w:before="120" w:line="240" w:lineRule="auto"/>
      <w:ind w:hanging="1080" w:left="1800"/>
    </w:pPr>
    <w:rPr>
      <w:b/>
      <w:bCs/>
      <w:sz w:val="18"/>
      <w:szCs w:val="18"/>
    </w:rPr>
  </w:style>
  <w:style w:styleId="NormalIndent" w:type="paragraph">
    <w:name w:val="Normal Indent"/>
    <w:basedOn w:val="Normal"/>
    <w:uiPriority w:val="99"/>
    <w:unhideWhenUsed/>
    <w:rsid w:val="00F60C4E"/>
    <w:pPr>
      <w:ind w:left="720"/>
    </w:pPr>
  </w:style>
  <w:style w:styleId="TableofFigures" w:type="paragraph">
    <w:name w:val="table of figures"/>
    <w:basedOn w:val="Normal"/>
    <w:next w:val="Normal"/>
    <w:uiPriority w:val="99"/>
    <w:unhideWhenUsed/>
    <w:rsid w:val="00D74A10"/>
    <w:pPr>
      <w:tabs>
        <w:tab w:pos="1080" w:val="left"/>
        <w:tab w:leader="dot" w:pos="9360" w:val="right"/>
      </w:tabs>
      <w:spacing w:after="120" w:line="300" w:lineRule="auto"/>
    </w:pPr>
  </w:style>
  <w:style w:styleId="BodyText2" w:type="paragraph">
    <w:name w:val="Body Text 2"/>
    <w:basedOn w:val="BodyText"/>
    <w:link w:val="BodyText2Char"/>
    <w:qFormat/>
    <w:rsid w:val="00791D22"/>
    <w:pPr>
      <w:spacing w:after="0" w:line="240" w:lineRule="auto"/>
      <w:jc w:val="both"/>
    </w:pPr>
  </w:style>
  <w:style w:customStyle="1" w:styleId="BodyText2Char" w:type="character">
    <w:name w:val="Body Text 2 Char"/>
    <w:basedOn w:val="DefaultParagraphFont"/>
    <w:link w:val="BodyText2"/>
    <w:rsid w:val="009B6A67"/>
    <w:rPr>
      <w:rFonts w:ascii="Arial" w:hAnsi="Arial"/>
      <w:sz w:val="20"/>
    </w:rPr>
  </w:style>
  <w:style w:styleId="FootnoteText" w:type="paragraph">
    <w:name w:val="footnote text"/>
    <w:basedOn w:val="Normal"/>
    <w:link w:val="FootnoteTextChar"/>
    <w:uiPriority w:val="99"/>
    <w:semiHidden/>
    <w:unhideWhenUsed/>
    <w:rsid w:val="00870EFD"/>
    <w:pPr>
      <w:spacing w:line="240" w:lineRule="auto"/>
    </w:pPr>
    <w:rPr>
      <w:sz w:val="16"/>
      <w:szCs w:val="20"/>
    </w:rPr>
  </w:style>
  <w:style w:customStyle="1" w:styleId="FootnoteTextChar" w:type="character">
    <w:name w:val="Footnote Text Char"/>
    <w:basedOn w:val="DefaultParagraphFont"/>
    <w:link w:val="FootnoteText"/>
    <w:uiPriority w:val="99"/>
    <w:semiHidden/>
    <w:rsid w:val="00870EFD"/>
    <w:rPr>
      <w:rFonts w:ascii="Arial" w:hAnsi="Arial"/>
      <w:sz w:val="16"/>
      <w:szCs w:val="20"/>
    </w:rPr>
  </w:style>
  <w:style w:customStyle="1" w:styleId="BodyText3Char" w:type="character">
    <w:name w:val="Body Text 3 Char"/>
    <w:basedOn w:val="DefaultParagraphFont"/>
    <w:link w:val="BodyText3"/>
    <w:rsid w:val="009B6A67"/>
    <w:rPr>
      <w:rFonts w:ascii="Arial" w:hAnsi="Arial"/>
      <w:sz w:val="16"/>
      <w:szCs w:val="16"/>
    </w:rPr>
  </w:style>
  <w:style w:customStyle="1" w:styleId="AddressblockBold" w:type="paragraph">
    <w:name w:val="Addressblock Bold"/>
    <w:basedOn w:val="Addressblock"/>
    <w:qFormat/>
    <w:rsid w:val="003F5B70"/>
    <w:rPr>
      <w:b/>
      <w:sz w:val="14"/>
      <w:szCs w:val="20"/>
    </w:rPr>
  </w:style>
  <w:style w:customStyle="1" w:styleId="Addressblock" w:type="paragraph">
    <w:name w:val="Addressblock"/>
    <w:basedOn w:val="BodyText"/>
    <w:qFormat/>
    <w:rsid w:val="003F5B70"/>
    <w:pPr>
      <w:spacing w:after="120" w:before="120" w:line="288" w:lineRule="auto"/>
      <w:ind w:left="0"/>
    </w:pPr>
    <w:rPr>
      <w:rFonts w:cs="Arial" w:eastAsia="Times New Roman"/>
      <w:color w:themeColor="text1" w:themeTint="80" w:val="7F7F7F"/>
      <w:sz w:val="13"/>
      <w:szCs w:val="12"/>
    </w:rPr>
  </w:style>
  <w:style w:customStyle="1" w:styleId="SourcePath" w:type="paragraph">
    <w:name w:val="Source Path"/>
    <w:next w:val="BodyText"/>
    <w:qFormat/>
    <w:rsid w:val="00ED020C"/>
    <w:pPr>
      <w:spacing w:after="240" w:before="60" w:line="240" w:lineRule="auto"/>
      <w:ind w:left="720"/>
    </w:pPr>
    <w:rPr>
      <w:rFonts w:ascii="Arial" w:hAnsi="Arial"/>
      <w:sz w:val="12"/>
    </w:rPr>
  </w:style>
  <w:style w:customStyle="1" w:styleId="NoteList" w:type="paragraph">
    <w:name w:val="Note List"/>
    <w:basedOn w:val="BodyText"/>
    <w:qFormat/>
    <w:rsid w:val="007E6C16"/>
    <w:pPr>
      <w:tabs>
        <w:tab w:pos="1080" w:val="left"/>
      </w:tabs>
      <w:spacing w:after="120" w:line="240" w:lineRule="auto"/>
      <w:ind w:hanging="360" w:left="1080"/>
    </w:pPr>
    <w:rPr>
      <w:sz w:val="16"/>
    </w:rPr>
  </w:style>
  <w:style w:customStyle="1" w:styleId="NoteListHeading" w:type="paragraph">
    <w:name w:val="Note List Heading"/>
    <w:qFormat/>
    <w:rsid w:val="00ED020C"/>
    <w:pPr>
      <w:spacing w:after="120" w:before="60" w:line="240" w:lineRule="auto"/>
      <w:ind w:left="720"/>
    </w:pPr>
    <w:rPr>
      <w:rFonts w:ascii="Arial" w:hAnsi="Arial"/>
      <w:b/>
      <w:sz w:val="16"/>
    </w:rPr>
  </w:style>
  <w:style w:customStyle="1" w:styleId="TableHeading" w:type="paragraph">
    <w:name w:val="Table Heading"/>
    <w:qFormat/>
    <w:rsid w:val="00B9334A"/>
    <w:pPr>
      <w:spacing w:after="0" w:line="240" w:lineRule="auto"/>
    </w:pPr>
    <w:rPr>
      <w:rFonts w:ascii="Arial" w:hAnsi="Arial"/>
      <w:b/>
      <w:sz w:val="18"/>
    </w:rPr>
  </w:style>
  <w:style w:customStyle="1" w:styleId="SRKTableText" w:type="paragraph">
    <w:name w:val="SRK Table Text"/>
    <w:qFormat/>
    <w:rsid w:val="00B9334A"/>
    <w:pPr>
      <w:spacing w:after="0" w:line="240" w:lineRule="auto"/>
    </w:pPr>
    <w:rPr>
      <w:rFonts w:ascii="Arial" w:hAnsi="Arial"/>
      <w:sz w:val="18"/>
    </w:rPr>
  </w:style>
  <w:style w:customStyle="1" w:styleId="ListBullets" w:type="numbering">
    <w:name w:val="ListBullets"/>
    <w:uiPriority w:val="99"/>
    <w:rsid w:val="00B05DA1"/>
    <w:pPr>
      <w:numPr>
        <w:numId w:val="2"/>
      </w:numPr>
    </w:pPr>
  </w:style>
  <w:style w:styleId="ListBullet" w:type="paragraph">
    <w:name w:val="List Bullet"/>
    <w:basedOn w:val="Normal"/>
    <w:qFormat/>
    <w:rsid w:val="008B380E"/>
    <w:pPr>
      <w:numPr>
        <w:ilvl w:val="0"/>
        <w:numId w:val="4"/>
      </w:numPr>
      <w:tabs>
        <w:tab w:pos="1080" w:val="num"/>
      </w:tabs>
      <w:spacing w:after="160" w:line="300" w:lineRule="auto"/>
      <w:ind w:hanging="360" w:left="1080"/>
    </w:pPr>
  </w:style>
  <w:style w:styleId="ListBullet2" w:type="paragraph">
    <w:name w:val="List Bullet 2"/>
    <w:qFormat/>
    <w:rsid w:val="008B380E"/>
    <w:pPr>
      <w:numPr>
        <w:ilvl w:val="1"/>
        <w:numId w:val="4"/>
      </w:numPr>
      <w:tabs>
        <w:tab w:pos="1440" w:val="num"/>
      </w:tabs>
      <w:spacing w:after="160" w:line="300" w:lineRule="auto"/>
      <w:ind w:hanging="360" w:left="1440"/>
    </w:pPr>
    <w:rPr>
      <w:rFonts w:ascii="Arial" w:hAnsi="Arial"/>
      <w:sz w:val="20"/>
    </w:rPr>
  </w:style>
  <w:style w:styleId="ListBullet3" w:type="paragraph">
    <w:name w:val="List Bullet 3"/>
    <w:qFormat/>
    <w:rsid w:val="005C1438"/>
    <w:pPr>
      <w:numPr>
        <w:ilvl w:val="2"/>
        <w:numId w:val="4"/>
      </w:numPr>
      <w:tabs>
        <w:tab w:pos="1800" w:val="num"/>
      </w:tabs>
      <w:spacing w:after="0" w:line="300" w:lineRule="auto"/>
      <w:ind w:hanging="360" w:left="1800"/>
    </w:pPr>
    <w:rPr>
      <w:rFonts w:ascii="Arial" w:hAnsi="Arial"/>
      <w:sz w:val="20"/>
    </w:rPr>
  </w:style>
  <w:style w:styleId="ListBullet4" w:type="paragraph">
    <w:name w:val="List Bullet 4"/>
    <w:qFormat/>
    <w:rsid w:val="008B380E"/>
    <w:pPr>
      <w:tabs>
        <w:tab w:pos="2160" w:val="num"/>
      </w:tabs>
      <w:spacing w:after="160" w:line="300" w:lineRule="auto"/>
      <w:ind w:hanging="360" w:left="2160"/>
    </w:pPr>
    <w:rPr>
      <w:rFonts w:ascii="Arial" w:hAnsi="Arial"/>
      <w:sz w:val="20"/>
    </w:rPr>
  </w:style>
  <w:style w:styleId="ListBullet5" w:type="paragraph">
    <w:name w:val="List Bullet 5"/>
    <w:qFormat/>
    <w:rsid w:val="008B380E"/>
    <w:pPr>
      <w:tabs>
        <w:tab w:pos="2520" w:val="num"/>
      </w:tabs>
      <w:spacing w:after="160" w:line="300" w:lineRule="auto"/>
      <w:ind w:hanging="360" w:left="2520"/>
    </w:pPr>
    <w:rPr>
      <w:rFonts w:ascii="Arial" w:hAnsi="Arial"/>
      <w:sz w:val="20"/>
    </w:rPr>
  </w:style>
  <w:style w:customStyle="1" w:styleId="References" w:type="paragraph">
    <w:name w:val="References"/>
    <w:qFormat/>
    <w:rsid w:val="00EB1BF4"/>
    <w:pPr>
      <w:spacing w:after="240" w:line="300" w:lineRule="auto"/>
      <w:ind w:hanging="720" w:left="1440"/>
    </w:pPr>
    <w:rPr>
      <w:rFonts w:ascii="Arial" w:hAnsi="Arial"/>
      <w:sz w:val="20"/>
    </w:rPr>
  </w:style>
  <w:style w:customStyle="1" w:styleId="ExecSumHeading1" w:type="paragraph">
    <w:name w:val="ExecSum Heading 1"/>
    <w:basedOn w:val="Heading1"/>
    <w:next w:val="BodyText"/>
    <w:qFormat/>
    <w:rsid w:val="00D13DE2"/>
    <w:pPr>
      <w:numPr>
        <w:numId w:val="0"/>
      </w:numPr>
      <w:ind w:left="720"/>
    </w:pPr>
  </w:style>
  <w:style w:customStyle="1" w:styleId="ExecSumHeading2" w:type="paragraph">
    <w:name w:val="ExecSum Heading 2"/>
    <w:basedOn w:val="Heading2"/>
    <w:next w:val="BodyText"/>
    <w:qFormat/>
    <w:rsid w:val="00D13DE2"/>
    <w:pPr>
      <w:numPr>
        <w:ilvl w:val="0"/>
        <w:numId w:val="0"/>
      </w:numPr>
      <w:ind w:left="720"/>
    </w:pPr>
  </w:style>
  <w:style w:customStyle="1" w:styleId="ExecSumHeading3" w:type="paragraph">
    <w:name w:val="ExecSum Heading 3"/>
    <w:basedOn w:val="Heading3"/>
    <w:next w:val="BodyText"/>
    <w:qFormat/>
    <w:rsid w:val="00AE6B7A"/>
    <w:pPr>
      <w:numPr>
        <w:ilvl w:val="0"/>
        <w:numId w:val="0"/>
      </w:numPr>
      <w:ind w:left="720"/>
    </w:pPr>
  </w:style>
  <w:style w:styleId="ListNumber" w:type="paragraph">
    <w:name w:val="List Number"/>
    <w:basedOn w:val="Normal"/>
    <w:qFormat/>
    <w:rsid w:val="0014192C"/>
    <w:pPr>
      <w:numPr>
        <w:numId w:val="22"/>
      </w:numPr>
      <w:tabs>
        <w:tab w:pos="1080" w:val="clear"/>
      </w:tabs>
      <w:spacing w:after="160" w:line="300" w:lineRule="auto"/>
      <w:ind w:left="1440"/>
    </w:pPr>
  </w:style>
  <w:style w:styleId="ListNumber2" w:type="paragraph">
    <w:name w:val="List Number 2"/>
    <w:basedOn w:val="Normal"/>
    <w:qFormat/>
    <w:rsid w:val="00FC0180"/>
    <w:pPr>
      <w:numPr>
        <w:ilvl w:val="1"/>
        <w:numId w:val="3"/>
      </w:numPr>
      <w:spacing w:after="160" w:line="300" w:lineRule="auto"/>
    </w:pPr>
  </w:style>
  <w:style w:styleId="ListNumber3" w:type="paragraph">
    <w:name w:val="List Number 3"/>
    <w:basedOn w:val="Normal"/>
    <w:qFormat/>
    <w:rsid w:val="00FC0180"/>
    <w:pPr>
      <w:numPr>
        <w:ilvl w:val="2"/>
        <w:numId w:val="3"/>
      </w:numPr>
      <w:spacing w:after="160" w:line="300" w:lineRule="auto"/>
    </w:pPr>
  </w:style>
  <w:style w:styleId="ListNumber4" w:type="paragraph">
    <w:name w:val="List Number 4"/>
    <w:basedOn w:val="Normal"/>
    <w:qFormat/>
    <w:rsid w:val="00FC0180"/>
    <w:pPr>
      <w:numPr>
        <w:ilvl w:val="3"/>
        <w:numId w:val="3"/>
      </w:numPr>
      <w:spacing w:after="160" w:line="300" w:lineRule="auto"/>
    </w:pPr>
  </w:style>
  <w:style w:styleId="ListNumber5" w:type="paragraph">
    <w:name w:val="List Number 5"/>
    <w:basedOn w:val="Normal"/>
    <w:qFormat/>
    <w:rsid w:val="00FC0180"/>
    <w:pPr>
      <w:numPr>
        <w:ilvl w:val="4"/>
        <w:numId w:val="3"/>
      </w:numPr>
      <w:spacing w:after="160" w:line="300" w:lineRule="auto"/>
    </w:pPr>
  </w:style>
  <w:style w:customStyle="1" w:styleId="ListNumbers" w:type="numbering">
    <w:name w:val="ListNumbers"/>
    <w:uiPriority w:val="99"/>
    <w:rsid w:val="00FC0180"/>
    <w:pPr>
      <w:numPr>
        <w:numId w:val="24"/>
      </w:numPr>
    </w:pPr>
  </w:style>
  <w:style w:customStyle="1" w:styleId="43-101guidelines" w:type="paragraph">
    <w:name w:val="43-101 guidelines"/>
    <w:basedOn w:val="Normal"/>
    <w:autoRedefine/>
    <w:rsid w:val="003F5B70"/>
    <w:pPr>
      <w:widowControl w:val="0"/>
      <w:autoSpaceDE w:val="0"/>
      <w:autoSpaceDN w:val="0"/>
      <w:adjustRightInd w:val="0"/>
      <w:spacing w:line="240" w:lineRule="auto"/>
      <w:ind w:left="720"/>
    </w:pPr>
    <w:rPr>
      <w:rFonts w:cs="Arial" w:eastAsia="SimSun"/>
      <w:color w:val="0000FF"/>
      <w:szCs w:val="20"/>
      <w:lang w:eastAsia="zh-CN"/>
    </w:rPr>
  </w:style>
  <w:style w:customStyle="1" w:styleId="TableText" w:type="paragraph">
    <w:name w:val="Table Text"/>
    <w:basedOn w:val="TableHeading"/>
    <w:qFormat/>
    <w:rsid w:val="002D1AAA"/>
    <w:pPr>
      <w:spacing w:after="20" w:before="20"/>
    </w:pPr>
    <w:rPr>
      <w:rFonts w:cs="Times New Roman" w:eastAsia="Times New Roman"/>
      <w:b w:val="0"/>
      <w:szCs w:val="20"/>
    </w:rPr>
  </w:style>
  <w:style w:customStyle="1" w:styleId="TableTextLeft" w:type="paragraph">
    <w:name w:val="±TableTextLeft"/>
    <w:basedOn w:val="Normal"/>
    <w:uiPriority w:val="31"/>
    <w:qFormat/>
    <w:rsid w:val="003643CA"/>
    <w:pPr>
      <w:spacing w:line="240" w:lineRule="auto"/>
    </w:pPr>
    <w:rPr>
      <w:rFonts w:asciiTheme="minorHAnsi" w:hAnsiTheme="minorHAnsi"/>
      <w:color w:themeColor="text1" w:val="000000"/>
      <w:szCs w:val="20"/>
      <w:lang w:val="en"/>
    </w:rPr>
  </w:style>
  <w:style w:customStyle="1" w:styleId="normaltextrun" w:type="character">
    <w:name w:val="normaltextrun"/>
    <w:basedOn w:val="DefaultParagraphFont"/>
    <w:rsid w:val="00DF6565"/>
  </w:style>
  <w:style w:customStyle="1" w:styleId="findhit" w:type="character">
    <w:name w:val="findhit"/>
    <w:basedOn w:val="DefaultParagraphFont"/>
    <w:rsid w:val="00DF6565"/>
  </w:style>
  <w:style w:customStyle="1" w:styleId="paragraph" w:type="paragraph">
    <w:name w:val="paragraph"/>
    <w:basedOn w:val="Normal"/>
    <w:rsid w:val="00111A7E"/>
    <w:pPr>
      <w:spacing w:after="100" w:afterAutospacing="1" w:before="100" w:beforeAutospacing="1" w:line="240" w:lineRule="auto"/>
    </w:pPr>
    <w:rPr>
      <w:rFonts w:ascii="Times New Roman" w:cs="Times New Roman" w:eastAsia="Times New Roman" w:hAnsi="Times New Roman"/>
      <w:sz w:val="24"/>
      <w:szCs w:val="24"/>
      <w:lang w:val="en"/>
    </w:rPr>
  </w:style>
  <w:style w:customStyle="1" w:styleId="eop" w:type="character">
    <w:name w:val="eop"/>
    <w:basedOn w:val="DefaultParagraphFont"/>
    <w:rsid w:val="00111A7E"/>
  </w:style>
  <w:style w:customStyle="1" w:styleId="outlineelement" w:type="paragraph">
    <w:name w:val="outlineelement"/>
    <w:basedOn w:val="Normal"/>
    <w:rsid w:val="00111A7E"/>
    <w:pPr>
      <w:spacing w:after="100" w:afterAutospacing="1" w:before="100" w:beforeAutospacing="1" w:line="240" w:lineRule="auto"/>
    </w:pPr>
    <w:rPr>
      <w:rFonts w:ascii="Times New Roman" w:cs="Times New Roman" w:eastAsia="Times New Roman" w:hAnsi="Times New Roman"/>
      <w:sz w:val="24"/>
      <w:szCs w:val="24"/>
      <w:lang w:val="en"/>
    </w:rPr>
  </w:style>
  <w:style w:customStyle="1" w:styleId="mathspan" w:type="character">
    <w:name w:val="mathspan"/>
    <w:basedOn w:val="DefaultParagraphFont"/>
    <w:rsid w:val="00111A7E"/>
  </w:style>
  <w:style w:customStyle="1" w:styleId="mi" w:type="character">
    <w:name w:val="mi"/>
    <w:basedOn w:val="DefaultParagraphFont"/>
    <w:rsid w:val="00111A7E"/>
  </w:style>
  <w:style w:customStyle="1" w:styleId="mn" w:type="character">
    <w:name w:val="mn"/>
    <w:basedOn w:val="DefaultParagraphFont"/>
    <w:rsid w:val="00111A7E"/>
  </w:style>
  <w:style w:customStyle="1" w:styleId="mjxassistivemathml" w:type="character">
    <w:name w:val="mjx_assistive_mathml"/>
    <w:basedOn w:val="DefaultParagraphFont"/>
    <w:rsid w:val="00111A7E"/>
  </w:style>
  <w:style w:styleId="UnresolvedMention" w:type="character">
    <w:name w:val="Unresolved Mention"/>
    <w:basedOn w:val="DefaultParagraphFont"/>
    <w:uiPriority w:val="99"/>
    <w:semiHidden/>
    <w:unhideWhenUsed/>
    <w:rsid w:val="00855C37"/>
    <w:rPr>
      <w:color w:val="605E5C"/>
      <w:shd w:color="auto" w:fill="E1DFDD" w:val="clear"/>
    </w:rPr>
  </w:style>
  <w:style w:styleId="FollowedHyperlink" w:type="character">
    <w:name w:val="FollowedHyperlink"/>
    <w:basedOn w:val="DefaultParagraphFont"/>
    <w:uiPriority w:val="99"/>
    <w:semiHidden/>
    <w:unhideWhenUsed/>
    <w:rsid w:val="001C6A30"/>
    <w:rPr>
      <w:color w:themeColor="followedHyperlink" w:val="800080"/>
      <w:u w:val="single"/>
    </w:rPr>
  </w:style>
  <w:style w:styleId="CommentReference" w:type="character">
    <w:name w:val="annotation reference"/>
    <w:basedOn w:val="DefaultParagraphFont"/>
    <w:uiPriority w:val="99"/>
    <w:semiHidden/>
    <w:unhideWhenUsed/>
    <w:rsid w:val="00CE7EB0"/>
    <w:rPr>
      <w:sz w:val="16"/>
      <w:szCs w:val="16"/>
    </w:rPr>
  </w:style>
  <w:style w:styleId="CommentText" w:type="paragraph">
    <w:name w:val="annotation text"/>
    <w:basedOn w:val="Normal"/>
    <w:link w:val="CommentTextChar"/>
    <w:uiPriority w:val="99"/>
    <w:unhideWhenUsed/>
    <w:rsid w:val="00CE7EB0"/>
    <w:pPr>
      <w:spacing w:line="240" w:lineRule="auto"/>
    </w:pPr>
    <w:rPr>
      <w:szCs w:val="20"/>
    </w:rPr>
  </w:style>
  <w:style w:customStyle="1" w:styleId="CommentTextChar" w:type="character">
    <w:name w:val="Comment Text Char"/>
    <w:basedOn w:val="DefaultParagraphFont"/>
    <w:link w:val="CommentText"/>
    <w:uiPriority w:val="99"/>
    <w:rsid w:val="00CE7EB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CE7EB0"/>
    <w:rPr>
      <w:b/>
      <w:bCs/>
    </w:rPr>
  </w:style>
  <w:style w:customStyle="1" w:styleId="CommentSubjectChar" w:type="character">
    <w:name w:val="Comment Subject Char"/>
    <w:basedOn w:val="CommentTextChar"/>
    <w:link w:val="CommentSubject"/>
    <w:uiPriority w:val="99"/>
    <w:semiHidden/>
    <w:rsid w:val="00CE7EB0"/>
    <w:rPr>
      <w:rFonts w:ascii="Arial" w:hAnsi="Arial"/>
      <w:b/>
      <w:bCs/>
      <w:sz w:val="20"/>
      <w:szCs w:val="20"/>
    </w:rPr>
  </w:style>
  <w:style w:styleId="Mention" w:type="character">
    <w:name w:val="Mention"/>
    <w:basedOn w:val="DefaultParagraphFont"/>
    <w:uiPriority w:val="99"/>
    <w:unhideWhenUsed/>
    <w:rsid w:val="00015C2E"/>
    <w:rPr>
      <w:color w:val="2B579A"/>
      <w:shd w:color="auto" w:fill="E1DFDD" w:val="clear"/>
    </w:rPr>
  </w:style>
  <w:style w:customStyle="1" w:styleId="msonormal0" w:type="paragraph">
    <w:name w:val="msonormal"/>
    <w:basedOn w:val="Normal"/>
    <w:rsid w:val="00477589"/>
    <w:pPr>
      <w:spacing w:after="100" w:afterAutospacing="1" w:before="100" w:beforeAutospacing="1" w:line="240" w:lineRule="auto"/>
    </w:pPr>
    <w:rPr>
      <w:rFonts w:ascii="Times New Roman" w:cs="Times New Roman" w:eastAsia="Times New Roman" w:hAnsi="Times New Roman"/>
      <w:sz w:val="24"/>
      <w:szCs w:val="24"/>
      <w:lang w:val="en"/>
    </w:rPr>
  </w:style>
  <w:style w:customStyle="1" w:styleId="xl16" w:type="paragraph">
    <w:name w:val="xl16"/>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19" w:type="paragraph">
    <w:name w:val="xl19"/>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22" w:type="paragraph">
    <w:name w:val="xl22"/>
    <w:basedOn w:val="Normal"/>
    <w:rsid w:val="00414E83"/>
    <w:pPr>
      <w:spacing w:after="100" w:afterAutospacing="1" w:before="100" w:beforeAutospacing="1" w:line="240" w:lineRule="auto"/>
      <w:jc w:val="center"/>
    </w:pPr>
    <w:rPr>
      <w:rFonts w:ascii="Times New Roman" w:cs="Times New Roman" w:eastAsia="Times New Roman" w:hAnsi="Times New Roman"/>
      <w:sz w:val="24"/>
      <w:szCs w:val="24"/>
      <w:lang w:val="en"/>
    </w:rPr>
  </w:style>
  <w:style w:customStyle="1" w:styleId="xl63" w:type="paragraph">
    <w:name w:val="xl63"/>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66" w:type="paragraph">
    <w:name w:val="xl66"/>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67" w:type="paragraph">
    <w:name w:val="xl67"/>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68" w:type="paragraph">
    <w:name w:val="xl68"/>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
    </w:rPr>
  </w:style>
  <w:style w:customStyle="1" w:styleId="xl69" w:type="paragraph">
    <w:name w:val="xl69"/>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
    </w:rPr>
  </w:style>
  <w:style w:customStyle="1" w:styleId="xl70" w:type="paragraph">
    <w:name w:val="xl70"/>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
    </w:rPr>
  </w:style>
  <w:style w:customStyle="1" w:styleId="xl71" w:type="paragraph">
    <w:name w:val="xl71"/>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
    </w:rPr>
  </w:style>
  <w:style w:customStyle="1" w:styleId="xl72" w:type="paragraph">
    <w:name w:val="xl72"/>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
    </w:rPr>
  </w:style>
  <w:style w:styleId="GridTable1Light" w:type="table">
    <w:name w:val="Grid Table 1 Light"/>
    <w:basedOn w:val="TableNormal"/>
    <w:uiPriority w:val="46"/>
    <w:rsid w:val="001616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Paragraph" w:type="paragraph">
    <w:name w:val="List Paragraph"/>
    <w:basedOn w:val="Normal"/>
    <w:uiPriority w:val="34"/>
    <w:rsid w:val="00E37601"/>
    <w:pPr>
      <w:ind w:left="720"/>
      <w:contextualSpacing/>
    </w:pPr>
  </w:style>
  <w:style w:styleId="NormalWeb" w:type="paragraph">
    <w:name w:val="Normal (Web)"/>
    <w:basedOn w:val="Normal"/>
    <w:uiPriority w:val="99"/>
    <w:unhideWhenUsed/>
    <w:rsid w:val="00492E72"/>
    <w:pPr>
      <w:spacing w:after="100" w:afterAutospacing="1" w:before="100" w:beforeAutospacing="1" w:line="240" w:lineRule="auto"/>
    </w:pPr>
    <w:rPr>
      <w:rFonts w:ascii="Times New Roman" w:cs="Times New Roman" w:eastAsia="Times New Roman" w:hAnsi="Times New Roman"/>
      <w:sz w:val="24"/>
      <w:szCs w:val="24"/>
      <w:lang w:val="en"/>
    </w:rPr>
  </w:style>
  <w:style w:customStyle="1" w:styleId="katex-mathml" w:type="character">
    <w:name w:val="katex-mathml"/>
    <w:basedOn w:val="DefaultParagraphFont"/>
    <w:rsid w:val="009228F5"/>
  </w:style>
  <w:style w:customStyle="1" w:styleId="mord" w:type="character">
    <w:name w:val="mord"/>
    <w:basedOn w:val="DefaultParagraphFont"/>
    <w:rsid w:val="009228F5"/>
  </w:style>
  <w:style w:customStyle="1" w:styleId="mpunct" w:type="character">
    <w:name w:val="mpunct"/>
    <w:basedOn w:val="DefaultParagraphFont"/>
    <w:rsid w:val="009228F5"/>
  </w:style>
  <w:style w:customStyle="1" w:styleId="vlist-s" w:type="character">
    <w:name w:val="vlist-s"/>
    <w:basedOn w:val="DefaultParagraphFont"/>
    <w:rsid w:val="009228F5"/>
  </w:style>
  <w:style w:customStyle="1" w:styleId="CaptionChar" w:type="character">
    <w:name w:val="Caption Char"/>
    <w:aliases w:val="±Caption Char"/>
    <w:basedOn w:val="DefaultParagraphFont"/>
    <w:link w:val="Caption"/>
    <w:uiPriority w:val="28"/>
    <w:rsid w:val="00E9310D"/>
    <w:rPr>
      <w:rFonts w:ascii="Arial" w:hAnsi="Arial"/>
      <w:b/>
      <w:bCs/>
      <w:sz w:val="18"/>
      <w:szCs w:val="18"/>
    </w:rPr>
  </w:style>
  <w:style w:styleId="Bibliography" w:type="paragraph">
    <w:name w:val="Bibliography"/>
    <w:basedOn w:val="Normal"/>
    <w:next w:val="Normal"/>
    <w:uiPriority w:val="37"/>
    <w:unhideWhenUsed/>
    <w:rsid w:val="00CC74B3"/>
    <w:pPr>
      <w:ind w:hanging="720" w:left="720"/>
    </w:pPr>
  </w:style>
  <w:style w:customStyle="1" w:styleId="math" w:type="character">
    <w:name w:val="math"/>
    <w:basedOn w:val="DefaultParagraphFont"/>
    <w:rsid w:val="00ED03DE"/>
  </w:style>
  <w:style w:styleId="Revision" w:type="paragraph">
    <w:name w:val="Revision"/>
    <w:hidden/>
    <w:uiPriority w:val="99"/>
    <w:semiHidden/>
    <w:rsid w:val="009C3AAF"/>
    <w:pPr>
      <w:spacing w:after="0" w:line="240" w:lineRule="auto"/>
    </w:pPr>
    <w:rPr>
      <w:rFonts w:ascii="Arial" w:hAnsi="Arial"/>
      <w:sz w:val="20"/>
    </w:rPr>
  </w:style>
  <w:style w:styleId="TOC7" w:type="paragraph">
    <w:name w:val="toc 7"/>
    <w:basedOn w:val="Normal"/>
    <w:next w:val="Normal"/>
    <w:autoRedefine/>
    <w:uiPriority w:val="39"/>
    <w:unhideWhenUsed/>
    <w:rsid w:val="002666CD"/>
    <w:pPr>
      <w:tabs>
        <w:tab w:pos="1418" w:val="left"/>
      </w:tabs>
      <w:spacing w:after="100"/>
    </w:pPr>
  </w:style>
  <w:style w:customStyle="1" w:styleId="Spacer" w:type="paragraph">
    <w:name w:val="±Spacer"/>
    <w:basedOn w:val="NoSpacing"/>
    <w:semiHidden/>
    <w:rsid w:val="002666CD"/>
    <w:rPr>
      <w:rFonts w:ascii="Arial" w:cs="Arial" w:eastAsiaTheme="minorHAnsi" w:hAnsi="Arial"/>
      <w:color w:themeColor="text1" w:val="000000"/>
      <w:sz w:val="2"/>
      <w:szCs w:val="20"/>
      <w:lang w:eastAsia="en-US"/>
    </w:rPr>
  </w:style>
  <w:style w:customStyle="1" w:styleId="Head2NonTOC" w:type="paragraph">
    <w:name w:val="±Head2NonTOC"/>
    <w:basedOn w:val="Normal"/>
    <w:next w:val="Normal"/>
    <w:uiPriority w:val="3"/>
    <w:rsid w:val="002666CD"/>
    <w:pPr>
      <w:keepNext/>
      <w:spacing w:after="60" w:before="360" w:line="240" w:lineRule="auto"/>
      <w:outlineLvl w:val="1"/>
    </w:pPr>
    <w:rPr>
      <w:rFonts w:asciiTheme="majorHAnsi" w:cs="Arial" w:hAnsiTheme="majorHAnsi"/>
      <w:b/>
      <w:color w:themeColor="text1" w:val="000000"/>
      <w:sz w:val="28"/>
      <w:szCs w:val="20"/>
      <w:lang w:val="en"/>
    </w:rPr>
  </w:style>
  <w:style w:customStyle="1" w:styleId="AppHead1" w:type="paragraph">
    <w:name w:val="±AppHead1"/>
    <w:basedOn w:val="Normal"/>
    <w:next w:val="Normal"/>
    <w:uiPriority w:val="7"/>
    <w:qFormat/>
    <w:rsid w:val="00F23321"/>
    <w:pPr>
      <w:keepNext/>
      <w:pageBreakBefore/>
      <w:framePr w:hAnchor="text" w:w="10541" w:wrap="around" w:yAlign="top"/>
      <w:pBdr>
        <w:top w:color="1F497D" w:space="8" w:sz="24" w:themeColor="text2" w:val="single"/>
      </w:pBdr>
      <w:spacing w:after="60" w:before="3000" w:line="240" w:lineRule="auto"/>
      <w:outlineLvl w:val="0"/>
    </w:pPr>
    <w:rPr>
      <w:rFonts w:asciiTheme="majorHAnsi" w:cs="Arial" w:hAnsiTheme="majorHAnsi"/>
      <w:b/>
      <w:color w:themeColor="text1" w:val="000000"/>
      <w:sz w:val="36"/>
      <w:szCs w:val="20"/>
      <w:lang w:val="en"/>
    </w:rPr>
  </w:style>
  <w:style w:styleId="Table" w:type="table">
    <w:name w:val="Table"/>
    <w:uiPriority w:val="99"/>
    <w:semiHidden/>
    <w:unhideWhenUsed/>
    <w:tblPr>
      <w:tblInd w:type="dxa" w:w="0"/>
      <w:tblCellMar>
        <w:top w:type="dxa" w:w="0"/>
        <w:left w:type="dxa" w:w="108"/>
        <w:bottom w:type="dxa" w:w="0"/>
        <w:right w:type="dxa" w:w="108"/>
      </w:tblCellMar>
    </w:tblPr>
  </w:style>
  <w:style w:styleId="SRKDataTable" w:type="table">
    <w:name w:val="SRK Data Table"/>
    <w:uiPriority w:val="99"/>
    <w:semiHidden/>
    <w:unhideWhenUsed/>
    <w:tblPr>
      <w:tblBorders>
        <w:top w:color="auto" w:space="0" w:sz="12" w:val="single"/>
        <w:bottom w:color="auto" w:space="0" w:sz="4" w:val="single"/>
        <w:left w:val="nil"/>
        <w:right w:val="nil"/>
        <w:insideH w:val="nil"/>
        <w:insideV w:val="nil"/>
      </w:tblBorders>
      <w:tblCellMar>
        <w:left w:type="dxa" w:w="57"/>
        <w:right w:type="dxa" w:w="57"/>
      </w:tblCellMar>
    </w:tblPr>
    <w:tblStylePr w:type="firstRow">
      <w:tcPr>
        <w:tcBorders>
          <w:top w:color="auto" w:space="0" w:sz="12" w:val="single"/>
          <w:left w:val="nil"/>
          <w:bottom w:color="auto" w:space="0" w:sz="4" w:val="single"/>
          <w:right w:val="nil"/>
        </w:tcBorders>
      </w:tcPr>
    </w:tblStylePr>
  </w:style>
  <w:style w:styleId="FirstParagraph" w:type="paragraph">
    <w:name w:val="First Paragraph"/>
    <w:basedOn w:val="BodyText"/>
  </w:style>
  <w:style w:styleId="Compact" w:type="paragraph">
    <w:name w:val="Compact"/>
    <w:basedOn w:val="Normal"/>
  </w:style>
  <w:style w:styleId="TableCaption" w:type="paragraph">
    <w:name w:val="Table Caption"/>
    <w:basedOn w:val="Caption"/>
  </w:style>
  <w:style w:styleId="ImageCaption" w:type="paragraph">
    <w:name w:val="Image Caption"/>
    <w:basedOn w:val="Caption"/>
  </w:style>
  <w:style w:styleId="Figure" w:type="paragraph">
    <w:name w:val="Figure"/>
    <w:basedOn w:val="BodyText"/>
  </w:style>
  <w:style w:styleId="CaptionedFigure" w:type="paragraph">
    <w:name w:val="Captioned Figure"/>
    <w:basedOn w:val="BodyText"/>
  </w:style>
  <w:style w:styleId="FootnoteBlockText" w:type="paragraph">
    <w:name w:val="Footnote Block Text"/>
    <w:basedOn w:val="FootnoteText"/>
  </w:style>
  <w:style w:styleId="BlockText" w:type="paragraph">
    <w:name w:val="Block Text"/>
    <w:basedOn w:val="BodyText"/>
  </w:style>
  <w:style w:styleId="DefinitionTerm" w:type="paragraph">
    <w:name w:val="Definition Term"/>
    <w:basedOn w:val="BodyText"/>
  </w:style>
  <w:style w:styleId="Definition" w:type="paragraph">
    <w:name w:val="Definition"/>
    <w:basedOn w:val="BodyText"/>
  </w:style>
  <w:style w:styleId="Title" w:type="paragraph">
    <w:name w:val="Title"/>
    <w:basedOn w:val="Cover1"/>
  </w:style>
  <w:style w:styleId="Subtitle" w:type="paragraph">
    <w:name w:val="Subtitle"/>
    <w:basedOn w:val="Cover3"/>
  </w:style>
  <w:style w:styleId="Author" w:type="paragraph">
    <w:name w:val="Author"/>
    <w:basedOn w:val="Normal"/>
  </w:style>
  <w:style w:styleId="Date" w:type="paragraph">
    <w:name w:val="Date"/>
    <w:basedOn w:val="Normal"/>
  </w:style>
  <w:style w:styleId="Abstract" w:type="paragraph">
    <w:name w:val="Abstract"/>
    <w:basedOn w:val="BodyText"/>
  </w:style>
  <w:style w:styleId="AbstractTitle" w:type="paragraph">
    <w:name w:val="Abstract Title"/>
    <w:basedOn w:val="Heading1"/>
  </w:style>
  <w:style w:styleId="VerbatimChar" w:type="character">
    <w:name w:val="Verbatim Char"/>
    <w:basedOn w:val="DefaultParagraphFont"/>
  </w:style>
  <w:style w:styleId="FootnoteReference" w:type="character">
    <w:name w:val="Footnote Reference"/>
    <w:basedOn w:val="DefaultParagraphFont"/>
    <w:rPr>
      <w:vertAlign w:val="superscript"/>
    </w:rPr>
  </w:style>
  <w:style w:styleId="Equation" w:type="paragraph">
    <w:name w:val="Equation"/>
    <w:basedOn w:val="BodyText"/>
    <w:pPr>
      <w:tabs>
        <w:tab w:pos="4680" w:val="center"/>
        <w:tab w:pos="9360" w:val="right"/>
      </w:tabs>
      <w:ind w:firstLine="0" w:left="0"/>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paragraph" w:styleId="SRKBodyText">
    <w:name w:val="SRK Body Text"/>
    <w:link w:val="SRKBodyTextChar"/>
    <w:qFormat/>
    <w:rsid w:val="007B7100"/>
    <w:pPr>
      <w:spacing w:after="240" w:line="300" w:lineRule="auto" w:before="0"/>
      <w:ind w:left="720"/>
    </w:pPr>
    <w:rPr>
      <w:rFonts w:ascii="Arial" w:hAnsi="Arial"/>
      <w:sz w:val="20"/>
      <w:szCs w:val="22"/>
      <w:lang w:val="en-CA" w:eastAsia="en-US" w:bidi="ar-SA"/>
    </w:rPr>
  </w:style>
  <w:style w:type="character" w:customStyle="1" w:styleId="SRKBodyTextChar">
    <w:name w:val="SRK Body Text Char"/>
    <w:basedOn w:val="SRKDefaultParagraphFont"/>
    <w:link w:val="SRKBodyText"/>
    <w:rsid w:val="00DA0304"/>
    <w:rPr>
      <w:rFonts w:ascii="Arial" w:hAnsi="Arial"/>
      <w:sz w:val="20"/>
    </w:rPr>
  </w:style>
  <w:style w:type="paragraph" w:customStyle="1" w:styleId="SRKCover1">
    <w:name w:val="SRK Cover 1"/>
    <w:next w:val="SRKNormal"/>
    <w:uiPriority w:val="1"/>
    <w:rsid w:val="00F34958"/>
    <w:pPr>
      <w:spacing w:after="0" w:line="240" w:lineRule="auto" w:before="0"/>
    </w:pPr>
    <w:rPr>
      <w:rFonts w:ascii="Arial" w:hAnsi="Arial"/>
      <w:sz w:val="48"/>
      <w:szCs w:val="22"/>
      <w:lang w:val="en-CA" w:eastAsia="en-US" w:bidi="ar-SA"/>
    </w:rPr>
  </w:style>
  <w:style w:type="paragraph" w:customStyle="1" w:styleId="SRKCover2">
    <w:name w:val="SRK Cover 2"/>
    <w:next w:val="SRKNormal"/>
    <w:uiPriority w:val="1"/>
    <w:rsid w:val="008048AE"/>
    <w:rPr>
      <w:rFonts w:ascii="Arial" w:hAnsi="Arial"/>
      <w:sz w:val="42"/>
      <w:szCs w:val="22"/>
      <w:lang w:val="en-CA" w:eastAsia="en-US" w:bidi="ar-SA"/>
    </w:rPr>
    <w:pPr>
      <w:spacing w:after="200" w:line="276" w:lineRule="auto" w:before="0"/>
    </w:pPr>
  </w:style>
  <w:style w:type="paragraph" w:customStyle="1" w:styleId="SRKCover3">
    <w:name w:val="SRK Cover 3"/>
    <w:next w:val="SRKNormal"/>
    <w:uiPriority w:val="1"/>
    <w:rsid w:val="00F34958"/>
    <w:pPr>
      <w:spacing w:after="0" w:line="240" w:lineRule="auto" w:before="0"/>
    </w:pPr>
    <w:rPr>
      <w:rFonts w:ascii="Arial" w:hAnsi="Arial"/>
      <w:sz w:val="36"/>
      <w:szCs w:val="22"/>
      <w:lang w:val="en-CA" w:eastAsia="en-US" w:bidi="ar-SA"/>
    </w:rPr>
  </w:style>
  <w:style w:type="paragraph" w:customStyle="1" w:styleId="SRKCover4">
    <w:name w:val="SRK Cover 4"/>
    <w:next w:val="SRKNormal"/>
    <w:uiPriority w:val="1"/>
    <w:rsid w:val="006B1045"/>
    <w:rPr>
      <w:rFonts w:ascii="Arial" w:hAnsi="Arial"/>
      <w:sz w:val="30"/>
      <w:szCs w:val="22"/>
      <w:lang w:val="en-CA" w:eastAsia="en-US" w:bidi="ar-SA"/>
    </w:rPr>
    <w:pPr>
      <w:spacing w:after="200" w:line="276" w:lineRule="auto" w:before="0"/>
    </w:pPr>
  </w:style>
  <w:style w:type="character" w:styleId="SRKDefaultParagraphFont">
    <w:name w:val="SRK Default Paragraph Font"/>
    <w:uiPriority w:val="1"/>
    <w:semiHidden/>
    <w:unhideWhenUsed/>
  </w:style>
  <w:style w:type="paragraph" w:styleId="SRKHeading1">
    <w:name w:val="SRK heading 1"/>
    <w:next w:val="SRKBodyText"/>
    <w:link w:val="SRKHeading1Char"/>
    <w:uiPriority w:val="9"/>
    <w:qFormat/>
    <w:rsid w:val="00F93B17"/>
    <w:pPr>
      <w:keepNext/>
      <w:keepLines/>
      <w:numPr>
        <w:numId w:val="1002"/>
      </w:numPr>
      <w:spacing w:before="240" w:after="240" w:line="240" w:lineRule="auto"/>
      <w:outlineLvl w:val="0"/>
    </w:pPr>
    <w:rPr>
      <w:rFonts w:ascii="Arial" w:eastAsiaTheme="majorEastAsia" w:hAnsi="Arial" w:cstheme="majorBidi"/>
      <w:b/>
      <w:bCs/>
      <w:sz w:val="32"/>
      <w:szCs w:val="28"/>
      <w:lang w:val="en-CA" w:eastAsia="en-US" w:bidi="ar-SA"/>
    </w:rPr>
  </w:style>
  <w:style w:type="character" w:customStyle="1" w:styleId="SRKHeading1Char">
    <w:name w:val="SRK Heading 1 Char"/>
    <w:basedOn w:val="SRKDefaultParagraphFont"/>
    <w:link w:val="SRKHeading1"/>
    <w:uiPriority w:val="9"/>
    <w:rsid w:val="00F93B17"/>
    <w:rPr>
      <w:rFonts w:ascii="Arial" w:eastAsiaTheme="majorEastAsia" w:hAnsi="Arial" w:cstheme="majorBidi"/>
      <w:b/>
      <w:bCs/>
      <w:sz w:val="32"/>
      <w:szCs w:val="28"/>
    </w:rPr>
  </w:style>
  <w:style w:type="paragraph" w:styleId="SRKHeading2">
    <w:name w:val="SRK heading 2"/>
    <w:next w:val="SRKBodyText"/>
    <w:link w:val="SRKHeading2Char"/>
    <w:qFormat/>
    <w:rsid w:val="00FE731A"/>
    <w:pPr>
      <w:keepNext/>
      <w:keepLines/>
      <w:numPr>
        <w:ilvl w:val="1"/>
        <w:numId w:val="1002"/>
      </w:numPr>
      <w:spacing w:after="240" w:line="240" w:lineRule="auto" w:before="0"/>
      <w:outlineLvl w:val="1"/>
    </w:pPr>
    <w:rPr>
      <w:rFonts w:ascii="Arial" w:eastAsiaTheme="majorEastAsia" w:hAnsi="Arial" w:cstheme="majorBidi"/>
      <w:b/>
      <w:bCs/>
      <w:sz w:val="24"/>
      <w:szCs w:val="26"/>
      <w:lang w:val="en-CA" w:eastAsia="en-US" w:bidi="ar-SA"/>
    </w:rPr>
  </w:style>
  <w:style w:type="character" w:customStyle="1" w:styleId="SRKHeading2Char">
    <w:name w:val="SRK Heading 2 Char"/>
    <w:basedOn w:val="SRKDefaultParagraphFont"/>
    <w:link w:val="SRKHeading2"/>
    <w:rsid w:val="00FE731A"/>
    <w:rPr>
      <w:rFonts w:ascii="Arial" w:eastAsiaTheme="majorEastAsia" w:hAnsi="Arial" w:cstheme="majorBidi"/>
      <w:b/>
      <w:bCs/>
      <w:sz w:val="24"/>
      <w:szCs w:val="26"/>
    </w:rPr>
  </w:style>
  <w:style w:type="paragraph" w:styleId="SRKHeading3">
    <w:name w:val="SRK heading 3"/>
    <w:next w:val="SRKBodyText"/>
    <w:link w:val="SRKHeading3Char"/>
    <w:qFormat/>
    <w:rsid w:val="00FE731A"/>
    <w:pPr>
      <w:keepNext/>
      <w:keepLines/>
      <w:numPr>
        <w:ilvl w:val="2"/>
        <w:numId w:val="1002"/>
      </w:numPr>
      <w:spacing w:after="240" w:line="240" w:lineRule="auto" w:before="0"/>
      <w:outlineLvl w:val="2"/>
    </w:pPr>
    <w:rPr>
      <w:rFonts w:ascii="Arial" w:eastAsiaTheme="majorEastAsia" w:hAnsi="Arial" w:cstheme="majorBidi"/>
      <w:b/>
      <w:bCs/>
      <w:sz w:val="20"/>
      <w:szCs w:val="22"/>
      <w:lang w:val="en-CA" w:eastAsia="en-US" w:bidi="ar-SA"/>
    </w:rPr>
  </w:style>
  <w:style w:type="character" w:customStyle="1" w:styleId="SRKHeading3Char">
    <w:name w:val="SRK Heading 3 Char"/>
    <w:basedOn w:val="SRKDefaultParagraphFont"/>
    <w:link w:val="SRKHeading3"/>
    <w:rsid w:val="00FE731A"/>
    <w:rPr>
      <w:rFonts w:ascii="Arial" w:eastAsiaTheme="majorEastAsia" w:hAnsi="Arial" w:cstheme="majorBidi"/>
      <w:b/>
      <w:bCs/>
      <w:sz w:val="20"/>
    </w:rPr>
  </w:style>
  <w:style w:type="paragraph" w:styleId="SRKHeading6">
    <w:name w:val="SRK heading 6"/>
    <w:next w:val="SRKBodyText"/>
    <w:link w:val="SRKHeading6Char"/>
    <w:uiPriority w:val="1"/>
    <w:qFormat/>
    <w:rsid w:val="00FE731A"/>
    <w:pPr>
      <w:keepNext/>
      <w:keepLines/>
      <w:numPr>
        <w:ilvl w:val="5"/>
        <w:numId w:val="1002"/>
      </w:numPr>
      <w:spacing w:after="240" w:line="240" w:lineRule="auto" w:before="0"/>
      <w:outlineLvl w:val="5"/>
    </w:pPr>
    <w:rPr>
      <w:rFonts w:ascii="Arial" w:eastAsiaTheme="majorEastAsia" w:hAnsi="Arial" w:cstheme="majorBidi"/>
      <w:i/>
      <w:iCs/>
      <w:sz w:val="20"/>
      <w:szCs w:val="22"/>
      <w:lang w:val="en-CA" w:eastAsia="en-US" w:bidi="ar-SA"/>
    </w:rPr>
  </w:style>
  <w:style w:type="character" w:customStyle="1" w:styleId="SRKHeading6Char">
    <w:name w:val="SRK Heading 6 Char"/>
    <w:basedOn w:val="SRKDefaultParagraphFont"/>
    <w:link w:val="SRKHeading6"/>
    <w:rsid w:val="00FE731A"/>
    <w:rPr>
      <w:rFonts w:ascii="Arial" w:eastAsiaTheme="majorEastAsia" w:hAnsi="Arial" w:cstheme="majorBidi"/>
      <w:i/>
      <w:iCs/>
      <w:sz w:val="20"/>
    </w:rPr>
  </w:style>
  <w:style w:type="paragraph" w:styleId="SRKHeading7">
    <w:name w:val="SRK heading 7"/>
    <w:next w:val="SRKBodyText"/>
    <w:link w:val="SRKHeading7Char"/>
    <w:uiPriority w:val="1"/>
    <w:qFormat/>
    <w:rsid w:val="00FE731A"/>
    <w:pPr>
      <w:keepNext/>
      <w:keepLines/>
      <w:numPr>
        <w:ilvl w:val="6"/>
        <w:numId w:val="1002"/>
      </w:numPr>
      <w:spacing w:after="240" w:line="240" w:lineRule="auto" w:before="0"/>
      <w:outlineLvl w:val="6"/>
    </w:pPr>
    <w:rPr>
      <w:rFonts w:ascii="Arial" w:eastAsiaTheme="majorEastAsia" w:hAnsi="Arial" w:cstheme="majorBidi"/>
      <w:iCs/>
      <w:sz w:val="20"/>
      <w:u w:val="single"/>
      <w:szCs w:val="22"/>
      <w:lang w:val="en-CA" w:eastAsia="en-US" w:bidi="ar-SA"/>
    </w:rPr>
  </w:style>
  <w:style w:type="character" w:customStyle="1" w:styleId="SRKHeading7Char">
    <w:name w:val="SRK Heading 7 Char"/>
    <w:basedOn w:val="SRKDefaultParagraphFont"/>
    <w:link w:val="SRKHeading7"/>
    <w:uiPriority w:val="1"/>
    <w:rsid w:val="00FE731A"/>
    <w:rPr>
      <w:rFonts w:ascii="Arial" w:eastAsiaTheme="majorEastAsia" w:hAnsi="Arial" w:cstheme="majorBidi"/>
      <w:iCs/>
      <w:sz w:val="20"/>
      <w:u w:val="single"/>
    </w:rPr>
  </w:style>
  <w:style w:type="paragraph" w:styleId="SRKHeading8">
    <w:name w:val="SRK heading 8"/>
    <w:next w:val="SRKBodyText"/>
    <w:link w:val="SRKHeading8Char"/>
    <w:uiPriority w:val="1"/>
    <w:qFormat/>
    <w:rsid w:val="007F4D23"/>
    <w:pPr>
      <w:keepNext/>
      <w:keepLines/>
      <w:numPr>
        <w:ilvl w:val="7"/>
        <w:numId w:val="1002"/>
      </w:numPr>
      <w:pBdr>
        <w:bottom w:val="single" w:sz="4" w:space="1" w:color="auto"/>
      </w:pBdr>
      <w:spacing w:after="0" w:line="240" w:lineRule="auto" w:before="0"/>
      <w:jc w:val="right"/>
      <w:outlineLvl w:val="7"/>
    </w:pPr>
    <w:rPr>
      <w:rFonts w:ascii="Arial" w:eastAsiaTheme="majorEastAsia" w:hAnsi="Arial" w:cstheme="majorBidi"/>
      <w:b/>
      <w:bCs/>
      <w:sz w:val="26"/>
      <w:szCs w:val="20"/>
      <w:lang w:val="en-CA" w:eastAsia="en-US" w:bidi="ar-SA"/>
    </w:rPr>
  </w:style>
  <w:style w:type="character" w:customStyle="1" w:styleId="SRKHeading8Char">
    <w:name w:val="SRK Heading 8 Char"/>
    <w:basedOn w:val="SRKDefaultParagraphFont"/>
    <w:link w:val="SRKHeading8"/>
    <w:uiPriority w:val="1"/>
    <w:rsid w:val="007F4D23"/>
    <w:rPr>
      <w:rFonts w:ascii="Arial" w:eastAsiaTheme="majorEastAsia" w:hAnsi="Arial" w:cstheme="majorBidi"/>
      <w:b/>
      <w:bCs/>
      <w:sz w:val="26"/>
      <w:szCs w:val="20"/>
    </w:rPr>
  </w:style>
  <w:style w:type="paragraph" w:styleId="SRKHeading9">
    <w:name w:val="SRK heading 9"/>
    <w:next w:val="SRKBodyText"/>
    <w:link w:val="SRKHeading9Char"/>
    <w:uiPriority w:val="1"/>
    <w:qFormat/>
    <w:rsid w:val="00A95C6D"/>
    <w:pPr>
      <w:keepNext/>
      <w:keepLines/>
      <w:numPr>
        <w:ilvl w:val="8"/>
        <w:numId w:val="1002"/>
      </w:numPr>
      <w:pBdr>
        <w:bottom w:val="single" w:sz="4" w:space="1" w:color="auto"/>
      </w:pBdr>
      <w:spacing w:after="0" w:line="240" w:lineRule="auto" w:before="0"/>
      <w:jc w:val="right"/>
      <w:outlineLvl w:val="8"/>
    </w:pPr>
    <w:rPr>
      <w:rFonts w:ascii="Arial" w:eastAsiaTheme="majorEastAsia" w:hAnsi="Arial" w:cstheme="majorBidi"/>
      <w:b/>
      <w:iCs/>
      <w:sz w:val="26"/>
      <w:szCs w:val="20"/>
      <w:lang w:val="en-CA" w:eastAsia="en-US" w:bidi="ar-SA"/>
    </w:rPr>
  </w:style>
  <w:style w:type="character" w:customStyle="1" w:styleId="SRKHeading9Char">
    <w:name w:val="SRK Heading 9 Char"/>
    <w:basedOn w:val="SRKDefaultParagraphFont"/>
    <w:link w:val="SRKHeading9"/>
    <w:uiPriority w:val="1"/>
    <w:rsid w:val="00A95C6D"/>
    <w:rPr>
      <w:rFonts w:ascii="Arial" w:eastAsiaTheme="majorEastAsia" w:hAnsi="Arial" w:cstheme="majorBidi"/>
      <w:b/>
      <w:iCs/>
      <w:sz w:val="26"/>
      <w:szCs w:val="20"/>
    </w:rPr>
  </w:style>
  <w:style w:type="numbering" w:customStyle="1" w:styleId="SRKHeadings">
    <w:name w:val="SRK Headings"/>
    <w:uiPriority w:val="99"/>
    <w:rsid w:val="00FE731A"/>
    <w:pPr>
      <w:numPr>
        <w:numId w:val="1001"/>
      </w:numPr>
    </w:pPr>
  </w:style>
  <w:style w:type="paragraph" w:styleId="SRKNormal">
    <w:name w:val="SRK Normal"/>
    <w:uiPriority w:val="1"/>
    <w:rsid w:val="00A9285F"/>
    <w:pPr>
      <w:spacing w:after="0" w:before="0"/>
    </w:pPr>
    <w:rPr>
      <w:rFonts w:ascii="Arial" w:hAnsi="Arial"/>
      <w:sz w:val="20"/>
      <w:szCs w:val="22"/>
      <w:lang w:val="en-CA" w:eastAsia="en-US" w:bidi="ar-SA"/>
    </w:rPr>
  </w:style>
  <w:style w:type="character" w:styleId="SRKStrong">
    <w:name w:val="SRK Strong"/>
    <w:basedOn w:val="SRKDefaultParagraphFont"/>
    <w:uiPriority w:val="22"/>
    <w:qFormat/>
    <w:rsid w:val="000B4AE4"/>
    <w:rPr>
      <w:b/>
      <w:bCs/>
    </w:rPr>
  </w:style>
  <w:style w:type="table" w:styleId="SRKTableGrid">
    <w:name w:val="SRK Table Grid"/>
    <w:basedOn w:val="SRKTableNormal"/>
    <w:rsid w:val="00B33DB6"/>
    <w:pPr>
      <w:spacing w:after="0" w:line="240" w:lineRule="auto"/>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style>
  <w:style w:type="table" w:styleId="SRKTableNormal">
    <w:name w:val="SRK 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90715">
      <w:bodyDiv w:val="1"/>
      <w:marLeft w:val="0"/>
      <w:marRight w:val="0"/>
      <w:marTop w:val="0"/>
      <w:marBottom w:val="0"/>
      <w:divBdr>
        <w:top w:val="none" w:sz="0" w:space="0" w:color="auto"/>
        <w:left w:val="none" w:sz="0" w:space="0" w:color="auto"/>
        <w:bottom w:val="none" w:sz="0" w:space="0" w:color="auto"/>
        <w:right w:val="none" w:sz="0" w:space="0" w:color="auto"/>
      </w:divBdr>
    </w:div>
    <w:div w:id="15159360">
      <w:bodyDiv w:val="1"/>
      <w:marLeft w:val="0"/>
      <w:marRight w:val="0"/>
      <w:marTop w:val="0"/>
      <w:marBottom w:val="0"/>
      <w:divBdr>
        <w:top w:val="none" w:sz="0" w:space="0" w:color="auto"/>
        <w:left w:val="none" w:sz="0" w:space="0" w:color="auto"/>
        <w:bottom w:val="none" w:sz="0" w:space="0" w:color="auto"/>
        <w:right w:val="none" w:sz="0" w:space="0" w:color="auto"/>
      </w:divBdr>
    </w:div>
    <w:div w:id="21127278">
      <w:bodyDiv w:val="1"/>
      <w:marLeft w:val="0"/>
      <w:marRight w:val="0"/>
      <w:marTop w:val="0"/>
      <w:marBottom w:val="0"/>
      <w:divBdr>
        <w:top w:val="none" w:sz="0" w:space="0" w:color="auto"/>
        <w:left w:val="none" w:sz="0" w:space="0" w:color="auto"/>
        <w:bottom w:val="none" w:sz="0" w:space="0" w:color="auto"/>
        <w:right w:val="none" w:sz="0" w:space="0" w:color="auto"/>
      </w:divBdr>
    </w:div>
    <w:div w:id="23292855">
      <w:bodyDiv w:val="1"/>
      <w:marLeft w:val="0"/>
      <w:marRight w:val="0"/>
      <w:marTop w:val="0"/>
      <w:marBottom w:val="0"/>
      <w:divBdr>
        <w:top w:val="none" w:sz="0" w:space="0" w:color="auto"/>
        <w:left w:val="none" w:sz="0" w:space="0" w:color="auto"/>
        <w:bottom w:val="none" w:sz="0" w:space="0" w:color="auto"/>
        <w:right w:val="none" w:sz="0" w:space="0" w:color="auto"/>
      </w:divBdr>
    </w:div>
    <w:div w:id="28991031">
      <w:bodyDiv w:val="1"/>
      <w:marLeft w:val="0"/>
      <w:marRight w:val="0"/>
      <w:marTop w:val="0"/>
      <w:marBottom w:val="0"/>
      <w:divBdr>
        <w:top w:val="none" w:sz="0" w:space="0" w:color="auto"/>
        <w:left w:val="none" w:sz="0" w:space="0" w:color="auto"/>
        <w:bottom w:val="none" w:sz="0" w:space="0" w:color="auto"/>
        <w:right w:val="none" w:sz="0" w:space="0" w:color="auto"/>
      </w:divBdr>
    </w:div>
    <w:div w:id="35200988">
      <w:bodyDiv w:val="1"/>
      <w:marLeft w:val="0"/>
      <w:marRight w:val="0"/>
      <w:marTop w:val="0"/>
      <w:marBottom w:val="0"/>
      <w:divBdr>
        <w:top w:val="none" w:sz="0" w:space="0" w:color="auto"/>
        <w:left w:val="none" w:sz="0" w:space="0" w:color="auto"/>
        <w:bottom w:val="none" w:sz="0" w:space="0" w:color="auto"/>
        <w:right w:val="none" w:sz="0" w:space="0" w:color="auto"/>
      </w:divBdr>
    </w:div>
    <w:div w:id="36245308">
      <w:bodyDiv w:val="1"/>
      <w:marLeft w:val="0"/>
      <w:marRight w:val="0"/>
      <w:marTop w:val="0"/>
      <w:marBottom w:val="0"/>
      <w:divBdr>
        <w:top w:val="none" w:sz="0" w:space="0" w:color="auto"/>
        <w:left w:val="none" w:sz="0" w:space="0" w:color="auto"/>
        <w:bottom w:val="none" w:sz="0" w:space="0" w:color="auto"/>
        <w:right w:val="none" w:sz="0" w:space="0" w:color="auto"/>
      </w:divBdr>
    </w:div>
    <w:div w:id="61101393">
      <w:bodyDiv w:val="1"/>
      <w:marLeft w:val="0"/>
      <w:marRight w:val="0"/>
      <w:marTop w:val="0"/>
      <w:marBottom w:val="0"/>
      <w:divBdr>
        <w:top w:val="none" w:sz="0" w:space="0" w:color="auto"/>
        <w:left w:val="none" w:sz="0" w:space="0" w:color="auto"/>
        <w:bottom w:val="none" w:sz="0" w:space="0" w:color="auto"/>
        <w:right w:val="none" w:sz="0" w:space="0" w:color="auto"/>
      </w:divBdr>
    </w:div>
    <w:div w:id="72163652">
      <w:bodyDiv w:val="1"/>
      <w:marLeft w:val="0"/>
      <w:marRight w:val="0"/>
      <w:marTop w:val="0"/>
      <w:marBottom w:val="0"/>
      <w:divBdr>
        <w:top w:val="none" w:sz="0" w:space="0" w:color="auto"/>
        <w:left w:val="none" w:sz="0" w:space="0" w:color="auto"/>
        <w:bottom w:val="none" w:sz="0" w:space="0" w:color="auto"/>
        <w:right w:val="none" w:sz="0" w:space="0" w:color="auto"/>
      </w:divBdr>
    </w:div>
    <w:div w:id="84763813">
      <w:bodyDiv w:val="1"/>
      <w:marLeft w:val="0"/>
      <w:marRight w:val="0"/>
      <w:marTop w:val="0"/>
      <w:marBottom w:val="0"/>
      <w:divBdr>
        <w:top w:val="none" w:sz="0" w:space="0" w:color="auto"/>
        <w:left w:val="none" w:sz="0" w:space="0" w:color="auto"/>
        <w:bottom w:val="none" w:sz="0" w:space="0" w:color="auto"/>
        <w:right w:val="none" w:sz="0" w:space="0" w:color="auto"/>
      </w:divBdr>
    </w:div>
    <w:div w:id="88544529">
      <w:bodyDiv w:val="1"/>
      <w:marLeft w:val="0"/>
      <w:marRight w:val="0"/>
      <w:marTop w:val="0"/>
      <w:marBottom w:val="0"/>
      <w:divBdr>
        <w:top w:val="none" w:sz="0" w:space="0" w:color="auto"/>
        <w:left w:val="none" w:sz="0" w:space="0" w:color="auto"/>
        <w:bottom w:val="none" w:sz="0" w:space="0" w:color="auto"/>
        <w:right w:val="none" w:sz="0" w:space="0" w:color="auto"/>
      </w:divBdr>
    </w:div>
    <w:div w:id="88551257">
      <w:bodyDiv w:val="1"/>
      <w:marLeft w:val="0"/>
      <w:marRight w:val="0"/>
      <w:marTop w:val="0"/>
      <w:marBottom w:val="0"/>
      <w:divBdr>
        <w:top w:val="none" w:sz="0" w:space="0" w:color="auto"/>
        <w:left w:val="none" w:sz="0" w:space="0" w:color="auto"/>
        <w:bottom w:val="none" w:sz="0" w:space="0" w:color="auto"/>
        <w:right w:val="none" w:sz="0" w:space="0" w:color="auto"/>
      </w:divBdr>
    </w:div>
    <w:div w:id="93018444">
      <w:bodyDiv w:val="1"/>
      <w:marLeft w:val="0"/>
      <w:marRight w:val="0"/>
      <w:marTop w:val="0"/>
      <w:marBottom w:val="0"/>
      <w:divBdr>
        <w:top w:val="none" w:sz="0" w:space="0" w:color="auto"/>
        <w:left w:val="none" w:sz="0" w:space="0" w:color="auto"/>
        <w:bottom w:val="none" w:sz="0" w:space="0" w:color="auto"/>
        <w:right w:val="none" w:sz="0" w:space="0" w:color="auto"/>
      </w:divBdr>
    </w:div>
    <w:div w:id="94056943">
      <w:bodyDiv w:val="1"/>
      <w:marLeft w:val="0"/>
      <w:marRight w:val="0"/>
      <w:marTop w:val="0"/>
      <w:marBottom w:val="0"/>
      <w:divBdr>
        <w:top w:val="none" w:sz="0" w:space="0" w:color="auto"/>
        <w:left w:val="none" w:sz="0" w:space="0" w:color="auto"/>
        <w:bottom w:val="none" w:sz="0" w:space="0" w:color="auto"/>
        <w:right w:val="none" w:sz="0" w:space="0" w:color="auto"/>
      </w:divBdr>
    </w:div>
    <w:div w:id="121777629">
      <w:bodyDiv w:val="1"/>
      <w:marLeft w:val="0"/>
      <w:marRight w:val="0"/>
      <w:marTop w:val="0"/>
      <w:marBottom w:val="0"/>
      <w:divBdr>
        <w:top w:val="none" w:sz="0" w:space="0" w:color="auto"/>
        <w:left w:val="none" w:sz="0" w:space="0" w:color="auto"/>
        <w:bottom w:val="none" w:sz="0" w:space="0" w:color="auto"/>
        <w:right w:val="none" w:sz="0" w:space="0" w:color="auto"/>
      </w:divBdr>
    </w:div>
    <w:div w:id="124811083">
      <w:bodyDiv w:val="1"/>
      <w:marLeft w:val="0"/>
      <w:marRight w:val="0"/>
      <w:marTop w:val="0"/>
      <w:marBottom w:val="0"/>
      <w:divBdr>
        <w:top w:val="none" w:sz="0" w:space="0" w:color="auto"/>
        <w:left w:val="none" w:sz="0" w:space="0" w:color="auto"/>
        <w:bottom w:val="none" w:sz="0" w:space="0" w:color="auto"/>
        <w:right w:val="none" w:sz="0" w:space="0" w:color="auto"/>
      </w:divBdr>
    </w:div>
    <w:div w:id="131213644">
      <w:bodyDiv w:val="1"/>
      <w:marLeft w:val="0"/>
      <w:marRight w:val="0"/>
      <w:marTop w:val="0"/>
      <w:marBottom w:val="0"/>
      <w:divBdr>
        <w:top w:val="none" w:sz="0" w:space="0" w:color="auto"/>
        <w:left w:val="none" w:sz="0" w:space="0" w:color="auto"/>
        <w:bottom w:val="none" w:sz="0" w:space="0" w:color="auto"/>
        <w:right w:val="none" w:sz="0" w:space="0" w:color="auto"/>
      </w:divBdr>
    </w:div>
    <w:div w:id="154761970">
      <w:bodyDiv w:val="1"/>
      <w:marLeft w:val="0"/>
      <w:marRight w:val="0"/>
      <w:marTop w:val="0"/>
      <w:marBottom w:val="0"/>
      <w:divBdr>
        <w:top w:val="none" w:sz="0" w:space="0" w:color="auto"/>
        <w:left w:val="none" w:sz="0" w:space="0" w:color="auto"/>
        <w:bottom w:val="none" w:sz="0" w:space="0" w:color="auto"/>
        <w:right w:val="none" w:sz="0" w:space="0" w:color="auto"/>
      </w:divBdr>
    </w:div>
    <w:div w:id="158621420">
      <w:bodyDiv w:val="1"/>
      <w:marLeft w:val="0"/>
      <w:marRight w:val="0"/>
      <w:marTop w:val="0"/>
      <w:marBottom w:val="0"/>
      <w:divBdr>
        <w:top w:val="none" w:sz="0" w:space="0" w:color="auto"/>
        <w:left w:val="none" w:sz="0" w:space="0" w:color="auto"/>
        <w:bottom w:val="none" w:sz="0" w:space="0" w:color="auto"/>
        <w:right w:val="none" w:sz="0" w:space="0" w:color="auto"/>
      </w:divBdr>
    </w:div>
    <w:div w:id="163594272">
      <w:bodyDiv w:val="1"/>
      <w:marLeft w:val="0"/>
      <w:marRight w:val="0"/>
      <w:marTop w:val="0"/>
      <w:marBottom w:val="0"/>
      <w:divBdr>
        <w:top w:val="none" w:sz="0" w:space="0" w:color="auto"/>
        <w:left w:val="none" w:sz="0" w:space="0" w:color="auto"/>
        <w:bottom w:val="none" w:sz="0" w:space="0" w:color="auto"/>
        <w:right w:val="none" w:sz="0" w:space="0" w:color="auto"/>
      </w:divBdr>
    </w:div>
    <w:div w:id="165555342">
      <w:bodyDiv w:val="1"/>
      <w:marLeft w:val="0"/>
      <w:marRight w:val="0"/>
      <w:marTop w:val="0"/>
      <w:marBottom w:val="0"/>
      <w:divBdr>
        <w:top w:val="none" w:sz="0" w:space="0" w:color="auto"/>
        <w:left w:val="none" w:sz="0" w:space="0" w:color="auto"/>
        <w:bottom w:val="none" w:sz="0" w:space="0" w:color="auto"/>
        <w:right w:val="none" w:sz="0" w:space="0" w:color="auto"/>
      </w:divBdr>
    </w:div>
    <w:div w:id="168251720">
      <w:bodyDiv w:val="1"/>
      <w:marLeft w:val="0"/>
      <w:marRight w:val="0"/>
      <w:marTop w:val="0"/>
      <w:marBottom w:val="0"/>
      <w:divBdr>
        <w:top w:val="none" w:sz="0" w:space="0" w:color="auto"/>
        <w:left w:val="none" w:sz="0" w:space="0" w:color="auto"/>
        <w:bottom w:val="none" w:sz="0" w:space="0" w:color="auto"/>
        <w:right w:val="none" w:sz="0" w:space="0" w:color="auto"/>
      </w:divBdr>
    </w:div>
    <w:div w:id="171068936">
      <w:bodyDiv w:val="1"/>
      <w:marLeft w:val="0"/>
      <w:marRight w:val="0"/>
      <w:marTop w:val="0"/>
      <w:marBottom w:val="0"/>
      <w:divBdr>
        <w:top w:val="none" w:sz="0" w:space="0" w:color="auto"/>
        <w:left w:val="none" w:sz="0" w:space="0" w:color="auto"/>
        <w:bottom w:val="none" w:sz="0" w:space="0" w:color="auto"/>
        <w:right w:val="none" w:sz="0" w:space="0" w:color="auto"/>
      </w:divBdr>
    </w:div>
    <w:div w:id="171846731">
      <w:bodyDiv w:val="1"/>
      <w:marLeft w:val="0"/>
      <w:marRight w:val="0"/>
      <w:marTop w:val="0"/>
      <w:marBottom w:val="0"/>
      <w:divBdr>
        <w:top w:val="none" w:sz="0" w:space="0" w:color="auto"/>
        <w:left w:val="none" w:sz="0" w:space="0" w:color="auto"/>
        <w:bottom w:val="none" w:sz="0" w:space="0" w:color="auto"/>
        <w:right w:val="none" w:sz="0" w:space="0" w:color="auto"/>
      </w:divBdr>
    </w:div>
    <w:div w:id="173036957">
      <w:bodyDiv w:val="1"/>
      <w:marLeft w:val="0"/>
      <w:marRight w:val="0"/>
      <w:marTop w:val="0"/>
      <w:marBottom w:val="0"/>
      <w:divBdr>
        <w:top w:val="none" w:sz="0" w:space="0" w:color="auto"/>
        <w:left w:val="none" w:sz="0" w:space="0" w:color="auto"/>
        <w:bottom w:val="none" w:sz="0" w:space="0" w:color="auto"/>
        <w:right w:val="none" w:sz="0" w:space="0" w:color="auto"/>
      </w:divBdr>
    </w:div>
    <w:div w:id="181286200">
      <w:bodyDiv w:val="1"/>
      <w:marLeft w:val="0"/>
      <w:marRight w:val="0"/>
      <w:marTop w:val="0"/>
      <w:marBottom w:val="0"/>
      <w:divBdr>
        <w:top w:val="none" w:sz="0" w:space="0" w:color="auto"/>
        <w:left w:val="none" w:sz="0" w:space="0" w:color="auto"/>
        <w:bottom w:val="none" w:sz="0" w:space="0" w:color="auto"/>
        <w:right w:val="none" w:sz="0" w:space="0" w:color="auto"/>
      </w:divBdr>
    </w:div>
    <w:div w:id="182666717">
      <w:bodyDiv w:val="1"/>
      <w:marLeft w:val="0"/>
      <w:marRight w:val="0"/>
      <w:marTop w:val="0"/>
      <w:marBottom w:val="0"/>
      <w:divBdr>
        <w:top w:val="none" w:sz="0" w:space="0" w:color="auto"/>
        <w:left w:val="none" w:sz="0" w:space="0" w:color="auto"/>
        <w:bottom w:val="none" w:sz="0" w:space="0" w:color="auto"/>
        <w:right w:val="none" w:sz="0" w:space="0" w:color="auto"/>
      </w:divBdr>
    </w:div>
    <w:div w:id="183902519">
      <w:bodyDiv w:val="1"/>
      <w:marLeft w:val="0"/>
      <w:marRight w:val="0"/>
      <w:marTop w:val="0"/>
      <w:marBottom w:val="0"/>
      <w:divBdr>
        <w:top w:val="none" w:sz="0" w:space="0" w:color="auto"/>
        <w:left w:val="none" w:sz="0" w:space="0" w:color="auto"/>
        <w:bottom w:val="none" w:sz="0" w:space="0" w:color="auto"/>
        <w:right w:val="none" w:sz="0" w:space="0" w:color="auto"/>
      </w:divBdr>
    </w:div>
    <w:div w:id="190807197">
      <w:bodyDiv w:val="1"/>
      <w:marLeft w:val="0"/>
      <w:marRight w:val="0"/>
      <w:marTop w:val="0"/>
      <w:marBottom w:val="0"/>
      <w:divBdr>
        <w:top w:val="none" w:sz="0" w:space="0" w:color="auto"/>
        <w:left w:val="none" w:sz="0" w:space="0" w:color="auto"/>
        <w:bottom w:val="none" w:sz="0" w:space="0" w:color="auto"/>
        <w:right w:val="none" w:sz="0" w:space="0" w:color="auto"/>
      </w:divBdr>
    </w:div>
    <w:div w:id="199557566">
      <w:bodyDiv w:val="1"/>
      <w:marLeft w:val="0"/>
      <w:marRight w:val="0"/>
      <w:marTop w:val="0"/>
      <w:marBottom w:val="0"/>
      <w:divBdr>
        <w:top w:val="none" w:sz="0" w:space="0" w:color="auto"/>
        <w:left w:val="none" w:sz="0" w:space="0" w:color="auto"/>
        <w:bottom w:val="none" w:sz="0" w:space="0" w:color="auto"/>
        <w:right w:val="none" w:sz="0" w:space="0" w:color="auto"/>
      </w:divBdr>
    </w:div>
    <w:div w:id="200486423">
      <w:bodyDiv w:val="1"/>
      <w:marLeft w:val="0"/>
      <w:marRight w:val="0"/>
      <w:marTop w:val="0"/>
      <w:marBottom w:val="0"/>
      <w:divBdr>
        <w:top w:val="none" w:sz="0" w:space="0" w:color="auto"/>
        <w:left w:val="none" w:sz="0" w:space="0" w:color="auto"/>
        <w:bottom w:val="none" w:sz="0" w:space="0" w:color="auto"/>
        <w:right w:val="none" w:sz="0" w:space="0" w:color="auto"/>
      </w:divBdr>
    </w:div>
    <w:div w:id="201477593">
      <w:bodyDiv w:val="1"/>
      <w:marLeft w:val="0"/>
      <w:marRight w:val="0"/>
      <w:marTop w:val="0"/>
      <w:marBottom w:val="0"/>
      <w:divBdr>
        <w:top w:val="none" w:sz="0" w:space="0" w:color="auto"/>
        <w:left w:val="none" w:sz="0" w:space="0" w:color="auto"/>
        <w:bottom w:val="none" w:sz="0" w:space="0" w:color="auto"/>
        <w:right w:val="none" w:sz="0" w:space="0" w:color="auto"/>
      </w:divBdr>
    </w:div>
    <w:div w:id="203175602">
      <w:bodyDiv w:val="1"/>
      <w:marLeft w:val="0"/>
      <w:marRight w:val="0"/>
      <w:marTop w:val="0"/>
      <w:marBottom w:val="0"/>
      <w:divBdr>
        <w:top w:val="none" w:sz="0" w:space="0" w:color="auto"/>
        <w:left w:val="none" w:sz="0" w:space="0" w:color="auto"/>
        <w:bottom w:val="none" w:sz="0" w:space="0" w:color="auto"/>
        <w:right w:val="none" w:sz="0" w:space="0" w:color="auto"/>
      </w:divBdr>
    </w:div>
    <w:div w:id="205526059">
      <w:bodyDiv w:val="1"/>
      <w:marLeft w:val="0"/>
      <w:marRight w:val="0"/>
      <w:marTop w:val="0"/>
      <w:marBottom w:val="0"/>
      <w:divBdr>
        <w:top w:val="none" w:sz="0" w:space="0" w:color="auto"/>
        <w:left w:val="none" w:sz="0" w:space="0" w:color="auto"/>
        <w:bottom w:val="none" w:sz="0" w:space="0" w:color="auto"/>
        <w:right w:val="none" w:sz="0" w:space="0" w:color="auto"/>
      </w:divBdr>
    </w:div>
    <w:div w:id="205798083">
      <w:bodyDiv w:val="1"/>
      <w:marLeft w:val="0"/>
      <w:marRight w:val="0"/>
      <w:marTop w:val="0"/>
      <w:marBottom w:val="0"/>
      <w:divBdr>
        <w:top w:val="none" w:sz="0" w:space="0" w:color="auto"/>
        <w:left w:val="none" w:sz="0" w:space="0" w:color="auto"/>
        <w:bottom w:val="none" w:sz="0" w:space="0" w:color="auto"/>
        <w:right w:val="none" w:sz="0" w:space="0" w:color="auto"/>
      </w:divBdr>
    </w:div>
    <w:div w:id="211160440">
      <w:bodyDiv w:val="1"/>
      <w:marLeft w:val="0"/>
      <w:marRight w:val="0"/>
      <w:marTop w:val="0"/>
      <w:marBottom w:val="0"/>
      <w:divBdr>
        <w:top w:val="none" w:sz="0" w:space="0" w:color="auto"/>
        <w:left w:val="none" w:sz="0" w:space="0" w:color="auto"/>
        <w:bottom w:val="none" w:sz="0" w:space="0" w:color="auto"/>
        <w:right w:val="none" w:sz="0" w:space="0" w:color="auto"/>
      </w:divBdr>
    </w:div>
    <w:div w:id="212161204">
      <w:bodyDiv w:val="1"/>
      <w:marLeft w:val="0"/>
      <w:marRight w:val="0"/>
      <w:marTop w:val="0"/>
      <w:marBottom w:val="0"/>
      <w:divBdr>
        <w:top w:val="none" w:sz="0" w:space="0" w:color="auto"/>
        <w:left w:val="none" w:sz="0" w:space="0" w:color="auto"/>
        <w:bottom w:val="none" w:sz="0" w:space="0" w:color="auto"/>
        <w:right w:val="none" w:sz="0" w:space="0" w:color="auto"/>
      </w:divBdr>
    </w:div>
    <w:div w:id="216212392">
      <w:bodyDiv w:val="1"/>
      <w:marLeft w:val="0"/>
      <w:marRight w:val="0"/>
      <w:marTop w:val="0"/>
      <w:marBottom w:val="0"/>
      <w:divBdr>
        <w:top w:val="none" w:sz="0" w:space="0" w:color="auto"/>
        <w:left w:val="none" w:sz="0" w:space="0" w:color="auto"/>
        <w:bottom w:val="none" w:sz="0" w:space="0" w:color="auto"/>
        <w:right w:val="none" w:sz="0" w:space="0" w:color="auto"/>
      </w:divBdr>
    </w:div>
    <w:div w:id="224067701">
      <w:bodyDiv w:val="1"/>
      <w:marLeft w:val="0"/>
      <w:marRight w:val="0"/>
      <w:marTop w:val="0"/>
      <w:marBottom w:val="0"/>
      <w:divBdr>
        <w:top w:val="none" w:sz="0" w:space="0" w:color="auto"/>
        <w:left w:val="none" w:sz="0" w:space="0" w:color="auto"/>
        <w:bottom w:val="none" w:sz="0" w:space="0" w:color="auto"/>
        <w:right w:val="none" w:sz="0" w:space="0" w:color="auto"/>
      </w:divBdr>
    </w:div>
    <w:div w:id="228853015">
      <w:bodyDiv w:val="1"/>
      <w:marLeft w:val="0"/>
      <w:marRight w:val="0"/>
      <w:marTop w:val="0"/>
      <w:marBottom w:val="0"/>
      <w:divBdr>
        <w:top w:val="none" w:sz="0" w:space="0" w:color="auto"/>
        <w:left w:val="none" w:sz="0" w:space="0" w:color="auto"/>
        <w:bottom w:val="none" w:sz="0" w:space="0" w:color="auto"/>
        <w:right w:val="none" w:sz="0" w:space="0" w:color="auto"/>
      </w:divBdr>
    </w:div>
    <w:div w:id="234171908">
      <w:bodyDiv w:val="1"/>
      <w:marLeft w:val="0"/>
      <w:marRight w:val="0"/>
      <w:marTop w:val="0"/>
      <w:marBottom w:val="0"/>
      <w:divBdr>
        <w:top w:val="none" w:sz="0" w:space="0" w:color="auto"/>
        <w:left w:val="none" w:sz="0" w:space="0" w:color="auto"/>
        <w:bottom w:val="none" w:sz="0" w:space="0" w:color="auto"/>
        <w:right w:val="none" w:sz="0" w:space="0" w:color="auto"/>
      </w:divBdr>
    </w:div>
    <w:div w:id="249580485">
      <w:bodyDiv w:val="1"/>
      <w:marLeft w:val="0"/>
      <w:marRight w:val="0"/>
      <w:marTop w:val="0"/>
      <w:marBottom w:val="0"/>
      <w:divBdr>
        <w:top w:val="none" w:sz="0" w:space="0" w:color="auto"/>
        <w:left w:val="none" w:sz="0" w:space="0" w:color="auto"/>
        <w:bottom w:val="none" w:sz="0" w:space="0" w:color="auto"/>
        <w:right w:val="none" w:sz="0" w:space="0" w:color="auto"/>
      </w:divBdr>
    </w:div>
    <w:div w:id="253129443">
      <w:bodyDiv w:val="1"/>
      <w:marLeft w:val="0"/>
      <w:marRight w:val="0"/>
      <w:marTop w:val="0"/>
      <w:marBottom w:val="0"/>
      <w:divBdr>
        <w:top w:val="none" w:sz="0" w:space="0" w:color="auto"/>
        <w:left w:val="none" w:sz="0" w:space="0" w:color="auto"/>
        <w:bottom w:val="none" w:sz="0" w:space="0" w:color="auto"/>
        <w:right w:val="none" w:sz="0" w:space="0" w:color="auto"/>
      </w:divBdr>
    </w:div>
    <w:div w:id="263075531">
      <w:bodyDiv w:val="1"/>
      <w:marLeft w:val="0"/>
      <w:marRight w:val="0"/>
      <w:marTop w:val="0"/>
      <w:marBottom w:val="0"/>
      <w:divBdr>
        <w:top w:val="none" w:sz="0" w:space="0" w:color="auto"/>
        <w:left w:val="none" w:sz="0" w:space="0" w:color="auto"/>
        <w:bottom w:val="none" w:sz="0" w:space="0" w:color="auto"/>
        <w:right w:val="none" w:sz="0" w:space="0" w:color="auto"/>
      </w:divBdr>
    </w:div>
    <w:div w:id="265619645">
      <w:bodyDiv w:val="1"/>
      <w:marLeft w:val="0"/>
      <w:marRight w:val="0"/>
      <w:marTop w:val="0"/>
      <w:marBottom w:val="0"/>
      <w:divBdr>
        <w:top w:val="none" w:sz="0" w:space="0" w:color="auto"/>
        <w:left w:val="none" w:sz="0" w:space="0" w:color="auto"/>
        <w:bottom w:val="none" w:sz="0" w:space="0" w:color="auto"/>
        <w:right w:val="none" w:sz="0" w:space="0" w:color="auto"/>
      </w:divBdr>
    </w:div>
    <w:div w:id="279384545">
      <w:bodyDiv w:val="1"/>
      <w:marLeft w:val="0"/>
      <w:marRight w:val="0"/>
      <w:marTop w:val="0"/>
      <w:marBottom w:val="0"/>
      <w:divBdr>
        <w:top w:val="none" w:sz="0" w:space="0" w:color="auto"/>
        <w:left w:val="none" w:sz="0" w:space="0" w:color="auto"/>
        <w:bottom w:val="none" w:sz="0" w:space="0" w:color="auto"/>
        <w:right w:val="none" w:sz="0" w:space="0" w:color="auto"/>
      </w:divBdr>
    </w:div>
    <w:div w:id="291012259">
      <w:bodyDiv w:val="1"/>
      <w:marLeft w:val="0"/>
      <w:marRight w:val="0"/>
      <w:marTop w:val="0"/>
      <w:marBottom w:val="0"/>
      <w:divBdr>
        <w:top w:val="none" w:sz="0" w:space="0" w:color="auto"/>
        <w:left w:val="none" w:sz="0" w:space="0" w:color="auto"/>
        <w:bottom w:val="none" w:sz="0" w:space="0" w:color="auto"/>
        <w:right w:val="none" w:sz="0" w:space="0" w:color="auto"/>
      </w:divBdr>
    </w:div>
    <w:div w:id="293365617">
      <w:bodyDiv w:val="1"/>
      <w:marLeft w:val="0"/>
      <w:marRight w:val="0"/>
      <w:marTop w:val="0"/>
      <w:marBottom w:val="0"/>
      <w:divBdr>
        <w:top w:val="none" w:sz="0" w:space="0" w:color="auto"/>
        <w:left w:val="none" w:sz="0" w:space="0" w:color="auto"/>
        <w:bottom w:val="none" w:sz="0" w:space="0" w:color="auto"/>
        <w:right w:val="none" w:sz="0" w:space="0" w:color="auto"/>
      </w:divBdr>
    </w:div>
    <w:div w:id="306714702">
      <w:bodyDiv w:val="1"/>
      <w:marLeft w:val="0"/>
      <w:marRight w:val="0"/>
      <w:marTop w:val="0"/>
      <w:marBottom w:val="0"/>
      <w:divBdr>
        <w:top w:val="none" w:sz="0" w:space="0" w:color="auto"/>
        <w:left w:val="none" w:sz="0" w:space="0" w:color="auto"/>
        <w:bottom w:val="none" w:sz="0" w:space="0" w:color="auto"/>
        <w:right w:val="none" w:sz="0" w:space="0" w:color="auto"/>
      </w:divBdr>
    </w:div>
    <w:div w:id="310603502">
      <w:bodyDiv w:val="1"/>
      <w:marLeft w:val="0"/>
      <w:marRight w:val="0"/>
      <w:marTop w:val="0"/>
      <w:marBottom w:val="0"/>
      <w:divBdr>
        <w:top w:val="none" w:sz="0" w:space="0" w:color="auto"/>
        <w:left w:val="none" w:sz="0" w:space="0" w:color="auto"/>
        <w:bottom w:val="none" w:sz="0" w:space="0" w:color="auto"/>
        <w:right w:val="none" w:sz="0" w:space="0" w:color="auto"/>
      </w:divBdr>
    </w:div>
    <w:div w:id="315037345">
      <w:bodyDiv w:val="1"/>
      <w:marLeft w:val="0"/>
      <w:marRight w:val="0"/>
      <w:marTop w:val="0"/>
      <w:marBottom w:val="0"/>
      <w:divBdr>
        <w:top w:val="none" w:sz="0" w:space="0" w:color="auto"/>
        <w:left w:val="none" w:sz="0" w:space="0" w:color="auto"/>
        <w:bottom w:val="none" w:sz="0" w:space="0" w:color="auto"/>
        <w:right w:val="none" w:sz="0" w:space="0" w:color="auto"/>
      </w:divBdr>
    </w:div>
    <w:div w:id="317809245">
      <w:bodyDiv w:val="1"/>
      <w:marLeft w:val="0"/>
      <w:marRight w:val="0"/>
      <w:marTop w:val="0"/>
      <w:marBottom w:val="0"/>
      <w:divBdr>
        <w:top w:val="none" w:sz="0" w:space="0" w:color="auto"/>
        <w:left w:val="none" w:sz="0" w:space="0" w:color="auto"/>
        <w:bottom w:val="none" w:sz="0" w:space="0" w:color="auto"/>
        <w:right w:val="none" w:sz="0" w:space="0" w:color="auto"/>
      </w:divBdr>
    </w:div>
    <w:div w:id="317812249">
      <w:bodyDiv w:val="1"/>
      <w:marLeft w:val="0"/>
      <w:marRight w:val="0"/>
      <w:marTop w:val="0"/>
      <w:marBottom w:val="0"/>
      <w:divBdr>
        <w:top w:val="none" w:sz="0" w:space="0" w:color="auto"/>
        <w:left w:val="none" w:sz="0" w:space="0" w:color="auto"/>
        <w:bottom w:val="none" w:sz="0" w:space="0" w:color="auto"/>
        <w:right w:val="none" w:sz="0" w:space="0" w:color="auto"/>
      </w:divBdr>
    </w:div>
    <w:div w:id="319191751">
      <w:bodyDiv w:val="1"/>
      <w:marLeft w:val="0"/>
      <w:marRight w:val="0"/>
      <w:marTop w:val="0"/>
      <w:marBottom w:val="0"/>
      <w:divBdr>
        <w:top w:val="none" w:sz="0" w:space="0" w:color="auto"/>
        <w:left w:val="none" w:sz="0" w:space="0" w:color="auto"/>
        <w:bottom w:val="none" w:sz="0" w:space="0" w:color="auto"/>
        <w:right w:val="none" w:sz="0" w:space="0" w:color="auto"/>
      </w:divBdr>
    </w:div>
    <w:div w:id="320933768">
      <w:bodyDiv w:val="1"/>
      <w:marLeft w:val="0"/>
      <w:marRight w:val="0"/>
      <w:marTop w:val="0"/>
      <w:marBottom w:val="0"/>
      <w:divBdr>
        <w:top w:val="none" w:sz="0" w:space="0" w:color="auto"/>
        <w:left w:val="none" w:sz="0" w:space="0" w:color="auto"/>
        <w:bottom w:val="none" w:sz="0" w:space="0" w:color="auto"/>
        <w:right w:val="none" w:sz="0" w:space="0" w:color="auto"/>
      </w:divBdr>
    </w:div>
    <w:div w:id="324280048">
      <w:bodyDiv w:val="1"/>
      <w:marLeft w:val="0"/>
      <w:marRight w:val="0"/>
      <w:marTop w:val="0"/>
      <w:marBottom w:val="0"/>
      <w:divBdr>
        <w:top w:val="none" w:sz="0" w:space="0" w:color="auto"/>
        <w:left w:val="none" w:sz="0" w:space="0" w:color="auto"/>
        <w:bottom w:val="none" w:sz="0" w:space="0" w:color="auto"/>
        <w:right w:val="none" w:sz="0" w:space="0" w:color="auto"/>
      </w:divBdr>
    </w:div>
    <w:div w:id="324477333">
      <w:bodyDiv w:val="1"/>
      <w:marLeft w:val="0"/>
      <w:marRight w:val="0"/>
      <w:marTop w:val="0"/>
      <w:marBottom w:val="0"/>
      <w:divBdr>
        <w:top w:val="none" w:sz="0" w:space="0" w:color="auto"/>
        <w:left w:val="none" w:sz="0" w:space="0" w:color="auto"/>
        <w:bottom w:val="none" w:sz="0" w:space="0" w:color="auto"/>
        <w:right w:val="none" w:sz="0" w:space="0" w:color="auto"/>
      </w:divBdr>
    </w:div>
    <w:div w:id="325673498">
      <w:bodyDiv w:val="1"/>
      <w:marLeft w:val="0"/>
      <w:marRight w:val="0"/>
      <w:marTop w:val="0"/>
      <w:marBottom w:val="0"/>
      <w:divBdr>
        <w:top w:val="none" w:sz="0" w:space="0" w:color="auto"/>
        <w:left w:val="none" w:sz="0" w:space="0" w:color="auto"/>
        <w:bottom w:val="none" w:sz="0" w:space="0" w:color="auto"/>
        <w:right w:val="none" w:sz="0" w:space="0" w:color="auto"/>
      </w:divBdr>
    </w:div>
    <w:div w:id="330566100">
      <w:bodyDiv w:val="1"/>
      <w:marLeft w:val="0"/>
      <w:marRight w:val="0"/>
      <w:marTop w:val="0"/>
      <w:marBottom w:val="0"/>
      <w:divBdr>
        <w:top w:val="none" w:sz="0" w:space="0" w:color="auto"/>
        <w:left w:val="none" w:sz="0" w:space="0" w:color="auto"/>
        <w:bottom w:val="none" w:sz="0" w:space="0" w:color="auto"/>
        <w:right w:val="none" w:sz="0" w:space="0" w:color="auto"/>
      </w:divBdr>
    </w:div>
    <w:div w:id="336814654">
      <w:bodyDiv w:val="1"/>
      <w:marLeft w:val="0"/>
      <w:marRight w:val="0"/>
      <w:marTop w:val="0"/>
      <w:marBottom w:val="0"/>
      <w:divBdr>
        <w:top w:val="none" w:sz="0" w:space="0" w:color="auto"/>
        <w:left w:val="none" w:sz="0" w:space="0" w:color="auto"/>
        <w:bottom w:val="none" w:sz="0" w:space="0" w:color="auto"/>
        <w:right w:val="none" w:sz="0" w:space="0" w:color="auto"/>
      </w:divBdr>
    </w:div>
    <w:div w:id="341317983">
      <w:bodyDiv w:val="1"/>
      <w:marLeft w:val="0"/>
      <w:marRight w:val="0"/>
      <w:marTop w:val="0"/>
      <w:marBottom w:val="0"/>
      <w:divBdr>
        <w:top w:val="none" w:sz="0" w:space="0" w:color="auto"/>
        <w:left w:val="none" w:sz="0" w:space="0" w:color="auto"/>
        <w:bottom w:val="none" w:sz="0" w:space="0" w:color="auto"/>
        <w:right w:val="none" w:sz="0" w:space="0" w:color="auto"/>
      </w:divBdr>
    </w:div>
    <w:div w:id="348483193">
      <w:bodyDiv w:val="1"/>
      <w:marLeft w:val="0"/>
      <w:marRight w:val="0"/>
      <w:marTop w:val="0"/>
      <w:marBottom w:val="0"/>
      <w:divBdr>
        <w:top w:val="none" w:sz="0" w:space="0" w:color="auto"/>
        <w:left w:val="none" w:sz="0" w:space="0" w:color="auto"/>
        <w:bottom w:val="none" w:sz="0" w:space="0" w:color="auto"/>
        <w:right w:val="none" w:sz="0" w:space="0" w:color="auto"/>
      </w:divBdr>
    </w:div>
    <w:div w:id="373165827">
      <w:bodyDiv w:val="1"/>
      <w:marLeft w:val="0"/>
      <w:marRight w:val="0"/>
      <w:marTop w:val="0"/>
      <w:marBottom w:val="0"/>
      <w:divBdr>
        <w:top w:val="none" w:sz="0" w:space="0" w:color="auto"/>
        <w:left w:val="none" w:sz="0" w:space="0" w:color="auto"/>
        <w:bottom w:val="none" w:sz="0" w:space="0" w:color="auto"/>
        <w:right w:val="none" w:sz="0" w:space="0" w:color="auto"/>
      </w:divBdr>
    </w:div>
    <w:div w:id="375397572">
      <w:bodyDiv w:val="1"/>
      <w:marLeft w:val="0"/>
      <w:marRight w:val="0"/>
      <w:marTop w:val="0"/>
      <w:marBottom w:val="0"/>
      <w:divBdr>
        <w:top w:val="none" w:sz="0" w:space="0" w:color="auto"/>
        <w:left w:val="none" w:sz="0" w:space="0" w:color="auto"/>
        <w:bottom w:val="none" w:sz="0" w:space="0" w:color="auto"/>
        <w:right w:val="none" w:sz="0" w:space="0" w:color="auto"/>
      </w:divBdr>
    </w:div>
    <w:div w:id="389572785">
      <w:bodyDiv w:val="1"/>
      <w:marLeft w:val="0"/>
      <w:marRight w:val="0"/>
      <w:marTop w:val="0"/>
      <w:marBottom w:val="0"/>
      <w:divBdr>
        <w:top w:val="none" w:sz="0" w:space="0" w:color="auto"/>
        <w:left w:val="none" w:sz="0" w:space="0" w:color="auto"/>
        <w:bottom w:val="none" w:sz="0" w:space="0" w:color="auto"/>
        <w:right w:val="none" w:sz="0" w:space="0" w:color="auto"/>
      </w:divBdr>
    </w:div>
    <w:div w:id="389698116">
      <w:bodyDiv w:val="1"/>
      <w:marLeft w:val="0"/>
      <w:marRight w:val="0"/>
      <w:marTop w:val="0"/>
      <w:marBottom w:val="0"/>
      <w:divBdr>
        <w:top w:val="none" w:sz="0" w:space="0" w:color="auto"/>
        <w:left w:val="none" w:sz="0" w:space="0" w:color="auto"/>
        <w:bottom w:val="none" w:sz="0" w:space="0" w:color="auto"/>
        <w:right w:val="none" w:sz="0" w:space="0" w:color="auto"/>
      </w:divBdr>
    </w:div>
    <w:div w:id="404376789">
      <w:bodyDiv w:val="1"/>
      <w:marLeft w:val="0"/>
      <w:marRight w:val="0"/>
      <w:marTop w:val="0"/>
      <w:marBottom w:val="0"/>
      <w:divBdr>
        <w:top w:val="none" w:sz="0" w:space="0" w:color="auto"/>
        <w:left w:val="none" w:sz="0" w:space="0" w:color="auto"/>
        <w:bottom w:val="none" w:sz="0" w:space="0" w:color="auto"/>
        <w:right w:val="none" w:sz="0" w:space="0" w:color="auto"/>
      </w:divBdr>
    </w:div>
    <w:div w:id="407075390">
      <w:bodyDiv w:val="1"/>
      <w:marLeft w:val="0"/>
      <w:marRight w:val="0"/>
      <w:marTop w:val="0"/>
      <w:marBottom w:val="0"/>
      <w:divBdr>
        <w:top w:val="none" w:sz="0" w:space="0" w:color="auto"/>
        <w:left w:val="none" w:sz="0" w:space="0" w:color="auto"/>
        <w:bottom w:val="none" w:sz="0" w:space="0" w:color="auto"/>
        <w:right w:val="none" w:sz="0" w:space="0" w:color="auto"/>
      </w:divBdr>
    </w:div>
    <w:div w:id="413091811">
      <w:bodyDiv w:val="1"/>
      <w:marLeft w:val="0"/>
      <w:marRight w:val="0"/>
      <w:marTop w:val="0"/>
      <w:marBottom w:val="0"/>
      <w:divBdr>
        <w:top w:val="none" w:sz="0" w:space="0" w:color="auto"/>
        <w:left w:val="none" w:sz="0" w:space="0" w:color="auto"/>
        <w:bottom w:val="none" w:sz="0" w:space="0" w:color="auto"/>
        <w:right w:val="none" w:sz="0" w:space="0" w:color="auto"/>
      </w:divBdr>
    </w:div>
    <w:div w:id="426078009">
      <w:bodyDiv w:val="1"/>
      <w:marLeft w:val="0"/>
      <w:marRight w:val="0"/>
      <w:marTop w:val="0"/>
      <w:marBottom w:val="0"/>
      <w:divBdr>
        <w:top w:val="none" w:sz="0" w:space="0" w:color="auto"/>
        <w:left w:val="none" w:sz="0" w:space="0" w:color="auto"/>
        <w:bottom w:val="none" w:sz="0" w:space="0" w:color="auto"/>
        <w:right w:val="none" w:sz="0" w:space="0" w:color="auto"/>
      </w:divBdr>
    </w:div>
    <w:div w:id="431240187">
      <w:bodyDiv w:val="1"/>
      <w:marLeft w:val="0"/>
      <w:marRight w:val="0"/>
      <w:marTop w:val="0"/>
      <w:marBottom w:val="0"/>
      <w:divBdr>
        <w:top w:val="none" w:sz="0" w:space="0" w:color="auto"/>
        <w:left w:val="none" w:sz="0" w:space="0" w:color="auto"/>
        <w:bottom w:val="none" w:sz="0" w:space="0" w:color="auto"/>
        <w:right w:val="none" w:sz="0" w:space="0" w:color="auto"/>
      </w:divBdr>
    </w:div>
    <w:div w:id="435103427">
      <w:bodyDiv w:val="1"/>
      <w:marLeft w:val="0"/>
      <w:marRight w:val="0"/>
      <w:marTop w:val="0"/>
      <w:marBottom w:val="0"/>
      <w:divBdr>
        <w:top w:val="none" w:sz="0" w:space="0" w:color="auto"/>
        <w:left w:val="none" w:sz="0" w:space="0" w:color="auto"/>
        <w:bottom w:val="none" w:sz="0" w:space="0" w:color="auto"/>
        <w:right w:val="none" w:sz="0" w:space="0" w:color="auto"/>
      </w:divBdr>
    </w:div>
    <w:div w:id="447312745">
      <w:bodyDiv w:val="1"/>
      <w:marLeft w:val="0"/>
      <w:marRight w:val="0"/>
      <w:marTop w:val="0"/>
      <w:marBottom w:val="0"/>
      <w:divBdr>
        <w:top w:val="none" w:sz="0" w:space="0" w:color="auto"/>
        <w:left w:val="none" w:sz="0" w:space="0" w:color="auto"/>
        <w:bottom w:val="none" w:sz="0" w:space="0" w:color="auto"/>
        <w:right w:val="none" w:sz="0" w:space="0" w:color="auto"/>
      </w:divBdr>
    </w:div>
    <w:div w:id="447897403">
      <w:bodyDiv w:val="1"/>
      <w:marLeft w:val="0"/>
      <w:marRight w:val="0"/>
      <w:marTop w:val="0"/>
      <w:marBottom w:val="0"/>
      <w:divBdr>
        <w:top w:val="none" w:sz="0" w:space="0" w:color="auto"/>
        <w:left w:val="none" w:sz="0" w:space="0" w:color="auto"/>
        <w:bottom w:val="none" w:sz="0" w:space="0" w:color="auto"/>
        <w:right w:val="none" w:sz="0" w:space="0" w:color="auto"/>
      </w:divBdr>
    </w:div>
    <w:div w:id="451170748">
      <w:bodyDiv w:val="1"/>
      <w:marLeft w:val="0"/>
      <w:marRight w:val="0"/>
      <w:marTop w:val="0"/>
      <w:marBottom w:val="0"/>
      <w:divBdr>
        <w:top w:val="none" w:sz="0" w:space="0" w:color="auto"/>
        <w:left w:val="none" w:sz="0" w:space="0" w:color="auto"/>
        <w:bottom w:val="none" w:sz="0" w:space="0" w:color="auto"/>
        <w:right w:val="none" w:sz="0" w:space="0" w:color="auto"/>
      </w:divBdr>
    </w:div>
    <w:div w:id="480775101">
      <w:bodyDiv w:val="1"/>
      <w:marLeft w:val="0"/>
      <w:marRight w:val="0"/>
      <w:marTop w:val="0"/>
      <w:marBottom w:val="0"/>
      <w:divBdr>
        <w:top w:val="none" w:sz="0" w:space="0" w:color="auto"/>
        <w:left w:val="none" w:sz="0" w:space="0" w:color="auto"/>
        <w:bottom w:val="none" w:sz="0" w:space="0" w:color="auto"/>
        <w:right w:val="none" w:sz="0" w:space="0" w:color="auto"/>
      </w:divBdr>
    </w:div>
    <w:div w:id="483544506">
      <w:bodyDiv w:val="1"/>
      <w:marLeft w:val="0"/>
      <w:marRight w:val="0"/>
      <w:marTop w:val="0"/>
      <w:marBottom w:val="0"/>
      <w:divBdr>
        <w:top w:val="none" w:sz="0" w:space="0" w:color="auto"/>
        <w:left w:val="none" w:sz="0" w:space="0" w:color="auto"/>
        <w:bottom w:val="none" w:sz="0" w:space="0" w:color="auto"/>
        <w:right w:val="none" w:sz="0" w:space="0" w:color="auto"/>
      </w:divBdr>
    </w:div>
    <w:div w:id="484710555">
      <w:bodyDiv w:val="1"/>
      <w:marLeft w:val="0"/>
      <w:marRight w:val="0"/>
      <w:marTop w:val="0"/>
      <w:marBottom w:val="0"/>
      <w:divBdr>
        <w:top w:val="none" w:sz="0" w:space="0" w:color="auto"/>
        <w:left w:val="none" w:sz="0" w:space="0" w:color="auto"/>
        <w:bottom w:val="none" w:sz="0" w:space="0" w:color="auto"/>
        <w:right w:val="none" w:sz="0" w:space="0" w:color="auto"/>
      </w:divBdr>
    </w:div>
    <w:div w:id="491877643">
      <w:bodyDiv w:val="1"/>
      <w:marLeft w:val="0"/>
      <w:marRight w:val="0"/>
      <w:marTop w:val="0"/>
      <w:marBottom w:val="0"/>
      <w:divBdr>
        <w:top w:val="none" w:sz="0" w:space="0" w:color="auto"/>
        <w:left w:val="none" w:sz="0" w:space="0" w:color="auto"/>
        <w:bottom w:val="none" w:sz="0" w:space="0" w:color="auto"/>
        <w:right w:val="none" w:sz="0" w:space="0" w:color="auto"/>
      </w:divBdr>
    </w:div>
    <w:div w:id="494953507">
      <w:bodyDiv w:val="1"/>
      <w:marLeft w:val="0"/>
      <w:marRight w:val="0"/>
      <w:marTop w:val="0"/>
      <w:marBottom w:val="0"/>
      <w:divBdr>
        <w:top w:val="none" w:sz="0" w:space="0" w:color="auto"/>
        <w:left w:val="none" w:sz="0" w:space="0" w:color="auto"/>
        <w:bottom w:val="none" w:sz="0" w:space="0" w:color="auto"/>
        <w:right w:val="none" w:sz="0" w:space="0" w:color="auto"/>
      </w:divBdr>
    </w:div>
    <w:div w:id="501355643">
      <w:bodyDiv w:val="1"/>
      <w:marLeft w:val="0"/>
      <w:marRight w:val="0"/>
      <w:marTop w:val="0"/>
      <w:marBottom w:val="0"/>
      <w:divBdr>
        <w:top w:val="none" w:sz="0" w:space="0" w:color="auto"/>
        <w:left w:val="none" w:sz="0" w:space="0" w:color="auto"/>
        <w:bottom w:val="none" w:sz="0" w:space="0" w:color="auto"/>
        <w:right w:val="none" w:sz="0" w:space="0" w:color="auto"/>
      </w:divBdr>
    </w:div>
    <w:div w:id="503865395">
      <w:bodyDiv w:val="1"/>
      <w:marLeft w:val="0"/>
      <w:marRight w:val="0"/>
      <w:marTop w:val="0"/>
      <w:marBottom w:val="0"/>
      <w:divBdr>
        <w:top w:val="none" w:sz="0" w:space="0" w:color="auto"/>
        <w:left w:val="none" w:sz="0" w:space="0" w:color="auto"/>
        <w:bottom w:val="none" w:sz="0" w:space="0" w:color="auto"/>
        <w:right w:val="none" w:sz="0" w:space="0" w:color="auto"/>
      </w:divBdr>
    </w:div>
    <w:div w:id="507065402">
      <w:bodyDiv w:val="1"/>
      <w:marLeft w:val="0"/>
      <w:marRight w:val="0"/>
      <w:marTop w:val="0"/>
      <w:marBottom w:val="0"/>
      <w:divBdr>
        <w:top w:val="none" w:sz="0" w:space="0" w:color="auto"/>
        <w:left w:val="none" w:sz="0" w:space="0" w:color="auto"/>
        <w:bottom w:val="none" w:sz="0" w:space="0" w:color="auto"/>
        <w:right w:val="none" w:sz="0" w:space="0" w:color="auto"/>
      </w:divBdr>
    </w:div>
    <w:div w:id="510340990">
      <w:bodyDiv w:val="1"/>
      <w:marLeft w:val="0"/>
      <w:marRight w:val="0"/>
      <w:marTop w:val="0"/>
      <w:marBottom w:val="0"/>
      <w:divBdr>
        <w:top w:val="none" w:sz="0" w:space="0" w:color="auto"/>
        <w:left w:val="none" w:sz="0" w:space="0" w:color="auto"/>
        <w:bottom w:val="none" w:sz="0" w:space="0" w:color="auto"/>
        <w:right w:val="none" w:sz="0" w:space="0" w:color="auto"/>
      </w:divBdr>
    </w:div>
    <w:div w:id="519591510">
      <w:bodyDiv w:val="1"/>
      <w:marLeft w:val="0"/>
      <w:marRight w:val="0"/>
      <w:marTop w:val="0"/>
      <w:marBottom w:val="0"/>
      <w:divBdr>
        <w:top w:val="none" w:sz="0" w:space="0" w:color="auto"/>
        <w:left w:val="none" w:sz="0" w:space="0" w:color="auto"/>
        <w:bottom w:val="none" w:sz="0" w:space="0" w:color="auto"/>
        <w:right w:val="none" w:sz="0" w:space="0" w:color="auto"/>
      </w:divBdr>
    </w:div>
    <w:div w:id="529614627">
      <w:bodyDiv w:val="1"/>
      <w:marLeft w:val="0"/>
      <w:marRight w:val="0"/>
      <w:marTop w:val="0"/>
      <w:marBottom w:val="0"/>
      <w:divBdr>
        <w:top w:val="none" w:sz="0" w:space="0" w:color="auto"/>
        <w:left w:val="none" w:sz="0" w:space="0" w:color="auto"/>
        <w:bottom w:val="none" w:sz="0" w:space="0" w:color="auto"/>
        <w:right w:val="none" w:sz="0" w:space="0" w:color="auto"/>
      </w:divBdr>
    </w:div>
    <w:div w:id="533734454">
      <w:bodyDiv w:val="1"/>
      <w:marLeft w:val="0"/>
      <w:marRight w:val="0"/>
      <w:marTop w:val="0"/>
      <w:marBottom w:val="0"/>
      <w:divBdr>
        <w:top w:val="none" w:sz="0" w:space="0" w:color="auto"/>
        <w:left w:val="none" w:sz="0" w:space="0" w:color="auto"/>
        <w:bottom w:val="none" w:sz="0" w:space="0" w:color="auto"/>
        <w:right w:val="none" w:sz="0" w:space="0" w:color="auto"/>
      </w:divBdr>
    </w:div>
    <w:div w:id="534125760">
      <w:bodyDiv w:val="1"/>
      <w:marLeft w:val="0"/>
      <w:marRight w:val="0"/>
      <w:marTop w:val="0"/>
      <w:marBottom w:val="0"/>
      <w:divBdr>
        <w:top w:val="none" w:sz="0" w:space="0" w:color="auto"/>
        <w:left w:val="none" w:sz="0" w:space="0" w:color="auto"/>
        <w:bottom w:val="none" w:sz="0" w:space="0" w:color="auto"/>
        <w:right w:val="none" w:sz="0" w:space="0" w:color="auto"/>
      </w:divBdr>
    </w:div>
    <w:div w:id="537283301">
      <w:bodyDiv w:val="1"/>
      <w:marLeft w:val="0"/>
      <w:marRight w:val="0"/>
      <w:marTop w:val="0"/>
      <w:marBottom w:val="0"/>
      <w:divBdr>
        <w:top w:val="none" w:sz="0" w:space="0" w:color="auto"/>
        <w:left w:val="none" w:sz="0" w:space="0" w:color="auto"/>
        <w:bottom w:val="none" w:sz="0" w:space="0" w:color="auto"/>
        <w:right w:val="none" w:sz="0" w:space="0" w:color="auto"/>
      </w:divBdr>
    </w:div>
    <w:div w:id="540440329">
      <w:bodyDiv w:val="1"/>
      <w:marLeft w:val="0"/>
      <w:marRight w:val="0"/>
      <w:marTop w:val="0"/>
      <w:marBottom w:val="0"/>
      <w:divBdr>
        <w:top w:val="none" w:sz="0" w:space="0" w:color="auto"/>
        <w:left w:val="none" w:sz="0" w:space="0" w:color="auto"/>
        <w:bottom w:val="none" w:sz="0" w:space="0" w:color="auto"/>
        <w:right w:val="none" w:sz="0" w:space="0" w:color="auto"/>
      </w:divBdr>
    </w:div>
    <w:div w:id="552231449">
      <w:bodyDiv w:val="1"/>
      <w:marLeft w:val="0"/>
      <w:marRight w:val="0"/>
      <w:marTop w:val="0"/>
      <w:marBottom w:val="0"/>
      <w:divBdr>
        <w:top w:val="none" w:sz="0" w:space="0" w:color="auto"/>
        <w:left w:val="none" w:sz="0" w:space="0" w:color="auto"/>
        <w:bottom w:val="none" w:sz="0" w:space="0" w:color="auto"/>
        <w:right w:val="none" w:sz="0" w:space="0" w:color="auto"/>
      </w:divBdr>
    </w:div>
    <w:div w:id="554852099">
      <w:bodyDiv w:val="1"/>
      <w:marLeft w:val="0"/>
      <w:marRight w:val="0"/>
      <w:marTop w:val="0"/>
      <w:marBottom w:val="0"/>
      <w:divBdr>
        <w:top w:val="none" w:sz="0" w:space="0" w:color="auto"/>
        <w:left w:val="none" w:sz="0" w:space="0" w:color="auto"/>
        <w:bottom w:val="none" w:sz="0" w:space="0" w:color="auto"/>
        <w:right w:val="none" w:sz="0" w:space="0" w:color="auto"/>
      </w:divBdr>
    </w:div>
    <w:div w:id="567347784">
      <w:bodyDiv w:val="1"/>
      <w:marLeft w:val="0"/>
      <w:marRight w:val="0"/>
      <w:marTop w:val="0"/>
      <w:marBottom w:val="0"/>
      <w:divBdr>
        <w:top w:val="none" w:sz="0" w:space="0" w:color="auto"/>
        <w:left w:val="none" w:sz="0" w:space="0" w:color="auto"/>
        <w:bottom w:val="none" w:sz="0" w:space="0" w:color="auto"/>
        <w:right w:val="none" w:sz="0" w:space="0" w:color="auto"/>
      </w:divBdr>
    </w:div>
    <w:div w:id="569536117">
      <w:bodyDiv w:val="1"/>
      <w:marLeft w:val="0"/>
      <w:marRight w:val="0"/>
      <w:marTop w:val="0"/>
      <w:marBottom w:val="0"/>
      <w:divBdr>
        <w:top w:val="none" w:sz="0" w:space="0" w:color="auto"/>
        <w:left w:val="none" w:sz="0" w:space="0" w:color="auto"/>
        <w:bottom w:val="none" w:sz="0" w:space="0" w:color="auto"/>
        <w:right w:val="none" w:sz="0" w:space="0" w:color="auto"/>
      </w:divBdr>
    </w:div>
    <w:div w:id="575287835">
      <w:bodyDiv w:val="1"/>
      <w:marLeft w:val="0"/>
      <w:marRight w:val="0"/>
      <w:marTop w:val="0"/>
      <w:marBottom w:val="0"/>
      <w:divBdr>
        <w:top w:val="none" w:sz="0" w:space="0" w:color="auto"/>
        <w:left w:val="none" w:sz="0" w:space="0" w:color="auto"/>
        <w:bottom w:val="none" w:sz="0" w:space="0" w:color="auto"/>
        <w:right w:val="none" w:sz="0" w:space="0" w:color="auto"/>
      </w:divBdr>
    </w:div>
    <w:div w:id="577788081">
      <w:bodyDiv w:val="1"/>
      <w:marLeft w:val="0"/>
      <w:marRight w:val="0"/>
      <w:marTop w:val="0"/>
      <w:marBottom w:val="0"/>
      <w:divBdr>
        <w:top w:val="none" w:sz="0" w:space="0" w:color="auto"/>
        <w:left w:val="none" w:sz="0" w:space="0" w:color="auto"/>
        <w:bottom w:val="none" w:sz="0" w:space="0" w:color="auto"/>
        <w:right w:val="none" w:sz="0" w:space="0" w:color="auto"/>
      </w:divBdr>
    </w:div>
    <w:div w:id="581791792">
      <w:bodyDiv w:val="1"/>
      <w:marLeft w:val="0"/>
      <w:marRight w:val="0"/>
      <w:marTop w:val="0"/>
      <w:marBottom w:val="0"/>
      <w:divBdr>
        <w:top w:val="none" w:sz="0" w:space="0" w:color="auto"/>
        <w:left w:val="none" w:sz="0" w:space="0" w:color="auto"/>
        <w:bottom w:val="none" w:sz="0" w:space="0" w:color="auto"/>
        <w:right w:val="none" w:sz="0" w:space="0" w:color="auto"/>
      </w:divBdr>
    </w:div>
    <w:div w:id="586035934">
      <w:bodyDiv w:val="1"/>
      <w:marLeft w:val="0"/>
      <w:marRight w:val="0"/>
      <w:marTop w:val="0"/>
      <w:marBottom w:val="0"/>
      <w:divBdr>
        <w:top w:val="none" w:sz="0" w:space="0" w:color="auto"/>
        <w:left w:val="none" w:sz="0" w:space="0" w:color="auto"/>
        <w:bottom w:val="none" w:sz="0" w:space="0" w:color="auto"/>
        <w:right w:val="none" w:sz="0" w:space="0" w:color="auto"/>
      </w:divBdr>
    </w:div>
    <w:div w:id="592475760">
      <w:bodyDiv w:val="1"/>
      <w:marLeft w:val="0"/>
      <w:marRight w:val="0"/>
      <w:marTop w:val="0"/>
      <w:marBottom w:val="0"/>
      <w:divBdr>
        <w:top w:val="none" w:sz="0" w:space="0" w:color="auto"/>
        <w:left w:val="none" w:sz="0" w:space="0" w:color="auto"/>
        <w:bottom w:val="none" w:sz="0" w:space="0" w:color="auto"/>
        <w:right w:val="none" w:sz="0" w:space="0" w:color="auto"/>
      </w:divBdr>
    </w:div>
    <w:div w:id="598832890">
      <w:bodyDiv w:val="1"/>
      <w:marLeft w:val="0"/>
      <w:marRight w:val="0"/>
      <w:marTop w:val="0"/>
      <w:marBottom w:val="0"/>
      <w:divBdr>
        <w:top w:val="none" w:sz="0" w:space="0" w:color="auto"/>
        <w:left w:val="none" w:sz="0" w:space="0" w:color="auto"/>
        <w:bottom w:val="none" w:sz="0" w:space="0" w:color="auto"/>
        <w:right w:val="none" w:sz="0" w:space="0" w:color="auto"/>
      </w:divBdr>
    </w:div>
    <w:div w:id="605163056">
      <w:bodyDiv w:val="1"/>
      <w:marLeft w:val="0"/>
      <w:marRight w:val="0"/>
      <w:marTop w:val="0"/>
      <w:marBottom w:val="0"/>
      <w:divBdr>
        <w:top w:val="none" w:sz="0" w:space="0" w:color="auto"/>
        <w:left w:val="none" w:sz="0" w:space="0" w:color="auto"/>
        <w:bottom w:val="none" w:sz="0" w:space="0" w:color="auto"/>
        <w:right w:val="none" w:sz="0" w:space="0" w:color="auto"/>
      </w:divBdr>
    </w:div>
    <w:div w:id="605695230">
      <w:bodyDiv w:val="1"/>
      <w:marLeft w:val="0"/>
      <w:marRight w:val="0"/>
      <w:marTop w:val="0"/>
      <w:marBottom w:val="0"/>
      <w:divBdr>
        <w:top w:val="none" w:sz="0" w:space="0" w:color="auto"/>
        <w:left w:val="none" w:sz="0" w:space="0" w:color="auto"/>
        <w:bottom w:val="none" w:sz="0" w:space="0" w:color="auto"/>
        <w:right w:val="none" w:sz="0" w:space="0" w:color="auto"/>
      </w:divBdr>
    </w:div>
    <w:div w:id="610363049">
      <w:bodyDiv w:val="1"/>
      <w:marLeft w:val="0"/>
      <w:marRight w:val="0"/>
      <w:marTop w:val="0"/>
      <w:marBottom w:val="0"/>
      <w:divBdr>
        <w:top w:val="none" w:sz="0" w:space="0" w:color="auto"/>
        <w:left w:val="none" w:sz="0" w:space="0" w:color="auto"/>
        <w:bottom w:val="none" w:sz="0" w:space="0" w:color="auto"/>
        <w:right w:val="none" w:sz="0" w:space="0" w:color="auto"/>
      </w:divBdr>
    </w:div>
    <w:div w:id="612639243">
      <w:bodyDiv w:val="1"/>
      <w:marLeft w:val="0"/>
      <w:marRight w:val="0"/>
      <w:marTop w:val="0"/>
      <w:marBottom w:val="0"/>
      <w:divBdr>
        <w:top w:val="none" w:sz="0" w:space="0" w:color="auto"/>
        <w:left w:val="none" w:sz="0" w:space="0" w:color="auto"/>
        <w:bottom w:val="none" w:sz="0" w:space="0" w:color="auto"/>
        <w:right w:val="none" w:sz="0" w:space="0" w:color="auto"/>
      </w:divBdr>
    </w:div>
    <w:div w:id="621501342">
      <w:bodyDiv w:val="1"/>
      <w:marLeft w:val="0"/>
      <w:marRight w:val="0"/>
      <w:marTop w:val="0"/>
      <w:marBottom w:val="0"/>
      <w:divBdr>
        <w:top w:val="none" w:sz="0" w:space="0" w:color="auto"/>
        <w:left w:val="none" w:sz="0" w:space="0" w:color="auto"/>
        <w:bottom w:val="none" w:sz="0" w:space="0" w:color="auto"/>
        <w:right w:val="none" w:sz="0" w:space="0" w:color="auto"/>
      </w:divBdr>
    </w:div>
    <w:div w:id="627245548">
      <w:bodyDiv w:val="1"/>
      <w:marLeft w:val="0"/>
      <w:marRight w:val="0"/>
      <w:marTop w:val="0"/>
      <w:marBottom w:val="0"/>
      <w:divBdr>
        <w:top w:val="none" w:sz="0" w:space="0" w:color="auto"/>
        <w:left w:val="none" w:sz="0" w:space="0" w:color="auto"/>
        <w:bottom w:val="none" w:sz="0" w:space="0" w:color="auto"/>
        <w:right w:val="none" w:sz="0" w:space="0" w:color="auto"/>
      </w:divBdr>
    </w:div>
    <w:div w:id="632713552">
      <w:bodyDiv w:val="1"/>
      <w:marLeft w:val="0"/>
      <w:marRight w:val="0"/>
      <w:marTop w:val="0"/>
      <w:marBottom w:val="0"/>
      <w:divBdr>
        <w:top w:val="none" w:sz="0" w:space="0" w:color="auto"/>
        <w:left w:val="none" w:sz="0" w:space="0" w:color="auto"/>
        <w:bottom w:val="none" w:sz="0" w:space="0" w:color="auto"/>
        <w:right w:val="none" w:sz="0" w:space="0" w:color="auto"/>
      </w:divBdr>
    </w:div>
    <w:div w:id="643966249">
      <w:bodyDiv w:val="1"/>
      <w:marLeft w:val="0"/>
      <w:marRight w:val="0"/>
      <w:marTop w:val="0"/>
      <w:marBottom w:val="0"/>
      <w:divBdr>
        <w:top w:val="none" w:sz="0" w:space="0" w:color="auto"/>
        <w:left w:val="none" w:sz="0" w:space="0" w:color="auto"/>
        <w:bottom w:val="none" w:sz="0" w:space="0" w:color="auto"/>
        <w:right w:val="none" w:sz="0" w:space="0" w:color="auto"/>
      </w:divBdr>
    </w:div>
    <w:div w:id="647055183">
      <w:bodyDiv w:val="1"/>
      <w:marLeft w:val="0"/>
      <w:marRight w:val="0"/>
      <w:marTop w:val="0"/>
      <w:marBottom w:val="0"/>
      <w:divBdr>
        <w:top w:val="none" w:sz="0" w:space="0" w:color="auto"/>
        <w:left w:val="none" w:sz="0" w:space="0" w:color="auto"/>
        <w:bottom w:val="none" w:sz="0" w:space="0" w:color="auto"/>
        <w:right w:val="none" w:sz="0" w:space="0" w:color="auto"/>
      </w:divBdr>
    </w:div>
    <w:div w:id="647200408">
      <w:bodyDiv w:val="1"/>
      <w:marLeft w:val="0"/>
      <w:marRight w:val="0"/>
      <w:marTop w:val="0"/>
      <w:marBottom w:val="0"/>
      <w:divBdr>
        <w:top w:val="none" w:sz="0" w:space="0" w:color="auto"/>
        <w:left w:val="none" w:sz="0" w:space="0" w:color="auto"/>
        <w:bottom w:val="none" w:sz="0" w:space="0" w:color="auto"/>
        <w:right w:val="none" w:sz="0" w:space="0" w:color="auto"/>
      </w:divBdr>
    </w:div>
    <w:div w:id="650062565">
      <w:bodyDiv w:val="1"/>
      <w:marLeft w:val="0"/>
      <w:marRight w:val="0"/>
      <w:marTop w:val="0"/>
      <w:marBottom w:val="0"/>
      <w:divBdr>
        <w:top w:val="none" w:sz="0" w:space="0" w:color="auto"/>
        <w:left w:val="none" w:sz="0" w:space="0" w:color="auto"/>
        <w:bottom w:val="none" w:sz="0" w:space="0" w:color="auto"/>
        <w:right w:val="none" w:sz="0" w:space="0" w:color="auto"/>
      </w:divBdr>
    </w:div>
    <w:div w:id="650064116">
      <w:bodyDiv w:val="1"/>
      <w:marLeft w:val="0"/>
      <w:marRight w:val="0"/>
      <w:marTop w:val="0"/>
      <w:marBottom w:val="0"/>
      <w:divBdr>
        <w:top w:val="none" w:sz="0" w:space="0" w:color="auto"/>
        <w:left w:val="none" w:sz="0" w:space="0" w:color="auto"/>
        <w:bottom w:val="none" w:sz="0" w:space="0" w:color="auto"/>
        <w:right w:val="none" w:sz="0" w:space="0" w:color="auto"/>
      </w:divBdr>
    </w:div>
    <w:div w:id="653342184">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665208773">
      <w:bodyDiv w:val="1"/>
      <w:marLeft w:val="0"/>
      <w:marRight w:val="0"/>
      <w:marTop w:val="0"/>
      <w:marBottom w:val="0"/>
      <w:divBdr>
        <w:top w:val="none" w:sz="0" w:space="0" w:color="auto"/>
        <w:left w:val="none" w:sz="0" w:space="0" w:color="auto"/>
        <w:bottom w:val="none" w:sz="0" w:space="0" w:color="auto"/>
        <w:right w:val="none" w:sz="0" w:space="0" w:color="auto"/>
      </w:divBdr>
    </w:div>
    <w:div w:id="670304276">
      <w:bodyDiv w:val="1"/>
      <w:marLeft w:val="0"/>
      <w:marRight w:val="0"/>
      <w:marTop w:val="0"/>
      <w:marBottom w:val="0"/>
      <w:divBdr>
        <w:top w:val="none" w:sz="0" w:space="0" w:color="auto"/>
        <w:left w:val="none" w:sz="0" w:space="0" w:color="auto"/>
        <w:bottom w:val="none" w:sz="0" w:space="0" w:color="auto"/>
        <w:right w:val="none" w:sz="0" w:space="0" w:color="auto"/>
      </w:divBdr>
    </w:div>
    <w:div w:id="673531425">
      <w:bodyDiv w:val="1"/>
      <w:marLeft w:val="0"/>
      <w:marRight w:val="0"/>
      <w:marTop w:val="0"/>
      <w:marBottom w:val="0"/>
      <w:divBdr>
        <w:top w:val="none" w:sz="0" w:space="0" w:color="auto"/>
        <w:left w:val="none" w:sz="0" w:space="0" w:color="auto"/>
        <w:bottom w:val="none" w:sz="0" w:space="0" w:color="auto"/>
        <w:right w:val="none" w:sz="0" w:space="0" w:color="auto"/>
      </w:divBdr>
    </w:div>
    <w:div w:id="685642877">
      <w:bodyDiv w:val="1"/>
      <w:marLeft w:val="0"/>
      <w:marRight w:val="0"/>
      <w:marTop w:val="0"/>
      <w:marBottom w:val="0"/>
      <w:divBdr>
        <w:top w:val="none" w:sz="0" w:space="0" w:color="auto"/>
        <w:left w:val="none" w:sz="0" w:space="0" w:color="auto"/>
        <w:bottom w:val="none" w:sz="0" w:space="0" w:color="auto"/>
        <w:right w:val="none" w:sz="0" w:space="0" w:color="auto"/>
      </w:divBdr>
    </w:div>
    <w:div w:id="690422269">
      <w:bodyDiv w:val="1"/>
      <w:marLeft w:val="0"/>
      <w:marRight w:val="0"/>
      <w:marTop w:val="0"/>
      <w:marBottom w:val="0"/>
      <w:divBdr>
        <w:top w:val="none" w:sz="0" w:space="0" w:color="auto"/>
        <w:left w:val="none" w:sz="0" w:space="0" w:color="auto"/>
        <w:bottom w:val="none" w:sz="0" w:space="0" w:color="auto"/>
        <w:right w:val="none" w:sz="0" w:space="0" w:color="auto"/>
      </w:divBdr>
    </w:div>
    <w:div w:id="702826293">
      <w:bodyDiv w:val="1"/>
      <w:marLeft w:val="0"/>
      <w:marRight w:val="0"/>
      <w:marTop w:val="0"/>
      <w:marBottom w:val="0"/>
      <w:divBdr>
        <w:top w:val="none" w:sz="0" w:space="0" w:color="auto"/>
        <w:left w:val="none" w:sz="0" w:space="0" w:color="auto"/>
        <w:bottom w:val="none" w:sz="0" w:space="0" w:color="auto"/>
        <w:right w:val="none" w:sz="0" w:space="0" w:color="auto"/>
      </w:divBdr>
    </w:div>
    <w:div w:id="714701470">
      <w:bodyDiv w:val="1"/>
      <w:marLeft w:val="0"/>
      <w:marRight w:val="0"/>
      <w:marTop w:val="0"/>
      <w:marBottom w:val="0"/>
      <w:divBdr>
        <w:top w:val="none" w:sz="0" w:space="0" w:color="auto"/>
        <w:left w:val="none" w:sz="0" w:space="0" w:color="auto"/>
        <w:bottom w:val="none" w:sz="0" w:space="0" w:color="auto"/>
        <w:right w:val="none" w:sz="0" w:space="0" w:color="auto"/>
      </w:divBdr>
    </w:div>
    <w:div w:id="714817124">
      <w:bodyDiv w:val="1"/>
      <w:marLeft w:val="0"/>
      <w:marRight w:val="0"/>
      <w:marTop w:val="0"/>
      <w:marBottom w:val="0"/>
      <w:divBdr>
        <w:top w:val="none" w:sz="0" w:space="0" w:color="auto"/>
        <w:left w:val="none" w:sz="0" w:space="0" w:color="auto"/>
        <w:bottom w:val="none" w:sz="0" w:space="0" w:color="auto"/>
        <w:right w:val="none" w:sz="0" w:space="0" w:color="auto"/>
      </w:divBdr>
    </w:div>
    <w:div w:id="715668107">
      <w:bodyDiv w:val="1"/>
      <w:marLeft w:val="0"/>
      <w:marRight w:val="0"/>
      <w:marTop w:val="0"/>
      <w:marBottom w:val="0"/>
      <w:divBdr>
        <w:top w:val="none" w:sz="0" w:space="0" w:color="auto"/>
        <w:left w:val="none" w:sz="0" w:space="0" w:color="auto"/>
        <w:bottom w:val="none" w:sz="0" w:space="0" w:color="auto"/>
        <w:right w:val="none" w:sz="0" w:space="0" w:color="auto"/>
      </w:divBdr>
    </w:div>
    <w:div w:id="725184958">
      <w:bodyDiv w:val="1"/>
      <w:marLeft w:val="0"/>
      <w:marRight w:val="0"/>
      <w:marTop w:val="0"/>
      <w:marBottom w:val="0"/>
      <w:divBdr>
        <w:top w:val="none" w:sz="0" w:space="0" w:color="auto"/>
        <w:left w:val="none" w:sz="0" w:space="0" w:color="auto"/>
        <w:bottom w:val="none" w:sz="0" w:space="0" w:color="auto"/>
        <w:right w:val="none" w:sz="0" w:space="0" w:color="auto"/>
      </w:divBdr>
    </w:div>
    <w:div w:id="725764349">
      <w:bodyDiv w:val="1"/>
      <w:marLeft w:val="0"/>
      <w:marRight w:val="0"/>
      <w:marTop w:val="0"/>
      <w:marBottom w:val="0"/>
      <w:divBdr>
        <w:top w:val="none" w:sz="0" w:space="0" w:color="auto"/>
        <w:left w:val="none" w:sz="0" w:space="0" w:color="auto"/>
        <w:bottom w:val="none" w:sz="0" w:space="0" w:color="auto"/>
        <w:right w:val="none" w:sz="0" w:space="0" w:color="auto"/>
      </w:divBdr>
    </w:div>
    <w:div w:id="727457727">
      <w:bodyDiv w:val="1"/>
      <w:marLeft w:val="0"/>
      <w:marRight w:val="0"/>
      <w:marTop w:val="0"/>
      <w:marBottom w:val="0"/>
      <w:divBdr>
        <w:top w:val="none" w:sz="0" w:space="0" w:color="auto"/>
        <w:left w:val="none" w:sz="0" w:space="0" w:color="auto"/>
        <w:bottom w:val="none" w:sz="0" w:space="0" w:color="auto"/>
        <w:right w:val="none" w:sz="0" w:space="0" w:color="auto"/>
      </w:divBdr>
    </w:div>
    <w:div w:id="731737570">
      <w:bodyDiv w:val="1"/>
      <w:marLeft w:val="0"/>
      <w:marRight w:val="0"/>
      <w:marTop w:val="0"/>
      <w:marBottom w:val="0"/>
      <w:divBdr>
        <w:top w:val="none" w:sz="0" w:space="0" w:color="auto"/>
        <w:left w:val="none" w:sz="0" w:space="0" w:color="auto"/>
        <w:bottom w:val="none" w:sz="0" w:space="0" w:color="auto"/>
        <w:right w:val="none" w:sz="0" w:space="0" w:color="auto"/>
      </w:divBdr>
    </w:div>
    <w:div w:id="739447168">
      <w:bodyDiv w:val="1"/>
      <w:marLeft w:val="0"/>
      <w:marRight w:val="0"/>
      <w:marTop w:val="0"/>
      <w:marBottom w:val="0"/>
      <w:divBdr>
        <w:top w:val="none" w:sz="0" w:space="0" w:color="auto"/>
        <w:left w:val="none" w:sz="0" w:space="0" w:color="auto"/>
        <w:bottom w:val="none" w:sz="0" w:space="0" w:color="auto"/>
        <w:right w:val="none" w:sz="0" w:space="0" w:color="auto"/>
      </w:divBdr>
    </w:div>
    <w:div w:id="742292718">
      <w:bodyDiv w:val="1"/>
      <w:marLeft w:val="0"/>
      <w:marRight w:val="0"/>
      <w:marTop w:val="0"/>
      <w:marBottom w:val="0"/>
      <w:divBdr>
        <w:top w:val="none" w:sz="0" w:space="0" w:color="auto"/>
        <w:left w:val="none" w:sz="0" w:space="0" w:color="auto"/>
        <w:bottom w:val="none" w:sz="0" w:space="0" w:color="auto"/>
        <w:right w:val="none" w:sz="0" w:space="0" w:color="auto"/>
      </w:divBdr>
    </w:div>
    <w:div w:id="755521794">
      <w:bodyDiv w:val="1"/>
      <w:marLeft w:val="0"/>
      <w:marRight w:val="0"/>
      <w:marTop w:val="0"/>
      <w:marBottom w:val="0"/>
      <w:divBdr>
        <w:top w:val="none" w:sz="0" w:space="0" w:color="auto"/>
        <w:left w:val="none" w:sz="0" w:space="0" w:color="auto"/>
        <w:bottom w:val="none" w:sz="0" w:space="0" w:color="auto"/>
        <w:right w:val="none" w:sz="0" w:space="0" w:color="auto"/>
      </w:divBdr>
    </w:div>
    <w:div w:id="756756638">
      <w:bodyDiv w:val="1"/>
      <w:marLeft w:val="0"/>
      <w:marRight w:val="0"/>
      <w:marTop w:val="0"/>
      <w:marBottom w:val="0"/>
      <w:divBdr>
        <w:top w:val="none" w:sz="0" w:space="0" w:color="auto"/>
        <w:left w:val="none" w:sz="0" w:space="0" w:color="auto"/>
        <w:bottom w:val="none" w:sz="0" w:space="0" w:color="auto"/>
        <w:right w:val="none" w:sz="0" w:space="0" w:color="auto"/>
      </w:divBdr>
    </w:div>
    <w:div w:id="763108347">
      <w:bodyDiv w:val="1"/>
      <w:marLeft w:val="0"/>
      <w:marRight w:val="0"/>
      <w:marTop w:val="0"/>
      <w:marBottom w:val="0"/>
      <w:divBdr>
        <w:top w:val="none" w:sz="0" w:space="0" w:color="auto"/>
        <w:left w:val="none" w:sz="0" w:space="0" w:color="auto"/>
        <w:bottom w:val="none" w:sz="0" w:space="0" w:color="auto"/>
        <w:right w:val="none" w:sz="0" w:space="0" w:color="auto"/>
      </w:divBdr>
    </w:div>
    <w:div w:id="779179390">
      <w:bodyDiv w:val="1"/>
      <w:marLeft w:val="0"/>
      <w:marRight w:val="0"/>
      <w:marTop w:val="0"/>
      <w:marBottom w:val="0"/>
      <w:divBdr>
        <w:top w:val="none" w:sz="0" w:space="0" w:color="auto"/>
        <w:left w:val="none" w:sz="0" w:space="0" w:color="auto"/>
        <w:bottom w:val="none" w:sz="0" w:space="0" w:color="auto"/>
        <w:right w:val="none" w:sz="0" w:space="0" w:color="auto"/>
      </w:divBdr>
    </w:div>
    <w:div w:id="788889494">
      <w:bodyDiv w:val="1"/>
      <w:marLeft w:val="0"/>
      <w:marRight w:val="0"/>
      <w:marTop w:val="0"/>
      <w:marBottom w:val="0"/>
      <w:divBdr>
        <w:top w:val="none" w:sz="0" w:space="0" w:color="auto"/>
        <w:left w:val="none" w:sz="0" w:space="0" w:color="auto"/>
        <w:bottom w:val="none" w:sz="0" w:space="0" w:color="auto"/>
        <w:right w:val="none" w:sz="0" w:space="0" w:color="auto"/>
      </w:divBdr>
    </w:div>
    <w:div w:id="789592701">
      <w:bodyDiv w:val="1"/>
      <w:marLeft w:val="0"/>
      <w:marRight w:val="0"/>
      <w:marTop w:val="0"/>
      <w:marBottom w:val="0"/>
      <w:divBdr>
        <w:top w:val="none" w:sz="0" w:space="0" w:color="auto"/>
        <w:left w:val="none" w:sz="0" w:space="0" w:color="auto"/>
        <w:bottom w:val="none" w:sz="0" w:space="0" w:color="auto"/>
        <w:right w:val="none" w:sz="0" w:space="0" w:color="auto"/>
      </w:divBdr>
    </w:div>
    <w:div w:id="793909885">
      <w:bodyDiv w:val="1"/>
      <w:marLeft w:val="0"/>
      <w:marRight w:val="0"/>
      <w:marTop w:val="0"/>
      <w:marBottom w:val="0"/>
      <w:divBdr>
        <w:top w:val="none" w:sz="0" w:space="0" w:color="auto"/>
        <w:left w:val="none" w:sz="0" w:space="0" w:color="auto"/>
        <w:bottom w:val="none" w:sz="0" w:space="0" w:color="auto"/>
        <w:right w:val="none" w:sz="0" w:space="0" w:color="auto"/>
      </w:divBdr>
    </w:div>
    <w:div w:id="794249941">
      <w:bodyDiv w:val="1"/>
      <w:marLeft w:val="0"/>
      <w:marRight w:val="0"/>
      <w:marTop w:val="0"/>
      <w:marBottom w:val="0"/>
      <w:divBdr>
        <w:top w:val="none" w:sz="0" w:space="0" w:color="auto"/>
        <w:left w:val="none" w:sz="0" w:space="0" w:color="auto"/>
        <w:bottom w:val="none" w:sz="0" w:space="0" w:color="auto"/>
        <w:right w:val="none" w:sz="0" w:space="0" w:color="auto"/>
      </w:divBdr>
    </w:div>
    <w:div w:id="797913347">
      <w:bodyDiv w:val="1"/>
      <w:marLeft w:val="0"/>
      <w:marRight w:val="0"/>
      <w:marTop w:val="0"/>
      <w:marBottom w:val="0"/>
      <w:divBdr>
        <w:top w:val="none" w:sz="0" w:space="0" w:color="auto"/>
        <w:left w:val="none" w:sz="0" w:space="0" w:color="auto"/>
        <w:bottom w:val="none" w:sz="0" w:space="0" w:color="auto"/>
        <w:right w:val="none" w:sz="0" w:space="0" w:color="auto"/>
      </w:divBdr>
    </w:div>
    <w:div w:id="798959094">
      <w:bodyDiv w:val="1"/>
      <w:marLeft w:val="0"/>
      <w:marRight w:val="0"/>
      <w:marTop w:val="0"/>
      <w:marBottom w:val="0"/>
      <w:divBdr>
        <w:top w:val="none" w:sz="0" w:space="0" w:color="auto"/>
        <w:left w:val="none" w:sz="0" w:space="0" w:color="auto"/>
        <w:bottom w:val="none" w:sz="0" w:space="0" w:color="auto"/>
        <w:right w:val="none" w:sz="0" w:space="0" w:color="auto"/>
      </w:divBdr>
    </w:div>
    <w:div w:id="802187794">
      <w:bodyDiv w:val="1"/>
      <w:marLeft w:val="0"/>
      <w:marRight w:val="0"/>
      <w:marTop w:val="0"/>
      <w:marBottom w:val="0"/>
      <w:divBdr>
        <w:top w:val="none" w:sz="0" w:space="0" w:color="auto"/>
        <w:left w:val="none" w:sz="0" w:space="0" w:color="auto"/>
        <w:bottom w:val="none" w:sz="0" w:space="0" w:color="auto"/>
        <w:right w:val="none" w:sz="0" w:space="0" w:color="auto"/>
      </w:divBdr>
    </w:div>
    <w:div w:id="803811966">
      <w:bodyDiv w:val="1"/>
      <w:marLeft w:val="0"/>
      <w:marRight w:val="0"/>
      <w:marTop w:val="0"/>
      <w:marBottom w:val="0"/>
      <w:divBdr>
        <w:top w:val="none" w:sz="0" w:space="0" w:color="auto"/>
        <w:left w:val="none" w:sz="0" w:space="0" w:color="auto"/>
        <w:bottom w:val="none" w:sz="0" w:space="0" w:color="auto"/>
        <w:right w:val="none" w:sz="0" w:space="0" w:color="auto"/>
      </w:divBdr>
    </w:div>
    <w:div w:id="807086274">
      <w:bodyDiv w:val="1"/>
      <w:marLeft w:val="0"/>
      <w:marRight w:val="0"/>
      <w:marTop w:val="0"/>
      <w:marBottom w:val="0"/>
      <w:divBdr>
        <w:top w:val="none" w:sz="0" w:space="0" w:color="auto"/>
        <w:left w:val="none" w:sz="0" w:space="0" w:color="auto"/>
        <w:bottom w:val="none" w:sz="0" w:space="0" w:color="auto"/>
        <w:right w:val="none" w:sz="0" w:space="0" w:color="auto"/>
      </w:divBdr>
    </w:div>
    <w:div w:id="808521299">
      <w:bodyDiv w:val="1"/>
      <w:marLeft w:val="0"/>
      <w:marRight w:val="0"/>
      <w:marTop w:val="0"/>
      <w:marBottom w:val="0"/>
      <w:divBdr>
        <w:top w:val="none" w:sz="0" w:space="0" w:color="auto"/>
        <w:left w:val="none" w:sz="0" w:space="0" w:color="auto"/>
        <w:bottom w:val="none" w:sz="0" w:space="0" w:color="auto"/>
        <w:right w:val="none" w:sz="0" w:space="0" w:color="auto"/>
      </w:divBdr>
    </w:div>
    <w:div w:id="811411508">
      <w:bodyDiv w:val="1"/>
      <w:marLeft w:val="0"/>
      <w:marRight w:val="0"/>
      <w:marTop w:val="0"/>
      <w:marBottom w:val="0"/>
      <w:divBdr>
        <w:top w:val="none" w:sz="0" w:space="0" w:color="auto"/>
        <w:left w:val="none" w:sz="0" w:space="0" w:color="auto"/>
        <w:bottom w:val="none" w:sz="0" w:space="0" w:color="auto"/>
        <w:right w:val="none" w:sz="0" w:space="0" w:color="auto"/>
      </w:divBdr>
    </w:div>
    <w:div w:id="817577786">
      <w:bodyDiv w:val="1"/>
      <w:marLeft w:val="0"/>
      <w:marRight w:val="0"/>
      <w:marTop w:val="0"/>
      <w:marBottom w:val="0"/>
      <w:divBdr>
        <w:top w:val="none" w:sz="0" w:space="0" w:color="auto"/>
        <w:left w:val="none" w:sz="0" w:space="0" w:color="auto"/>
        <w:bottom w:val="none" w:sz="0" w:space="0" w:color="auto"/>
        <w:right w:val="none" w:sz="0" w:space="0" w:color="auto"/>
      </w:divBdr>
    </w:div>
    <w:div w:id="817956651">
      <w:bodyDiv w:val="1"/>
      <w:marLeft w:val="0"/>
      <w:marRight w:val="0"/>
      <w:marTop w:val="0"/>
      <w:marBottom w:val="0"/>
      <w:divBdr>
        <w:top w:val="none" w:sz="0" w:space="0" w:color="auto"/>
        <w:left w:val="none" w:sz="0" w:space="0" w:color="auto"/>
        <w:bottom w:val="none" w:sz="0" w:space="0" w:color="auto"/>
        <w:right w:val="none" w:sz="0" w:space="0" w:color="auto"/>
      </w:divBdr>
    </w:div>
    <w:div w:id="826479225">
      <w:bodyDiv w:val="1"/>
      <w:marLeft w:val="0"/>
      <w:marRight w:val="0"/>
      <w:marTop w:val="0"/>
      <w:marBottom w:val="0"/>
      <w:divBdr>
        <w:top w:val="none" w:sz="0" w:space="0" w:color="auto"/>
        <w:left w:val="none" w:sz="0" w:space="0" w:color="auto"/>
        <w:bottom w:val="none" w:sz="0" w:space="0" w:color="auto"/>
        <w:right w:val="none" w:sz="0" w:space="0" w:color="auto"/>
      </w:divBdr>
    </w:div>
    <w:div w:id="827789423">
      <w:bodyDiv w:val="1"/>
      <w:marLeft w:val="0"/>
      <w:marRight w:val="0"/>
      <w:marTop w:val="0"/>
      <w:marBottom w:val="0"/>
      <w:divBdr>
        <w:top w:val="none" w:sz="0" w:space="0" w:color="auto"/>
        <w:left w:val="none" w:sz="0" w:space="0" w:color="auto"/>
        <w:bottom w:val="none" w:sz="0" w:space="0" w:color="auto"/>
        <w:right w:val="none" w:sz="0" w:space="0" w:color="auto"/>
      </w:divBdr>
    </w:div>
    <w:div w:id="828907122">
      <w:bodyDiv w:val="1"/>
      <w:marLeft w:val="0"/>
      <w:marRight w:val="0"/>
      <w:marTop w:val="0"/>
      <w:marBottom w:val="0"/>
      <w:divBdr>
        <w:top w:val="none" w:sz="0" w:space="0" w:color="auto"/>
        <w:left w:val="none" w:sz="0" w:space="0" w:color="auto"/>
        <w:bottom w:val="none" w:sz="0" w:space="0" w:color="auto"/>
        <w:right w:val="none" w:sz="0" w:space="0" w:color="auto"/>
      </w:divBdr>
    </w:div>
    <w:div w:id="830944435">
      <w:bodyDiv w:val="1"/>
      <w:marLeft w:val="0"/>
      <w:marRight w:val="0"/>
      <w:marTop w:val="0"/>
      <w:marBottom w:val="0"/>
      <w:divBdr>
        <w:top w:val="none" w:sz="0" w:space="0" w:color="auto"/>
        <w:left w:val="none" w:sz="0" w:space="0" w:color="auto"/>
        <w:bottom w:val="none" w:sz="0" w:space="0" w:color="auto"/>
        <w:right w:val="none" w:sz="0" w:space="0" w:color="auto"/>
      </w:divBdr>
    </w:div>
    <w:div w:id="834496542">
      <w:bodyDiv w:val="1"/>
      <w:marLeft w:val="0"/>
      <w:marRight w:val="0"/>
      <w:marTop w:val="0"/>
      <w:marBottom w:val="0"/>
      <w:divBdr>
        <w:top w:val="none" w:sz="0" w:space="0" w:color="auto"/>
        <w:left w:val="none" w:sz="0" w:space="0" w:color="auto"/>
        <w:bottom w:val="none" w:sz="0" w:space="0" w:color="auto"/>
        <w:right w:val="none" w:sz="0" w:space="0" w:color="auto"/>
      </w:divBdr>
    </w:div>
    <w:div w:id="846752512">
      <w:bodyDiv w:val="1"/>
      <w:marLeft w:val="0"/>
      <w:marRight w:val="0"/>
      <w:marTop w:val="0"/>
      <w:marBottom w:val="0"/>
      <w:divBdr>
        <w:top w:val="none" w:sz="0" w:space="0" w:color="auto"/>
        <w:left w:val="none" w:sz="0" w:space="0" w:color="auto"/>
        <w:bottom w:val="none" w:sz="0" w:space="0" w:color="auto"/>
        <w:right w:val="none" w:sz="0" w:space="0" w:color="auto"/>
      </w:divBdr>
    </w:div>
    <w:div w:id="847795241">
      <w:bodyDiv w:val="1"/>
      <w:marLeft w:val="0"/>
      <w:marRight w:val="0"/>
      <w:marTop w:val="0"/>
      <w:marBottom w:val="0"/>
      <w:divBdr>
        <w:top w:val="none" w:sz="0" w:space="0" w:color="auto"/>
        <w:left w:val="none" w:sz="0" w:space="0" w:color="auto"/>
        <w:bottom w:val="none" w:sz="0" w:space="0" w:color="auto"/>
        <w:right w:val="none" w:sz="0" w:space="0" w:color="auto"/>
      </w:divBdr>
    </w:div>
    <w:div w:id="859010792">
      <w:bodyDiv w:val="1"/>
      <w:marLeft w:val="0"/>
      <w:marRight w:val="0"/>
      <w:marTop w:val="0"/>
      <w:marBottom w:val="0"/>
      <w:divBdr>
        <w:top w:val="none" w:sz="0" w:space="0" w:color="auto"/>
        <w:left w:val="none" w:sz="0" w:space="0" w:color="auto"/>
        <w:bottom w:val="none" w:sz="0" w:space="0" w:color="auto"/>
        <w:right w:val="none" w:sz="0" w:space="0" w:color="auto"/>
      </w:divBdr>
    </w:div>
    <w:div w:id="868951430">
      <w:bodyDiv w:val="1"/>
      <w:marLeft w:val="0"/>
      <w:marRight w:val="0"/>
      <w:marTop w:val="0"/>
      <w:marBottom w:val="0"/>
      <w:divBdr>
        <w:top w:val="none" w:sz="0" w:space="0" w:color="auto"/>
        <w:left w:val="none" w:sz="0" w:space="0" w:color="auto"/>
        <w:bottom w:val="none" w:sz="0" w:space="0" w:color="auto"/>
        <w:right w:val="none" w:sz="0" w:space="0" w:color="auto"/>
      </w:divBdr>
    </w:div>
    <w:div w:id="871302474">
      <w:bodyDiv w:val="1"/>
      <w:marLeft w:val="0"/>
      <w:marRight w:val="0"/>
      <w:marTop w:val="0"/>
      <w:marBottom w:val="0"/>
      <w:divBdr>
        <w:top w:val="none" w:sz="0" w:space="0" w:color="auto"/>
        <w:left w:val="none" w:sz="0" w:space="0" w:color="auto"/>
        <w:bottom w:val="none" w:sz="0" w:space="0" w:color="auto"/>
        <w:right w:val="none" w:sz="0" w:space="0" w:color="auto"/>
      </w:divBdr>
    </w:div>
    <w:div w:id="872693525">
      <w:bodyDiv w:val="1"/>
      <w:marLeft w:val="0"/>
      <w:marRight w:val="0"/>
      <w:marTop w:val="0"/>
      <w:marBottom w:val="0"/>
      <w:divBdr>
        <w:top w:val="none" w:sz="0" w:space="0" w:color="auto"/>
        <w:left w:val="none" w:sz="0" w:space="0" w:color="auto"/>
        <w:bottom w:val="none" w:sz="0" w:space="0" w:color="auto"/>
        <w:right w:val="none" w:sz="0" w:space="0" w:color="auto"/>
      </w:divBdr>
    </w:div>
    <w:div w:id="875701928">
      <w:bodyDiv w:val="1"/>
      <w:marLeft w:val="0"/>
      <w:marRight w:val="0"/>
      <w:marTop w:val="0"/>
      <w:marBottom w:val="0"/>
      <w:divBdr>
        <w:top w:val="none" w:sz="0" w:space="0" w:color="auto"/>
        <w:left w:val="none" w:sz="0" w:space="0" w:color="auto"/>
        <w:bottom w:val="none" w:sz="0" w:space="0" w:color="auto"/>
        <w:right w:val="none" w:sz="0" w:space="0" w:color="auto"/>
      </w:divBdr>
    </w:div>
    <w:div w:id="880048813">
      <w:bodyDiv w:val="1"/>
      <w:marLeft w:val="0"/>
      <w:marRight w:val="0"/>
      <w:marTop w:val="0"/>
      <w:marBottom w:val="0"/>
      <w:divBdr>
        <w:top w:val="none" w:sz="0" w:space="0" w:color="auto"/>
        <w:left w:val="none" w:sz="0" w:space="0" w:color="auto"/>
        <w:bottom w:val="none" w:sz="0" w:space="0" w:color="auto"/>
        <w:right w:val="none" w:sz="0" w:space="0" w:color="auto"/>
      </w:divBdr>
    </w:div>
    <w:div w:id="885797319">
      <w:bodyDiv w:val="1"/>
      <w:marLeft w:val="0"/>
      <w:marRight w:val="0"/>
      <w:marTop w:val="0"/>
      <w:marBottom w:val="0"/>
      <w:divBdr>
        <w:top w:val="none" w:sz="0" w:space="0" w:color="auto"/>
        <w:left w:val="none" w:sz="0" w:space="0" w:color="auto"/>
        <w:bottom w:val="none" w:sz="0" w:space="0" w:color="auto"/>
        <w:right w:val="none" w:sz="0" w:space="0" w:color="auto"/>
      </w:divBdr>
    </w:div>
    <w:div w:id="899943499">
      <w:bodyDiv w:val="1"/>
      <w:marLeft w:val="0"/>
      <w:marRight w:val="0"/>
      <w:marTop w:val="0"/>
      <w:marBottom w:val="0"/>
      <w:divBdr>
        <w:top w:val="none" w:sz="0" w:space="0" w:color="auto"/>
        <w:left w:val="none" w:sz="0" w:space="0" w:color="auto"/>
        <w:bottom w:val="none" w:sz="0" w:space="0" w:color="auto"/>
        <w:right w:val="none" w:sz="0" w:space="0" w:color="auto"/>
      </w:divBdr>
    </w:div>
    <w:div w:id="909852677">
      <w:bodyDiv w:val="1"/>
      <w:marLeft w:val="0"/>
      <w:marRight w:val="0"/>
      <w:marTop w:val="0"/>
      <w:marBottom w:val="0"/>
      <w:divBdr>
        <w:top w:val="none" w:sz="0" w:space="0" w:color="auto"/>
        <w:left w:val="none" w:sz="0" w:space="0" w:color="auto"/>
        <w:bottom w:val="none" w:sz="0" w:space="0" w:color="auto"/>
        <w:right w:val="none" w:sz="0" w:space="0" w:color="auto"/>
      </w:divBdr>
    </w:div>
    <w:div w:id="924531060">
      <w:bodyDiv w:val="1"/>
      <w:marLeft w:val="0"/>
      <w:marRight w:val="0"/>
      <w:marTop w:val="0"/>
      <w:marBottom w:val="0"/>
      <w:divBdr>
        <w:top w:val="none" w:sz="0" w:space="0" w:color="auto"/>
        <w:left w:val="none" w:sz="0" w:space="0" w:color="auto"/>
        <w:bottom w:val="none" w:sz="0" w:space="0" w:color="auto"/>
        <w:right w:val="none" w:sz="0" w:space="0" w:color="auto"/>
      </w:divBdr>
    </w:div>
    <w:div w:id="932013445">
      <w:bodyDiv w:val="1"/>
      <w:marLeft w:val="0"/>
      <w:marRight w:val="0"/>
      <w:marTop w:val="0"/>
      <w:marBottom w:val="0"/>
      <w:divBdr>
        <w:top w:val="none" w:sz="0" w:space="0" w:color="auto"/>
        <w:left w:val="none" w:sz="0" w:space="0" w:color="auto"/>
        <w:bottom w:val="none" w:sz="0" w:space="0" w:color="auto"/>
        <w:right w:val="none" w:sz="0" w:space="0" w:color="auto"/>
      </w:divBdr>
    </w:div>
    <w:div w:id="936863604">
      <w:bodyDiv w:val="1"/>
      <w:marLeft w:val="0"/>
      <w:marRight w:val="0"/>
      <w:marTop w:val="0"/>
      <w:marBottom w:val="0"/>
      <w:divBdr>
        <w:top w:val="none" w:sz="0" w:space="0" w:color="auto"/>
        <w:left w:val="none" w:sz="0" w:space="0" w:color="auto"/>
        <w:bottom w:val="none" w:sz="0" w:space="0" w:color="auto"/>
        <w:right w:val="none" w:sz="0" w:space="0" w:color="auto"/>
      </w:divBdr>
    </w:div>
    <w:div w:id="943079095">
      <w:bodyDiv w:val="1"/>
      <w:marLeft w:val="0"/>
      <w:marRight w:val="0"/>
      <w:marTop w:val="0"/>
      <w:marBottom w:val="0"/>
      <w:divBdr>
        <w:top w:val="none" w:sz="0" w:space="0" w:color="auto"/>
        <w:left w:val="none" w:sz="0" w:space="0" w:color="auto"/>
        <w:bottom w:val="none" w:sz="0" w:space="0" w:color="auto"/>
        <w:right w:val="none" w:sz="0" w:space="0" w:color="auto"/>
      </w:divBdr>
    </w:div>
    <w:div w:id="953751077">
      <w:bodyDiv w:val="1"/>
      <w:marLeft w:val="0"/>
      <w:marRight w:val="0"/>
      <w:marTop w:val="0"/>
      <w:marBottom w:val="0"/>
      <w:divBdr>
        <w:top w:val="none" w:sz="0" w:space="0" w:color="auto"/>
        <w:left w:val="none" w:sz="0" w:space="0" w:color="auto"/>
        <w:bottom w:val="none" w:sz="0" w:space="0" w:color="auto"/>
        <w:right w:val="none" w:sz="0" w:space="0" w:color="auto"/>
      </w:divBdr>
    </w:div>
    <w:div w:id="960652474">
      <w:bodyDiv w:val="1"/>
      <w:marLeft w:val="0"/>
      <w:marRight w:val="0"/>
      <w:marTop w:val="0"/>
      <w:marBottom w:val="0"/>
      <w:divBdr>
        <w:top w:val="none" w:sz="0" w:space="0" w:color="auto"/>
        <w:left w:val="none" w:sz="0" w:space="0" w:color="auto"/>
        <w:bottom w:val="none" w:sz="0" w:space="0" w:color="auto"/>
        <w:right w:val="none" w:sz="0" w:space="0" w:color="auto"/>
      </w:divBdr>
    </w:div>
    <w:div w:id="962423836">
      <w:bodyDiv w:val="1"/>
      <w:marLeft w:val="0"/>
      <w:marRight w:val="0"/>
      <w:marTop w:val="0"/>
      <w:marBottom w:val="0"/>
      <w:divBdr>
        <w:top w:val="none" w:sz="0" w:space="0" w:color="auto"/>
        <w:left w:val="none" w:sz="0" w:space="0" w:color="auto"/>
        <w:bottom w:val="none" w:sz="0" w:space="0" w:color="auto"/>
        <w:right w:val="none" w:sz="0" w:space="0" w:color="auto"/>
      </w:divBdr>
    </w:div>
    <w:div w:id="966396990">
      <w:bodyDiv w:val="1"/>
      <w:marLeft w:val="0"/>
      <w:marRight w:val="0"/>
      <w:marTop w:val="0"/>
      <w:marBottom w:val="0"/>
      <w:divBdr>
        <w:top w:val="none" w:sz="0" w:space="0" w:color="auto"/>
        <w:left w:val="none" w:sz="0" w:space="0" w:color="auto"/>
        <w:bottom w:val="none" w:sz="0" w:space="0" w:color="auto"/>
        <w:right w:val="none" w:sz="0" w:space="0" w:color="auto"/>
      </w:divBdr>
    </w:div>
    <w:div w:id="970786440">
      <w:bodyDiv w:val="1"/>
      <w:marLeft w:val="0"/>
      <w:marRight w:val="0"/>
      <w:marTop w:val="0"/>
      <w:marBottom w:val="0"/>
      <w:divBdr>
        <w:top w:val="none" w:sz="0" w:space="0" w:color="auto"/>
        <w:left w:val="none" w:sz="0" w:space="0" w:color="auto"/>
        <w:bottom w:val="none" w:sz="0" w:space="0" w:color="auto"/>
        <w:right w:val="none" w:sz="0" w:space="0" w:color="auto"/>
      </w:divBdr>
    </w:div>
    <w:div w:id="972949908">
      <w:bodyDiv w:val="1"/>
      <w:marLeft w:val="0"/>
      <w:marRight w:val="0"/>
      <w:marTop w:val="0"/>
      <w:marBottom w:val="0"/>
      <w:divBdr>
        <w:top w:val="none" w:sz="0" w:space="0" w:color="auto"/>
        <w:left w:val="none" w:sz="0" w:space="0" w:color="auto"/>
        <w:bottom w:val="none" w:sz="0" w:space="0" w:color="auto"/>
        <w:right w:val="none" w:sz="0" w:space="0" w:color="auto"/>
      </w:divBdr>
    </w:div>
    <w:div w:id="973675340">
      <w:bodyDiv w:val="1"/>
      <w:marLeft w:val="0"/>
      <w:marRight w:val="0"/>
      <w:marTop w:val="0"/>
      <w:marBottom w:val="0"/>
      <w:divBdr>
        <w:top w:val="none" w:sz="0" w:space="0" w:color="auto"/>
        <w:left w:val="none" w:sz="0" w:space="0" w:color="auto"/>
        <w:bottom w:val="none" w:sz="0" w:space="0" w:color="auto"/>
        <w:right w:val="none" w:sz="0" w:space="0" w:color="auto"/>
      </w:divBdr>
    </w:div>
    <w:div w:id="981472094">
      <w:bodyDiv w:val="1"/>
      <w:marLeft w:val="0"/>
      <w:marRight w:val="0"/>
      <w:marTop w:val="0"/>
      <w:marBottom w:val="0"/>
      <w:divBdr>
        <w:top w:val="none" w:sz="0" w:space="0" w:color="auto"/>
        <w:left w:val="none" w:sz="0" w:space="0" w:color="auto"/>
        <w:bottom w:val="none" w:sz="0" w:space="0" w:color="auto"/>
        <w:right w:val="none" w:sz="0" w:space="0" w:color="auto"/>
      </w:divBdr>
    </w:div>
    <w:div w:id="987367203">
      <w:bodyDiv w:val="1"/>
      <w:marLeft w:val="0"/>
      <w:marRight w:val="0"/>
      <w:marTop w:val="0"/>
      <w:marBottom w:val="0"/>
      <w:divBdr>
        <w:top w:val="none" w:sz="0" w:space="0" w:color="auto"/>
        <w:left w:val="none" w:sz="0" w:space="0" w:color="auto"/>
        <w:bottom w:val="none" w:sz="0" w:space="0" w:color="auto"/>
        <w:right w:val="none" w:sz="0" w:space="0" w:color="auto"/>
      </w:divBdr>
    </w:div>
    <w:div w:id="989749431">
      <w:bodyDiv w:val="1"/>
      <w:marLeft w:val="0"/>
      <w:marRight w:val="0"/>
      <w:marTop w:val="0"/>
      <w:marBottom w:val="0"/>
      <w:divBdr>
        <w:top w:val="none" w:sz="0" w:space="0" w:color="auto"/>
        <w:left w:val="none" w:sz="0" w:space="0" w:color="auto"/>
        <w:bottom w:val="none" w:sz="0" w:space="0" w:color="auto"/>
        <w:right w:val="none" w:sz="0" w:space="0" w:color="auto"/>
      </w:divBdr>
    </w:div>
    <w:div w:id="999581164">
      <w:bodyDiv w:val="1"/>
      <w:marLeft w:val="0"/>
      <w:marRight w:val="0"/>
      <w:marTop w:val="0"/>
      <w:marBottom w:val="0"/>
      <w:divBdr>
        <w:top w:val="none" w:sz="0" w:space="0" w:color="auto"/>
        <w:left w:val="none" w:sz="0" w:space="0" w:color="auto"/>
        <w:bottom w:val="none" w:sz="0" w:space="0" w:color="auto"/>
        <w:right w:val="none" w:sz="0" w:space="0" w:color="auto"/>
      </w:divBdr>
    </w:div>
    <w:div w:id="1000474311">
      <w:bodyDiv w:val="1"/>
      <w:marLeft w:val="0"/>
      <w:marRight w:val="0"/>
      <w:marTop w:val="0"/>
      <w:marBottom w:val="0"/>
      <w:divBdr>
        <w:top w:val="none" w:sz="0" w:space="0" w:color="auto"/>
        <w:left w:val="none" w:sz="0" w:space="0" w:color="auto"/>
        <w:bottom w:val="none" w:sz="0" w:space="0" w:color="auto"/>
        <w:right w:val="none" w:sz="0" w:space="0" w:color="auto"/>
      </w:divBdr>
    </w:div>
    <w:div w:id="1008290764">
      <w:bodyDiv w:val="1"/>
      <w:marLeft w:val="0"/>
      <w:marRight w:val="0"/>
      <w:marTop w:val="0"/>
      <w:marBottom w:val="0"/>
      <w:divBdr>
        <w:top w:val="none" w:sz="0" w:space="0" w:color="auto"/>
        <w:left w:val="none" w:sz="0" w:space="0" w:color="auto"/>
        <w:bottom w:val="none" w:sz="0" w:space="0" w:color="auto"/>
        <w:right w:val="none" w:sz="0" w:space="0" w:color="auto"/>
      </w:divBdr>
    </w:div>
    <w:div w:id="1011644656">
      <w:bodyDiv w:val="1"/>
      <w:marLeft w:val="0"/>
      <w:marRight w:val="0"/>
      <w:marTop w:val="0"/>
      <w:marBottom w:val="0"/>
      <w:divBdr>
        <w:top w:val="none" w:sz="0" w:space="0" w:color="auto"/>
        <w:left w:val="none" w:sz="0" w:space="0" w:color="auto"/>
        <w:bottom w:val="none" w:sz="0" w:space="0" w:color="auto"/>
        <w:right w:val="none" w:sz="0" w:space="0" w:color="auto"/>
      </w:divBdr>
    </w:div>
    <w:div w:id="1037119189">
      <w:bodyDiv w:val="1"/>
      <w:marLeft w:val="0"/>
      <w:marRight w:val="0"/>
      <w:marTop w:val="0"/>
      <w:marBottom w:val="0"/>
      <w:divBdr>
        <w:top w:val="none" w:sz="0" w:space="0" w:color="auto"/>
        <w:left w:val="none" w:sz="0" w:space="0" w:color="auto"/>
        <w:bottom w:val="none" w:sz="0" w:space="0" w:color="auto"/>
        <w:right w:val="none" w:sz="0" w:space="0" w:color="auto"/>
      </w:divBdr>
    </w:div>
    <w:div w:id="1040861902">
      <w:bodyDiv w:val="1"/>
      <w:marLeft w:val="0"/>
      <w:marRight w:val="0"/>
      <w:marTop w:val="0"/>
      <w:marBottom w:val="0"/>
      <w:divBdr>
        <w:top w:val="none" w:sz="0" w:space="0" w:color="auto"/>
        <w:left w:val="none" w:sz="0" w:space="0" w:color="auto"/>
        <w:bottom w:val="none" w:sz="0" w:space="0" w:color="auto"/>
        <w:right w:val="none" w:sz="0" w:space="0" w:color="auto"/>
      </w:divBdr>
    </w:div>
    <w:div w:id="1046105080">
      <w:bodyDiv w:val="1"/>
      <w:marLeft w:val="0"/>
      <w:marRight w:val="0"/>
      <w:marTop w:val="0"/>
      <w:marBottom w:val="0"/>
      <w:divBdr>
        <w:top w:val="none" w:sz="0" w:space="0" w:color="auto"/>
        <w:left w:val="none" w:sz="0" w:space="0" w:color="auto"/>
        <w:bottom w:val="none" w:sz="0" w:space="0" w:color="auto"/>
        <w:right w:val="none" w:sz="0" w:space="0" w:color="auto"/>
      </w:divBdr>
    </w:div>
    <w:div w:id="1049454577">
      <w:bodyDiv w:val="1"/>
      <w:marLeft w:val="0"/>
      <w:marRight w:val="0"/>
      <w:marTop w:val="0"/>
      <w:marBottom w:val="0"/>
      <w:divBdr>
        <w:top w:val="none" w:sz="0" w:space="0" w:color="auto"/>
        <w:left w:val="none" w:sz="0" w:space="0" w:color="auto"/>
        <w:bottom w:val="none" w:sz="0" w:space="0" w:color="auto"/>
        <w:right w:val="none" w:sz="0" w:space="0" w:color="auto"/>
      </w:divBdr>
    </w:div>
    <w:div w:id="1050302328">
      <w:bodyDiv w:val="1"/>
      <w:marLeft w:val="0"/>
      <w:marRight w:val="0"/>
      <w:marTop w:val="0"/>
      <w:marBottom w:val="0"/>
      <w:divBdr>
        <w:top w:val="none" w:sz="0" w:space="0" w:color="auto"/>
        <w:left w:val="none" w:sz="0" w:space="0" w:color="auto"/>
        <w:bottom w:val="none" w:sz="0" w:space="0" w:color="auto"/>
        <w:right w:val="none" w:sz="0" w:space="0" w:color="auto"/>
      </w:divBdr>
    </w:div>
    <w:div w:id="1053188833">
      <w:bodyDiv w:val="1"/>
      <w:marLeft w:val="0"/>
      <w:marRight w:val="0"/>
      <w:marTop w:val="0"/>
      <w:marBottom w:val="0"/>
      <w:divBdr>
        <w:top w:val="none" w:sz="0" w:space="0" w:color="auto"/>
        <w:left w:val="none" w:sz="0" w:space="0" w:color="auto"/>
        <w:bottom w:val="none" w:sz="0" w:space="0" w:color="auto"/>
        <w:right w:val="none" w:sz="0" w:space="0" w:color="auto"/>
      </w:divBdr>
    </w:div>
    <w:div w:id="1054696146">
      <w:bodyDiv w:val="1"/>
      <w:marLeft w:val="0"/>
      <w:marRight w:val="0"/>
      <w:marTop w:val="0"/>
      <w:marBottom w:val="0"/>
      <w:divBdr>
        <w:top w:val="none" w:sz="0" w:space="0" w:color="auto"/>
        <w:left w:val="none" w:sz="0" w:space="0" w:color="auto"/>
        <w:bottom w:val="none" w:sz="0" w:space="0" w:color="auto"/>
        <w:right w:val="none" w:sz="0" w:space="0" w:color="auto"/>
      </w:divBdr>
    </w:div>
    <w:div w:id="1065763036">
      <w:bodyDiv w:val="1"/>
      <w:marLeft w:val="0"/>
      <w:marRight w:val="0"/>
      <w:marTop w:val="0"/>
      <w:marBottom w:val="0"/>
      <w:divBdr>
        <w:top w:val="none" w:sz="0" w:space="0" w:color="auto"/>
        <w:left w:val="none" w:sz="0" w:space="0" w:color="auto"/>
        <w:bottom w:val="none" w:sz="0" w:space="0" w:color="auto"/>
        <w:right w:val="none" w:sz="0" w:space="0" w:color="auto"/>
      </w:divBdr>
    </w:div>
    <w:div w:id="1073090431">
      <w:bodyDiv w:val="1"/>
      <w:marLeft w:val="0"/>
      <w:marRight w:val="0"/>
      <w:marTop w:val="0"/>
      <w:marBottom w:val="0"/>
      <w:divBdr>
        <w:top w:val="none" w:sz="0" w:space="0" w:color="auto"/>
        <w:left w:val="none" w:sz="0" w:space="0" w:color="auto"/>
        <w:bottom w:val="none" w:sz="0" w:space="0" w:color="auto"/>
        <w:right w:val="none" w:sz="0" w:space="0" w:color="auto"/>
      </w:divBdr>
    </w:div>
    <w:div w:id="1073158895">
      <w:bodyDiv w:val="1"/>
      <w:marLeft w:val="0"/>
      <w:marRight w:val="0"/>
      <w:marTop w:val="0"/>
      <w:marBottom w:val="0"/>
      <w:divBdr>
        <w:top w:val="none" w:sz="0" w:space="0" w:color="auto"/>
        <w:left w:val="none" w:sz="0" w:space="0" w:color="auto"/>
        <w:bottom w:val="none" w:sz="0" w:space="0" w:color="auto"/>
        <w:right w:val="none" w:sz="0" w:space="0" w:color="auto"/>
      </w:divBdr>
    </w:div>
    <w:div w:id="1078747958">
      <w:bodyDiv w:val="1"/>
      <w:marLeft w:val="0"/>
      <w:marRight w:val="0"/>
      <w:marTop w:val="0"/>
      <w:marBottom w:val="0"/>
      <w:divBdr>
        <w:top w:val="none" w:sz="0" w:space="0" w:color="auto"/>
        <w:left w:val="none" w:sz="0" w:space="0" w:color="auto"/>
        <w:bottom w:val="none" w:sz="0" w:space="0" w:color="auto"/>
        <w:right w:val="none" w:sz="0" w:space="0" w:color="auto"/>
      </w:divBdr>
    </w:div>
    <w:div w:id="1090584892">
      <w:bodyDiv w:val="1"/>
      <w:marLeft w:val="0"/>
      <w:marRight w:val="0"/>
      <w:marTop w:val="0"/>
      <w:marBottom w:val="0"/>
      <w:divBdr>
        <w:top w:val="none" w:sz="0" w:space="0" w:color="auto"/>
        <w:left w:val="none" w:sz="0" w:space="0" w:color="auto"/>
        <w:bottom w:val="none" w:sz="0" w:space="0" w:color="auto"/>
        <w:right w:val="none" w:sz="0" w:space="0" w:color="auto"/>
      </w:divBdr>
    </w:div>
    <w:div w:id="1091856412">
      <w:bodyDiv w:val="1"/>
      <w:marLeft w:val="0"/>
      <w:marRight w:val="0"/>
      <w:marTop w:val="0"/>
      <w:marBottom w:val="0"/>
      <w:divBdr>
        <w:top w:val="none" w:sz="0" w:space="0" w:color="auto"/>
        <w:left w:val="none" w:sz="0" w:space="0" w:color="auto"/>
        <w:bottom w:val="none" w:sz="0" w:space="0" w:color="auto"/>
        <w:right w:val="none" w:sz="0" w:space="0" w:color="auto"/>
      </w:divBdr>
    </w:div>
    <w:div w:id="1094787005">
      <w:bodyDiv w:val="1"/>
      <w:marLeft w:val="0"/>
      <w:marRight w:val="0"/>
      <w:marTop w:val="0"/>
      <w:marBottom w:val="0"/>
      <w:divBdr>
        <w:top w:val="none" w:sz="0" w:space="0" w:color="auto"/>
        <w:left w:val="none" w:sz="0" w:space="0" w:color="auto"/>
        <w:bottom w:val="none" w:sz="0" w:space="0" w:color="auto"/>
        <w:right w:val="none" w:sz="0" w:space="0" w:color="auto"/>
      </w:divBdr>
    </w:div>
    <w:div w:id="1095200655">
      <w:bodyDiv w:val="1"/>
      <w:marLeft w:val="0"/>
      <w:marRight w:val="0"/>
      <w:marTop w:val="0"/>
      <w:marBottom w:val="0"/>
      <w:divBdr>
        <w:top w:val="none" w:sz="0" w:space="0" w:color="auto"/>
        <w:left w:val="none" w:sz="0" w:space="0" w:color="auto"/>
        <w:bottom w:val="none" w:sz="0" w:space="0" w:color="auto"/>
        <w:right w:val="none" w:sz="0" w:space="0" w:color="auto"/>
      </w:divBdr>
    </w:div>
    <w:div w:id="1096176705">
      <w:bodyDiv w:val="1"/>
      <w:marLeft w:val="0"/>
      <w:marRight w:val="0"/>
      <w:marTop w:val="0"/>
      <w:marBottom w:val="0"/>
      <w:divBdr>
        <w:top w:val="none" w:sz="0" w:space="0" w:color="auto"/>
        <w:left w:val="none" w:sz="0" w:space="0" w:color="auto"/>
        <w:bottom w:val="none" w:sz="0" w:space="0" w:color="auto"/>
        <w:right w:val="none" w:sz="0" w:space="0" w:color="auto"/>
      </w:divBdr>
    </w:div>
    <w:div w:id="1121344182">
      <w:bodyDiv w:val="1"/>
      <w:marLeft w:val="0"/>
      <w:marRight w:val="0"/>
      <w:marTop w:val="0"/>
      <w:marBottom w:val="0"/>
      <w:divBdr>
        <w:top w:val="none" w:sz="0" w:space="0" w:color="auto"/>
        <w:left w:val="none" w:sz="0" w:space="0" w:color="auto"/>
        <w:bottom w:val="none" w:sz="0" w:space="0" w:color="auto"/>
        <w:right w:val="none" w:sz="0" w:space="0" w:color="auto"/>
      </w:divBdr>
    </w:div>
    <w:div w:id="1121917543">
      <w:bodyDiv w:val="1"/>
      <w:marLeft w:val="0"/>
      <w:marRight w:val="0"/>
      <w:marTop w:val="0"/>
      <w:marBottom w:val="0"/>
      <w:divBdr>
        <w:top w:val="none" w:sz="0" w:space="0" w:color="auto"/>
        <w:left w:val="none" w:sz="0" w:space="0" w:color="auto"/>
        <w:bottom w:val="none" w:sz="0" w:space="0" w:color="auto"/>
        <w:right w:val="none" w:sz="0" w:space="0" w:color="auto"/>
      </w:divBdr>
    </w:div>
    <w:div w:id="1142847260">
      <w:bodyDiv w:val="1"/>
      <w:marLeft w:val="0"/>
      <w:marRight w:val="0"/>
      <w:marTop w:val="0"/>
      <w:marBottom w:val="0"/>
      <w:divBdr>
        <w:top w:val="none" w:sz="0" w:space="0" w:color="auto"/>
        <w:left w:val="none" w:sz="0" w:space="0" w:color="auto"/>
        <w:bottom w:val="none" w:sz="0" w:space="0" w:color="auto"/>
        <w:right w:val="none" w:sz="0" w:space="0" w:color="auto"/>
      </w:divBdr>
    </w:div>
    <w:div w:id="1145855865">
      <w:bodyDiv w:val="1"/>
      <w:marLeft w:val="0"/>
      <w:marRight w:val="0"/>
      <w:marTop w:val="0"/>
      <w:marBottom w:val="0"/>
      <w:divBdr>
        <w:top w:val="none" w:sz="0" w:space="0" w:color="auto"/>
        <w:left w:val="none" w:sz="0" w:space="0" w:color="auto"/>
        <w:bottom w:val="none" w:sz="0" w:space="0" w:color="auto"/>
        <w:right w:val="none" w:sz="0" w:space="0" w:color="auto"/>
      </w:divBdr>
    </w:div>
    <w:div w:id="1159495146">
      <w:bodyDiv w:val="1"/>
      <w:marLeft w:val="0"/>
      <w:marRight w:val="0"/>
      <w:marTop w:val="0"/>
      <w:marBottom w:val="0"/>
      <w:divBdr>
        <w:top w:val="none" w:sz="0" w:space="0" w:color="auto"/>
        <w:left w:val="none" w:sz="0" w:space="0" w:color="auto"/>
        <w:bottom w:val="none" w:sz="0" w:space="0" w:color="auto"/>
        <w:right w:val="none" w:sz="0" w:space="0" w:color="auto"/>
      </w:divBdr>
    </w:div>
    <w:div w:id="1164514788">
      <w:bodyDiv w:val="1"/>
      <w:marLeft w:val="0"/>
      <w:marRight w:val="0"/>
      <w:marTop w:val="0"/>
      <w:marBottom w:val="0"/>
      <w:divBdr>
        <w:top w:val="none" w:sz="0" w:space="0" w:color="auto"/>
        <w:left w:val="none" w:sz="0" w:space="0" w:color="auto"/>
        <w:bottom w:val="none" w:sz="0" w:space="0" w:color="auto"/>
        <w:right w:val="none" w:sz="0" w:space="0" w:color="auto"/>
      </w:divBdr>
    </w:div>
    <w:div w:id="1166435542">
      <w:bodyDiv w:val="1"/>
      <w:marLeft w:val="0"/>
      <w:marRight w:val="0"/>
      <w:marTop w:val="0"/>
      <w:marBottom w:val="0"/>
      <w:divBdr>
        <w:top w:val="none" w:sz="0" w:space="0" w:color="auto"/>
        <w:left w:val="none" w:sz="0" w:space="0" w:color="auto"/>
        <w:bottom w:val="none" w:sz="0" w:space="0" w:color="auto"/>
        <w:right w:val="none" w:sz="0" w:space="0" w:color="auto"/>
      </w:divBdr>
    </w:div>
    <w:div w:id="1169978526">
      <w:bodyDiv w:val="1"/>
      <w:marLeft w:val="0"/>
      <w:marRight w:val="0"/>
      <w:marTop w:val="0"/>
      <w:marBottom w:val="0"/>
      <w:divBdr>
        <w:top w:val="none" w:sz="0" w:space="0" w:color="auto"/>
        <w:left w:val="none" w:sz="0" w:space="0" w:color="auto"/>
        <w:bottom w:val="none" w:sz="0" w:space="0" w:color="auto"/>
        <w:right w:val="none" w:sz="0" w:space="0" w:color="auto"/>
      </w:divBdr>
    </w:div>
    <w:div w:id="1176656854">
      <w:bodyDiv w:val="1"/>
      <w:marLeft w:val="0"/>
      <w:marRight w:val="0"/>
      <w:marTop w:val="0"/>
      <w:marBottom w:val="0"/>
      <w:divBdr>
        <w:top w:val="none" w:sz="0" w:space="0" w:color="auto"/>
        <w:left w:val="none" w:sz="0" w:space="0" w:color="auto"/>
        <w:bottom w:val="none" w:sz="0" w:space="0" w:color="auto"/>
        <w:right w:val="none" w:sz="0" w:space="0" w:color="auto"/>
      </w:divBdr>
    </w:div>
    <w:div w:id="1186559850">
      <w:bodyDiv w:val="1"/>
      <w:marLeft w:val="0"/>
      <w:marRight w:val="0"/>
      <w:marTop w:val="0"/>
      <w:marBottom w:val="0"/>
      <w:divBdr>
        <w:top w:val="none" w:sz="0" w:space="0" w:color="auto"/>
        <w:left w:val="none" w:sz="0" w:space="0" w:color="auto"/>
        <w:bottom w:val="none" w:sz="0" w:space="0" w:color="auto"/>
        <w:right w:val="none" w:sz="0" w:space="0" w:color="auto"/>
      </w:divBdr>
    </w:div>
    <w:div w:id="1195728756">
      <w:bodyDiv w:val="1"/>
      <w:marLeft w:val="0"/>
      <w:marRight w:val="0"/>
      <w:marTop w:val="0"/>
      <w:marBottom w:val="0"/>
      <w:divBdr>
        <w:top w:val="none" w:sz="0" w:space="0" w:color="auto"/>
        <w:left w:val="none" w:sz="0" w:space="0" w:color="auto"/>
        <w:bottom w:val="none" w:sz="0" w:space="0" w:color="auto"/>
        <w:right w:val="none" w:sz="0" w:space="0" w:color="auto"/>
      </w:divBdr>
    </w:div>
    <w:div w:id="1198541235">
      <w:bodyDiv w:val="1"/>
      <w:marLeft w:val="0"/>
      <w:marRight w:val="0"/>
      <w:marTop w:val="0"/>
      <w:marBottom w:val="0"/>
      <w:divBdr>
        <w:top w:val="none" w:sz="0" w:space="0" w:color="auto"/>
        <w:left w:val="none" w:sz="0" w:space="0" w:color="auto"/>
        <w:bottom w:val="none" w:sz="0" w:space="0" w:color="auto"/>
        <w:right w:val="none" w:sz="0" w:space="0" w:color="auto"/>
      </w:divBdr>
    </w:div>
    <w:div w:id="1200053271">
      <w:bodyDiv w:val="1"/>
      <w:marLeft w:val="0"/>
      <w:marRight w:val="0"/>
      <w:marTop w:val="0"/>
      <w:marBottom w:val="0"/>
      <w:divBdr>
        <w:top w:val="none" w:sz="0" w:space="0" w:color="auto"/>
        <w:left w:val="none" w:sz="0" w:space="0" w:color="auto"/>
        <w:bottom w:val="none" w:sz="0" w:space="0" w:color="auto"/>
        <w:right w:val="none" w:sz="0" w:space="0" w:color="auto"/>
      </w:divBdr>
    </w:div>
    <w:div w:id="1207067739">
      <w:bodyDiv w:val="1"/>
      <w:marLeft w:val="0"/>
      <w:marRight w:val="0"/>
      <w:marTop w:val="0"/>
      <w:marBottom w:val="0"/>
      <w:divBdr>
        <w:top w:val="none" w:sz="0" w:space="0" w:color="auto"/>
        <w:left w:val="none" w:sz="0" w:space="0" w:color="auto"/>
        <w:bottom w:val="none" w:sz="0" w:space="0" w:color="auto"/>
        <w:right w:val="none" w:sz="0" w:space="0" w:color="auto"/>
      </w:divBdr>
    </w:div>
    <w:div w:id="1212691571">
      <w:bodyDiv w:val="1"/>
      <w:marLeft w:val="0"/>
      <w:marRight w:val="0"/>
      <w:marTop w:val="0"/>
      <w:marBottom w:val="0"/>
      <w:divBdr>
        <w:top w:val="none" w:sz="0" w:space="0" w:color="auto"/>
        <w:left w:val="none" w:sz="0" w:space="0" w:color="auto"/>
        <w:bottom w:val="none" w:sz="0" w:space="0" w:color="auto"/>
        <w:right w:val="none" w:sz="0" w:space="0" w:color="auto"/>
      </w:divBdr>
    </w:div>
    <w:div w:id="1213230756">
      <w:bodyDiv w:val="1"/>
      <w:marLeft w:val="0"/>
      <w:marRight w:val="0"/>
      <w:marTop w:val="0"/>
      <w:marBottom w:val="0"/>
      <w:divBdr>
        <w:top w:val="none" w:sz="0" w:space="0" w:color="auto"/>
        <w:left w:val="none" w:sz="0" w:space="0" w:color="auto"/>
        <w:bottom w:val="none" w:sz="0" w:space="0" w:color="auto"/>
        <w:right w:val="none" w:sz="0" w:space="0" w:color="auto"/>
      </w:divBdr>
    </w:div>
    <w:div w:id="1214972299">
      <w:bodyDiv w:val="1"/>
      <w:marLeft w:val="0"/>
      <w:marRight w:val="0"/>
      <w:marTop w:val="0"/>
      <w:marBottom w:val="0"/>
      <w:divBdr>
        <w:top w:val="none" w:sz="0" w:space="0" w:color="auto"/>
        <w:left w:val="none" w:sz="0" w:space="0" w:color="auto"/>
        <w:bottom w:val="none" w:sz="0" w:space="0" w:color="auto"/>
        <w:right w:val="none" w:sz="0" w:space="0" w:color="auto"/>
      </w:divBdr>
    </w:div>
    <w:div w:id="1219441627">
      <w:bodyDiv w:val="1"/>
      <w:marLeft w:val="0"/>
      <w:marRight w:val="0"/>
      <w:marTop w:val="0"/>
      <w:marBottom w:val="0"/>
      <w:divBdr>
        <w:top w:val="none" w:sz="0" w:space="0" w:color="auto"/>
        <w:left w:val="none" w:sz="0" w:space="0" w:color="auto"/>
        <w:bottom w:val="none" w:sz="0" w:space="0" w:color="auto"/>
        <w:right w:val="none" w:sz="0" w:space="0" w:color="auto"/>
      </w:divBdr>
    </w:div>
    <w:div w:id="1226794725">
      <w:bodyDiv w:val="1"/>
      <w:marLeft w:val="0"/>
      <w:marRight w:val="0"/>
      <w:marTop w:val="0"/>
      <w:marBottom w:val="0"/>
      <w:divBdr>
        <w:top w:val="none" w:sz="0" w:space="0" w:color="auto"/>
        <w:left w:val="none" w:sz="0" w:space="0" w:color="auto"/>
        <w:bottom w:val="none" w:sz="0" w:space="0" w:color="auto"/>
        <w:right w:val="none" w:sz="0" w:space="0" w:color="auto"/>
      </w:divBdr>
    </w:div>
    <w:div w:id="1229800472">
      <w:bodyDiv w:val="1"/>
      <w:marLeft w:val="0"/>
      <w:marRight w:val="0"/>
      <w:marTop w:val="0"/>
      <w:marBottom w:val="0"/>
      <w:divBdr>
        <w:top w:val="none" w:sz="0" w:space="0" w:color="auto"/>
        <w:left w:val="none" w:sz="0" w:space="0" w:color="auto"/>
        <w:bottom w:val="none" w:sz="0" w:space="0" w:color="auto"/>
        <w:right w:val="none" w:sz="0" w:space="0" w:color="auto"/>
      </w:divBdr>
    </w:div>
    <w:div w:id="1234048309">
      <w:bodyDiv w:val="1"/>
      <w:marLeft w:val="0"/>
      <w:marRight w:val="0"/>
      <w:marTop w:val="0"/>
      <w:marBottom w:val="0"/>
      <w:divBdr>
        <w:top w:val="none" w:sz="0" w:space="0" w:color="auto"/>
        <w:left w:val="none" w:sz="0" w:space="0" w:color="auto"/>
        <w:bottom w:val="none" w:sz="0" w:space="0" w:color="auto"/>
        <w:right w:val="none" w:sz="0" w:space="0" w:color="auto"/>
      </w:divBdr>
    </w:div>
    <w:div w:id="1239947585">
      <w:bodyDiv w:val="1"/>
      <w:marLeft w:val="0"/>
      <w:marRight w:val="0"/>
      <w:marTop w:val="0"/>
      <w:marBottom w:val="0"/>
      <w:divBdr>
        <w:top w:val="none" w:sz="0" w:space="0" w:color="auto"/>
        <w:left w:val="none" w:sz="0" w:space="0" w:color="auto"/>
        <w:bottom w:val="none" w:sz="0" w:space="0" w:color="auto"/>
        <w:right w:val="none" w:sz="0" w:space="0" w:color="auto"/>
      </w:divBdr>
    </w:div>
    <w:div w:id="1248811998">
      <w:bodyDiv w:val="1"/>
      <w:marLeft w:val="0"/>
      <w:marRight w:val="0"/>
      <w:marTop w:val="0"/>
      <w:marBottom w:val="0"/>
      <w:divBdr>
        <w:top w:val="none" w:sz="0" w:space="0" w:color="auto"/>
        <w:left w:val="none" w:sz="0" w:space="0" w:color="auto"/>
        <w:bottom w:val="none" w:sz="0" w:space="0" w:color="auto"/>
        <w:right w:val="none" w:sz="0" w:space="0" w:color="auto"/>
      </w:divBdr>
    </w:div>
    <w:div w:id="1249656812">
      <w:bodyDiv w:val="1"/>
      <w:marLeft w:val="0"/>
      <w:marRight w:val="0"/>
      <w:marTop w:val="0"/>
      <w:marBottom w:val="0"/>
      <w:divBdr>
        <w:top w:val="none" w:sz="0" w:space="0" w:color="auto"/>
        <w:left w:val="none" w:sz="0" w:space="0" w:color="auto"/>
        <w:bottom w:val="none" w:sz="0" w:space="0" w:color="auto"/>
        <w:right w:val="none" w:sz="0" w:space="0" w:color="auto"/>
      </w:divBdr>
    </w:div>
    <w:div w:id="1254167971">
      <w:bodyDiv w:val="1"/>
      <w:marLeft w:val="0"/>
      <w:marRight w:val="0"/>
      <w:marTop w:val="0"/>
      <w:marBottom w:val="0"/>
      <w:divBdr>
        <w:top w:val="none" w:sz="0" w:space="0" w:color="auto"/>
        <w:left w:val="none" w:sz="0" w:space="0" w:color="auto"/>
        <w:bottom w:val="none" w:sz="0" w:space="0" w:color="auto"/>
        <w:right w:val="none" w:sz="0" w:space="0" w:color="auto"/>
      </w:divBdr>
    </w:div>
    <w:div w:id="1260717389">
      <w:bodyDiv w:val="1"/>
      <w:marLeft w:val="0"/>
      <w:marRight w:val="0"/>
      <w:marTop w:val="0"/>
      <w:marBottom w:val="0"/>
      <w:divBdr>
        <w:top w:val="none" w:sz="0" w:space="0" w:color="auto"/>
        <w:left w:val="none" w:sz="0" w:space="0" w:color="auto"/>
        <w:bottom w:val="none" w:sz="0" w:space="0" w:color="auto"/>
        <w:right w:val="none" w:sz="0" w:space="0" w:color="auto"/>
      </w:divBdr>
    </w:div>
    <w:div w:id="1261523078">
      <w:bodyDiv w:val="1"/>
      <w:marLeft w:val="0"/>
      <w:marRight w:val="0"/>
      <w:marTop w:val="0"/>
      <w:marBottom w:val="0"/>
      <w:divBdr>
        <w:top w:val="none" w:sz="0" w:space="0" w:color="auto"/>
        <w:left w:val="none" w:sz="0" w:space="0" w:color="auto"/>
        <w:bottom w:val="none" w:sz="0" w:space="0" w:color="auto"/>
        <w:right w:val="none" w:sz="0" w:space="0" w:color="auto"/>
      </w:divBdr>
    </w:div>
    <w:div w:id="1261600151">
      <w:bodyDiv w:val="1"/>
      <w:marLeft w:val="0"/>
      <w:marRight w:val="0"/>
      <w:marTop w:val="0"/>
      <w:marBottom w:val="0"/>
      <w:divBdr>
        <w:top w:val="none" w:sz="0" w:space="0" w:color="auto"/>
        <w:left w:val="none" w:sz="0" w:space="0" w:color="auto"/>
        <w:bottom w:val="none" w:sz="0" w:space="0" w:color="auto"/>
        <w:right w:val="none" w:sz="0" w:space="0" w:color="auto"/>
      </w:divBdr>
    </w:div>
    <w:div w:id="1261794045">
      <w:bodyDiv w:val="1"/>
      <w:marLeft w:val="0"/>
      <w:marRight w:val="0"/>
      <w:marTop w:val="0"/>
      <w:marBottom w:val="0"/>
      <w:divBdr>
        <w:top w:val="none" w:sz="0" w:space="0" w:color="auto"/>
        <w:left w:val="none" w:sz="0" w:space="0" w:color="auto"/>
        <w:bottom w:val="none" w:sz="0" w:space="0" w:color="auto"/>
        <w:right w:val="none" w:sz="0" w:space="0" w:color="auto"/>
      </w:divBdr>
    </w:div>
    <w:div w:id="1262761764">
      <w:bodyDiv w:val="1"/>
      <w:marLeft w:val="0"/>
      <w:marRight w:val="0"/>
      <w:marTop w:val="0"/>
      <w:marBottom w:val="0"/>
      <w:divBdr>
        <w:top w:val="none" w:sz="0" w:space="0" w:color="auto"/>
        <w:left w:val="none" w:sz="0" w:space="0" w:color="auto"/>
        <w:bottom w:val="none" w:sz="0" w:space="0" w:color="auto"/>
        <w:right w:val="none" w:sz="0" w:space="0" w:color="auto"/>
      </w:divBdr>
    </w:div>
    <w:div w:id="1274752154">
      <w:bodyDiv w:val="1"/>
      <w:marLeft w:val="0"/>
      <w:marRight w:val="0"/>
      <w:marTop w:val="0"/>
      <w:marBottom w:val="0"/>
      <w:divBdr>
        <w:top w:val="none" w:sz="0" w:space="0" w:color="auto"/>
        <w:left w:val="none" w:sz="0" w:space="0" w:color="auto"/>
        <w:bottom w:val="none" w:sz="0" w:space="0" w:color="auto"/>
        <w:right w:val="none" w:sz="0" w:space="0" w:color="auto"/>
      </w:divBdr>
    </w:div>
    <w:div w:id="1275985928">
      <w:bodyDiv w:val="1"/>
      <w:marLeft w:val="0"/>
      <w:marRight w:val="0"/>
      <w:marTop w:val="0"/>
      <w:marBottom w:val="0"/>
      <w:divBdr>
        <w:top w:val="none" w:sz="0" w:space="0" w:color="auto"/>
        <w:left w:val="none" w:sz="0" w:space="0" w:color="auto"/>
        <w:bottom w:val="none" w:sz="0" w:space="0" w:color="auto"/>
        <w:right w:val="none" w:sz="0" w:space="0" w:color="auto"/>
      </w:divBdr>
    </w:div>
    <w:div w:id="1290435556">
      <w:bodyDiv w:val="1"/>
      <w:marLeft w:val="0"/>
      <w:marRight w:val="0"/>
      <w:marTop w:val="0"/>
      <w:marBottom w:val="0"/>
      <w:divBdr>
        <w:top w:val="none" w:sz="0" w:space="0" w:color="auto"/>
        <w:left w:val="none" w:sz="0" w:space="0" w:color="auto"/>
        <w:bottom w:val="none" w:sz="0" w:space="0" w:color="auto"/>
        <w:right w:val="none" w:sz="0" w:space="0" w:color="auto"/>
      </w:divBdr>
    </w:div>
    <w:div w:id="1291859941">
      <w:bodyDiv w:val="1"/>
      <w:marLeft w:val="0"/>
      <w:marRight w:val="0"/>
      <w:marTop w:val="0"/>
      <w:marBottom w:val="0"/>
      <w:divBdr>
        <w:top w:val="none" w:sz="0" w:space="0" w:color="auto"/>
        <w:left w:val="none" w:sz="0" w:space="0" w:color="auto"/>
        <w:bottom w:val="none" w:sz="0" w:space="0" w:color="auto"/>
        <w:right w:val="none" w:sz="0" w:space="0" w:color="auto"/>
      </w:divBdr>
    </w:div>
    <w:div w:id="1293056909">
      <w:bodyDiv w:val="1"/>
      <w:marLeft w:val="0"/>
      <w:marRight w:val="0"/>
      <w:marTop w:val="0"/>
      <w:marBottom w:val="0"/>
      <w:divBdr>
        <w:top w:val="none" w:sz="0" w:space="0" w:color="auto"/>
        <w:left w:val="none" w:sz="0" w:space="0" w:color="auto"/>
        <w:bottom w:val="none" w:sz="0" w:space="0" w:color="auto"/>
        <w:right w:val="none" w:sz="0" w:space="0" w:color="auto"/>
      </w:divBdr>
    </w:div>
    <w:div w:id="1296718772">
      <w:bodyDiv w:val="1"/>
      <w:marLeft w:val="0"/>
      <w:marRight w:val="0"/>
      <w:marTop w:val="0"/>
      <w:marBottom w:val="0"/>
      <w:divBdr>
        <w:top w:val="none" w:sz="0" w:space="0" w:color="auto"/>
        <w:left w:val="none" w:sz="0" w:space="0" w:color="auto"/>
        <w:bottom w:val="none" w:sz="0" w:space="0" w:color="auto"/>
        <w:right w:val="none" w:sz="0" w:space="0" w:color="auto"/>
      </w:divBdr>
    </w:div>
    <w:div w:id="1299455872">
      <w:bodyDiv w:val="1"/>
      <w:marLeft w:val="0"/>
      <w:marRight w:val="0"/>
      <w:marTop w:val="0"/>
      <w:marBottom w:val="0"/>
      <w:divBdr>
        <w:top w:val="none" w:sz="0" w:space="0" w:color="auto"/>
        <w:left w:val="none" w:sz="0" w:space="0" w:color="auto"/>
        <w:bottom w:val="none" w:sz="0" w:space="0" w:color="auto"/>
        <w:right w:val="none" w:sz="0" w:space="0" w:color="auto"/>
      </w:divBdr>
    </w:div>
    <w:div w:id="1300186986">
      <w:bodyDiv w:val="1"/>
      <w:marLeft w:val="0"/>
      <w:marRight w:val="0"/>
      <w:marTop w:val="0"/>
      <w:marBottom w:val="0"/>
      <w:divBdr>
        <w:top w:val="none" w:sz="0" w:space="0" w:color="auto"/>
        <w:left w:val="none" w:sz="0" w:space="0" w:color="auto"/>
        <w:bottom w:val="none" w:sz="0" w:space="0" w:color="auto"/>
        <w:right w:val="none" w:sz="0" w:space="0" w:color="auto"/>
      </w:divBdr>
    </w:div>
    <w:div w:id="1300920507">
      <w:bodyDiv w:val="1"/>
      <w:marLeft w:val="0"/>
      <w:marRight w:val="0"/>
      <w:marTop w:val="0"/>
      <w:marBottom w:val="0"/>
      <w:divBdr>
        <w:top w:val="none" w:sz="0" w:space="0" w:color="auto"/>
        <w:left w:val="none" w:sz="0" w:space="0" w:color="auto"/>
        <w:bottom w:val="none" w:sz="0" w:space="0" w:color="auto"/>
        <w:right w:val="none" w:sz="0" w:space="0" w:color="auto"/>
      </w:divBdr>
    </w:div>
    <w:div w:id="1302419986">
      <w:bodyDiv w:val="1"/>
      <w:marLeft w:val="0"/>
      <w:marRight w:val="0"/>
      <w:marTop w:val="0"/>
      <w:marBottom w:val="0"/>
      <w:divBdr>
        <w:top w:val="none" w:sz="0" w:space="0" w:color="auto"/>
        <w:left w:val="none" w:sz="0" w:space="0" w:color="auto"/>
        <w:bottom w:val="none" w:sz="0" w:space="0" w:color="auto"/>
        <w:right w:val="none" w:sz="0" w:space="0" w:color="auto"/>
      </w:divBdr>
    </w:div>
    <w:div w:id="1304844597">
      <w:bodyDiv w:val="1"/>
      <w:marLeft w:val="0"/>
      <w:marRight w:val="0"/>
      <w:marTop w:val="0"/>
      <w:marBottom w:val="0"/>
      <w:divBdr>
        <w:top w:val="none" w:sz="0" w:space="0" w:color="auto"/>
        <w:left w:val="none" w:sz="0" w:space="0" w:color="auto"/>
        <w:bottom w:val="none" w:sz="0" w:space="0" w:color="auto"/>
        <w:right w:val="none" w:sz="0" w:space="0" w:color="auto"/>
      </w:divBdr>
    </w:div>
    <w:div w:id="1312756721">
      <w:bodyDiv w:val="1"/>
      <w:marLeft w:val="0"/>
      <w:marRight w:val="0"/>
      <w:marTop w:val="0"/>
      <w:marBottom w:val="0"/>
      <w:divBdr>
        <w:top w:val="none" w:sz="0" w:space="0" w:color="auto"/>
        <w:left w:val="none" w:sz="0" w:space="0" w:color="auto"/>
        <w:bottom w:val="none" w:sz="0" w:space="0" w:color="auto"/>
        <w:right w:val="none" w:sz="0" w:space="0" w:color="auto"/>
      </w:divBdr>
    </w:div>
    <w:div w:id="1326279280">
      <w:bodyDiv w:val="1"/>
      <w:marLeft w:val="0"/>
      <w:marRight w:val="0"/>
      <w:marTop w:val="0"/>
      <w:marBottom w:val="0"/>
      <w:divBdr>
        <w:top w:val="none" w:sz="0" w:space="0" w:color="auto"/>
        <w:left w:val="none" w:sz="0" w:space="0" w:color="auto"/>
        <w:bottom w:val="none" w:sz="0" w:space="0" w:color="auto"/>
        <w:right w:val="none" w:sz="0" w:space="0" w:color="auto"/>
      </w:divBdr>
    </w:div>
    <w:div w:id="1327440088">
      <w:bodyDiv w:val="1"/>
      <w:marLeft w:val="0"/>
      <w:marRight w:val="0"/>
      <w:marTop w:val="0"/>
      <w:marBottom w:val="0"/>
      <w:divBdr>
        <w:top w:val="none" w:sz="0" w:space="0" w:color="auto"/>
        <w:left w:val="none" w:sz="0" w:space="0" w:color="auto"/>
        <w:bottom w:val="none" w:sz="0" w:space="0" w:color="auto"/>
        <w:right w:val="none" w:sz="0" w:space="0" w:color="auto"/>
      </w:divBdr>
    </w:div>
    <w:div w:id="1342467815">
      <w:bodyDiv w:val="1"/>
      <w:marLeft w:val="0"/>
      <w:marRight w:val="0"/>
      <w:marTop w:val="0"/>
      <w:marBottom w:val="0"/>
      <w:divBdr>
        <w:top w:val="none" w:sz="0" w:space="0" w:color="auto"/>
        <w:left w:val="none" w:sz="0" w:space="0" w:color="auto"/>
        <w:bottom w:val="none" w:sz="0" w:space="0" w:color="auto"/>
        <w:right w:val="none" w:sz="0" w:space="0" w:color="auto"/>
      </w:divBdr>
    </w:div>
    <w:div w:id="1343511698">
      <w:bodyDiv w:val="1"/>
      <w:marLeft w:val="0"/>
      <w:marRight w:val="0"/>
      <w:marTop w:val="0"/>
      <w:marBottom w:val="0"/>
      <w:divBdr>
        <w:top w:val="none" w:sz="0" w:space="0" w:color="auto"/>
        <w:left w:val="none" w:sz="0" w:space="0" w:color="auto"/>
        <w:bottom w:val="none" w:sz="0" w:space="0" w:color="auto"/>
        <w:right w:val="none" w:sz="0" w:space="0" w:color="auto"/>
      </w:divBdr>
    </w:div>
    <w:div w:id="1346009792">
      <w:bodyDiv w:val="1"/>
      <w:marLeft w:val="0"/>
      <w:marRight w:val="0"/>
      <w:marTop w:val="0"/>
      <w:marBottom w:val="0"/>
      <w:divBdr>
        <w:top w:val="none" w:sz="0" w:space="0" w:color="auto"/>
        <w:left w:val="none" w:sz="0" w:space="0" w:color="auto"/>
        <w:bottom w:val="none" w:sz="0" w:space="0" w:color="auto"/>
        <w:right w:val="none" w:sz="0" w:space="0" w:color="auto"/>
      </w:divBdr>
    </w:div>
    <w:div w:id="1350595238">
      <w:bodyDiv w:val="1"/>
      <w:marLeft w:val="0"/>
      <w:marRight w:val="0"/>
      <w:marTop w:val="0"/>
      <w:marBottom w:val="0"/>
      <w:divBdr>
        <w:top w:val="none" w:sz="0" w:space="0" w:color="auto"/>
        <w:left w:val="none" w:sz="0" w:space="0" w:color="auto"/>
        <w:bottom w:val="none" w:sz="0" w:space="0" w:color="auto"/>
        <w:right w:val="none" w:sz="0" w:space="0" w:color="auto"/>
      </w:divBdr>
    </w:div>
    <w:div w:id="1371029658">
      <w:bodyDiv w:val="1"/>
      <w:marLeft w:val="0"/>
      <w:marRight w:val="0"/>
      <w:marTop w:val="0"/>
      <w:marBottom w:val="0"/>
      <w:divBdr>
        <w:top w:val="none" w:sz="0" w:space="0" w:color="auto"/>
        <w:left w:val="none" w:sz="0" w:space="0" w:color="auto"/>
        <w:bottom w:val="none" w:sz="0" w:space="0" w:color="auto"/>
        <w:right w:val="none" w:sz="0" w:space="0" w:color="auto"/>
      </w:divBdr>
    </w:div>
    <w:div w:id="1378091675">
      <w:bodyDiv w:val="1"/>
      <w:marLeft w:val="0"/>
      <w:marRight w:val="0"/>
      <w:marTop w:val="0"/>
      <w:marBottom w:val="0"/>
      <w:divBdr>
        <w:top w:val="none" w:sz="0" w:space="0" w:color="auto"/>
        <w:left w:val="none" w:sz="0" w:space="0" w:color="auto"/>
        <w:bottom w:val="none" w:sz="0" w:space="0" w:color="auto"/>
        <w:right w:val="none" w:sz="0" w:space="0" w:color="auto"/>
      </w:divBdr>
    </w:div>
    <w:div w:id="1385255244">
      <w:bodyDiv w:val="1"/>
      <w:marLeft w:val="0"/>
      <w:marRight w:val="0"/>
      <w:marTop w:val="0"/>
      <w:marBottom w:val="0"/>
      <w:divBdr>
        <w:top w:val="none" w:sz="0" w:space="0" w:color="auto"/>
        <w:left w:val="none" w:sz="0" w:space="0" w:color="auto"/>
        <w:bottom w:val="none" w:sz="0" w:space="0" w:color="auto"/>
        <w:right w:val="none" w:sz="0" w:space="0" w:color="auto"/>
      </w:divBdr>
    </w:div>
    <w:div w:id="1393311907">
      <w:bodyDiv w:val="1"/>
      <w:marLeft w:val="0"/>
      <w:marRight w:val="0"/>
      <w:marTop w:val="0"/>
      <w:marBottom w:val="0"/>
      <w:divBdr>
        <w:top w:val="none" w:sz="0" w:space="0" w:color="auto"/>
        <w:left w:val="none" w:sz="0" w:space="0" w:color="auto"/>
        <w:bottom w:val="none" w:sz="0" w:space="0" w:color="auto"/>
        <w:right w:val="none" w:sz="0" w:space="0" w:color="auto"/>
      </w:divBdr>
    </w:div>
    <w:div w:id="1396658489">
      <w:bodyDiv w:val="1"/>
      <w:marLeft w:val="0"/>
      <w:marRight w:val="0"/>
      <w:marTop w:val="0"/>
      <w:marBottom w:val="0"/>
      <w:divBdr>
        <w:top w:val="none" w:sz="0" w:space="0" w:color="auto"/>
        <w:left w:val="none" w:sz="0" w:space="0" w:color="auto"/>
        <w:bottom w:val="none" w:sz="0" w:space="0" w:color="auto"/>
        <w:right w:val="none" w:sz="0" w:space="0" w:color="auto"/>
      </w:divBdr>
    </w:div>
    <w:div w:id="1401824680">
      <w:bodyDiv w:val="1"/>
      <w:marLeft w:val="0"/>
      <w:marRight w:val="0"/>
      <w:marTop w:val="0"/>
      <w:marBottom w:val="0"/>
      <w:divBdr>
        <w:top w:val="none" w:sz="0" w:space="0" w:color="auto"/>
        <w:left w:val="none" w:sz="0" w:space="0" w:color="auto"/>
        <w:bottom w:val="none" w:sz="0" w:space="0" w:color="auto"/>
        <w:right w:val="none" w:sz="0" w:space="0" w:color="auto"/>
      </w:divBdr>
    </w:div>
    <w:div w:id="1402673277">
      <w:bodyDiv w:val="1"/>
      <w:marLeft w:val="0"/>
      <w:marRight w:val="0"/>
      <w:marTop w:val="0"/>
      <w:marBottom w:val="0"/>
      <w:divBdr>
        <w:top w:val="none" w:sz="0" w:space="0" w:color="auto"/>
        <w:left w:val="none" w:sz="0" w:space="0" w:color="auto"/>
        <w:bottom w:val="none" w:sz="0" w:space="0" w:color="auto"/>
        <w:right w:val="none" w:sz="0" w:space="0" w:color="auto"/>
      </w:divBdr>
    </w:div>
    <w:div w:id="1407067790">
      <w:bodyDiv w:val="1"/>
      <w:marLeft w:val="0"/>
      <w:marRight w:val="0"/>
      <w:marTop w:val="0"/>
      <w:marBottom w:val="0"/>
      <w:divBdr>
        <w:top w:val="none" w:sz="0" w:space="0" w:color="auto"/>
        <w:left w:val="none" w:sz="0" w:space="0" w:color="auto"/>
        <w:bottom w:val="none" w:sz="0" w:space="0" w:color="auto"/>
        <w:right w:val="none" w:sz="0" w:space="0" w:color="auto"/>
      </w:divBdr>
    </w:div>
    <w:div w:id="1410417994">
      <w:bodyDiv w:val="1"/>
      <w:marLeft w:val="0"/>
      <w:marRight w:val="0"/>
      <w:marTop w:val="0"/>
      <w:marBottom w:val="0"/>
      <w:divBdr>
        <w:top w:val="none" w:sz="0" w:space="0" w:color="auto"/>
        <w:left w:val="none" w:sz="0" w:space="0" w:color="auto"/>
        <w:bottom w:val="none" w:sz="0" w:space="0" w:color="auto"/>
        <w:right w:val="none" w:sz="0" w:space="0" w:color="auto"/>
      </w:divBdr>
    </w:div>
    <w:div w:id="1421831708">
      <w:bodyDiv w:val="1"/>
      <w:marLeft w:val="0"/>
      <w:marRight w:val="0"/>
      <w:marTop w:val="0"/>
      <w:marBottom w:val="0"/>
      <w:divBdr>
        <w:top w:val="none" w:sz="0" w:space="0" w:color="auto"/>
        <w:left w:val="none" w:sz="0" w:space="0" w:color="auto"/>
        <w:bottom w:val="none" w:sz="0" w:space="0" w:color="auto"/>
        <w:right w:val="none" w:sz="0" w:space="0" w:color="auto"/>
      </w:divBdr>
    </w:div>
    <w:div w:id="1423993416">
      <w:bodyDiv w:val="1"/>
      <w:marLeft w:val="0"/>
      <w:marRight w:val="0"/>
      <w:marTop w:val="0"/>
      <w:marBottom w:val="0"/>
      <w:divBdr>
        <w:top w:val="none" w:sz="0" w:space="0" w:color="auto"/>
        <w:left w:val="none" w:sz="0" w:space="0" w:color="auto"/>
        <w:bottom w:val="none" w:sz="0" w:space="0" w:color="auto"/>
        <w:right w:val="none" w:sz="0" w:space="0" w:color="auto"/>
      </w:divBdr>
    </w:div>
    <w:div w:id="1424493295">
      <w:bodyDiv w:val="1"/>
      <w:marLeft w:val="0"/>
      <w:marRight w:val="0"/>
      <w:marTop w:val="0"/>
      <w:marBottom w:val="0"/>
      <w:divBdr>
        <w:top w:val="none" w:sz="0" w:space="0" w:color="auto"/>
        <w:left w:val="none" w:sz="0" w:space="0" w:color="auto"/>
        <w:bottom w:val="none" w:sz="0" w:space="0" w:color="auto"/>
        <w:right w:val="none" w:sz="0" w:space="0" w:color="auto"/>
      </w:divBdr>
    </w:div>
    <w:div w:id="1429352897">
      <w:bodyDiv w:val="1"/>
      <w:marLeft w:val="0"/>
      <w:marRight w:val="0"/>
      <w:marTop w:val="0"/>
      <w:marBottom w:val="0"/>
      <w:divBdr>
        <w:top w:val="none" w:sz="0" w:space="0" w:color="auto"/>
        <w:left w:val="none" w:sz="0" w:space="0" w:color="auto"/>
        <w:bottom w:val="none" w:sz="0" w:space="0" w:color="auto"/>
        <w:right w:val="none" w:sz="0" w:space="0" w:color="auto"/>
      </w:divBdr>
    </w:div>
    <w:div w:id="1429618862">
      <w:bodyDiv w:val="1"/>
      <w:marLeft w:val="0"/>
      <w:marRight w:val="0"/>
      <w:marTop w:val="0"/>
      <w:marBottom w:val="0"/>
      <w:divBdr>
        <w:top w:val="none" w:sz="0" w:space="0" w:color="auto"/>
        <w:left w:val="none" w:sz="0" w:space="0" w:color="auto"/>
        <w:bottom w:val="none" w:sz="0" w:space="0" w:color="auto"/>
        <w:right w:val="none" w:sz="0" w:space="0" w:color="auto"/>
      </w:divBdr>
    </w:div>
    <w:div w:id="1434203413">
      <w:bodyDiv w:val="1"/>
      <w:marLeft w:val="0"/>
      <w:marRight w:val="0"/>
      <w:marTop w:val="0"/>
      <w:marBottom w:val="0"/>
      <w:divBdr>
        <w:top w:val="none" w:sz="0" w:space="0" w:color="auto"/>
        <w:left w:val="none" w:sz="0" w:space="0" w:color="auto"/>
        <w:bottom w:val="none" w:sz="0" w:space="0" w:color="auto"/>
        <w:right w:val="none" w:sz="0" w:space="0" w:color="auto"/>
      </w:divBdr>
    </w:div>
    <w:div w:id="1436250731">
      <w:bodyDiv w:val="1"/>
      <w:marLeft w:val="0"/>
      <w:marRight w:val="0"/>
      <w:marTop w:val="0"/>
      <w:marBottom w:val="0"/>
      <w:divBdr>
        <w:top w:val="none" w:sz="0" w:space="0" w:color="auto"/>
        <w:left w:val="none" w:sz="0" w:space="0" w:color="auto"/>
        <w:bottom w:val="none" w:sz="0" w:space="0" w:color="auto"/>
        <w:right w:val="none" w:sz="0" w:space="0" w:color="auto"/>
      </w:divBdr>
    </w:div>
    <w:div w:id="1444881510">
      <w:bodyDiv w:val="1"/>
      <w:marLeft w:val="0"/>
      <w:marRight w:val="0"/>
      <w:marTop w:val="0"/>
      <w:marBottom w:val="0"/>
      <w:divBdr>
        <w:top w:val="none" w:sz="0" w:space="0" w:color="auto"/>
        <w:left w:val="none" w:sz="0" w:space="0" w:color="auto"/>
        <w:bottom w:val="none" w:sz="0" w:space="0" w:color="auto"/>
        <w:right w:val="none" w:sz="0" w:space="0" w:color="auto"/>
      </w:divBdr>
    </w:div>
    <w:div w:id="1447119680">
      <w:bodyDiv w:val="1"/>
      <w:marLeft w:val="0"/>
      <w:marRight w:val="0"/>
      <w:marTop w:val="0"/>
      <w:marBottom w:val="0"/>
      <w:divBdr>
        <w:top w:val="none" w:sz="0" w:space="0" w:color="auto"/>
        <w:left w:val="none" w:sz="0" w:space="0" w:color="auto"/>
        <w:bottom w:val="none" w:sz="0" w:space="0" w:color="auto"/>
        <w:right w:val="none" w:sz="0" w:space="0" w:color="auto"/>
      </w:divBdr>
    </w:div>
    <w:div w:id="1449618346">
      <w:bodyDiv w:val="1"/>
      <w:marLeft w:val="0"/>
      <w:marRight w:val="0"/>
      <w:marTop w:val="0"/>
      <w:marBottom w:val="0"/>
      <w:divBdr>
        <w:top w:val="none" w:sz="0" w:space="0" w:color="auto"/>
        <w:left w:val="none" w:sz="0" w:space="0" w:color="auto"/>
        <w:bottom w:val="none" w:sz="0" w:space="0" w:color="auto"/>
        <w:right w:val="none" w:sz="0" w:space="0" w:color="auto"/>
      </w:divBdr>
    </w:div>
    <w:div w:id="1459838260">
      <w:bodyDiv w:val="1"/>
      <w:marLeft w:val="0"/>
      <w:marRight w:val="0"/>
      <w:marTop w:val="0"/>
      <w:marBottom w:val="0"/>
      <w:divBdr>
        <w:top w:val="none" w:sz="0" w:space="0" w:color="auto"/>
        <w:left w:val="none" w:sz="0" w:space="0" w:color="auto"/>
        <w:bottom w:val="none" w:sz="0" w:space="0" w:color="auto"/>
        <w:right w:val="none" w:sz="0" w:space="0" w:color="auto"/>
      </w:divBdr>
    </w:div>
    <w:div w:id="1460343654">
      <w:bodyDiv w:val="1"/>
      <w:marLeft w:val="0"/>
      <w:marRight w:val="0"/>
      <w:marTop w:val="0"/>
      <w:marBottom w:val="0"/>
      <w:divBdr>
        <w:top w:val="none" w:sz="0" w:space="0" w:color="auto"/>
        <w:left w:val="none" w:sz="0" w:space="0" w:color="auto"/>
        <w:bottom w:val="none" w:sz="0" w:space="0" w:color="auto"/>
        <w:right w:val="none" w:sz="0" w:space="0" w:color="auto"/>
      </w:divBdr>
    </w:div>
    <w:div w:id="1468401940">
      <w:bodyDiv w:val="1"/>
      <w:marLeft w:val="0"/>
      <w:marRight w:val="0"/>
      <w:marTop w:val="0"/>
      <w:marBottom w:val="0"/>
      <w:divBdr>
        <w:top w:val="none" w:sz="0" w:space="0" w:color="auto"/>
        <w:left w:val="none" w:sz="0" w:space="0" w:color="auto"/>
        <w:bottom w:val="none" w:sz="0" w:space="0" w:color="auto"/>
        <w:right w:val="none" w:sz="0" w:space="0" w:color="auto"/>
      </w:divBdr>
    </w:div>
    <w:div w:id="1492258060">
      <w:bodyDiv w:val="1"/>
      <w:marLeft w:val="0"/>
      <w:marRight w:val="0"/>
      <w:marTop w:val="0"/>
      <w:marBottom w:val="0"/>
      <w:divBdr>
        <w:top w:val="none" w:sz="0" w:space="0" w:color="auto"/>
        <w:left w:val="none" w:sz="0" w:space="0" w:color="auto"/>
        <w:bottom w:val="none" w:sz="0" w:space="0" w:color="auto"/>
        <w:right w:val="none" w:sz="0" w:space="0" w:color="auto"/>
      </w:divBdr>
    </w:div>
    <w:div w:id="1495804659">
      <w:bodyDiv w:val="1"/>
      <w:marLeft w:val="0"/>
      <w:marRight w:val="0"/>
      <w:marTop w:val="0"/>
      <w:marBottom w:val="0"/>
      <w:divBdr>
        <w:top w:val="none" w:sz="0" w:space="0" w:color="auto"/>
        <w:left w:val="none" w:sz="0" w:space="0" w:color="auto"/>
        <w:bottom w:val="none" w:sz="0" w:space="0" w:color="auto"/>
        <w:right w:val="none" w:sz="0" w:space="0" w:color="auto"/>
      </w:divBdr>
    </w:div>
    <w:div w:id="1495953408">
      <w:bodyDiv w:val="1"/>
      <w:marLeft w:val="0"/>
      <w:marRight w:val="0"/>
      <w:marTop w:val="0"/>
      <w:marBottom w:val="0"/>
      <w:divBdr>
        <w:top w:val="none" w:sz="0" w:space="0" w:color="auto"/>
        <w:left w:val="none" w:sz="0" w:space="0" w:color="auto"/>
        <w:bottom w:val="none" w:sz="0" w:space="0" w:color="auto"/>
        <w:right w:val="none" w:sz="0" w:space="0" w:color="auto"/>
      </w:divBdr>
    </w:div>
    <w:div w:id="1522161017">
      <w:bodyDiv w:val="1"/>
      <w:marLeft w:val="0"/>
      <w:marRight w:val="0"/>
      <w:marTop w:val="0"/>
      <w:marBottom w:val="0"/>
      <w:divBdr>
        <w:top w:val="none" w:sz="0" w:space="0" w:color="auto"/>
        <w:left w:val="none" w:sz="0" w:space="0" w:color="auto"/>
        <w:bottom w:val="none" w:sz="0" w:space="0" w:color="auto"/>
        <w:right w:val="none" w:sz="0" w:space="0" w:color="auto"/>
      </w:divBdr>
    </w:div>
    <w:div w:id="1523975701">
      <w:bodyDiv w:val="1"/>
      <w:marLeft w:val="0"/>
      <w:marRight w:val="0"/>
      <w:marTop w:val="0"/>
      <w:marBottom w:val="0"/>
      <w:divBdr>
        <w:top w:val="none" w:sz="0" w:space="0" w:color="auto"/>
        <w:left w:val="none" w:sz="0" w:space="0" w:color="auto"/>
        <w:bottom w:val="none" w:sz="0" w:space="0" w:color="auto"/>
        <w:right w:val="none" w:sz="0" w:space="0" w:color="auto"/>
      </w:divBdr>
    </w:div>
    <w:div w:id="1542859191">
      <w:bodyDiv w:val="1"/>
      <w:marLeft w:val="0"/>
      <w:marRight w:val="0"/>
      <w:marTop w:val="0"/>
      <w:marBottom w:val="0"/>
      <w:divBdr>
        <w:top w:val="none" w:sz="0" w:space="0" w:color="auto"/>
        <w:left w:val="none" w:sz="0" w:space="0" w:color="auto"/>
        <w:bottom w:val="none" w:sz="0" w:space="0" w:color="auto"/>
        <w:right w:val="none" w:sz="0" w:space="0" w:color="auto"/>
      </w:divBdr>
    </w:div>
    <w:div w:id="1543206005">
      <w:bodyDiv w:val="1"/>
      <w:marLeft w:val="0"/>
      <w:marRight w:val="0"/>
      <w:marTop w:val="0"/>
      <w:marBottom w:val="0"/>
      <w:divBdr>
        <w:top w:val="none" w:sz="0" w:space="0" w:color="auto"/>
        <w:left w:val="none" w:sz="0" w:space="0" w:color="auto"/>
        <w:bottom w:val="none" w:sz="0" w:space="0" w:color="auto"/>
        <w:right w:val="none" w:sz="0" w:space="0" w:color="auto"/>
      </w:divBdr>
    </w:div>
    <w:div w:id="1546143204">
      <w:bodyDiv w:val="1"/>
      <w:marLeft w:val="0"/>
      <w:marRight w:val="0"/>
      <w:marTop w:val="0"/>
      <w:marBottom w:val="0"/>
      <w:divBdr>
        <w:top w:val="none" w:sz="0" w:space="0" w:color="auto"/>
        <w:left w:val="none" w:sz="0" w:space="0" w:color="auto"/>
        <w:bottom w:val="none" w:sz="0" w:space="0" w:color="auto"/>
        <w:right w:val="none" w:sz="0" w:space="0" w:color="auto"/>
      </w:divBdr>
    </w:div>
    <w:div w:id="1553805764">
      <w:bodyDiv w:val="1"/>
      <w:marLeft w:val="0"/>
      <w:marRight w:val="0"/>
      <w:marTop w:val="0"/>
      <w:marBottom w:val="0"/>
      <w:divBdr>
        <w:top w:val="none" w:sz="0" w:space="0" w:color="auto"/>
        <w:left w:val="none" w:sz="0" w:space="0" w:color="auto"/>
        <w:bottom w:val="none" w:sz="0" w:space="0" w:color="auto"/>
        <w:right w:val="none" w:sz="0" w:space="0" w:color="auto"/>
      </w:divBdr>
    </w:div>
    <w:div w:id="1556428683">
      <w:bodyDiv w:val="1"/>
      <w:marLeft w:val="0"/>
      <w:marRight w:val="0"/>
      <w:marTop w:val="0"/>
      <w:marBottom w:val="0"/>
      <w:divBdr>
        <w:top w:val="none" w:sz="0" w:space="0" w:color="auto"/>
        <w:left w:val="none" w:sz="0" w:space="0" w:color="auto"/>
        <w:bottom w:val="none" w:sz="0" w:space="0" w:color="auto"/>
        <w:right w:val="none" w:sz="0" w:space="0" w:color="auto"/>
      </w:divBdr>
    </w:div>
    <w:div w:id="1558079634">
      <w:bodyDiv w:val="1"/>
      <w:marLeft w:val="0"/>
      <w:marRight w:val="0"/>
      <w:marTop w:val="0"/>
      <w:marBottom w:val="0"/>
      <w:divBdr>
        <w:top w:val="none" w:sz="0" w:space="0" w:color="auto"/>
        <w:left w:val="none" w:sz="0" w:space="0" w:color="auto"/>
        <w:bottom w:val="none" w:sz="0" w:space="0" w:color="auto"/>
        <w:right w:val="none" w:sz="0" w:space="0" w:color="auto"/>
      </w:divBdr>
    </w:div>
    <w:div w:id="1563297003">
      <w:bodyDiv w:val="1"/>
      <w:marLeft w:val="0"/>
      <w:marRight w:val="0"/>
      <w:marTop w:val="0"/>
      <w:marBottom w:val="0"/>
      <w:divBdr>
        <w:top w:val="none" w:sz="0" w:space="0" w:color="auto"/>
        <w:left w:val="none" w:sz="0" w:space="0" w:color="auto"/>
        <w:bottom w:val="none" w:sz="0" w:space="0" w:color="auto"/>
        <w:right w:val="none" w:sz="0" w:space="0" w:color="auto"/>
      </w:divBdr>
    </w:div>
    <w:div w:id="1568492635">
      <w:bodyDiv w:val="1"/>
      <w:marLeft w:val="0"/>
      <w:marRight w:val="0"/>
      <w:marTop w:val="0"/>
      <w:marBottom w:val="0"/>
      <w:divBdr>
        <w:top w:val="none" w:sz="0" w:space="0" w:color="auto"/>
        <w:left w:val="none" w:sz="0" w:space="0" w:color="auto"/>
        <w:bottom w:val="none" w:sz="0" w:space="0" w:color="auto"/>
        <w:right w:val="none" w:sz="0" w:space="0" w:color="auto"/>
      </w:divBdr>
    </w:div>
    <w:div w:id="1571380930">
      <w:bodyDiv w:val="1"/>
      <w:marLeft w:val="0"/>
      <w:marRight w:val="0"/>
      <w:marTop w:val="0"/>
      <w:marBottom w:val="0"/>
      <w:divBdr>
        <w:top w:val="none" w:sz="0" w:space="0" w:color="auto"/>
        <w:left w:val="none" w:sz="0" w:space="0" w:color="auto"/>
        <w:bottom w:val="none" w:sz="0" w:space="0" w:color="auto"/>
        <w:right w:val="none" w:sz="0" w:space="0" w:color="auto"/>
      </w:divBdr>
    </w:div>
    <w:div w:id="1583760634">
      <w:bodyDiv w:val="1"/>
      <w:marLeft w:val="0"/>
      <w:marRight w:val="0"/>
      <w:marTop w:val="0"/>
      <w:marBottom w:val="0"/>
      <w:divBdr>
        <w:top w:val="none" w:sz="0" w:space="0" w:color="auto"/>
        <w:left w:val="none" w:sz="0" w:space="0" w:color="auto"/>
        <w:bottom w:val="none" w:sz="0" w:space="0" w:color="auto"/>
        <w:right w:val="none" w:sz="0" w:space="0" w:color="auto"/>
      </w:divBdr>
    </w:div>
    <w:div w:id="1584561044">
      <w:bodyDiv w:val="1"/>
      <w:marLeft w:val="0"/>
      <w:marRight w:val="0"/>
      <w:marTop w:val="0"/>
      <w:marBottom w:val="0"/>
      <w:divBdr>
        <w:top w:val="none" w:sz="0" w:space="0" w:color="auto"/>
        <w:left w:val="none" w:sz="0" w:space="0" w:color="auto"/>
        <w:bottom w:val="none" w:sz="0" w:space="0" w:color="auto"/>
        <w:right w:val="none" w:sz="0" w:space="0" w:color="auto"/>
      </w:divBdr>
    </w:div>
    <w:div w:id="1587611837">
      <w:bodyDiv w:val="1"/>
      <w:marLeft w:val="0"/>
      <w:marRight w:val="0"/>
      <w:marTop w:val="0"/>
      <w:marBottom w:val="0"/>
      <w:divBdr>
        <w:top w:val="none" w:sz="0" w:space="0" w:color="auto"/>
        <w:left w:val="none" w:sz="0" w:space="0" w:color="auto"/>
        <w:bottom w:val="none" w:sz="0" w:space="0" w:color="auto"/>
        <w:right w:val="none" w:sz="0" w:space="0" w:color="auto"/>
      </w:divBdr>
    </w:div>
    <w:div w:id="1617565812">
      <w:bodyDiv w:val="1"/>
      <w:marLeft w:val="0"/>
      <w:marRight w:val="0"/>
      <w:marTop w:val="0"/>
      <w:marBottom w:val="0"/>
      <w:divBdr>
        <w:top w:val="none" w:sz="0" w:space="0" w:color="auto"/>
        <w:left w:val="none" w:sz="0" w:space="0" w:color="auto"/>
        <w:bottom w:val="none" w:sz="0" w:space="0" w:color="auto"/>
        <w:right w:val="none" w:sz="0" w:space="0" w:color="auto"/>
      </w:divBdr>
    </w:div>
    <w:div w:id="1622036565">
      <w:bodyDiv w:val="1"/>
      <w:marLeft w:val="0"/>
      <w:marRight w:val="0"/>
      <w:marTop w:val="0"/>
      <w:marBottom w:val="0"/>
      <w:divBdr>
        <w:top w:val="none" w:sz="0" w:space="0" w:color="auto"/>
        <w:left w:val="none" w:sz="0" w:space="0" w:color="auto"/>
        <w:bottom w:val="none" w:sz="0" w:space="0" w:color="auto"/>
        <w:right w:val="none" w:sz="0" w:space="0" w:color="auto"/>
      </w:divBdr>
    </w:div>
    <w:div w:id="1626036138">
      <w:bodyDiv w:val="1"/>
      <w:marLeft w:val="0"/>
      <w:marRight w:val="0"/>
      <w:marTop w:val="0"/>
      <w:marBottom w:val="0"/>
      <w:divBdr>
        <w:top w:val="none" w:sz="0" w:space="0" w:color="auto"/>
        <w:left w:val="none" w:sz="0" w:space="0" w:color="auto"/>
        <w:bottom w:val="none" w:sz="0" w:space="0" w:color="auto"/>
        <w:right w:val="none" w:sz="0" w:space="0" w:color="auto"/>
      </w:divBdr>
    </w:div>
    <w:div w:id="1626884684">
      <w:bodyDiv w:val="1"/>
      <w:marLeft w:val="0"/>
      <w:marRight w:val="0"/>
      <w:marTop w:val="0"/>
      <w:marBottom w:val="0"/>
      <w:divBdr>
        <w:top w:val="none" w:sz="0" w:space="0" w:color="auto"/>
        <w:left w:val="none" w:sz="0" w:space="0" w:color="auto"/>
        <w:bottom w:val="none" w:sz="0" w:space="0" w:color="auto"/>
        <w:right w:val="none" w:sz="0" w:space="0" w:color="auto"/>
      </w:divBdr>
    </w:div>
    <w:div w:id="1636255430">
      <w:bodyDiv w:val="1"/>
      <w:marLeft w:val="0"/>
      <w:marRight w:val="0"/>
      <w:marTop w:val="0"/>
      <w:marBottom w:val="0"/>
      <w:divBdr>
        <w:top w:val="none" w:sz="0" w:space="0" w:color="auto"/>
        <w:left w:val="none" w:sz="0" w:space="0" w:color="auto"/>
        <w:bottom w:val="none" w:sz="0" w:space="0" w:color="auto"/>
        <w:right w:val="none" w:sz="0" w:space="0" w:color="auto"/>
      </w:divBdr>
    </w:div>
    <w:div w:id="1643122442">
      <w:bodyDiv w:val="1"/>
      <w:marLeft w:val="0"/>
      <w:marRight w:val="0"/>
      <w:marTop w:val="0"/>
      <w:marBottom w:val="0"/>
      <w:divBdr>
        <w:top w:val="none" w:sz="0" w:space="0" w:color="auto"/>
        <w:left w:val="none" w:sz="0" w:space="0" w:color="auto"/>
        <w:bottom w:val="none" w:sz="0" w:space="0" w:color="auto"/>
        <w:right w:val="none" w:sz="0" w:space="0" w:color="auto"/>
      </w:divBdr>
    </w:div>
    <w:div w:id="1646930822">
      <w:bodyDiv w:val="1"/>
      <w:marLeft w:val="0"/>
      <w:marRight w:val="0"/>
      <w:marTop w:val="0"/>
      <w:marBottom w:val="0"/>
      <w:divBdr>
        <w:top w:val="none" w:sz="0" w:space="0" w:color="auto"/>
        <w:left w:val="none" w:sz="0" w:space="0" w:color="auto"/>
        <w:bottom w:val="none" w:sz="0" w:space="0" w:color="auto"/>
        <w:right w:val="none" w:sz="0" w:space="0" w:color="auto"/>
      </w:divBdr>
    </w:div>
    <w:div w:id="1654720409">
      <w:bodyDiv w:val="1"/>
      <w:marLeft w:val="0"/>
      <w:marRight w:val="0"/>
      <w:marTop w:val="0"/>
      <w:marBottom w:val="0"/>
      <w:divBdr>
        <w:top w:val="none" w:sz="0" w:space="0" w:color="auto"/>
        <w:left w:val="none" w:sz="0" w:space="0" w:color="auto"/>
        <w:bottom w:val="none" w:sz="0" w:space="0" w:color="auto"/>
        <w:right w:val="none" w:sz="0" w:space="0" w:color="auto"/>
      </w:divBdr>
    </w:div>
    <w:div w:id="1657027195">
      <w:bodyDiv w:val="1"/>
      <w:marLeft w:val="0"/>
      <w:marRight w:val="0"/>
      <w:marTop w:val="0"/>
      <w:marBottom w:val="0"/>
      <w:divBdr>
        <w:top w:val="none" w:sz="0" w:space="0" w:color="auto"/>
        <w:left w:val="none" w:sz="0" w:space="0" w:color="auto"/>
        <w:bottom w:val="none" w:sz="0" w:space="0" w:color="auto"/>
        <w:right w:val="none" w:sz="0" w:space="0" w:color="auto"/>
      </w:divBdr>
    </w:div>
    <w:div w:id="1659266060">
      <w:bodyDiv w:val="1"/>
      <w:marLeft w:val="0"/>
      <w:marRight w:val="0"/>
      <w:marTop w:val="0"/>
      <w:marBottom w:val="0"/>
      <w:divBdr>
        <w:top w:val="none" w:sz="0" w:space="0" w:color="auto"/>
        <w:left w:val="none" w:sz="0" w:space="0" w:color="auto"/>
        <w:bottom w:val="none" w:sz="0" w:space="0" w:color="auto"/>
        <w:right w:val="none" w:sz="0" w:space="0" w:color="auto"/>
      </w:divBdr>
    </w:div>
    <w:div w:id="1665205124">
      <w:bodyDiv w:val="1"/>
      <w:marLeft w:val="0"/>
      <w:marRight w:val="0"/>
      <w:marTop w:val="0"/>
      <w:marBottom w:val="0"/>
      <w:divBdr>
        <w:top w:val="none" w:sz="0" w:space="0" w:color="auto"/>
        <w:left w:val="none" w:sz="0" w:space="0" w:color="auto"/>
        <w:bottom w:val="none" w:sz="0" w:space="0" w:color="auto"/>
        <w:right w:val="none" w:sz="0" w:space="0" w:color="auto"/>
      </w:divBdr>
    </w:div>
    <w:div w:id="1667857392">
      <w:bodyDiv w:val="1"/>
      <w:marLeft w:val="0"/>
      <w:marRight w:val="0"/>
      <w:marTop w:val="0"/>
      <w:marBottom w:val="0"/>
      <w:divBdr>
        <w:top w:val="none" w:sz="0" w:space="0" w:color="auto"/>
        <w:left w:val="none" w:sz="0" w:space="0" w:color="auto"/>
        <w:bottom w:val="none" w:sz="0" w:space="0" w:color="auto"/>
        <w:right w:val="none" w:sz="0" w:space="0" w:color="auto"/>
      </w:divBdr>
    </w:div>
    <w:div w:id="1670399809">
      <w:bodyDiv w:val="1"/>
      <w:marLeft w:val="0"/>
      <w:marRight w:val="0"/>
      <w:marTop w:val="0"/>
      <w:marBottom w:val="0"/>
      <w:divBdr>
        <w:top w:val="none" w:sz="0" w:space="0" w:color="auto"/>
        <w:left w:val="none" w:sz="0" w:space="0" w:color="auto"/>
        <w:bottom w:val="none" w:sz="0" w:space="0" w:color="auto"/>
        <w:right w:val="none" w:sz="0" w:space="0" w:color="auto"/>
      </w:divBdr>
    </w:div>
    <w:div w:id="1672370927">
      <w:bodyDiv w:val="1"/>
      <w:marLeft w:val="0"/>
      <w:marRight w:val="0"/>
      <w:marTop w:val="0"/>
      <w:marBottom w:val="0"/>
      <w:divBdr>
        <w:top w:val="none" w:sz="0" w:space="0" w:color="auto"/>
        <w:left w:val="none" w:sz="0" w:space="0" w:color="auto"/>
        <w:bottom w:val="none" w:sz="0" w:space="0" w:color="auto"/>
        <w:right w:val="none" w:sz="0" w:space="0" w:color="auto"/>
      </w:divBdr>
    </w:div>
    <w:div w:id="1672635785">
      <w:bodyDiv w:val="1"/>
      <w:marLeft w:val="0"/>
      <w:marRight w:val="0"/>
      <w:marTop w:val="0"/>
      <w:marBottom w:val="0"/>
      <w:divBdr>
        <w:top w:val="none" w:sz="0" w:space="0" w:color="auto"/>
        <w:left w:val="none" w:sz="0" w:space="0" w:color="auto"/>
        <w:bottom w:val="none" w:sz="0" w:space="0" w:color="auto"/>
        <w:right w:val="none" w:sz="0" w:space="0" w:color="auto"/>
      </w:divBdr>
    </w:div>
    <w:div w:id="1682585084">
      <w:bodyDiv w:val="1"/>
      <w:marLeft w:val="0"/>
      <w:marRight w:val="0"/>
      <w:marTop w:val="0"/>
      <w:marBottom w:val="0"/>
      <w:divBdr>
        <w:top w:val="none" w:sz="0" w:space="0" w:color="auto"/>
        <w:left w:val="none" w:sz="0" w:space="0" w:color="auto"/>
        <w:bottom w:val="none" w:sz="0" w:space="0" w:color="auto"/>
        <w:right w:val="none" w:sz="0" w:space="0" w:color="auto"/>
      </w:divBdr>
    </w:div>
    <w:div w:id="1683049200">
      <w:bodyDiv w:val="1"/>
      <w:marLeft w:val="0"/>
      <w:marRight w:val="0"/>
      <w:marTop w:val="0"/>
      <w:marBottom w:val="0"/>
      <w:divBdr>
        <w:top w:val="none" w:sz="0" w:space="0" w:color="auto"/>
        <w:left w:val="none" w:sz="0" w:space="0" w:color="auto"/>
        <w:bottom w:val="none" w:sz="0" w:space="0" w:color="auto"/>
        <w:right w:val="none" w:sz="0" w:space="0" w:color="auto"/>
      </w:divBdr>
    </w:div>
    <w:div w:id="1687950031">
      <w:bodyDiv w:val="1"/>
      <w:marLeft w:val="0"/>
      <w:marRight w:val="0"/>
      <w:marTop w:val="0"/>
      <w:marBottom w:val="0"/>
      <w:divBdr>
        <w:top w:val="none" w:sz="0" w:space="0" w:color="auto"/>
        <w:left w:val="none" w:sz="0" w:space="0" w:color="auto"/>
        <w:bottom w:val="none" w:sz="0" w:space="0" w:color="auto"/>
        <w:right w:val="none" w:sz="0" w:space="0" w:color="auto"/>
      </w:divBdr>
    </w:div>
    <w:div w:id="1692492229">
      <w:bodyDiv w:val="1"/>
      <w:marLeft w:val="0"/>
      <w:marRight w:val="0"/>
      <w:marTop w:val="0"/>
      <w:marBottom w:val="0"/>
      <w:divBdr>
        <w:top w:val="none" w:sz="0" w:space="0" w:color="auto"/>
        <w:left w:val="none" w:sz="0" w:space="0" w:color="auto"/>
        <w:bottom w:val="none" w:sz="0" w:space="0" w:color="auto"/>
        <w:right w:val="none" w:sz="0" w:space="0" w:color="auto"/>
      </w:divBdr>
    </w:div>
    <w:div w:id="1692687961">
      <w:bodyDiv w:val="1"/>
      <w:marLeft w:val="0"/>
      <w:marRight w:val="0"/>
      <w:marTop w:val="0"/>
      <w:marBottom w:val="0"/>
      <w:divBdr>
        <w:top w:val="none" w:sz="0" w:space="0" w:color="auto"/>
        <w:left w:val="none" w:sz="0" w:space="0" w:color="auto"/>
        <w:bottom w:val="none" w:sz="0" w:space="0" w:color="auto"/>
        <w:right w:val="none" w:sz="0" w:space="0" w:color="auto"/>
      </w:divBdr>
    </w:div>
    <w:div w:id="1710063150">
      <w:bodyDiv w:val="1"/>
      <w:marLeft w:val="0"/>
      <w:marRight w:val="0"/>
      <w:marTop w:val="0"/>
      <w:marBottom w:val="0"/>
      <w:divBdr>
        <w:top w:val="none" w:sz="0" w:space="0" w:color="auto"/>
        <w:left w:val="none" w:sz="0" w:space="0" w:color="auto"/>
        <w:bottom w:val="none" w:sz="0" w:space="0" w:color="auto"/>
        <w:right w:val="none" w:sz="0" w:space="0" w:color="auto"/>
      </w:divBdr>
    </w:div>
    <w:div w:id="1720855424">
      <w:bodyDiv w:val="1"/>
      <w:marLeft w:val="0"/>
      <w:marRight w:val="0"/>
      <w:marTop w:val="0"/>
      <w:marBottom w:val="0"/>
      <w:divBdr>
        <w:top w:val="none" w:sz="0" w:space="0" w:color="auto"/>
        <w:left w:val="none" w:sz="0" w:space="0" w:color="auto"/>
        <w:bottom w:val="none" w:sz="0" w:space="0" w:color="auto"/>
        <w:right w:val="none" w:sz="0" w:space="0" w:color="auto"/>
      </w:divBdr>
    </w:div>
    <w:div w:id="1724135015">
      <w:bodyDiv w:val="1"/>
      <w:marLeft w:val="0"/>
      <w:marRight w:val="0"/>
      <w:marTop w:val="0"/>
      <w:marBottom w:val="0"/>
      <w:divBdr>
        <w:top w:val="none" w:sz="0" w:space="0" w:color="auto"/>
        <w:left w:val="none" w:sz="0" w:space="0" w:color="auto"/>
        <w:bottom w:val="none" w:sz="0" w:space="0" w:color="auto"/>
        <w:right w:val="none" w:sz="0" w:space="0" w:color="auto"/>
      </w:divBdr>
    </w:div>
    <w:div w:id="1757508007">
      <w:bodyDiv w:val="1"/>
      <w:marLeft w:val="0"/>
      <w:marRight w:val="0"/>
      <w:marTop w:val="0"/>
      <w:marBottom w:val="0"/>
      <w:divBdr>
        <w:top w:val="none" w:sz="0" w:space="0" w:color="auto"/>
        <w:left w:val="none" w:sz="0" w:space="0" w:color="auto"/>
        <w:bottom w:val="none" w:sz="0" w:space="0" w:color="auto"/>
        <w:right w:val="none" w:sz="0" w:space="0" w:color="auto"/>
      </w:divBdr>
    </w:div>
    <w:div w:id="1762291989">
      <w:bodyDiv w:val="1"/>
      <w:marLeft w:val="0"/>
      <w:marRight w:val="0"/>
      <w:marTop w:val="0"/>
      <w:marBottom w:val="0"/>
      <w:divBdr>
        <w:top w:val="none" w:sz="0" w:space="0" w:color="auto"/>
        <w:left w:val="none" w:sz="0" w:space="0" w:color="auto"/>
        <w:bottom w:val="none" w:sz="0" w:space="0" w:color="auto"/>
        <w:right w:val="none" w:sz="0" w:space="0" w:color="auto"/>
      </w:divBdr>
    </w:div>
    <w:div w:id="1768116794">
      <w:bodyDiv w:val="1"/>
      <w:marLeft w:val="0"/>
      <w:marRight w:val="0"/>
      <w:marTop w:val="0"/>
      <w:marBottom w:val="0"/>
      <w:divBdr>
        <w:top w:val="none" w:sz="0" w:space="0" w:color="auto"/>
        <w:left w:val="none" w:sz="0" w:space="0" w:color="auto"/>
        <w:bottom w:val="none" w:sz="0" w:space="0" w:color="auto"/>
        <w:right w:val="none" w:sz="0" w:space="0" w:color="auto"/>
      </w:divBdr>
    </w:div>
    <w:div w:id="1778719962">
      <w:bodyDiv w:val="1"/>
      <w:marLeft w:val="0"/>
      <w:marRight w:val="0"/>
      <w:marTop w:val="0"/>
      <w:marBottom w:val="0"/>
      <w:divBdr>
        <w:top w:val="none" w:sz="0" w:space="0" w:color="auto"/>
        <w:left w:val="none" w:sz="0" w:space="0" w:color="auto"/>
        <w:bottom w:val="none" w:sz="0" w:space="0" w:color="auto"/>
        <w:right w:val="none" w:sz="0" w:space="0" w:color="auto"/>
      </w:divBdr>
    </w:div>
    <w:div w:id="1783769644">
      <w:bodyDiv w:val="1"/>
      <w:marLeft w:val="0"/>
      <w:marRight w:val="0"/>
      <w:marTop w:val="0"/>
      <w:marBottom w:val="0"/>
      <w:divBdr>
        <w:top w:val="none" w:sz="0" w:space="0" w:color="auto"/>
        <w:left w:val="none" w:sz="0" w:space="0" w:color="auto"/>
        <w:bottom w:val="none" w:sz="0" w:space="0" w:color="auto"/>
        <w:right w:val="none" w:sz="0" w:space="0" w:color="auto"/>
      </w:divBdr>
    </w:div>
    <w:div w:id="1784424516">
      <w:bodyDiv w:val="1"/>
      <w:marLeft w:val="0"/>
      <w:marRight w:val="0"/>
      <w:marTop w:val="0"/>
      <w:marBottom w:val="0"/>
      <w:divBdr>
        <w:top w:val="none" w:sz="0" w:space="0" w:color="auto"/>
        <w:left w:val="none" w:sz="0" w:space="0" w:color="auto"/>
        <w:bottom w:val="none" w:sz="0" w:space="0" w:color="auto"/>
        <w:right w:val="none" w:sz="0" w:space="0" w:color="auto"/>
      </w:divBdr>
    </w:div>
    <w:div w:id="1790974300">
      <w:bodyDiv w:val="1"/>
      <w:marLeft w:val="0"/>
      <w:marRight w:val="0"/>
      <w:marTop w:val="0"/>
      <w:marBottom w:val="0"/>
      <w:divBdr>
        <w:top w:val="none" w:sz="0" w:space="0" w:color="auto"/>
        <w:left w:val="none" w:sz="0" w:space="0" w:color="auto"/>
        <w:bottom w:val="none" w:sz="0" w:space="0" w:color="auto"/>
        <w:right w:val="none" w:sz="0" w:space="0" w:color="auto"/>
      </w:divBdr>
    </w:div>
    <w:div w:id="1796018646">
      <w:bodyDiv w:val="1"/>
      <w:marLeft w:val="0"/>
      <w:marRight w:val="0"/>
      <w:marTop w:val="0"/>
      <w:marBottom w:val="0"/>
      <w:divBdr>
        <w:top w:val="none" w:sz="0" w:space="0" w:color="auto"/>
        <w:left w:val="none" w:sz="0" w:space="0" w:color="auto"/>
        <w:bottom w:val="none" w:sz="0" w:space="0" w:color="auto"/>
        <w:right w:val="none" w:sz="0" w:space="0" w:color="auto"/>
      </w:divBdr>
    </w:div>
    <w:div w:id="1797136033">
      <w:bodyDiv w:val="1"/>
      <w:marLeft w:val="0"/>
      <w:marRight w:val="0"/>
      <w:marTop w:val="0"/>
      <w:marBottom w:val="0"/>
      <w:divBdr>
        <w:top w:val="none" w:sz="0" w:space="0" w:color="auto"/>
        <w:left w:val="none" w:sz="0" w:space="0" w:color="auto"/>
        <w:bottom w:val="none" w:sz="0" w:space="0" w:color="auto"/>
        <w:right w:val="none" w:sz="0" w:space="0" w:color="auto"/>
      </w:divBdr>
    </w:div>
    <w:div w:id="1801727251">
      <w:bodyDiv w:val="1"/>
      <w:marLeft w:val="0"/>
      <w:marRight w:val="0"/>
      <w:marTop w:val="0"/>
      <w:marBottom w:val="0"/>
      <w:divBdr>
        <w:top w:val="none" w:sz="0" w:space="0" w:color="auto"/>
        <w:left w:val="none" w:sz="0" w:space="0" w:color="auto"/>
        <w:bottom w:val="none" w:sz="0" w:space="0" w:color="auto"/>
        <w:right w:val="none" w:sz="0" w:space="0" w:color="auto"/>
      </w:divBdr>
    </w:div>
    <w:div w:id="1812475269">
      <w:bodyDiv w:val="1"/>
      <w:marLeft w:val="0"/>
      <w:marRight w:val="0"/>
      <w:marTop w:val="0"/>
      <w:marBottom w:val="0"/>
      <w:divBdr>
        <w:top w:val="none" w:sz="0" w:space="0" w:color="auto"/>
        <w:left w:val="none" w:sz="0" w:space="0" w:color="auto"/>
        <w:bottom w:val="none" w:sz="0" w:space="0" w:color="auto"/>
        <w:right w:val="none" w:sz="0" w:space="0" w:color="auto"/>
      </w:divBdr>
    </w:div>
    <w:div w:id="1813014252">
      <w:bodyDiv w:val="1"/>
      <w:marLeft w:val="0"/>
      <w:marRight w:val="0"/>
      <w:marTop w:val="0"/>
      <w:marBottom w:val="0"/>
      <w:divBdr>
        <w:top w:val="none" w:sz="0" w:space="0" w:color="auto"/>
        <w:left w:val="none" w:sz="0" w:space="0" w:color="auto"/>
        <w:bottom w:val="none" w:sz="0" w:space="0" w:color="auto"/>
        <w:right w:val="none" w:sz="0" w:space="0" w:color="auto"/>
      </w:divBdr>
    </w:div>
    <w:div w:id="1814061541">
      <w:bodyDiv w:val="1"/>
      <w:marLeft w:val="0"/>
      <w:marRight w:val="0"/>
      <w:marTop w:val="0"/>
      <w:marBottom w:val="0"/>
      <w:divBdr>
        <w:top w:val="none" w:sz="0" w:space="0" w:color="auto"/>
        <w:left w:val="none" w:sz="0" w:space="0" w:color="auto"/>
        <w:bottom w:val="none" w:sz="0" w:space="0" w:color="auto"/>
        <w:right w:val="none" w:sz="0" w:space="0" w:color="auto"/>
      </w:divBdr>
    </w:div>
    <w:div w:id="1817720927">
      <w:bodyDiv w:val="1"/>
      <w:marLeft w:val="0"/>
      <w:marRight w:val="0"/>
      <w:marTop w:val="0"/>
      <w:marBottom w:val="0"/>
      <w:divBdr>
        <w:top w:val="none" w:sz="0" w:space="0" w:color="auto"/>
        <w:left w:val="none" w:sz="0" w:space="0" w:color="auto"/>
        <w:bottom w:val="none" w:sz="0" w:space="0" w:color="auto"/>
        <w:right w:val="none" w:sz="0" w:space="0" w:color="auto"/>
      </w:divBdr>
    </w:div>
    <w:div w:id="1820920393">
      <w:bodyDiv w:val="1"/>
      <w:marLeft w:val="0"/>
      <w:marRight w:val="0"/>
      <w:marTop w:val="0"/>
      <w:marBottom w:val="0"/>
      <w:divBdr>
        <w:top w:val="none" w:sz="0" w:space="0" w:color="auto"/>
        <w:left w:val="none" w:sz="0" w:space="0" w:color="auto"/>
        <w:bottom w:val="none" w:sz="0" w:space="0" w:color="auto"/>
        <w:right w:val="none" w:sz="0" w:space="0" w:color="auto"/>
      </w:divBdr>
    </w:div>
    <w:div w:id="1844391882">
      <w:bodyDiv w:val="1"/>
      <w:marLeft w:val="0"/>
      <w:marRight w:val="0"/>
      <w:marTop w:val="0"/>
      <w:marBottom w:val="0"/>
      <w:divBdr>
        <w:top w:val="none" w:sz="0" w:space="0" w:color="auto"/>
        <w:left w:val="none" w:sz="0" w:space="0" w:color="auto"/>
        <w:bottom w:val="none" w:sz="0" w:space="0" w:color="auto"/>
        <w:right w:val="none" w:sz="0" w:space="0" w:color="auto"/>
      </w:divBdr>
    </w:div>
    <w:div w:id="1845508376">
      <w:bodyDiv w:val="1"/>
      <w:marLeft w:val="0"/>
      <w:marRight w:val="0"/>
      <w:marTop w:val="0"/>
      <w:marBottom w:val="0"/>
      <w:divBdr>
        <w:top w:val="none" w:sz="0" w:space="0" w:color="auto"/>
        <w:left w:val="none" w:sz="0" w:space="0" w:color="auto"/>
        <w:bottom w:val="none" w:sz="0" w:space="0" w:color="auto"/>
        <w:right w:val="none" w:sz="0" w:space="0" w:color="auto"/>
      </w:divBdr>
    </w:div>
    <w:div w:id="1845970019">
      <w:bodyDiv w:val="1"/>
      <w:marLeft w:val="0"/>
      <w:marRight w:val="0"/>
      <w:marTop w:val="0"/>
      <w:marBottom w:val="0"/>
      <w:divBdr>
        <w:top w:val="none" w:sz="0" w:space="0" w:color="auto"/>
        <w:left w:val="none" w:sz="0" w:space="0" w:color="auto"/>
        <w:bottom w:val="none" w:sz="0" w:space="0" w:color="auto"/>
        <w:right w:val="none" w:sz="0" w:space="0" w:color="auto"/>
      </w:divBdr>
    </w:div>
    <w:div w:id="1851095696">
      <w:bodyDiv w:val="1"/>
      <w:marLeft w:val="0"/>
      <w:marRight w:val="0"/>
      <w:marTop w:val="0"/>
      <w:marBottom w:val="0"/>
      <w:divBdr>
        <w:top w:val="none" w:sz="0" w:space="0" w:color="auto"/>
        <w:left w:val="none" w:sz="0" w:space="0" w:color="auto"/>
        <w:bottom w:val="none" w:sz="0" w:space="0" w:color="auto"/>
        <w:right w:val="none" w:sz="0" w:space="0" w:color="auto"/>
      </w:divBdr>
    </w:div>
    <w:div w:id="1853253245">
      <w:bodyDiv w:val="1"/>
      <w:marLeft w:val="0"/>
      <w:marRight w:val="0"/>
      <w:marTop w:val="0"/>
      <w:marBottom w:val="0"/>
      <w:divBdr>
        <w:top w:val="none" w:sz="0" w:space="0" w:color="auto"/>
        <w:left w:val="none" w:sz="0" w:space="0" w:color="auto"/>
        <w:bottom w:val="none" w:sz="0" w:space="0" w:color="auto"/>
        <w:right w:val="none" w:sz="0" w:space="0" w:color="auto"/>
      </w:divBdr>
    </w:div>
    <w:div w:id="1860316873">
      <w:bodyDiv w:val="1"/>
      <w:marLeft w:val="0"/>
      <w:marRight w:val="0"/>
      <w:marTop w:val="0"/>
      <w:marBottom w:val="0"/>
      <w:divBdr>
        <w:top w:val="none" w:sz="0" w:space="0" w:color="auto"/>
        <w:left w:val="none" w:sz="0" w:space="0" w:color="auto"/>
        <w:bottom w:val="none" w:sz="0" w:space="0" w:color="auto"/>
        <w:right w:val="none" w:sz="0" w:space="0" w:color="auto"/>
      </w:divBdr>
    </w:div>
    <w:div w:id="1870097382">
      <w:bodyDiv w:val="1"/>
      <w:marLeft w:val="0"/>
      <w:marRight w:val="0"/>
      <w:marTop w:val="0"/>
      <w:marBottom w:val="0"/>
      <w:divBdr>
        <w:top w:val="none" w:sz="0" w:space="0" w:color="auto"/>
        <w:left w:val="none" w:sz="0" w:space="0" w:color="auto"/>
        <w:bottom w:val="none" w:sz="0" w:space="0" w:color="auto"/>
        <w:right w:val="none" w:sz="0" w:space="0" w:color="auto"/>
      </w:divBdr>
    </w:div>
    <w:div w:id="1874027337">
      <w:bodyDiv w:val="1"/>
      <w:marLeft w:val="0"/>
      <w:marRight w:val="0"/>
      <w:marTop w:val="0"/>
      <w:marBottom w:val="0"/>
      <w:divBdr>
        <w:top w:val="none" w:sz="0" w:space="0" w:color="auto"/>
        <w:left w:val="none" w:sz="0" w:space="0" w:color="auto"/>
        <w:bottom w:val="none" w:sz="0" w:space="0" w:color="auto"/>
        <w:right w:val="none" w:sz="0" w:space="0" w:color="auto"/>
      </w:divBdr>
    </w:div>
    <w:div w:id="1874153779">
      <w:bodyDiv w:val="1"/>
      <w:marLeft w:val="0"/>
      <w:marRight w:val="0"/>
      <w:marTop w:val="0"/>
      <w:marBottom w:val="0"/>
      <w:divBdr>
        <w:top w:val="none" w:sz="0" w:space="0" w:color="auto"/>
        <w:left w:val="none" w:sz="0" w:space="0" w:color="auto"/>
        <w:bottom w:val="none" w:sz="0" w:space="0" w:color="auto"/>
        <w:right w:val="none" w:sz="0" w:space="0" w:color="auto"/>
      </w:divBdr>
    </w:div>
    <w:div w:id="1883323689">
      <w:bodyDiv w:val="1"/>
      <w:marLeft w:val="0"/>
      <w:marRight w:val="0"/>
      <w:marTop w:val="0"/>
      <w:marBottom w:val="0"/>
      <w:divBdr>
        <w:top w:val="none" w:sz="0" w:space="0" w:color="auto"/>
        <w:left w:val="none" w:sz="0" w:space="0" w:color="auto"/>
        <w:bottom w:val="none" w:sz="0" w:space="0" w:color="auto"/>
        <w:right w:val="none" w:sz="0" w:space="0" w:color="auto"/>
      </w:divBdr>
    </w:div>
    <w:div w:id="1886794056">
      <w:bodyDiv w:val="1"/>
      <w:marLeft w:val="0"/>
      <w:marRight w:val="0"/>
      <w:marTop w:val="0"/>
      <w:marBottom w:val="0"/>
      <w:divBdr>
        <w:top w:val="none" w:sz="0" w:space="0" w:color="auto"/>
        <w:left w:val="none" w:sz="0" w:space="0" w:color="auto"/>
        <w:bottom w:val="none" w:sz="0" w:space="0" w:color="auto"/>
        <w:right w:val="none" w:sz="0" w:space="0" w:color="auto"/>
      </w:divBdr>
    </w:div>
    <w:div w:id="1890531713">
      <w:bodyDiv w:val="1"/>
      <w:marLeft w:val="0"/>
      <w:marRight w:val="0"/>
      <w:marTop w:val="0"/>
      <w:marBottom w:val="0"/>
      <w:divBdr>
        <w:top w:val="none" w:sz="0" w:space="0" w:color="auto"/>
        <w:left w:val="none" w:sz="0" w:space="0" w:color="auto"/>
        <w:bottom w:val="none" w:sz="0" w:space="0" w:color="auto"/>
        <w:right w:val="none" w:sz="0" w:space="0" w:color="auto"/>
      </w:divBdr>
    </w:div>
    <w:div w:id="1891185329">
      <w:bodyDiv w:val="1"/>
      <w:marLeft w:val="0"/>
      <w:marRight w:val="0"/>
      <w:marTop w:val="0"/>
      <w:marBottom w:val="0"/>
      <w:divBdr>
        <w:top w:val="none" w:sz="0" w:space="0" w:color="auto"/>
        <w:left w:val="none" w:sz="0" w:space="0" w:color="auto"/>
        <w:bottom w:val="none" w:sz="0" w:space="0" w:color="auto"/>
        <w:right w:val="none" w:sz="0" w:space="0" w:color="auto"/>
      </w:divBdr>
    </w:div>
    <w:div w:id="1907104064">
      <w:bodyDiv w:val="1"/>
      <w:marLeft w:val="0"/>
      <w:marRight w:val="0"/>
      <w:marTop w:val="0"/>
      <w:marBottom w:val="0"/>
      <w:divBdr>
        <w:top w:val="none" w:sz="0" w:space="0" w:color="auto"/>
        <w:left w:val="none" w:sz="0" w:space="0" w:color="auto"/>
        <w:bottom w:val="none" w:sz="0" w:space="0" w:color="auto"/>
        <w:right w:val="none" w:sz="0" w:space="0" w:color="auto"/>
      </w:divBdr>
    </w:div>
    <w:div w:id="1909918722">
      <w:bodyDiv w:val="1"/>
      <w:marLeft w:val="0"/>
      <w:marRight w:val="0"/>
      <w:marTop w:val="0"/>
      <w:marBottom w:val="0"/>
      <w:divBdr>
        <w:top w:val="none" w:sz="0" w:space="0" w:color="auto"/>
        <w:left w:val="none" w:sz="0" w:space="0" w:color="auto"/>
        <w:bottom w:val="none" w:sz="0" w:space="0" w:color="auto"/>
        <w:right w:val="none" w:sz="0" w:space="0" w:color="auto"/>
      </w:divBdr>
    </w:div>
    <w:div w:id="1911236564">
      <w:bodyDiv w:val="1"/>
      <w:marLeft w:val="0"/>
      <w:marRight w:val="0"/>
      <w:marTop w:val="0"/>
      <w:marBottom w:val="0"/>
      <w:divBdr>
        <w:top w:val="none" w:sz="0" w:space="0" w:color="auto"/>
        <w:left w:val="none" w:sz="0" w:space="0" w:color="auto"/>
        <w:bottom w:val="none" w:sz="0" w:space="0" w:color="auto"/>
        <w:right w:val="none" w:sz="0" w:space="0" w:color="auto"/>
      </w:divBdr>
    </w:div>
    <w:div w:id="1914199866">
      <w:bodyDiv w:val="1"/>
      <w:marLeft w:val="0"/>
      <w:marRight w:val="0"/>
      <w:marTop w:val="0"/>
      <w:marBottom w:val="0"/>
      <w:divBdr>
        <w:top w:val="none" w:sz="0" w:space="0" w:color="auto"/>
        <w:left w:val="none" w:sz="0" w:space="0" w:color="auto"/>
        <w:bottom w:val="none" w:sz="0" w:space="0" w:color="auto"/>
        <w:right w:val="none" w:sz="0" w:space="0" w:color="auto"/>
      </w:divBdr>
    </w:div>
    <w:div w:id="1916089291">
      <w:bodyDiv w:val="1"/>
      <w:marLeft w:val="0"/>
      <w:marRight w:val="0"/>
      <w:marTop w:val="0"/>
      <w:marBottom w:val="0"/>
      <w:divBdr>
        <w:top w:val="none" w:sz="0" w:space="0" w:color="auto"/>
        <w:left w:val="none" w:sz="0" w:space="0" w:color="auto"/>
        <w:bottom w:val="none" w:sz="0" w:space="0" w:color="auto"/>
        <w:right w:val="none" w:sz="0" w:space="0" w:color="auto"/>
      </w:divBdr>
    </w:div>
    <w:div w:id="1926263502">
      <w:bodyDiv w:val="1"/>
      <w:marLeft w:val="0"/>
      <w:marRight w:val="0"/>
      <w:marTop w:val="0"/>
      <w:marBottom w:val="0"/>
      <w:divBdr>
        <w:top w:val="none" w:sz="0" w:space="0" w:color="auto"/>
        <w:left w:val="none" w:sz="0" w:space="0" w:color="auto"/>
        <w:bottom w:val="none" w:sz="0" w:space="0" w:color="auto"/>
        <w:right w:val="none" w:sz="0" w:space="0" w:color="auto"/>
      </w:divBdr>
    </w:div>
    <w:div w:id="1926919935">
      <w:bodyDiv w:val="1"/>
      <w:marLeft w:val="0"/>
      <w:marRight w:val="0"/>
      <w:marTop w:val="0"/>
      <w:marBottom w:val="0"/>
      <w:divBdr>
        <w:top w:val="none" w:sz="0" w:space="0" w:color="auto"/>
        <w:left w:val="none" w:sz="0" w:space="0" w:color="auto"/>
        <w:bottom w:val="none" w:sz="0" w:space="0" w:color="auto"/>
        <w:right w:val="none" w:sz="0" w:space="0" w:color="auto"/>
      </w:divBdr>
    </w:div>
    <w:div w:id="1930919088">
      <w:bodyDiv w:val="1"/>
      <w:marLeft w:val="0"/>
      <w:marRight w:val="0"/>
      <w:marTop w:val="0"/>
      <w:marBottom w:val="0"/>
      <w:divBdr>
        <w:top w:val="none" w:sz="0" w:space="0" w:color="auto"/>
        <w:left w:val="none" w:sz="0" w:space="0" w:color="auto"/>
        <w:bottom w:val="none" w:sz="0" w:space="0" w:color="auto"/>
        <w:right w:val="none" w:sz="0" w:space="0" w:color="auto"/>
      </w:divBdr>
    </w:div>
    <w:div w:id="1932425367">
      <w:bodyDiv w:val="1"/>
      <w:marLeft w:val="0"/>
      <w:marRight w:val="0"/>
      <w:marTop w:val="0"/>
      <w:marBottom w:val="0"/>
      <w:divBdr>
        <w:top w:val="none" w:sz="0" w:space="0" w:color="auto"/>
        <w:left w:val="none" w:sz="0" w:space="0" w:color="auto"/>
        <w:bottom w:val="none" w:sz="0" w:space="0" w:color="auto"/>
        <w:right w:val="none" w:sz="0" w:space="0" w:color="auto"/>
      </w:divBdr>
    </w:div>
    <w:div w:id="1942057978">
      <w:bodyDiv w:val="1"/>
      <w:marLeft w:val="0"/>
      <w:marRight w:val="0"/>
      <w:marTop w:val="0"/>
      <w:marBottom w:val="0"/>
      <w:divBdr>
        <w:top w:val="none" w:sz="0" w:space="0" w:color="auto"/>
        <w:left w:val="none" w:sz="0" w:space="0" w:color="auto"/>
        <w:bottom w:val="none" w:sz="0" w:space="0" w:color="auto"/>
        <w:right w:val="none" w:sz="0" w:space="0" w:color="auto"/>
      </w:divBdr>
    </w:div>
    <w:div w:id="1950508726">
      <w:bodyDiv w:val="1"/>
      <w:marLeft w:val="0"/>
      <w:marRight w:val="0"/>
      <w:marTop w:val="0"/>
      <w:marBottom w:val="0"/>
      <w:divBdr>
        <w:top w:val="none" w:sz="0" w:space="0" w:color="auto"/>
        <w:left w:val="none" w:sz="0" w:space="0" w:color="auto"/>
        <w:bottom w:val="none" w:sz="0" w:space="0" w:color="auto"/>
        <w:right w:val="none" w:sz="0" w:space="0" w:color="auto"/>
      </w:divBdr>
    </w:div>
    <w:div w:id="1960916160">
      <w:bodyDiv w:val="1"/>
      <w:marLeft w:val="0"/>
      <w:marRight w:val="0"/>
      <w:marTop w:val="0"/>
      <w:marBottom w:val="0"/>
      <w:divBdr>
        <w:top w:val="none" w:sz="0" w:space="0" w:color="auto"/>
        <w:left w:val="none" w:sz="0" w:space="0" w:color="auto"/>
        <w:bottom w:val="none" w:sz="0" w:space="0" w:color="auto"/>
        <w:right w:val="none" w:sz="0" w:space="0" w:color="auto"/>
      </w:divBdr>
    </w:div>
    <w:div w:id="1962027433">
      <w:bodyDiv w:val="1"/>
      <w:marLeft w:val="0"/>
      <w:marRight w:val="0"/>
      <w:marTop w:val="0"/>
      <w:marBottom w:val="0"/>
      <w:divBdr>
        <w:top w:val="none" w:sz="0" w:space="0" w:color="auto"/>
        <w:left w:val="none" w:sz="0" w:space="0" w:color="auto"/>
        <w:bottom w:val="none" w:sz="0" w:space="0" w:color="auto"/>
        <w:right w:val="none" w:sz="0" w:space="0" w:color="auto"/>
      </w:divBdr>
    </w:div>
    <w:div w:id="1963072586">
      <w:bodyDiv w:val="1"/>
      <w:marLeft w:val="0"/>
      <w:marRight w:val="0"/>
      <w:marTop w:val="0"/>
      <w:marBottom w:val="0"/>
      <w:divBdr>
        <w:top w:val="none" w:sz="0" w:space="0" w:color="auto"/>
        <w:left w:val="none" w:sz="0" w:space="0" w:color="auto"/>
        <w:bottom w:val="none" w:sz="0" w:space="0" w:color="auto"/>
        <w:right w:val="none" w:sz="0" w:space="0" w:color="auto"/>
      </w:divBdr>
    </w:div>
    <w:div w:id="1963682661">
      <w:bodyDiv w:val="1"/>
      <w:marLeft w:val="0"/>
      <w:marRight w:val="0"/>
      <w:marTop w:val="0"/>
      <w:marBottom w:val="0"/>
      <w:divBdr>
        <w:top w:val="none" w:sz="0" w:space="0" w:color="auto"/>
        <w:left w:val="none" w:sz="0" w:space="0" w:color="auto"/>
        <w:bottom w:val="none" w:sz="0" w:space="0" w:color="auto"/>
        <w:right w:val="none" w:sz="0" w:space="0" w:color="auto"/>
      </w:divBdr>
    </w:div>
    <w:div w:id="1965309849">
      <w:bodyDiv w:val="1"/>
      <w:marLeft w:val="0"/>
      <w:marRight w:val="0"/>
      <w:marTop w:val="0"/>
      <w:marBottom w:val="0"/>
      <w:divBdr>
        <w:top w:val="none" w:sz="0" w:space="0" w:color="auto"/>
        <w:left w:val="none" w:sz="0" w:space="0" w:color="auto"/>
        <w:bottom w:val="none" w:sz="0" w:space="0" w:color="auto"/>
        <w:right w:val="none" w:sz="0" w:space="0" w:color="auto"/>
      </w:divBdr>
    </w:div>
    <w:div w:id="1968320002">
      <w:bodyDiv w:val="1"/>
      <w:marLeft w:val="0"/>
      <w:marRight w:val="0"/>
      <w:marTop w:val="0"/>
      <w:marBottom w:val="0"/>
      <w:divBdr>
        <w:top w:val="none" w:sz="0" w:space="0" w:color="auto"/>
        <w:left w:val="none" w:sz="0" w:space="0" w:color="auto"/>
        <w:bottom w:val="none" w:sz="0" w:space="0" w:color="auto"/>
        <w:right w:val="none" w:sz="0" w:space="0" w:color="auto"/>
      </w:divBdr>
    </w:div>
    <w:div w:id="1983188928">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
    <w:div w:id="1996956301">
      <w:bodyDiv w:val="1"/>
      <w:marLeft w:val="0"/>
      <w:marRight w:val="0"/>
      <w:marTop w:val="0"/>
      <w:marBottom w:val="0"/>
      <w:divBdr>
        <w:top w:val="none" w:sz="0" w:space="0" w:color="auto"/>
        <w:left w:val="none" w:sz="0" w:space="0" w:color="auto"/>
        <w:bottom w:val="none" w:sz="0" w:space="0" w:color="auto"/>
        <w:right w:val="none" w:sz="0" w:space="0" w:color="auto"/>
      </w:divBdr>
    </w:div>
    <w:div w:id="1999261312">
      <w:bodyDiv w:val="1"/>
      <w:marLeft w:val="0"/>
      <w:marRight w:val="0"/>
      <w:marTop w:val="0"/>
      <w:marBottom w:val="0"/>
      <w:divBdr>
        <w:top w:val="none" w:sz="0" w:space="0" w:color="auto"/>
        <w:left w:val="none" w:sz="0" w:space="0" w:color="auto"/>
        <w:bottom w:val="none" w:sz="0" w:space="0" w:color="auto"/>
        <w:right w:val="none" w:sz="0" w:space="0" w:color="auto"/>
      </w:divBdr>
    </w:div>
    <w:div w:id="2000307408">
      <w:bodyDiv w:val="1"/>
      <w:marLeft w:val="0"/>
      <w:marRight w:val="0"/>
      <w:marTop w:val="0"/>
      <w:marBottom w:val="0"/>
      <w:divBdr>
        <w:top w:val="none" w:sz="0" w:space="0" w:color="auto"/>
        <w:left w:val="none" w:sz="0" w:space="0" w:color="auto"/>
        <w:bottom w:val="none" w:sz="0" w:space="0" w:color="auto"/>
        <w:right w:val="none" w:sz="0" w:space="0" w:color="auto"/>
      </w:divBdr>
    </w:div>
    <w:div w:id="2008822161">
      <w:bodyDiv w:val="1"/>
      <w:marLeft w:val="0"/>
      <w:marRight w:val="0"/>
      <w:marTop w:val="0"/>
      <w:marBottom w:val="0"/>
      <w:divBdr>
        <w:top w:val="none" w:sz="0" w:space="0" w:color="auto"/>
        <w:left w:val="none" w:sz="0" w:space="0" w:color="auto"/>
        <w:bottom w:val="none" w:sz="0" w:space="0" w:color="auto"/>
        <w:right w:val="none" w:sz="0" w:space="0" w:color="auto"/>
      </w:divBdr>
    </w:div>
    <w:div w:id="2009627410">
      <w:bodyDiv w:val="1"/>
      <w:marLeft w:val="0"/>
      <w:marRight w:val="0"/>
      <w:marTop w:val="0"/>
      <w:marBottom w:val="0"/>
      <w:divBdr>
        <w:top w:val="none" w:sz="0" w:space="0" w:color="auto"/>
        <w:left w:val="none" w:sz="0" w:space="0" w:color="auto"/>
        <w:bottom w:val="none" w:sz="0" w:space="0" w:color="auto"/>
        <w:right w:val="none" w:sz="0" w:space="0" w:color="auto"/>
      </w:divBdr>
    </w:div>
    <w:div w:id="2022387964">
      <w:bodyDiv w:val="1"/>
      <w:marLeft w:val="0"/>
      <w:marRight w:val="0"/>
      <w:marTop w:val="0"/>
      <w:marBottom w:val="0"/>
      <w:divBdr>
        <w:top w:val="none" w:sz="0" w:space="0" w:color="auto"/>
        <w:left w:val="none" w:sz="0" w:space="0" w:color="auto"/>
        <w:bottom w:val="none" w:sz="0" w:space="0" w:color="auto"/>
        <w:right w:val="none" w:sz="0" w:space="0" w:color="auto"/>
      </w:divBdr>
    </w:div>
    <w:div w:id="2035418974">
      <w:bodyDiv w:val="1"/>
      <w:marLeft w:val="0"/>
      <w:marRight w:val="0"/>
      <w:marTop w:val="0"/>
      <w:marBottom w:val="0"/>
      <w:divBdr>
        <w:top w:val="none" w:sz="0" w:space="0" w:color="auto"/>
        <w:left w:val="none" w:sz="0" w:space="0" w:color="auto"/>
        <w:bottom w:val="none" w:sz="0" w:space="0" w:color="auto"/>
        <w:right w:val="none" w:sz="0" w:space="0" w:color="auto"/>
      </w:divBdr>
    </w:div>
    <w:div w:id="2038114750">
      <w:bodyDiv w:val="1"/>
      <w:marLeft w:val="0"/>
      <w:marRight w:val="0"/>
      <w:marTop w:val="0"/>
      <w:marBottom w:val="0"/>
      <w:divBdr>
        <w:top w:val="none" w:sz="0" w:space="0" w:color="auto"/>
        <w:left w:val="none" w:sz="0" w:space="0" w:color="auto"/>
        <w:bottom w:val="none" w:sz="0" w:space="0" w:color="auto"/>
        <w:right w:val="none" w:sz="0" w:space="0" w:color="auto"/>
      </w:divBdr>
    </w:div>
    <w:div w:id="2040352181">
      <w:bodyDiv w:val="1"/>
      <w:marLeft w:val="0"/>
      <w:marRight w:val="0"/>
      <w:marTop w:val="0"/>
      <w:marBottom w:val="0"/>
      <w:divBdr>
        <w:top w:val="none" w:sz="0" w:space="0" w:color="auto"/>
        <w:left w:val="none" w:sz="0" w:space="0" w:color="auto"/>
        <w:bottom w:val="none" w:sz="0" w:space="0" w:color="auto"/>
        <w:right w:val="none" w:sz="0" w:space="0" w:color="auto"/>
      </w:divBdr>
    </w:div>
    <w:div w:id="2050835524">
      <w:bodyDiv w:val="1"/>
      <w:marLeft w:val="0"/>
      <w:marRight w:val="0"/>
      <w:marTop w:val="0"/>
      <w:marBottom w:val="0"/>
      <w:divBdr>
        <w:top w:val="none" w:sz="0" w:space="0" w:color="auto"/>
        <w:left w:val="none" w:sz="0" w:space="0" w:color="auto"/>
        <w:bottom w:val="none" w:sz="0" w:space="0" w:color="auto"/>
        <w:right w:val="none" w:sz="0" w:space="0" w:color="auto"/>
      </w:divBdr>
    </w:div>
    <w:div w:id="2054309405">
      <w:bodyDiv w:val="1"/>
      <w:marLeft w:val="0"/>
      <w:marRight w:val="0"/>
      <w:marTop w:val="0"/>
      <w:marBottom w:val="0"/>
      <w:divBdr>
        <w:top w:val="none" w:sz="0" w:space="0" w:color="auto"/>
        <w:left w:val="none" w:sz="0" w:space="0" w:color="auto"/>
        <w:bottom w:val="none" w:sz="0" w:space="0" w:color="auto"/>
        <w:right w:val="none" w:sz="0" w:space="0" w:color="auto"/>
      </w:divBdr>
    </w:div>
    <w:div w:id="2061201898">
      <w:bodyDiv w:val="1"/>
      <w:marLeft w:val="0"/>
      <w:marRight w:val="0"/>
      <w:marTop w:val="0"/>
      <w:marBottom w:val="0"/>
      <w:divBdr>
        <w:top w:val="none" w:sz="0" w:space="0" w:color="auto"/>
        <w:left w:val="none" w:sz="0" w:space="0" w:color="auto"/>
        <w:bottom w:val="none" w:sz="0" w:space="0" w:color="auto"/>
        <w:right w:val="none" w:sz="0" w:space="0" w:color="auto"/>
      </w:divBdr>
    </w:div>
    <w:div w:id="2069108509">
      <w:bodyDiv w:val="1"/>
      <w:marLeft w:val="0"/>
      <w:marRight w:val="0"/>
      <w:marTop w:val="0"/>
      <w:marBottom w:val="0"/>
      <w:divBdr>
        <w:top w:val="none" w:sz="0" w:space="0" w:color="auto"/>
        <w:left w:val="none" w:sz="0" w:space="0" w:color="auto"/>
        <w:bottom w:val="none" w:sz="0" w:space="0" w:color="auto"/>
        <w:right w:val="none" w:sz="0" w:space="0" w:color="auto"/>
      </w:divBdr>
    </w:div>
    <w:div w:id="2070111449">
      <w:bodyDiv w:val="1"/>
      <w:marLeft w:val="0"/>
      <w:marRight w:val="0"/>
      <w:marTop w:val="0"/>
      <w:marBottom w:val="0"/>
      <w:divBdr>
        <w:top w:val="none" w:sz="0" w:space="0" w:color="auto"/>
        <w:left w:val="none" w:sz="0" w:space="0" w:color="auto"/>
        <w:bottom w:val="none" w:sz="0" w:space="0" w:color="auto"/>
        <w:right w:val="none" w:sz="0" w:space="0" w:color="auto"/>
      </w:divBdr>
    </w:div>
    <w:div w:id="2071422838">
      <w:bodyDiv w:val="1"/>
      <w:marLeft w:val="0"/>
      <w:marRight w:val="0"/>
      <w:marTop w:val="0"/>
      <w:marBottom w:val="0"/>
      <w:divBdr>
        <w:top w:val="none" w:sz="0" w:space="0" w:color="auto"/>
        <w:left w:val="none" w:sz="0" w:space="0" w:color="auto"/>
        <w:bottom w:val="none" w:sz="0" w:space="0" w:color="auto"/>
        <w:right w:val="none" w:sz="0" w:space="0" w:color="auto"/>
      </w:divBdr>
    </w:div>
    <w:div w:id="2072118078">
      <w:bodyDiv w:val="1"/>
      <w:marLeft w:val="0"/>
      <w:marRight w:val="0"/>
      <w:marTop w:val="0"/>
      <w:marBottom w:val="0"/>
      <w:divBdr>
        <w:top w:val="none" w:sz="0" w:space="0" w:color="auto"/>
        <w:left w:val="none" w:sz="0" w:space="0" w:color="auto"/>
        <w:bottom w:val="none" w:sz="0" w:space="0" w:color="auto"/>
        <w:right w:val="none" w:sz="0" w:space="0" w:color="auto"/>
      </w:divBdr>
    </w:div>
    <w:div w:id="2081782759">
      <w:bodyDiv w:val="1"/>
      <w:marLeft w:val="0"/>
      <w:marRight w:val="0"/>
      <w:marTop w:val="0"/>
      <w:marBottom w:val="0"/>
      <w:divBdr>
        <w:top w:val="none" w:sz="0" w:space="0" w:color="auto"/>
        <w:left w:val="none" w:sz="0" w:space="0" w:color="auto"/>
        <w:bottom w:val="none" w:sz="0" w:space="0" w:color="auto"/>
        <w:right w:val="none" w:sz="0" w:space="0" w:color="auto"/>
      </w:divBdr>
    </w:div>
    <w:div w:id="2082016331">
      <w:bodyDiv w:val="1"/>
      <w:marLeft w:val="0"/>
      <w:marRight w:val="0"/>
      <w:marTop w:val="0"/>
      <w:marBottom w:val="0"/>
      <w:divBdr>
        <w:top w:val="none" w:sz="0" w:space="0" w:color="auto"/>
        <w:left w:val="none" w:sz="0" w:space="0" w:color="auto"/>
        <w:bottom w:val="none" w:sz="0" w:space="0" w:color="auto"/>
        <w:right w:val="none" w:sz="0" w:space="0" w:color="auto"/>
      </w:divBdr>
    </w:div>
    <w:div w:id="2084447060">
      <w:bodyDiv w:val="1"/>
      <w:marLeft w:val="0"/>
      <w:marRight w:val="0"/>
      <w:marTop w:val="0"/>
      <w:marBottom w:val="0"/>
      <w:divBdr>
        <w:top w:val="none" w:sz="0" w:space="0" w:color="auto"/>
        <w:left w:val="none" w:sz="0" w:space="0" w:color="auto"/>
        <w:bottom w:val="none" w:sz="0" w:space="0" w:color="auto"/>
        <w:right w:val="none" w:sz="0" w:space="0" w:color="auto"/>
      </w:divBdr>
    </w:div>
    <w:div w:id="2085640407">
      <w:bodyDiv w:val="1"/>
      <w:marLeft w:val="0"/>
      <w:marRight w:val="0"/>
      <w:marTop w:val="0"/>
      <w:marBottom w:val="0"/>
      <w:divBdr>
        <w:top w:val="none" w:sz="0" w:space="0" w:color="auto"/>
        <w:left w:val="none" w:sz="0" w:space="0" w:color="auto"/>
        <w:bottom w:val="none" w:sz="0" w:space="0" w:color="auto"/>
        <w:right w:val="none" w:sz="0" w:space="0" w:color="auto"/>
      </w:divBdr>
    </w:div>
    <w:div w:id="2089308017">
      <w:bodyDiv w:val="1"/>
      <w:marLeft w:val="0"/>
      <w:marRight w:val="0"/>
      <w:marTop w:val="0"/>
      <w:marBottom w:val="0"/>
      <w:divBdr>
        <w:top w:val="none" w:sz="0" w:space="0" w:color="auto"/>
        <w:left w:val="none" w:sz="0" w:space="0" w:color="auto"/>
        <w:bottom w:val="none" w:sz="0" w:space="0" w:color="auto"/>
        <w:right w:val="none" w:sz="0" w:space="0" w:color="auto"/>
      </w:divBdr>
    </w:div>
    <w:div w:id="2097246810">
      <w:bodyDiv w:val="1"/>
      <w:marLeft w:val="0"/>
      <w:marRight w:val="0"/>
      <w:marTop w:val="0"/>
      <w:marBottom w:val="0"/>
      <w:divBdr>
        <w:top w:val="none" w:sz="0" w:space="0" w:color="auto"/>
        <w:left w:val="none" w:sz="0" w:space="0" w:color="auto"/>
        <w:bottom w:val="none" w:sz="0" w:space="0" w:color="auto"/>
        <w:right w:val="none" w:sz="0" w:space="0" w:color="auto"/>
      </w:divBdr>
    </w:div>
    <w:div w:id="2103720989">
      <w:bodyDiv w:val="1"/>
      <w:marLeft w:val="0"/>
      <w:marRight w:val="0"/>
      <w:marTop w:val="0"/>
      <w:marBottom w:val="0"/>
      <w:divBdr>
        <w:top w:val="none" w:sz="0" w:space="0" w:color="auto"/>
        <w:left w:val="none" w:sz="0" w:space="0" w:color="auto"/>
        <w:bottom w:val="none" w:sz="0" w:space="0" w:color="auto"/>
        <w:right w:val="none" w:sz="0" w:space="0" w:color="auto"/>
      </w:divBdr>
    </w:div>
    <w:div w:id="2105222538">
      <w:bodyDiv w:val="1"/>
      <w:marLeft w:val="0"/>
      <w:marRight w:val="0"/>
      <w:marTop w:val="0"/>
      <w:marBottom w:val="0"/>
      <w:divBdr>
        <w:top w:val="none" w:sz="0" w:space="0" w:color="auto"/>
        <w:left w:val="none" w:sz="0" w:space="0" w:color="auto"/>
        <w:bottom w:val="none" w:sz="0" w:space="0" w:color="auto"/>
        <w:right w:val="none" w:sz="0" w:space="0" w:color="auto"/>
      </w:divBdr>
    </w:div>
    <w:div w:id="2108502281">
      <w:bodyDiv w:val="1"/>
      <w:marLeft w:val="0"/>
      <w:marRight w:val="0"/>
      <w:marTop w:val="0"/>
      <w:marBottom w:val="0"/>
      <w:divBdr>
        <w:top w:val="none" w:sz="0" w:space="0" w:color="auto"/>
        <w:left w:val="none" w:sz="0" w:space="0" w:color="auto"/>
        <w:bottom w:val="none" w:sz="0" w:space="0" w:color="auto"/>
        <w:right w:val="none" w:sz="0" w:space="0" w:color="auto"/>
      </w:divBdr>
    </w:div>
    <w:div w:id="2112041712">
      <w:bodyDiv w:val="1"/>
      <w:marLeft w:val="0"/>
      <w:marRight w:val="0"/>
      <w:marTop w:val="0"/>
      <w:marBottom w:val="0"/>
      <w:divBdr>
        <w:top w:val="none" w:sz="0" w:space="0" w:color="auto"/>
        <w:left w:val="none" w:sz="0" w:space="0" w:color="auto"/>
        <w:bottom w:val="none" w:sz="0" w:space="0" w:color="auto"/>
        <w:right w:val="none" w:sz="0" w:space="0" w:color="auto"/>
      </w:divBdr>
    </w:div>
    <w:div w:id="2114664352">
      <w:bodyDiv w:val="1"/>
      <w:marLeft w:val="0"/>
      <w:marRight w:val="0"/>
      <w:marTop w:val="0"/>
      <w:marBottom w:val="0"/>
      <w:divBdr>
        <w:top w:val="none" w:sz="0" w:space="0" w:color="auto"/>
        <w:left w:val="none" w:sz="0" w:space="0" w:color="auto"/>
        <w:bottom w:val="none" w:sz="0" w:space="0" w:color="auto"/>
        <w:right w:val="none" w:sz="0" w:space="0" w:color="auto"/>
      </w:divBdr>
    </w:div>
    <w:div w:id="2116047923">
      <w:bodyDiv w:val="1"/>
      <w:marLeft w:val="0"/>
      <w:marRight w:val="0"/>
      <w:marTop w:val="0"/>
      <w:marBottom w:val="0"/>
      <w:divBdr>
        <w:top w:val="none" w:sz="0" w:space="0" w:color="auto"/>
        <w:left w:val="none" w:sz="0" w:space="0" w:color="auto"/>
        <w:bottom w:val="none" w:sz="0" w:space="0" w:color="auto"/>
        <w:right w:val="none" w:sz="0" w:space="0" w:color="auto"/>
      </w:divBdr>
    </w:div>
    <w:div w:id="2119711213">
      <w:bodyDiv w:val="1"/>
      <w:marLeft w:val="0"/>
      <w:marRight w:val="0"/>
      <w:marTop w:val="0"/>
      <w:marBottom w:val="0"/>
      <w:divBdr>
        <w:top w:val="none" w:sz="0" w:space="0" w:color="auto"/>
        <w:left w:val="none" w:sz="0" w:space="0" w:color="auto"/>
        <w:bottom w:val="none" w:sz="0" w:space="0" w:color="auto"/>
        <w:right w:val="none" w:sz="0" w:space="0" w:color="auto"/>
      </w:divBdr>
    </w:div>
    <w:div w:id="2124760653">
      <w:bodyDiv w:val="1"/>
      <w:marLeft w:val="0"/>
      <w:marRight w:val="0"/>
      <w:marTop w:val="0"/>
      <w:marBottom w:val="0"/>
      <w:divBdr>
        <w:top w:val="none" w:sz="0" w:space="0" w:color="auto"/>
        <w:left w:val="none" w:sz="0" w:space="0" w:color="auto"/>
        <w:bottom w:val="none" w:sz="0" w:space="0" w:color="auto"/>
        <w:right w:val="none" w:sz="0" w:space="0" w:color="auto"/>
      </w:divBdr>
    </w:div>
    <w:div w:id="2135631644">
      <w:bodyDiv w:val="1"/>
      <w:marLeft w:val="0"/>
      <w:marRight w:val="0"/>
      <w:marTop w:val="0"/>
      <w:marBottom w:val="0"/>
      <w:divBdr>
        <w:top w:val="none" w:sz="0" w:space="0" w:color="auto"/>
        <w:left w:val="none" w:sz="0" w:space="0" w:color="auto"/>
        <w:bottom w:val="none" w:sz="0" w:space="0" w:color="auto"/>
        <w:right w:val="none" w:sz="0" w:space="0" w:color="auto"/>
      </w:divBdr>
    </w:div>
    <w:div w:id="2136830837">
      <w:bodyDiv w:val="1"/>
      <w:marLeft w:val="0"/>
      <w:marRight w:val="0"/>
      <w:marTop w:val="0"/>
      <w:marBottom w:val="0"/>
      <w:divBdr>
        <w:top w:val="none" w:sz="0" w:space="0" w:color="auto"/>
        <w:left w:val="none" w:sz="0" w:space="0" w:color="auto"/>
        <w:bottom w:val="none" w:sz="0" w:space="0" w:color="auto"/>
        <w:right w:val="none" w:sz="0" w:space="0" w:color="auto"/>
      </w:divBdr>
    </w:div>
    <w:div w:id="21427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srk1" Target="header1.xml" Type="http://schemas.openxmlformats.org/officeDocument/2006/relationships/header"/><Relationship Id="srk2" Target="footer1.xml" Type="http://schemas.openxmlformats.org/officeDocument/2006/relationships/footer"/><Relationship Type="http://schemas.openxmlformats.org/officeDocument/2006/relationships/image" Id="rId76" Target="media/rId76.png"/><Relationship Type="http://schemas.openxmlformats.org/officeDocument/2006/relationships/image" Id="rId71" Target="media/rId71.png"/><Relationship Type="http://schemas.openxmlformats.org/officeDocument/2006/relationships/image" Id="rId66" Target="media/rId66.png"/><Relationship Type="http://schemas.openxmlformats.org/officeDocument/2006/relationships/image" Id="rId61" Target="media/rId61.png"/><Relationship Type="http://schemas.openxmlformats.org/officeDocument/2006/relationships/image" Id="rId45" Target="media/rId45.png"/><Relationship Type="http://schemas.openxmlformats.org/officeDocument/2006/relationships/image" Id="rId40" Target="media/rId40.png"/><Relationship Type="http://schemas.openxmlformats.org/officeDocument/2006/relationships/image" Id="rId35" Target="media/rId35.png"/><Relationship Type="http://schemas.openxmlformats.org/officeDocument/2006/relationships/image" Id="rId30" Target="media/rId30.png"/><Relationship Type="http://schemas.openxmlformats.org/officeDocument/2006/relationships/hyperlink" Id="rId105" Target="https://doi.org/10.1002/eqe.4290160704" TargetMode="External"/><Relationship Type="http://schemas.openxmlformats.org/officeDocument/2006/relationships/hyperlink" Id="rId120" Target="https://doi.org/10.1016/0261-7277(85)90037-3" TargetMode="External"/><Relationship Type="http://schemas.openxmlformats.org/officeDocument/2006/relationships/hyperlink" Id="rId133" Target="https://doi.org/10.1016/j.enggeo.2007.01.013" TargetMode="External"/><Relationship Type="http://schemas.openxmlformats.org/officeDocument/2006/relationships/hyperlink" Id="rId112" Target="https://doi.org/10.1061/(ASCE)1090-0241(2007)133:4(381)" TargetMode="External"/><Relationship Type="http://schemas.openxmlformats.org/officeDocument/2006/relationships/hyperlink" Id="rId118" Target="https://doi.org/10.1061/(ASCE)GT.1943-5606.0000012" TargetMode="External"/><Relationship Type="http://schemas.openxmlformats.org/officeDocument/2006/relationships/hyperlink" Id="rId116" Target="https://doi.org/10.1061/(ASCE)GT.1943-5606.0001833" TargetMode="External"/><Relationship Type="http://schemas.openxmlformats.org/officeDocument/2006/relationships/hyperlink" Id="rId114" Target="https://doi.org/10.1061/(ASCE)GT.1943-5606.0002143" TargetMode="External"/><Relationship Type="http://schemas.openxmlformats.org/officeDocument/2006/relationships/hyperlink" Id="rId137" Target="https://doi.org/10.1061/AJGEB6.0000668" TargetMode="External"/><Relationship Type="http://schemas.openxmlformats.org/officeDocument/2006/relationships/hyperlink" Id="rId124" Target="https://doi.org/10.1061/JSFEAQ.0001100" TargetMode="External"/><Relationship Type="http://schemas.openxmlformats.org/officeDocument/2006/relationships/hyperlink" Id="rId126" Target="https://doi.org/10.1061/JSFEAQ.0001756" TargetMode="External"/><Relationship Type="http://schemas.openxmlformats.org/officeDocument/2006/relationships/hyperlink" Id="rId131" Target="https://doi.org/10.1093/oso/9780198562245.001.0001" TargetMode="External"/><Relationship Type="http://schemas.openxmlformats.org/officeDocument/2006/relationships/hyperlink" Id="rId144" Target="https://doi.org/10.1177/8755293019878185" TargetMode="External"/><Relationship Type="http://schemas.openxmlformats.org/officeDocument/2006/relationships/hyperlink" Id="rId128" Target="https://doi.org/10.1177/8755293019878193" TargetMode="External"/><Relationship Type="http://schemas.openxmlformats.org/officeDocument/2006/relationships/hyperlink" Id="rId110" Target="https://doi.org/10.1193/1.2857544" TargetMode="External"/><Relationship Type="http://schemas.openxmlformats.org/officeDocument/2006/relationships/hyperlink" Id="rId135" Target="https://doi.org/10.1193/122516EQS251M" TargetMode="External"/><Relationship Type="http://schemas.openxmlformats.org/officeDocument/2006/relationships/hyperlink" Id="rId139" Target="https://doi.org/10.1680/geot.1965.15.2.139" TargetMode="External"/><Relationship Type="http://schemas.openxmlformats.org/officeDocument/2006/relationships/hyperlink" Id="rId142" Target="https://doi.org/10.2208/jscej1969.1975.57" TargetMode="External"/><Relationship Type="http://schemas.openxmlformats.org/officeDocument/2006/relationships/hyperlink" Id="rId107" Target="https://www.ce.memphis.edu/7137/PDFs/Seismic%20Manual/nchrp_rpt_611.pdf" TargetMode="External"/><Relationship Type="http://schemas.openxmlformats.org/officeDocument/2006/relationships/hyperlink" Id="rId148" Target="https://www.publications.usace.army.mil/Portals/76/Publications/EngineerManuals/EM_1110-2-1902.pdf" TargetMode="External"/><Relationship Type="http://schemas.openxmlformats.org/officeDocument/2006/relationships/hyperlink" Id="rId146" Target="https://www.publications.usace.army.mil/Portals/76/Publications/EngineerRegulations/ER_1110-2-1806.pdf" TargetMode="External"/><Relationship Type="http://schemas.openxmlformats.org/officeDocument/2006/relationships/hyperlink" Id="rId150" Target="https://www.publications.usace.army.mil/portals/76/publications/engineermanuals/em_1110-2-2100.pdf" TargetMode="External"/><Relationship Id="rId9" Type="http://schemas.openxmlformats.org/officeDocument/2006/relationships/image" Target="media/srk-na-logo.wmf"/><Relationship Id="rId10" Type="http://schemas.openxmlformats.org/officeDocument/2006/relationships/header" Target="srk-empty-header.xml"/><Relationship Id="rId11" Type="http://schemas.openxmlformats.org/officeDocument/2006/relationships/footer" Target="srk-empty-footer.xml"/><Relationship Id="rId12" Type="http://schemas.openxmlformats.org/officeDocument/2006/relationships/footer" Target="srk-cover-footer.xml"/></Relationships>
</file>

<file path=word/_rels/footnotes.xml.rels><?xml version="1.0" encoding="UTF-8"?><Relationships xmlns="http://schemas.openxmlformats.org/package/2006/relationships"><Relationship Type="http://schemas.openxmlformats.org/officeDocument/2006/relationships/hyperlink" Id="rId105" Target="https://doi.org/10.1002/eqe.4290160704" TargetMode="External" /><Relationship Type="http://schemas.openxmlformats.org/officeDocument/2006/relationships/hyperlink" Id="rId120" Target="https://doi.org/10.1016/0261-7277(85)90037-3" TargetMode="External" /><Relationship Type="http://schemas.openxmlformats.org/officeDocument/2006/relationships/hyperlink" Id="rId133" Target="https://doi.org/10.1016/j.enggeo.2007.01.013" TargetMode="External" /><Relationship Type="http://schemas.openxmlformats.org/officeDocument/2006/relationships/hyperlink" Id="rId112" Target="https://doi.org/10.1061/(ASCE)1090-0241(2007)133:4(381)" TargetMode="External" /><Relationship Type="http://schemas.openxmlformats.org/officeDocument/2006/relationships/hyperlink" Id="rId118" Target="https://doi.org/10.1061/(ASCE)GT.1943-5606.0000012" TargetMode="External" /><Relationship Type="http://schemas.openxmlformats.org/officeDocument/2006/relationships/hyperlink" Id="rId116" Target="https://doi.org/10.1061/(ASCE)GT.1943-5606.0001833" TargetMode="External" /><Relationship Type="http://schemas.openxmlformats.org/officeDocument/2006/relationships/hyperlink" Id="rId114" Target="https://doi.org/10.1061/(ASCE)GT.1943-5606.0002143" TargetMode="External" /><Relationship Type="http://schemas.openxmlformats.org/officeDocument/2006/relationships/hyperlink" Id="rId137" Target="https://doi.org/10.1061/AJGEB6.0000668" TargetMode="External" /><Relationship Type="http://schemas.openxmlformats.org/officeDocument/2006/relationships/hyperlink" Id="rId124" Target="https://doi.org/10.1061/JSFEAQ.0001100" TargetMode="External" /><Relationship Type="http://schemas.openxmlformats.org/officeDocument/2006/relationships/hyperlink" Id="rId126" Target="https://doi.org/10.1061/JSFEAQ.0001756" TargetMode="External" /><Relationship Type="http://schemas.openxmlformats.org/officeDocument/2006/relationships/hyperlink" Id="rId131" Target="https://doi.org/10.1093/oso/9780198562245.001.0001" TargetMode="External" /><Relationship Type="http://schemas.openxmlformats.org/officeDocument/2006/relationships/hyperlink" Id="rId144" Target="https://doi.org/10.1177/8755293019878185" TargetMode="External" /><Relationship Type="http://schemas.openxmlformats.org/officeDocument/2006/relationships/hyperlink" Id="rId128" Target="https://doi.org/10.1177/8755293019878193" TargetMode="External" /><Relationship Type="http://schemas.openxmlformats.org/officeDocument/2006/relationships/hyperlink" Id="rId110" Target="https://doi.org/10.1193/1.2857544" TargetMode="External" /><Relationship Type="http://schemas.openxmlformats.org/officeDocument/2006/relationships/hyperlink" Id="rId135" Target="https://doi.org/10.1193/122516EQS251M" TargetMode="External" /><Relationship Type="http://schemas.openxmlformats.org/officeDocument/2006/relationships/hyperlink" Id="rId139" Target="https://doi.org/10.1680/geot.1965.15.2.139" TargetMode="External" /><Relationship Type="http://schemas.openxmlformats.org/officeDocument/2006/relationships/hyperlink" Id="rId142" Target="https://doi.org/10.2208/jscej1969.1975.57" TargetMode="External" /><Relationship Type="http://schemas.openxmlformats.org/officeDocument/2006/relationships/hyperlink" Id="rId107" Target="https://www.ce.memphis.edu/7137/PDFs/Seismic%20Manual/nchrp_rpt_611.pdf" TargetMode="External" /><Relationship Type="http://schemas.openxmlformats.org/officeDocument/2006/relationships/hyperlink" Id="rId148" Target="https://www.publications.usace.army.mil/Portals/76/Publications/EngineerManuals/EM_1110-2-1902.pdf" TargetMode="External" /><Relationship Type="http://schemas.openxmlformats.org/officeDocument/2006/relationships/hyperlink" Id="rId146" Target="https://www.publications.usace.army.mil/Portals/76/Publications/EngineerRegulations/ER_1110-2-1806.pdf" TargetMode="External" /><Relationship Type="http://schemas.openxmlformats.org/officeDocument/2006/relationships/hyperlink" Id="rId150" Target="https://www.publications.usace.army.mil/portals/76/publications/engineermanuals/em_1110-2-2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Ground-Motion Design Parameters</dc:title>
  <dc:creator/>
  <dc:language>en</dc:language>
  <cp:keywords/>
  <dcterms:created xsi:type="dcterms:W3CDTF">2026-10-15T13:52:43Z</dcterms:created>
  <dcterms:modified xsi:type="dcterms:W3CDTF">2026-10-15T13:52:43Z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_local/gmdp.memo.bib</vt:lpwstr>
  </property>
  <property fmtid="{D5CDD505-2E9C-101B-9397-08002B2CF9AE}" pid="4" name="colorlinks">
    <vt:lpwstr>True</vt:lpwstr>
  </property>
  <property fmtid="{D5CDD505-2E9C-101B-9397-08002B2CF9AE}" pid="5" name="crossref">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number-depth">
    <vt:lpwstr>4</vt:lpwstr>
  </property>
  <property fmtid="{D5CDD505-2E9C-101B-9397-08002B2CF9AE}" pid="13" name="toc-title">
    <vt:lpwstr>Table of Contents</vt:lpwstr>
  </property>
</Properties>
</file>