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76.png" ContentType="image/png"/>
  <Override PartName="/word/media/rId71.png" ContentType="image/png"/>
  <Override PartName="/word/media/rId66.png" ContentType="image/png"/>
  <Override PartName="/word/media/rId61.png" ContentType="image/png"/>
  <Override PartName="/word/media/rId45.png" ContentType="image/png"/>
  <Override PartName="/word/media/rId40.png" ContentType="image/png"/>
  <Override PartName="/word/media/rId35.png" ContentType="image/png"/>
  <Override PartName="/word/media/rId30.png" ContentType="image/png"/>
  <Override PartName="/word/media/srk-na-logo.wmf" ContentType="image/x-wmf"/>
  <Override PartName="/word/srk-empty-header.xml" ContentType="application/vnd.openxmlformats-officedocument.wordprocessingml.header+xml"/>
  <Override PartName="/word/srk-empty-footer.xml" ContentType="application/vnd.openxmlformats-officedocument.wordprocessingml.footer+xml"/>
  <Override PartName="/word/srk-cover-footer.xml" ContentType="application/vnd.openxmlformats-officedocument.wordprocessingml.footer+xml"/>
  <Override PartName="/word/srk-composition.json" ContentType="application/json"/>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sidR="00CB06CD" w:rsidRDefault="00CB06CD">
      <w:pPr>
        <w:pStyle w:val="SRKNormal"/>
        <w:spacing w:before="0" w:after="0" w:line="240" w:lineRule="auto"/>
      </w:pPr>
    </w:p>
    <w:p w:rsidR="003C3A72" w:rsidRDefault="003C3A72">
      <w:pPr>
        <w:pStyle w:val="SRKNormal"/>
        <w:spacing w:before="0" w:after="0" w:line="240" w:lineRule="auto"/>
      </w:pPr>
    </w:p>
    <w:tbl xmlns:wp14="http://schemas.microsoft.com/office/word/2010/wordprocessingDrawing">
      <w:tblPr>
        <w:tblStyle w:val="SRKTableGrid"/>
        <w:tblW w:w="10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00"/>
        <w:gridCol w:w="7560"/>
        <w:gridCol w:w="1440"/>
      </w:tblGrid>
      <w:tr w:rsidR="00065991" w:rsidTr="00065991">
        <w:trPr>
          <w:trHeight w:val="4320"/>
        </w:trPr>
        <w:tc>
          <w:tcPr>
            <w:tcW w:w="1800" w:type="dxa"/>
          </w:tcPr>
          <w:p w:rsidR="00065991" w:rsidRDefault="008701B6" w:rsidP="000C1E61">
            <w:pPr>
              <w:pStyle w:val="SRKNormal"/>
              <w:spacing w:before="0" w:after="0" w:line="240" w:lineRule="auto"/>
            </w:pPr>
          </w:p>
        </w:tc>
        <w:tc>
          <w:tcPr>
            <w:tcW w:w="7560" w:type="dxa"/>
            <w:vAlign w:val="center"/>
          </w:tcPr>
          <w:p>
            <w:pPr>
              <w:pStyle w:val="SRKNormal"/>
              <w:spacing w:line="1210" w:lineRule="exact" w:after="0" w:before="0"/>
            </w:pPr>
          </w:p>
          <w:p w:rsidR="00065991" w:rsidRPr="00C2571C" w:rsidRDefault="00065991" w:rsidP="00C2571C">
            <w:pPr>
              <w:pStyle w:val="SRKNormal"/>
              <w:spacing w:before="0" w:after="0" w:line="240" w:lineRule="auto"/>
            </w:pPr>
          </w:p>
          <w:p w:rsidR="00065991" w:rsidRPr="009F1F63" w:rsidRDefault="00000000" w:rsidP="0009390D">
            <w:pPr>
              <w:pStyle w:val="SRKCover1"/>
              <w:spacing w:before="0" w:after="0" w:line="240" w:lineRule="auto"/>
            </w:pPr>
            <w:r>
              <w:rPr>
                <w:b/>
              </w:rPr>
              <w:t xml:space="preserve">Parámetros de Diseño Sísmico</w:t>
            </w:r>
          </w:p>
        </w:tc>
        <w:tc>
          <w:tcPr>
            <w:tcW w:w="1440" w:type="dxa"/>
            <w:vAlign w:val="center"/>
          </w:tcPr>
          <w:p w:rsidR="00065991" w:rsidRPr="009F1F63" w:rsidRDefault="00065991" w:rsidP="00C2571C">
            <w:pPr>
              <w:pStyle w:val="SRKCover1"/>
              <w:spacing w:before="0" w:after="0" w:line="240" w:lineRule="auto"/>
            </w:pPr>
          </w:p>
        </w:tc>
      </w:tr>
      <w:tr w:rsidR="00DD5F3A" w:rsidTr="00FC2730">
        <w:trPr>
          <w:trHeight w:val="2160"/>
        </w:trPr>
        <w:tc>
          <w:tcPr>
            <w:tcW w:w="1800" w:type="dxa"/>
          </w:tcPr>
          <w:p w:rsidR="00DD5F3A" w:rsidRDefault="00DD5F3A">
            <w:pPr>
              <w:pStyle w:val="SRKNormal"/>
              <w:spacing w:before="0" w:after="0" w:line="240" w:lineRule="auto"/>
            </w:pPr>
          </w:p>
        </w:tc>
        <w:tc>
          <w:tcPr>
            <w:tcW w:w="9000" w:type="dxa"/>
            <w:gridSpan w:val="2"/>
            <w:vAlign w:val="center"/>
          </w:tcPr>
          <w:p w:rsidR="00DD5F3A" w:rsidRDefault="000B4AE4" w:rsidP="00FC2730">
            <w:pPr>
              <w:pStyle w:val="SRKNormal"/>
              <w:spacing w:before="0" w:after="0" w:line="240" w:lineRule="auto"/>
              <w:rPr>
                <w:rStyle w:val="SRKStrong"/>
              </w:rPr>
            </w:pPr>
            <w:r w:rsidRPr="000B4AE4">
              <w:rPr>
                <w:rStyle w:val="SRKStrong"/>
              </w:rPr>
              <w:t>Preparado para</w:t>
            </w:r>
          </w:p>
          <w:p w:rsidR="004066EC" w:rsidRPr="004066EC" w:rsidRDefault="004066EC" w:rsidP="004066EC">
            <w:pPr>
              <w:pStyle w:val="SRKNormal"/>
              <w:spacing w:before="0" w:after="0" w:line="240" w:lineRule="auto"/>
            </w:pPr>
          </w:p>
          <w:p w:rsidR="000B4AE4" w:rsidRPr="009F1F63" w:rsidRDefault="005D2F30" w:rsidP="0083254B">
            <w:pPr>
              <w:pStyle w:val="SRKCover3"/>
              <w:spacing w:before="0" w:after="0" w:line="240" w:lineRule="auto"/>
            </w:pPr>
            <w:r>
              <w:t xml:space="preserve">Canada Nickel Co.</w:t>
            </w:r>
          </w:p>
        </w:tc>
      </w:tr>
      <w:tr w:rsidR="00DD5F3A" w:rsidTr="00F81063">
        <w:trPr>
          <w:trHeight w:val="1872"/>
        </w:trPr>
        <w:tc>
          <w:tcPr>
            <w:tcW w:w="1800" w:type="dxa"/>
          </w:tcPr>
          <w:p w:rsidR="00DD5F3A" w:rsidRDefault="00DD5F3A" w:rsidP="00A741A5">
            <w:pPr>
              <w:pStyle w:val="SRKNormal"/>
              <w:spacing w:before="0" w:after="0" w:line="240" w:lineRule="auto"/>
              <w:ind w:firstLine="720"/>
            </w:pPr>
          </w:p>
          <w:p w:rsidR="00A0506F" w:rsidRDefault="00A0506F" w:rsidP="00A741A5">
            <w:pPr>
              <w:pStyle w:val="SRKNormal"/>
              <w:spacing w:before="0" w:after="0" w:line="240" w:lineRule="auto"/>
              <w:ind w:firstLine="720"/>
            </w:pPr>
          </w:p>
        </w:tc>
        <w:tc>
          <w:tcPr>
            <w:tcW w:w="9000" w:type="dxa"/>
            <w:gridSpan w:val="2"/>
            <w:vAlign w:val="bottom"/>
          </w:tcPr>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A0506F" w:rsidRDefault="00A0506F" w:rsidP="009F1F63">
            <w:pPr>
              <w:pStyle w:val="SRKNormal"/>
              <w:spacing w:before="0" w:after="0" w:line="240" w:lineRule="auto"/>
              <w:rPr>
                <w:rStyle w:val="SRKStrong"/>
              </w:rPr>
            </w:pPr>
          </w:p>
          <w:p w:rsidR="00DD5F3A" w:rsidRPr="004066EC" w:rsidRDefault="004066EC" w:rsidP="009F1F63">
            <w:pPr>
              <w:pStyle w:val="SRKNormal"/>
              <w:spacing w:before="0" w:after="0" w:line="240" w:lineRule="auto"/>
              <w:rPr>
                <w:rStyle w:val="SRKStrong"/>
              </w:rPr>
            </w:pPr>
            <w:r w:rsidRPr="004066EC">
              <w:rPr>
                <w:rStyle w:val="SRKStrong"/>
              </w:rPr>
              <w:t>Preparado por</w:t>
            </w:r>
          </w:p>
          <w:p w:rsidR="004066EC" w:rsidRDefault="00B024E0" w:rsidP="009F1F63">
            <w:pPr>
              <w:pStyle w:val="SRKNormal"/>
              <w:spacing w:before="0" w:after="0" w:line="240" w:lineRule="auto"/>
            </w:pPr>
            <w:r w:rsidRPr="00C8660F">
              <w:rPr>
                <w:noProof/>
                <w:color w:val="808080" w:themeColor="background1" w:themeShade="80"/>
                <w:lang w:val="en-US"/>
              </w:rPr>
              <w:drawing>
                <wp:inline distT="0" distB="0" distL="0" distR="0" wp14:anchorId="0DFFD3A1" wp14:editId="2A668E72">
                  <wp:extent cx="3355848" cy="384048"/>
                  <wp:effectExtent l="0" t="0" r="0" b="0"/>
                  <wp:docPr id="78" name="Picture 5" descr="SRK Consulting logo"/>
                  <wp:cNvGraphicFramePr>
                    <a:graphicFrameLocks noChangeAspect="1"/>
                  </wp:cNvGraphicFramePr>
                  <a:graphic>
                    <a:graphicData uri="http://schemas.openxmlformats.org/drawingml/2006/picture">
                      <pic:pic>
                        <pic:nvPicPr>
                          <pic:cNvPr id="0" name="Picture 2" descr="SRK Consulting 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55848" cy="384048"/>
                          </a:xfrm>
                          <a:prstGeom prst="rect">
                            <a:avLst/>
                          </a:prstGeom>
                          <a:noFill/>
                          <a:ln>
                            <a:noFill/>
                          </a:ln>
                        </pic:spPr>
                      </pic:pic>
                    </a:graphicData>
                  </a:graphic>
                </wp:inline>
              </w:drawing>
            </w:r>
          </w:p>
          <w:p w:rsidR="004066EC" w:rsidRDefault="004066EC" w:rsidP="009F1F63">
            <w:pPr>
              <w:pStyle w:val="SRKNormal"/>
              <w:spacing w:before="0" w:after="0" w:line="240" w:lineRule="auto"/>
            </w:pPr>
          </w:p>
          <w:p w:rsidR="004066EC" w:rsidRDefault="004066EC" w:rsidP="009F1F63">
            <w:pPr>
              <w:pStyle w:val="SRKNormal"/>
              <w:spacing w:before="0" w:after="0" w:line="240" w:lineRule="auto"/>
            </w:pPr>
            <w:r>
              <w:t xml:space="preserve">SRK Consulting (Canada), Inc. and Paterson &amp; Cooke</w:t>
            </w:r>
          </w:p>
          <w:p w:rsidR="004066EC" w:rsidRDefault="005D2F30" w:rsidP="009F1F63">
            <w:pPr>
              <w:pStyle w:val="SRKNormal"/>
              <w:spacing w:before="0" w:after="0" w:line="240" w:lineRule="auto"/>
            </w:pPr>
            <w:r>
              <w:t xml:space="preserve">AR-M2V4D</w:t>
            </w:r>
          </w:p>
          <w:p w:rsidR="00087D7B" w:rsidRDefault="002B42D2" w:rsidP="000D2FC0">
            <w:pPr>
              <w:pStyle w:val="SRKNormal"/>
              <w:spacing w:before="0" w:after="0" w:line="240" w:lineRule="auto"/>
            </w:pPr>
            <w:r>
              <w:rPr>
                <w:lang w:val="en-US"/>
              </w:rPr>
              <w:t xml:space="preserve">15/10/2026</w:t>
            </w:r>
          </w:p>
        </w:tc>
      </w:tr>
    </w:tbl>
    <w:p>
      <w:pPr>
        <w:spacing w:before="0" w:after="0" w:line="20" w:lineRule="exact"/>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pg="http://schemas.microsoft.com/office/word/2010/wordprocessingGroup" xmlns:wpi="http://schemas.microsoft.com/office/word/2010/wordprocessingInk" xmlns:wps="http://schemas.microsoft.com/office/word/2010/wordprocessingShape"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rsidR="00A3180A" w:rsidRPr="00A3180A" w:rsidSect="00DD5F3A">
          <w:headerReference w:type="default" r:id="rId10"/>
          <w:headerReference w:type="first" r:id="rId10"/>
          <w:headerReference w:type="even" r:id="rId10"/>
          <w:footerReference w:type="default" r:id="rId12"/>
          <w:footerReference w:type="first" r:id="rId12"/>
          <w:footerReference w:type="even" r:id="rId12"/>
          <w:type w:val="nextPage"/>
          <w:pgSz w:w="12240" w:h="15840"/>
          <w:pgMar w:top="1440" w:right="1440" w:bottom="1440" w:left="1440" w:header="720" w:footer="720" w:gutter="0"/>
          <w:cols w:space="720"/>
          <w:docGrid w:linePitch="360"/>
        </w:sectPr>
      </w:pPr>
    </w:p>
    <w:tbl xmlns:wp14="http://schemas.microsoft.com/office/word/2010/wordprocessingDrawing">
      <w:tblPr>
        <w:tblStyle w:val="SRK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0"/>
        <w:gridCol w:w="4320"/>
        <w:gridCol w:w="4320"/>
      </w:tblGrid>
      <w:tr w:rsidR="00F34958" w:rsidTr="00A3180A">
        <w:trPr>
          <w:trHeight w:val="3240"/>
        </w:trPr>
        <w:tc>
          <w:tcPr>
            <w:tcW w:w="720" w:type="dxa"/>
          </w:tcPr>
          <w:p w:rsidR="00F34958" w:rsidRDefault="00F34958" w:rsidP="003476C6">
            <w:pPr>
              <w:pStyle w:val="SRKNormal"/>
              <w:spacing w:before="0" w:after="0" w:line="240" w:lineRule="auto"/>
            </w:pPr>
          </w:p>
        </w:tc>
        <w:tc>
          <w:tcPr>
            <w:tcW w:w="8640" w:type="dxa"/>
            <w:gridSpan w:val="2"/>
          </w:tcPr>
          <w:p w:rsidR="00161EDB" w:rsidRPr="00161EDB" w:rsidRDefault="00161EDB" w:rsidP="00161EDB">
            <w:pPr>
              <w:pStyle w:val="SRKNormal"/>
              <w:spacing w:before="0" w:after="0" w:line="240" w:lineRule="auto"/>
            </w:pPr>
          </w:p>
          <w:p w:rsidR="00F34958" w:rsidRDefault="005D2F30" w:rsidP="000D2FC0">
            <w:pPr>
              <w:pStyle w:val="SRKCover2"/>
              <w:spacing w:before="0" w:after="0" w:line="240" w:lineRule="auto"/>
            </w:pPr>
            <w:r>
              <w:t xml:space="preserve">Parámetros de Diseño Sísmico</w:t>
            </w:r>
          </w:p>
        </w:tc>
      </w:tr>
      <w:tr w:rsidR="00F34958" w:rsidTr="00A3180A">
        <w:trPr>
          <w:trHeight w:val="3240"/>
        </w:trPr>
        <w:tc>
          <w:tcPr>
            <w:tcW w:w="720" w:type="dxa"/>
          </w:tcPr>
          <w:p w:rsidR="00F34958" w:rsidRDefault="00F34958" w:rsidP="00D94FB6">
            <w:pPr>
              <w:pStyle w:val="SRKNormal"/>
              <w:tabs>
                <w:tab w:val="left" w:pos="505"/>
              </w:tabs>
              <w:spacing w:before="0" w:after="0" w:line="240" w:lineRule="auto"/>
            </w:pPr>
            <w:r>
              <w:tab/>
            </w:r>
          </w:p>
        </w:tc>
        <w:tc>
          <w:tcPr>
            <w:tcW w:w="8640" w:type="dxa"/>
            <w:gridSpan w:val="2"/>
          </w:tcPr>
          <w:p w:rsidR="00161EDB" w:rsidRPr="00161EDB" w:rsidRDefault="00161EDB" w:rsidP="00161EDB">
            <w:pPr>
              <w:pStyle w:val="SRKNormal"/>
              <w:spacing w:before="0" w:after="0" w:line="240" w:lineRule="auto"/>
            </w:pPr>
          </w:p>
          <w:p w:rsidR="00F34958" w:rsidRDefault="002B42D2" w:rsidP="000D2FC0">
            <w:pPr>
              <w:pStyle w:val="SRKCover4"/>
              <w:spacing w:before="0" w:after="0" w:line="240" w:lineRule="auto"/>
            </w:pPr>
            <w:r>
              <w:rPr>
                <w:lang w:val="en-US"/>
              </w:rPr>
              <w:t xml:space="preserve">15/10/2026</w:t>
            </w:r>
          </w:p>
        </w:tc>
      </w:tr>
      <w:tr w:rsidR="00D94FB6" w:rsidTr="00F34958">
        <w:trPr>
          <w:trHeight w:val="360"/>
        </w:trPr>
        <w:tc>
          <w:tcPr>
            <w:tcW w:w="720" w:type="dxa"/>
          </w:tcPr>
          <w:p w:rsidR="00D94FB6" w:rsidRDefault="00D94FB6" w:rsidP="003476C6">
            <w:pPr>
              <w:pStyle w:val="SRKNormal"/>
              <w:spacing w:before="0" w:after="0" w:line="240" w:lineRule="auto"/>
            </w:pPr>
          </w:p>
        </w:tc>
        <w:tc>
          <w:tcPr>
            <w:tcW w:w="4320" w:type="dxa"/>
            <w:vAlign w:val="center"/>
          </w:tcPr>
          <w:p w:rsidR="00D94FB6" w:rsidRPr="00F34958" w:rsidRDefault="00D94FB6" w:rsidP="00F34958">
            <w:pPr>
              <w:pStyle w:val="SRKNormal"/>
              <w:spacing w:before="0" w:after="0" w:line="240" w:lineRule="auto"/>
              <w:rPr>
                <w:rStyle w:val="SRKStrong"/>
              </w:rPr>
            </w:pPr>
            <w:r w:rsidRPr="00F34958">
              <w:rPr>
                <w:rStyle w:val="SRKStrong"/>
              </w:rPr>
              <w:t>Preparado para</w:t>
            </w:r>
          </w:p>
        </w:tc>
        <w:tc>
          <w:tcPr>
            <w:tcW w:w="4320" w:type="dxa"/>
            <w:vAlign w:val="center"/>
          </w:tcPr>
          <w:p w:rsidR="00D94FB6" w:rsidRPr="00F34958" w:rsidRDefault="00D94FB6" w:rsidP="00F34958">
            <w:pPr>
              <w:pStyle w:val="SRKNormal"/>
              <w:spacing w:before="0" w:after="0" w:line="240" w:lineRule="auto"/>
              <w:rPr>
                <w:rStyle w:val="SRKStrong"/>
              </w:rPr>
            </w:pPr>
            <w:r w:rsidRPr="00F34958">
              <w:rPr>
                <w:rStyle w:val="SRKStrong"/>
              </w:rPr>
              <w:t>Preparado por</w:t>
            </w:r>
          </w:p>
        </w:tc>
      </w:tr>
      <w:tr w:rsidR="00D94FB6" w:rsidRPr="00234DA8" w:rsidTr="00F34958">
        <w:trPr>
          <w:trHeight w:val="1440"/>
        </w:trPr>
        <w:tc>
          <w:tcPr>
            <w:tcW w:w="720" w:type="dxa"/>
          </w:tcPr>
          <w:p w:rsidR="00D94FB6" w:rsidRDefault="00D94FB6" w:rsidP="003476C6">
            <w:pPr>
              <w:pStyle w:val="SRKNormal"/>
              <w:spacing w:before="0" w:after="0" w:line="240" w:lineRule="auto"/>
            </w:pPr>
          </w:p>
        </w:tc>
        <w:tc>
          <w:tcPr>
            <w:tcW w:w="4320" w:type="dxa"/>
          </w:tcPr>
          <w:p w:rsidR="00D94FB6" w:rsidRDefault="00D94FB6" w:rsidP="003476C6">
            <w:pPr>
              <w:pStyle w:val="SRKNormal"/>
              <w:spacing w:before="0" w:after="0" w:line="240" w:lineRule="auto"/>
            </w:pPr>
          </w:p>
          <w:p w:rsidR="00F34958" w:rsidRDefault="005D2F30" w:rsidP="006B1045">
            <w:pPr>
              <w:pStyle w:val="SRKNormal"/>
              <w:spacing w:before="0" w:after="0" w:line="240" w:lineRule="auto"/>
            </w:pPr>
            <w:r>
              <w:t xml:space="preserve">Canada Nickel Co.</w:t>
            </w:r>
          </w:p>
          <w:p w:rsidR="006B1045" w:rsidRDefault="005D2F30" w:rsidP="006B1045">
            <w:pPr>
              <w:pStyle w:val="SRKNormal"/>
              <w:spacing w:before="0" w:after="0" w:line="240" w:lineRule="auto"/>
            </w:pPr>
          </w:p>
          <w:p w:rsidR="006B1045" w:rsidRDefault="005D2F30" w:rsidP="006B1045">
            <w:pPr>
              <w:pStyle w:val="SRKNormal"/>
              <w:spacing w:before="0" w:after="0" w:line="240" w:lineRule="auto"/>
            </w:pPr>
          </w:p>
          <w:p w:rsidR="006B1045" w:rsidRDefault="005D2F30" w:rsidP="006B1045">
            <w:pPr>
              <w:pStyle w:val="SRKNormal"/>
              <w:spacing w:before="0" w:after="0" w:line="240" w:lineRule="auto"/>
            </w:pPr>
          </w:p>
        </w:tc>
        <w:tc>
          <w:tcPr>
            <w:tcW w:w="4320" w:type="dxa"/>
          </w:tcPr>
          <w:p w:rsidR="00D94FB6" w:rsidRPr="005D2F30" w:rsidRDefault="00D94FB6" w:rsidP="003476C6">
            <w:pPr>
              <w:pStyle w:val="SRKNormal"/>
              <w:spacing w:before="0" w:after="0" w:line="240" w:lineRule="auto"/>
              <w:rPr>
                <w:lang w:val="fr-FR"/>
              </w:rPr>
            </w:pPr>
          </w:p>
          <w:p w:rsidR="00F34958" w:rsidRDefault="00F34958" w:rsidP="003476C6">
            <w:pPr>
              <w:pStyle w:val="SRKNormal"/>
              <w:spacing w:before="0" w:after="0" w:line="240" w:lineRule="auto"/>
            </w:pPr>
            <w:r>
              <w:t xml:space="preserve">SRK Consulting (Canada), Inc. and Paterson &amp; Cooke</w:t>
            </w:r>
          </w:p>
          <w:p w:rsidR="00F34958" w:rsidRPr="0066442A" w:rsidRDefault="0066442A" w:rsidP="003476C6">
            <w:pPr>
              <w:pStyle w:val="SRKNormal"/>
              <w:spacing w:before="0" w:after="0" w:line="240" w:lineRule="auto"/>
              <w:rPr>
                <w:lang w:val="fr-FR"/>
              </w:rPr>
            </w:pPr>
          </w:p>
          <w:p w:rsidR="00F34958" w:rsidRPr="0066442A" w:rsidRDefault="0066442A" w:rsidP="003476C6">
            <w:pPr>
              <w:pStyle w:val="SRKNormal"/>
              <w:spacing w:before="0" w:after="0" w:line="240" w:lineRule="auto"/>
              <w:rPr>
                <w:lang w:val="fr-FR"/>
              </w:rPr>
            </w:pPr>
          </w:p>
          <w:p w:rsidR="00F34958" w:rsidRPr="0066442A" w:rsidRDefault="0066442A" w:rsidP="003476C6">
            <w:pPr>
              <w:pStyle w:val="SRKNormal"/>
              <w:spacing w:before="0" w:after="0" w:line="240" w:lineRule="auto"/>
              <w:rPr>
                <w:lang w:val="fr-FR"/>
              </w:rPr>
            </w:pPr>
          </w:p>
          <w:p w:rsidR="00F34958" w:rsidRPr="0066442A" w:rsidRDefault="0066442A" w:rsidP="003476C6">
            <w:pPr>
              <w:pStyle w:val="SRKNormal"/>
              <w:spacing w:before="0" w:after="0" w:line="240" w:lineRule="auto"/>
              <w:rPr>
                <w:lang w:val="fr-FR"/>
              </w:rPr>
            </w:pPr>
          </w:p>
        </w:tc>
      </w:tr>
      <w:tr w:rsidR="00D94FB6" w:rsidRPr="002B42D2" w:rsidTr="00F34958">
        <w:trPr>
          <w:trHeight w:val="1440"/>
        </w:trPr>
        <w:tc>
          <w:tcPr>
            <w:tcW w:w="720" w:type="dxa"/>
          </w:tcPr>
          <w:p w:rsidR="00D94FB6" w:rsidRPr="005C6E19" w:rsidRDefault="00D94FB6" w:rsidP="003476C6">
            <w:pPr>
              <w:pStyle w:val="SRKNormal"/>
              <w:spacing w:before="0" w:after="0" w:line="240" w:lineRule="auto"/>
              <w:rPr>
                <w:lang w:val="en-US"/>
              </w:rPr>
            </w:pPr>
          </w:p>
        </w:tc>
        <w:tc>
          <w:tcPr>
            <w:tcW w:w="4320" w:type="dxa"/>
          </w:tcPr>
          <w:p w:rsidR="00D94FB6" w:rsidRDefault="00F34958" w:rsidP="003476C6">
            <w:pPr>
              <w:pStyle w:val="SRKNormal"/>
              <w:spacing w:before="0" w:after="0" w:line="240" w:lineRule="auto"/>
            </w:pPr>
          </w:p>
          <w:p w:rsidR="00F34958" w:rsidRDefault="00F34958" w:rsidP="00AA3B87">
            <w:pPr>
              <w:pStyle w:val="SRKNormal"/>
              <w:spacing w:before="0" w:after="0" w:line="240" w:lineRule="auto"/>
            </w:pPr>
          </w:p>
        </w:tc>
        <w:tc>
          <w:tcPr>
            <w:tcW w:w="4320" w:type="dxa"/>
          </w:tcPr>
          <w:p w:rsidR="00D94FB6" w:rsidRPr="00536E85" w:rsidRDefault="00F34958" w:rsidP="003476C6">
            <w:pPr>
              <w:pStyle w:val="SRKNormal"/>
              <w:spacing w:before="0" w:after="0" w:line="240" w:lineRule="auto"/>
              <w:rPr>
                <w:lang w:val="de-DE"/>
              </w:rPr>
            </w:pPr>
          </w:p>
          <w:p w:rsidR="00F34958" w:rsidRPr="00536E85" w:rsidRDefault="00F34958" w:rsidP="003476C6">
            <w:pPr>
              <w:pStyle w:val="SRKNormal"/>
              <w:spacing w:before="0" w:after="0" w:line="240" w:lineRule="auto"/>
              <w:rPr>
                <w:lang w:val="de-DE"/>
              </w:rPr>
            </w:pPr>
            <w:r>
              <w:rPr>
                <w:lang w:val="de-DE"/>
              </w:rPr>
              <w:t>Web:</w:t>
              <w:tab/>
              <w:t xml:space="preserve">https://www.srk.com/</w:t>
            </w:r>
          </w:p>
        </w:tc>
      </w:tr>
      <w:tr w:rsidR="00344188" w:rsidTr="00973AC1">
        <w:trPr>
          <w:trHeight w:val="1296"/>
        </w:trPr>
        <w:tc>
          <w:tcPr>
            <w:tcW w:w="720" w:type="dxa"/>
          </w:tcPr>
          <w:p w:rsidR="00344188" w:rsidRPr="00536E85" w:rsidRDefault="00344188" w:rsidP="003476C6">
            <w:pPr>
              <w:pStyle w:val="SRKNormal"/>
              <w:spacing w:before="0" w:after="0" w:line="240" w:lineRule="auto"/>
              <w:rPr>
                <w:lang w:val="de-DE"/>
              </w:rPr>
            </w:pPr>
          </w:p>
        </w:tc>
        <w:tc>
          <w:tcPr>
            <w:tcW w:w="8640" w:type="dxa"/>
            <w:gridSpan w:val="2"/>
          </w:tcPr>
          <w:p w:rsidR="00344188" w:rsidRDefault="00E13AED" w:rsidP="00CA28FE">
            <w:pPr>
              <w:pStyle w:val="SRKNormal"/>
              <w:spacing w:before="0" w:after="0" w:line="240" w:lineRule="auto"/>
            </w:pPr>
            <w:r>
              <w:t>Proyecto:</w:t>
              <w:tab/>
              <w:t xml:space="preserve">AR-M2V4D</w:t>
            </w:r>
          </w:p>
          <w:p w:rsidR="00CA28FE" w:rsidRDefault="00CA28FE" w:rsidP="00CA28FE">
            <w:pPr>
              <w:pStyle w:val="SRKNormal"/>
              <w:spacing w:before="0" w:after="0" w:line="240" w:lineRule="auto"/>
            </w:pPr>
          </w:p>
          <w:p w:rsidR="00CA28FE" w:rsidRDefault="00BD62BB" w:rsidP="00D27056">
            <w:pPr>
              <w:pStyle w:val="SRKNormal"/>
              <w:spacing w:before="0" w:after="0" w:line="240" w:lineRule="auto"/>
            </w:pPr>
            <w:r>
              <w:t>Archivo:</w:t>
              <w:tab/>
              <w:t xml:space="preserve">gmdp.memo.es.docx</w:t>
            </w:r>
          </w:p>
        </w:tc>
      </w:tr>
      <w:tr w:rsidR="00344188" w:rsidTr="00C468F8">
        <w:trPr>
          <w:trHeight w:val="720"/>
        </w:trPr>
        <w:tc>
          <w:tcPr>
            <w:tcW w:w="720" w:type="dxa"/>
          </w:tcPr>
          <w:p w:rsidR="00344188" w:rsidRDefault="00344188" w:rsidP="003476C6">
            <w:pPr>
              <w:pStyle w:val="SRKNormal"/>
              <w:spacing w:before="0" w:after="0" w:line="240" w:lineRule="auto"/>
            </w:pPr>
          </w:p>
        </w:tc>
        <w:tc>
          <w:tcPr>
            <w:tcW w:w="8640" w:type="dxa"/>
            <w:gridSpan w:val="2"/>
            <w:vAlign w:val="bottom"/>
          </w:tcPr>
          <w:p w:rsidR="00344188" w:rsidRDefault="00E634DD" w:rsidP="00A3180A">
            <w:pPr>
              <w:pStyle w:val="SRKNormal"/>
              <w:spacing w:before="0" w:after="0" w:line="240" w:lineRule="auto"/>
            </w:pPr>
          </w:p>
          <w:p w:rsidR="00A3180A" w:rsidRDefault="00A3180A" w:rsidP="00A3180A">
            <w:pPr>
              <w:pStyle w:val="SRKNormal"/>
              <w:spacing w:before="0" w:after="0" w:line="240" w:lineRule="auto"/>
            </w:pPr>
          </w:p>
          <w:p w:rsidR="00A3180A" w:rsidRDefault="00B024E0" w:rsidP="00A3180A">
            <w:pPr>
              <w:pStyle w:val="SRKNormal"/>
              <w:spacing w:before="0" w:after="0" w:line="240" w:lineRule="auto"/>
            </w:pPr>
            <w:r w:rsidRPr="00C8660F">
              <w:rPr>
                <w:noProof/>
                <w:color w:val="808080" w:themeColor="background1" w:themeShade="80"/>
                <w:lang w:val="en-US"/>
              </w:rPr>
              <w:drawing>
                <wp:inline distT="0" distB="0" distL="0" distR="0" wp14:anchorId="3B7385C7" wp14:editId="59DFFF61">
                  <wp:extent cx="3355848" cy="384048"/>
                  <wp:effectExtent l="0" t="0" r="0" b="0"/>
                  <wp:docPr id="79" name="Picture 6" descr="SRK Consulting logo"/>
                  <wp:cNvGraphicFramePr>
                    <a:graphicFrameLocks noChangeAspect="1"/>
                  </wp:cNvGraphicFramePr>
                  <a:graphic>
                    <a:graphicData uri="http://schemas.openxmlformats.org/drawingml/2006/picture">
                      <pic:pic>
                        <pic:nvPicPr>
                          <pic:cNvPr id="0" name="Picture 2" descr="SRK Consulting 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55848" cy="384048"/>
                          </a:xfrm>
                          <a:prstGeom prst="rect">
                            <a:avLst/>
                          </a:prstGeom>
                          <a:noFill/>
                          <a:ln>
                            <a:noFill/>
                          </a:ln>
                        </pic:spPr>
                      </pic:pic>
                    </a:graphicData>
                  </a:graphic>
                </wp:inline>
              </w:drawing>
            </w:r>
          </w:p>
        </w:tc>
      </w:tr>
    </w:tbl>
    <w:p>
      <w:pPr>
        <w:spacing w:before="0" w:after="0" w:line="20" w:lineRule="exact"/>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pg="http://schemas.microsoft.com/office/word/2010/wordprocessingGroup" xmlns:wpi="http://schemas.microsoft.com/office/word/2010/wordprocessingInk" xmlns:wps="http://schemas.microsoft.com/office/word/2010/wordprocessingShape"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rsidR="00A3180A" w:rsidRPr="00A3180A" w:rsidSect="00DD5F3A">
          <w:headerReference w:type="default" r:id="rId10"/>
          <w:headerReference w:type="first" r:id="rId10"/>
          <w:headerReference w:type="even" r:id="rId10"/>
          <w:footerReference w:type="default" r:id="rId11"/>
          <w:footerReference w:type="first" r:id="rId11"/>
          <w:footerReference w:type="even" r:id="rId11"/>
          <w:type w:val="nextPage"/>
          <w:pgSz w:w="12240" w:h="15840"/>
          <w:pgMar w:top="1440" w:right="1440" w:bottom="1440" w:left="1440" w:header="720" w:footer="720" w:gutter="0"/>
          <w:pgNumType w:fmt="lowerRoman" w:start="2"/>
          <w:cols w:space="720"/>
          <w:docGrid w:linePitch="360"/>
        </w:sectPr>
      </w:pPr>
    </w:p>
    <w:bookmarkStart w:id="155" w:name="parámetros-de-diseño-sísmico"/>
    <w:p>
      <w:pPr>
        <w:pStyle w:val="Heading1"/>
      </w:pPr>
      <w:r>
        <w:t xml:space="preserve">Parámetros de Diseño Sísmico</w:t>
      </w:r>
    </w:p>
    <w:p>
      <w:pPr>
        <w:pStyle w:val="FirstParagraph"/>
      </w:pPr>
      <w:r>
        <w:t xml:space="preserve">SRK Consulting (Canada), Inc. and Paterson &amp; Cooke preparó este informe para Canada Nickel Co. en el marco del proyecto AR-M2V4D, ubicado en Timmins, Ontario, Canada. El informe reporta las propiedades dinámicas de los taludes analizados, los desplazamientos permanentes que los sismos de diseño acumulan en sus masas potencialmente deslizantes y los coeficientes sísmicos basados en desempeño derivados de esos desplazamientos. Los modelos de desplazamiento de bloque flexible requieren el período fundamental de cada masa deslizante potencial y la rigidez dinámica del terreno que lo determina: se analizaron 5 escenarios de geometría y material con alturas entre 27 y 135 m, y el período fundamental estimado varía entre 0.22 y 1.28 s.</w:t>
      </w:r>
    </w:p>
    <w:p>
      <w:pPr>
        <w:pStyle w:val="BodyText"/>
      </w:pPr>
      <w:r>
        <w:t xml:space="preserve">El desplazamiento permanente de Newmark</w:t>
      </w:r>
      <w:r>
        <w:t xml:space="preserve"> </w:t>
      </w:r>
      <m:oMath>
        <m:sSub>
          <m:e>
            <m:r>
              <m:t>D</m:t>
            </m:r>
          </m:e>
          <m:sub>
            <m:r>
              <m:t>n</m:t>
            </m:r>
          </m:sub>
        </m:sSub>
      </m:oMath>
      <w:r>
        <w:t xml:space="preserve"> </w:t>
      </w:r>
      <w:r>
        <w:t xml:space="preserve">cuantifica la deformación que el sismo acumula en la masa deslizante y es la medida de desempeño de la que se derivan los coeficientes sísmicos. Las curvas</w:t>
      </w:r>
      <w:r>
        <w:t xml:space="preserve"> </w:t>
      </w:r>
      <m:oMath>
        <m:sSub>
          <m:e>
            <m:r>
              <m:t>D</m:t>
            </m:r>
          </m:e>
          <m:sub>
            <m:r>
              <m:t>n</m:t>
            </m:r>
          </m:sub>
        </m:sSub>
        <m:r>
          <m:rPr>
            <m:sty m:val="p"/>
          </m:rPr>
          <m:t>(</m:t>
        </m:r>
        <m:sSub>
          <m:e>
            <m:r>
              <m:t>k</m:t>
            </m:r>
          </m:e>
          <m:sub>
            <m:r>
              <m:t>y</m:t>
            </m:r>
          </m:sub>
        </m:sSub>
        <m:r>
          <m:rPr>
            <m:sty m:val="p"/>
          </m:rPr>
          <m:t>)</m:t>
        </m:r>
      </m:oMath>
      <w:r>
        <w:t xml:space="preserve"> </w:t>
      </w:r>
      <w:r>
        <w:t xml:space="preserve">relacionan, para cada combinación de geometría, material y escenario de diseño, la aceleración de fluencia</w:t>
      </w:r>
      <w:r>
        <w:t xml:space="preserve"> </w:t>
      </w:r>
      <m:oMath>
        <m:sSub>
          <m:e>
            <m:r>
              <m:t>k</m:t>
            </m:r>
          </m:e>
          <m:sub>
            <m:r>
              <m:t>y</m:t>
            </m:r>
          </m:sub>
        </m:sSub>
      </m:oMath>
      <w:r>
        <w:t xml:space="preserve"> </w:t>
      </w:r>
      <w:r>
        <w:t xml:space="preserve">con el desplazamiento permanente esperado; se calcularon con el conjunto</w:t>
      </w:r>
      <w:r>
        <w:t xml:space="preserve"> </w:t>
      </w:r>
      <w:r>
        <w:rPr>
          <w:rStyle w:val="VerbatimChar"/>
        </w:rPr>
        <w:t xml:space="preserve">ensemble</w:t>
      </w:r>
      <w:r>
        <w:t xml:space="preserve"> </w:t>
      </w:r>
      <w:r>
        <w:t xml:space="preserve">de</w:t>
      </w:r>
      <w:r>
        <w:t xml:space="preserve"> </w:t>
      </w:r>
      <w:r>
        <w:rPr>
          <w:rStyle w:val="VerbatimChar"/>
        </w:rPr>
        <w:t xml:space="preserve">AM88</w:t>
      </w:r>
      <w:r>
        <w:t xml:space="preserve">,</w:t>
      </w:r>
      <w:r>
        <w:t xml:space="preserve"> </w:t>
      </w:r>
      <w:r>
        <w:rPr>
          <w:rStyle w:val="VerbatimChar"/>
        </w:rPr>
        <w:t xml:space="preserve">JB07</w:t>
      </w:r>
      <w:r>
        <w:t xml:space="preserve">,</w:t>
      </w:r>
      <w:r>
        <w:t xml:space="preserve"> </w:t>
      </w:r>
      <w:r>
        <w:rPr>
          <w:rStyle w:val="VerbatimChar"/>
        </w:rPr>
        <w:t xml:space="preserve">SR08</w:t>
      </w:r>
      <w:r>
        <w:t xml:space="preserve">,</w:t>
      </w:r>
      <w:r>
        <w:t xml:space="preserve"> </w:t>
      </w:r>
      <w:r>
        <w:rPr>
          <w:rStyle w:val="VerbatimChar"/>
        </w:rPr>
        <w:t xml:space="preserve">BT07</w:t>
      </w:r>
      <w:r>
        <w:t xml:space="preserve"> </w:t>
      </w:r>
      <w:r>
        <w:t xml:space="preserve">y</w:t>
      </w:r>
      <w:r>
        <w:t xml:space="preserve"> </w:t>
      </w:r>
      <w:r>
        <w:rPr>
          <w:rStyle w:val="VerbatimChar"/>
        </w:rPr>
        <w:t xml:space="preserve">BM19</w:t>
      </w:r>
      <w:r>
        <w:t xml:space="preserve">, con la magnitud de referencia</w:t>
      </w:r>
      <w:r>
        <w:t xml:space="preserve"> </w:t>
      </w:r>
      <m:oMath>
        <m:sSub>
          <m:e>
            <m:r>
              <m:t>M</m:t>
            </m:r>
          </m:e>
          <m:sub>
            <m:r>
              <m:t>w</m:t>
            </m:r>
          </m:sub>
        </m:sSub>
      </m:oMath>
      <w:r>
        <w:t xml:space="preserve"> </w:t>
      </w:r>
      <w:r>
        <w:t xml:space="preserve">= 7.0 y 300 realizaciones por demanda, y se leen en los fractiles</w:t>
      </w:r>
      <w:r>
        <w:t xml:space="preserve"> </w:t>
      </w:r>
      <m:oMath>
        <m:r>
          <m:t>q</m:t>
        </m:r>
        <m:r>
          <m:rPr>
            <m:sty m:val="p"/>
          </m:rPr>
          <m:t>=</m:t>
        </m:r>
        <m:r>
          <m:t>1</m:t>
        </m:r>
        <m:r>
          <m:rPr>
            <m:sty m:val="p"/>
          </m:rPr>
          <m:t>−</m:t>
        </m:r>
        <m:sSub>
          <m:e>
            <m:r>
              <m:t>p</m:t>
            </m:r>
          </m:e>
          <m:sub>
            <m:r>
              <m:t>e</m:t>
            </m:r>
          </m:sub>
        </m:sSub>
      </m:oMath>
      <w:r>
        <w:t xml:space="preserve">. El coeficiente pseudoestático horizontal</w:t>
      </w:r>
      <w:r>
        <w:t xml:space="preserve"> </w:t>
      </w:r>
      <m:oMath>
        <m:sSub>
          <m:e>
            <m:r>
              <m:t>k</m:t>
            </m:r>
          </m:e>
          <m:sub>
            <m:r>
              <m:t>h</m:t>
            </m:r>
          </m:sub>
        </m:sSub>
      </m:oMath>
      <w:r>
        <w:t xml:space="preserve"> </w:t>
      </w:r>
      <w:r>
        <w:t xml:space="preserve">se deriva a su vez del desplazamiento permanente admisible</w:t>
      </w:r>
      <w:r>
        <w:t xml:space="preserve"> </w:t>
      </w:r>
      <m:oMath>
        <m:sSub>
          <m:e>
            <m:r>
              <m:t>D</m:t>
            </m:r>
          </m:e>
          <m:sub>
            <m:r>
              <m:t>a</m:t>
            </m:r>
          </m:sub>
        </m:sSub>
      </m:oMath>
      <w:r>
        <w:t xml:space="preserve"> </w:t>
      </w:r>
      <w:r>
        <w:t xml:space="preserve">de la masa potencialmente deslizante</w:t>
      </w:r>
      <w:r>
        <w:t xml:space="preserve"> </w:t>
      </w:r>
      <w:r>
        <w:t xml:space="preserve">(</w:t>
      </w:r>
      <w:hyperlink w:anchor="ref-BrayTravasarou2009">
        <w:r>
          <w:rPr>
            <w:rStyle w:val="Hyperlink"/>
          </w:rPr>
          <w:t xml:space="preserve">Bray y Travasarou 2009</w:t>
        </w:r>
      </w:hyperlink>
      <w:r>
        <w:t xml:space="preserve">;</w:t>
      </w:r>
      <w:r>
        <w:t xml:space="preserve"> </w:t>
      </w:r>
      <w:hyperlink w:anchor="ref-MacedoEtAl2018">
        <w:r>
          <w:rPr>
            <w:rStyle w:val="Hyperlink"/>
          </w:rPr>
          <w:t xml:space="preserve">Macedo et al. 2018</w:t>
        </w:r>
      </w:hyperlink>
      <w:r>
        <w:t xml:space="preserve">)</w:t>
      </w:r>
      <w:r>
        <w:t xml:space="preserve">; los coeficientes se reportan para cuatro límites de desplazamiento relativo,</w:t>
      </w:r>
      <w:r>
        <w:t xml:space="preserve"> </w:t>
      </w:r>
      <m:oMath>
        <m:sSub>
          <m:e>
            <m:r>
              <m:t>D</m:t>
            </m:r>
          </m:e>
          <m:sub>
            <m:r>
              <m:t>a</m:t>
            </m:r>
          </m:sub>
        </m:sSub>
        <m:r>
          <m:rPr>
            <m:sty m:val="p"/>
          </m:rPr>
          <m:t>/</m:t>
        </m:r>
        <m:sSub>
          <m:e>
            <m:r>
              <m:t>H</m:t>
            </m:r>
          </m:e>
          <m:sub>
            <m:r>
              <m:t>s</m:t>
            </m:r>
          </m:sub>
        </m:sSub>
      </m:oMath>
      <w:r>
        <w:t xml:space="preserve"> </w:t>
      </w:r>
      <w:r>
        <w:t xml:space="preserve">= 0.1, 0.4, 1.0, 2.5 %, y las tablas de la Sección</w:t>
      </w:r>
      <w:r>
        <w:t xml:space="preserve"> </w:t>
      </w:r>
      <w:hyperlink w:anchor="sec-kh-tables">
        <w:r>
          <w:rPr>
            <w:rStyle w:val="Hyperlink"/>
          </w:rPr>
          <w:t xml:space="preserve">1.5</w:t>
        </w:r>
      </w:hyperlink>
      <w:r>
        <w:t xml:space="preserve"> </w:t>
      </w:r>
      <w:r>
        <w:t xml:space="preserve">reúnen, para las demandas y los escenarios analizados, el coeficiente en cada límite, expresado como porcentaje de la PGA.</w:t>
      </w:r>
    </w:p>
    <w:bookmarkStart w:id="9" w:name="sec-criteria"/>
    <w:p>
      <w:pPr>
        <w:pStyle w:val="Heading2"/>
      </w:pPr>
      <w:r>
        <w:t xml:space="preserve">Criterios de diseño sísmico para taludes</w:t>
      </w:r>
    </w:p>
    <w:p>
      <w:pPr>
        <w:pStyle w:val="FirstParagraph"/>
      </w:pPr>
      <w:r>
        <w:t xml:space="preserve">El diseño sísmico de los depósitos de relaves se basa en la filosofía de desempeño de dos niveles consolidada por la práctica de seguridad de presas: un sismo base de operación (OBE), que la instalación debe resistir sin interrupción operacional, y un sismo de evaluación de seguridad (SEE), bajo el cual no debe liberar relaves. El Boletín 148 de ICOLD formaliza esta filosofía para estructuras de terraplén</w:t>
      </w:r>
      <w:r>
        <w:t xml:space="preserve"> </w:t>
      </w:r>
      <w:r>
        <w:t xml:space="preserve">(</w:t>
      </w:r>
      <w:hyperlink w:anchor="ref-ICOLD2016">
        <w:r>
          <w:rPr>
            <w:rStyle w:val="Hyperlink"/>
          </w:rPr>
          <w:t xml:space="preserve">International Commission on Large Dams 2016</w:t>
        </w:r>
      </w:hyperlink>
      <w:r>
        <w:t xml:space="preserve">;</w:t>
      </w:r>
      <w:r>
        <w:t xml:space="preserve"> </w:t>
      </w:r>
      <w:hyperlink w:anchor="ref-ANCOLD2012">
        <w:r>
          <w:rPr>
            <w:rStyle w:val="Hyperlink"/>
          </w:rPr>
          <w:t xml:space="preserve">Australian National Committee on Large Dams 2012</w:t>
        </w:r>
      </w:hyperlink>
      <w:r>
        <w:t xml:space="preserve">)</w:t>
      </w:r>
      <w:r>
        <w:t xml:space="preserve">, y la regulación ER 1110-2-1806 del USACE la expresa en términos del OBE y del sismo máximo de diseño (MDE)</w:t>
      </w:r>
      <w:r>
        <w:t xml:space="preserve"> </w:t>
      </w:r>
      <w:r>
        <w:t xml:space="preserve">(</w:t>
      </w:r>
      <w:hyperlink w:anchor="ref-USACE1995">
        <w:r>
          <w:rPr>
            <w:rStyle w:val="Hyperlink"/>
          </w:rPr>
          <w:t xml:space="preserve">U.S. Army Corps of Engineers 1995</w:t>
        </w:r>
      </w:hyperlink>
      <w:r>
        <w:t xml:space="preserve">)</w:t>
      </w:r>
      <w:r>
        <w:t xml:space="preserve">. En este informe, el MDE corresponde al espectro probabilístico con</w:t>
      </w:r>
      <w:r>
        <w:t xml:space="preserve"> </w:t>
      </w:r>
      <m:oMath>
        <m:sSub>
          <m:e>
            <m:r>
              <m:t>T</m:t>
            </m:r>
          </m:e>
          <m:sub>
            <m:r>
              <m:t>R</m:t>
            </m:r>
          </m:sub>
        </m:sSub>
        <m:r>
          <m:rPr>
            <m:sty m:val="p"/>
          </m:rPr>
          <m:t>=</m:t>
        </m:r>
        <m:r>
          <m:t>10</m:t>
        </m:r>
        <m:r>
          <m:rPr>
            <m:sty m:val="p"/>
          </m:rPr>
          <m:t>,</m:t>
        </m:r>
        <m:r>
          <m:t>000</m:t>
        </m:r>
      </m:oMath>
      <w:r>
        <w:t xml:space="preserve"> </w:t>
      </w:r>
      <w:r>
        <w:t xml:space="preserve">años y el MCE, a la envolvente determinística.</w:t>
      </w:r>
    </w:p>
    <w:p>
      <w:pPr>
        <w:pStyle w:val="BodyText"/>
      </w:pPr>
      <w:r>
        <w:t xml:space="preserve">La verificación de los taludes bajo esos sismos de diseño sigue la práctica que ICOLD y FEMA encuadran para presas y terraplenes mediante niveles sucesivos de análisis: verificaciones pseudoestáticas, estimaciones simplificadas de deformación y análisis dinámicos cuando la consecuencia, la respuesta prevista o la complejidad del mecanismo lo requieren</w:t>
      </w:r>
      <w:r>
        <w:t xml:space="preserve"> </w:t>
      </w:r>
      <w:r>
        <w:t xml:space="preserve">(</w:t>
      </w:r>
      <w:hyperlink w:anchor="ref-ICOLD2016">
        <w:r>
          <w:rPr>
            <w:rStyle w:val="Hyperlink"/>
          </w:rPr>
          <w:t xml:space="preserve">International Commission on Large Dams 2016</w:t>
        </w:r>
      </w:hyperlink>
      <w:r>
        <w:t xml:space="preserve">;</w:t>
      </w:r>
      <w:r>
        <w:t xml:space="preserve"> </w:t>
      </w:r>
      <w:hyperlink w:anchor="ref-FEMA2005">
        <w:r>
          <w:rPr>
            <w:rStyle w:val="Hyperlink"/>
          </w:rPr>
          <w:t xml:space="preserve">Federal Emergency Management Agency 2005</w:t>
        </w:r>
      </w:hyperlink>
      <w:r>
        <w:t xml:space="preserve">)</w:t>
      </w:r>
      <w:r>
        <w:t xml:space="preserve">. En este marco, el método de Newmark aporta una estimación basada en deformaciones que complementa la verificación de equilibrio límite, y el coeficiente pseudoestático de esa verificación es una magnitud específica del proyecto y no una propiedad universal del tipo de estructura. Los manuales EM 1110-2-1902 y EM 1110-2-2100 del USACE incluyen el análisis pseudoestático entre los métodos aplicables a presas y obras de tierra y tratan el bloque deslizante para estimar la deformación sísmica permanente; vinculan la selección del coeficiente con la amenaza específica del sitio, el mecanismo potencial de falla y los criterios de desempeño del proyecto, de modo que el coeficiente resulta de las condiciones de cada proyecto y no de un único valor aplicable a todas ellas</w:t>
      </w:r>
      <w:r>
        <w:t xml:space="preserve"> </w:t>
      </w:r>
      <w:r>
        <w:t xml:space="preserve">(</w:t>
      </w:r>
      <w:hyperlink w:anchor="ref-USACE2003">
        <w:r>
          <w:rPr>
            <w:rStyle w:val="Hyperlink"/>
          </w:rPr>
          <w:t xml:space="preserve">U.S. Army Corps of Engineers 2003</w:t>
        </w:r>
      </w:hyperlink>
      <w:r>
        <w:t xml:space="preserve">,</w:t>
      </w:r>
      <w:r>
        <w:t xml:space="preserve"> </w:t>
      </w:r>
      <w:hyperlink w:anchor="ref-USACE2005">
        <w:r>
          <w:rPr>
            <w:rStyle w:val="Hyperlink"/>
          </w:rPr>
          <w:t xml:space="preserve">2005</w:t>
        </w:r>
      </w:hyperlink>
      <w:r>
        <w:t xml:space="preserve">)</w:t>
      </w:r>
      <w:r>
        <w:t xml:space="preserve">.</w:t>
      </w:r>
    </w:p>
    <w:p>
      <w:pPr>
        <w:pStyle w:val="BodyText"/>
      </w:pPr>
      <w:r>
        <w:t xml:space="preserve">Otras dos referencias relacionan la verificación pseudoestática con la deformación permanente. El Reporte NCHRP 611 formula el análisis sísmico de taludes e infraestructura de transporte en términos de desempeño por desplazamientos y utiliza correlaciones simplificadas de Newmark para relacionar la demanda con la deformación permanente</w:t>
      </w:r>
      <w:r>
        <w:t xml:space="preserve"> </w:t>
      </w:r>
      <w:r>
        <w:t xml:space="preserve">(</w:t>
      </w:r>
      <w:hyperlink w:anchor="ref-AndersonEtAl2008">
        <w:r>
          <w:rPr>
            <w:rStyle w:val="Hyperlink"/>
          </w:rPr>
          <w:t xml:space="preserve">Anderson et al. 2008</w:t>
        </w:r>
      </w:hyperlink>
      <w:r>
        <w:t xml:space="preserve">)</w:t>
      </w:r>
      <w:r>
        <w:t xml:space="preserve">, y el Eurocódigo 8 vincula la acción pseudoestática con la aceleración sísmica de diseño y la clase de consecuencia y admite el cálculo de desplazamientos de Newmark cuando la relación entre la aceleración crítica y la aceleración de diseño justifica una verificación basada en deformaciones</w:t>
      </w:r>
      <w:r>
        <w:t xml:space="preserve"> </w:t>
      </w:r>
      <w:r>
        <w:t xml:space="preserve">(</w:t>
      </w:r>
      <w:hyperlink w:anchor="ref-CEN2004">
        <w:r>
          <w:rPr>
            <w:rStyle w:val="Hyperlink"/>
          </w:rPr>
          <w:t xml:space="preserve">European Committee for Standardization 2004</w:t>
        </w:r>
      </w:hyperlink>
      <w:r>
        <w:t xml:space="preserve">)</w:t>
      </w:r>
      <w:r>
        <w:t xml:space="preserve">. Estas referencias aportan el encuadre y los criterios de comparación para los coeficientes de este informe; sus valores orientativos sirven a esa comparación, y el objetivo de desplazamiento definido para el proyecto gobierna los coeficientes mismos.</w:t>
      </w:r>
    </w:p>
    <w:p>
      <w:pPr>
        <w:pStyle w:val="BodyText"/>
      </w:pPr>
      <w:r>
        <w:t xml:space="preserve">Ese objetivo se expresa como un desplazamiento permanente admisible relativo a la altura del talud. Los coeficientes de este informe se leen contra cuatro umbrales de daño del desplazamiento permanente relativo,</w:t>
      </w:r>
      <w:r>
        <w:t xml:space="preserve"> </w:t>
      </w:r>
      <m:oMath>
        <m:sSub>
          <m:e>
            <m:r>
              <m:t>D</m:t>
            </m:r>
          </m:e>
          <m:sub>
            <m:r>
              <m:t>a</m:t>
            </m:r>
          </m:sub>
        </m:sSub>
        <m:r>
          <m:rPr>
            <m:sty m:val="p"/>
          </m:rPr>
          <m:t>/</m:t>
        </m:r>
        <m:r>
          <m:t>H</m:t>
        </m:r>
      </m:oMath>
      <w:r>
        <w:t xml:space="preserve"> </w:t>
      </w:r>
      <w:r>
        <w:t xml:space="preserve">= 0.1, 0.4, 1.0, 2.5%: las relaciones entre el asentamiento de coronamiento y la altura derivadas de noventa casos históricos de daño sísmico en presas de terraplén y asociadas a los estados límite operativo, de daño, de salvaguardia de la vida y de colapso de la norma italiana de presas NTD14</w:t>
      </w:r>
      <w:r>
        <w:t xml:space="preserve"> </w:t>
      </w:r>
      <w:r>
        <w:t xml:space="preserve">(</w:t>
      </w:r>
      <w:hyperlink w:anchor="ref-Aliberti2019">
        <w:r>
          <w:rPr>
            <w:rStyle w:val="Hyperlink"/>
          </w:rPr>
          <w:t xml:space="preserve">Aliberti et al. 2019</w:t>
        </w:r>
      </w:hyperlink>
      <w:r>
        <w:t xml:space="preserve">)</w:t>
      </w:r>
      <w:r>
        <w:t xml:space="preserve">. Su denominador, la altura del terraplén más el espesor de la fundación deformable, es la altura de talud empleada aquí. Las tablas de coeficientes se reportan en esos umbrales; la derivación de los coeficientes a partir del desplazamiento admisible se desarrolla en la Sección</w:t>
      </w:r>
      <w:r>
        <w:t xml:space="preserve"> </w:t>
      </w:r>
      <w:hyperlink w:anchor="sec-coefficients">
        <w:r>
          <w:rPr>
            <w:rStyle w:val="Hyperlink"/>
          </w:rPr>
          <w:t xml:space="preserve">1.3</w:t>
        </w:r>
      </w:hyperlink>
      <w:r>
        <w:t xml:space="preserve">.</w:t>
      </w:r>
    </w:p>
    <w:bookmarkEnd w:id="9"/>
    <w:bookmarkStart w:id="24" w:name="sec-slope_periods"/>
    <w:p>
      <w:pPr>
        <w:pStyle w:val="Heading2"/>
      </w:pPr>
      <w:r>
        <w:t xml:space="preserve">Propiedades dinámicas de taludes</w:t>
      </w:r>
    </w:p>
    <w:p>
      <w:pPr>
        <w:pStyle w:val="FirstParagraph"/>
      </w:pPr>
      <w:r>
        <w:t xml:space="preserve">Los modelos de desplazamiento de bloque flexible evalúan la demanda espectral en períodos proporcionales al período fundamental de la masa potencialmente deslizante, de modo que cada combinación de geometría y material necesita</w:t>
      </w:r>
      <w:r>
        <w:t xml:space="preserve"> </w:t>
      </w:r>
      <m:oMath>
        <m:sSub>
          <m:e>
            <m:r>
              <m:t>T</m:t>
            </m:r>
          </m:e>
          <m:sub>
            <m:r>
              <m:t>s</m:t>
            </m:r>
          </m:sub>
        </m:sSub>
      </m:oMath>
      <w:r>
        <w:t xml:space="preserve">, que se obtiene a partir de la geometría del talud y de la variación del módulo de corte de pequeña deformación con la profundidad, representada por</w:t>
      </w:r>
      <w:r>
        <w:t xml:space="preserve"> </w:t>
      </w:r>
      <m:oMath>
        <m:sSub>
          <m:e>
            <m:r>
              <m:t>G</m:t>
            </m:r>
          </m:e>
          <m:sub>
            <m:r>
              <m:t>o</m:t>
            </m:r>
          </m:sub>
        </m:sSub>
      </m:oMath>
      <w:r>
        <w:t xml:space="preserve">,</w:t>
      </w:r>
      <w:r>
        <w:t xml:space="preserve"> </w:t>
      </w:r>
      <m:oMath>
        <m:sSub>
          <m:e>
            <m:r>
              <m:t>m</m:t>
            </m:r>
          </m:e>
          <m:sub>
            <m:r>
              <m:t>o</m:t>
            </m:r>
          </m:sub>
        </m:sSub>
      </m:oMath>
      <w:r>
        <w:t xml:space="preserve"> </w:t>
      </w:r>
      <w:r>
        <w:t xml:space="preserve">y</w:t>
      </w:r>
      <w:r>
        <w:t xml:space="preserve"> </w:t>
      </w:r>
      <m:oMath>
        <m:sSubSup>
          <m:e>
            <m:r>
              <m:t>V</m:t>
            </m:r>
          </m:e>
          <m:sub>
            <m:r>
              <m:t>S</m:t>
            </m:r>
          </m:sub>
          <m:sup>
            <m:r>
              <m:t>o</m:t>
            </m:r>
          </m:sup>
        </m:sSubSup>
      </m:oMath>
      <w:r>
        <w:t xml:space="preserve">; los valores medios de</w:t>
      </w:r>
      <w:r>
        <w:t xml:space="preserve"> </w:t>
      </w:r>
      <m:oMath>
        <m:sSub>
          <m:e>
            <m:r>
              <m:t>T</m:t>
            </m:r>
          </m:e>
          <m:sub>
            <m:r>
              <m:t>s</m:t>
            </m:r>
          </m:sub>
        </m:sSub>
      </m:oMath>
      <w:r>
        <w:t xml:space="preserve"> </w:t>
      </w:r>
      <w:r>
        <w:t xml:space="preserve">y</w:t>
      </w:r>
      <w:r>
        <w:t xml:space="preserve"> </w:t>
      </w:r>
      <m:oMath>
        <m:sSub>
          <m:e>
            <m:r>
              <m:t>V</m:t>
            </m:r>
          </m:e>
          <m:sub>
            <m:r>
              <m:t>S</m:t>
            </m:r>
            <m:r>
              <m:t>30</m:t>
            </m:r>
          </m:sub>
        </m:sSub>
      </m:oMath>
      <w:r>
        <w:t xml:space="preserve"> </w:t>
      </w:r>
      <w:r>
        <w:t xml:space="preserve">caracterizan la respuesta dinámica empleada en los modelos de desplazamiento de la sección dedicada a los desplazamientos permanentes. El período fundamental de la masa potencialmente deslizante se representa mediante el primer modo de una viga de corte inhomogénea truncada</w:t>
      </w:r>
      <w:r>
        <w:t xml:space="preserve"> </w:t>
      </w:r>
      <w:r>
        <w:t xml:space="preserve">(</w:t>
      </w:r>
      <w:hyperlink w:anchor="ref-DakoulasGazetas1985Inhomogeneous">
        <w:r>
          <w:rPr>
            <w:rStyle w:val="Hyperlink"/>
          </w:rPr>
          <w:t xml:space="preserve">1985</w:t>
        </w:r>
      </w:hyperlink>
      <w:r>
        <w:t xml:space="preserve">)</w:t>
      </w:r>
      <w:r>
        <w:t xml:space="preserve">:</w:t>
      </w:r>
    </w:p>
    <w:p>
      <w:pPr>
        <w:pStyle w:val="Equation"/>
      </w:pPr>
      <w:bookmarkStart w:id="10" w:name="eq-slope-period"/>
      <w:r>
        <w:tab/>
      </w:r>
      <m:oMath>
        <m:sSub>
          <m:e>
            <m:r>
              <m:t>T</m:t>
            </m:r>
          </m:e>
          <m:sub>
            <m:r>
              <m:t>s</m:t>
            </m:r>
          </m:sub>
        </m:sSub>
        <m:r>
          <m:rPr>
            <m:sty m:val="p"/>
          </m:rPr>
          <m:t>=</m:t>
        </m:r>
        <m:f>
          <m:fPr>
            <m:type m:val="bar"/>
          </m:fPr>
          <m:num>
            <m:r>
              <m:t>4</m:t>
            </m:r>
            <m:r>
              <m:t>π</m:t>
            </m:r>
            <m:r>
              <m:t>H</m:t>
            </m:r>
          </m:num>
          <m:den>
            <m:sSub>
              <m:e>
                <m:r>
                  <m:t>a</m:t>
                </m:r>
              </m:e>
              <m:sub>
                <m:r>
                  <m:t>1</m:t>
                </m:r>
              </m:sub>
            </m:sSub>
            <m:r>
              <m:rPr>
                <m:sty m:val="p"/>
              </m:rPr>
              <m:t>(</m:t>
            </m:r>
            <m:r>
              <m:t>2</m:t>
            </m:r>
            <m:r>
              <m:rPr>
                <m:sty m:val="p"/>
              </m:rPr>
              <m:t>−</m:t>
            </m:r>
            <m:sSub>
              <m:e>
                <m:r>
                  <m:t>m</m:t>
                </m:r>
              </m:e>
              <m:sub>
                <m:r>
                  <m:t>o</m:t>
                </m:r>
              </m:sub>
            </m:sSub>
            <m:r>
              <m:rPr>
                <m:sty m:val="p"/>
              </m:rPr>
              <m:t>)</m:t>
            </m:r>
            <m:sSubSup>
              <m:e>
                <m:r>
                  <m:t>V</m:t>
                </m:r>
              </m:e>
              <m:sub>
                <m:r>
                  <m:t>S</m:t>
                </m:r>
              </m:sub>
              <m:sup>
                <m:r>
                  <m:t>o</m:t>
                </m:r>
              </m:sup>
            </m:sSubSup>
          </m:den>
        </m:f>
        <m:r>
          <m:rPr>
            <m:sty m:val="p"/>
          </m:rPr>
          <m:t>.</m:t>
        </m:r>
      </m:oMath>
      <w:r>
        <w:tab/>
      </w:r>
      <w:r>
        <w:t xml:space="preserve">(1)</w:t>
      </w:r>
      <w:bookmarkEnd w:id="10"/>
    </w:p>
    <w:p>
      <w:pPr>
        <w:pStyle w:val="BodyText"/>
      </w:pPr>
      <w:r>
        <w:t xml:space="preserve">En la expresión</w:t>
      </w:r>
      <w:r>
        <w:t xml:space="preserve"> </w:t>
      </w:r>
      <w:hyperlink w:anchor="eq-slope-period">
        <w:r>
          <w:rPr>
            <w:rStyle w:val="Hyperlink"/>
          </w:rPr>
          <w:t xml:space="preserve">1</w:t>
        </w:r>
      </w:hyperlink>
      <w:r>
        <w:t xml:space="preserve">,</w:t>
      </w:r>
      <w:r>
        <w:t xml:space="preserve"> </w:t>
      </w:r>
      <m:oMath>
        <m:r>
          <m:t>H</m:t>
        </m:r>
        <m:r>
          <m:rPr>
            <m:sty m:val="p"/>
          </m:rPr>
          <m:t>=</m:t>
        </m:r>
        <m:sSub>
          <m:e>
            <m:r>
              <m:t>H</m:t>
            </m:r>
          </m:e>
          <m:sub>
            <m:r>
              <m:t>s</m:t>
            </m:r>
          </m:sub>
        </m:sSub>
        <m:r>
          <m:rPr>
            <m:sty m:val="p"/>
          </m:rPr>
          <m:t>/</m:t>
        </m:r>
        <m:r>
          <m:rPr>
            <m:sty m:val="p"/>
          </m:rPr>
          <m:t>(</m:t>
        </m:r>
        <m:r>
          <m:t>1</m:t>
        </m:r>
        <m:r>
          <m:rPr>
            <m:sty m:val="p"/>
          </m:rPr>
          <m:t>−</m:t>
        </m:r>
        <m:sSub>
          <m:e>
            <m:r>
              <m:t>λ</m:t>
            </m:r>
          </m:e>
          <m:sub>
            <m:r>
              <m:t>o</m:t>
            </m:r>
          </m:sub>
        </m:sSub>
        <m:r>
          <m:rPr>
            <m:sty m:val="p"/>
          </m:rPr>
          <m:t>)</m:t>
        </m:r>
      </m:oMath>
      <w:r>
        <w:t xml:space="preserve"> </w:t>
      </w:r>
      <w:r>
        <w:t xml:space="preserve">es la altura de la cuña truncada desde el vértice de los taludes prolongados hasta la base y</w:t>
      </w:r>
      <w:r>
        <w:t xml:space="preserve"> </w:t>
      </w:r>
      <m:oMath>
        <m:sSub>
          <m:e>
            <m:r>
              <m:t>H</m:t>
            </m:r>
          </m:e>
          <m:sub>
            <m:r>
              <m:t>s</m:t>
            </m:r>
          </m:sub>
        </m:sSub>
      </m:oMath>
      <w:r>
        <w:t xml:space="preserve"> </w:t>
      </w:r>
      <w:r>
        <w:t xml:space="preserve">es la altura del talud;</w:t>
      </w:r>
      <w:r>
        <w:t xml:space="preserve"> </w:t>
      </w:r>
      <m:oMath>
        <m:sSubSup>
          <m:e>
            <m:r>
              <m:t>V</m:t>
            </m:r>
          </m:e>
          <m:sub>
            <m:r>
              <m:t>S</m:t>
            </m:r>
          </m:sub>
          <m:sup>
            <m:r>
              <m:t>o</m:t>
            </m:r>
          </m:sup>
        </m:sSubSup>
      </m:oMath>
      <w:r>
        <w:t xml:space="preserve"> </w:t>
      </w:r>
      <w:r>
        <w:t xml:space="preserve">es la velocidad de onda de corte correspondiente al módulo basal</w:t>
      </w:r>
      <w:r>
        <w:t xml:space="preserve"> </w:t>
      </w:r>
      <m:oMath>
        <m:sSub>
          <m:e>
            <m:r>
              <m:t>G</m:t>
            </m:r>
          </m:e>
          <m:sub>
            <m:r>
              <m:t>o</m:t>
            </m:r>
          </m:sub>
        </m:sSub>
      </m:oMath>
      <w:r>
        <w:t xml:space="preserve">;</w:t>
      </w:r>
      <w:r>
        <w:t xml:space="preserve"> </w:t>
      </w:r>
      <m:oMath>
        <m:sSub>
          <m:e>
            <m:r>
              <m:t>m</m:t>
            </m:r>
          </m:e>
          <m:sub>
            <m:r>
              <m:t>o</m:t>
            </m:r>
          </m:sub>
        </m:sSub>
      </m:oMath>
      <w:r>
        <w:t xml:space="preserve"> </w:t>
      </w:r>
      <w:r>
        <w:t xml:space="preserve">es el exponente del perfil de rigidez; y</w:t>
      </w:r>
      <w:r>
        <w:t xml:space="preserve"> </w:t>
      </w:r>
      <m:oMath>
        <m:sSub>
          <m:e>
            <m:r>
              <m:t>a</m:t>
            </m:r>
          </m:e>
          <m:sub>
            <m:r>
              <m:t>1</m:t>
            </m:r>
          </m:sub>
        </m:sSub>
      </m:oMath>
      <w:r>
        <w:t xml:space="preserve"> </w:t>
      </w:r>
      <w:r>
        <w:t xml:space="preserve">es la primera raíz de la ecuación característica. El valor de</w:t>
      </w:r>
      <w:r>
        <w:t xml:space="preserve"> </w:t>
      </w:r>
      <m:oMath>
        <m:sSub>
          <m:e>
            <m:r>
              <m:t>a</m:t>
            </m:r>
          </m:e>
          <m:sub>
            <m:r>
              <m:t>1</m:t>
            </m:r>
          </m:sub>
        </m:sSub>
      </m:oMath>
      <w:r>
        <w:t xml:space="preserve"> </w:t>
      </w:r>
      <w:r>
        <w:t xml:space="preserve">depende conjuntamente de</w:t>
      </w:r>
      <w:r>
        <w:t xml:space="preserve"> </w:t>
      </w:r>
      <m:oMath>
        <m:sSub>
          <m:e>
            <m:r>
              <m:t>m</m:t>
            </m:r>
          </m:e>
          <m:sub>
            <m:r>
              <m:t>o</m:t>
            </m:r>
          </m:sub>
        </m:sSub>
      </m:oMath>
      <w:r>
        <w:t xml:space="preserve"> </w:t>
      </w:r>
      <w:r>
        <w:t xml:space="preserve">y de la razón de truncamiento</w:t>
      </w:r>
      <w:r>
        <w:t xml:space="preserve"> </w:t>
      </w:r>
      <m:oMath>
        <m:sSub>
          <m:e>
            <m:r>
              <m:t>λ</m:t>
            </m:r>
          </m:e>
          <m:sub>
            <m:r>
              <m:t>o</m:t>
            </m:r>
          </m:sub>
        </m:sSub>
      </m:oMath>
      <w:r>
        <w:t xml:space="preserve">, que puede expresarse, por semejanza geométrica, según la expresión</w:t>
      </w:r>
      <w:r>
        <w:t xml:space="preserve"> </w:t>
      </w:r>
      <w:hyperlink w:anchor="eq-slope-truncation">
        <w:r>
          <w:rPr>
            <w:rStyle w:val="Hyperlink"/>
          </w:rPr>
          <w:t xml:space="preserve">2</w:t>
        </w:r>
      </w:hyperlink>
      <w:r>
        <w:t xml:space="preserve">, donde</w:t>
      </w:r>
      <w:r>
        <w:t xml:space="preserve"> </w:t>
      </w:r>
      <m:oMath>
        <m:r>
          <m:t>b</m:t>
        </m:r>
      </m:oMath>
      <w:r>
        <w:t xml:space="preserve"> </w:t>
      </w:r>
      <w:r>
        <w:t xml:space="preserve">es el ancho de la berma y</w:t>
      </w:r>
      <w:r>
        <w:t xml:space="preserve"> </w:t>
      </w:r>
      <m:oMath>
        <m:sSub>
          <m:e>
            <m:r>
              <m:t>b</m:t>
            </m:r>
          </m:e>
          <m:sub>
            <m:r>
              <m:rPr>
                <m:sty m:val="p"/>
              </m:rPr>
              <m:t>max</m:t>
            </m:r>
          </m:sub>
        </m:sSub>
      </m:oMath>
      <w:r>
        <w:t xml:space="preserve"> </w:t>
      </w:r>
      <w:r>
        <w:t xml:space="preserve">es el ancho de la base.</w:t>
      </w:r>
    </w:p>
    <w:p>
      <w:pPr>
        <w:pStyle w:val="Equation"/>
      </w:pPr>
      <w:bookmarkStart w:id="11" w:name="eq-slope-truncation"/>
      <w:r>
        <w:tab/>
      </w:r>
      <m:oMath>
        <m:sSub>
          <m:e>
            <m:r>
              <m:t>λ</m:t>
            </m:r>
          </m:e>
          <m:sub>
            <m:r>
              <m:t>o</m:t>
            </m:r>
          </m:sub>
        </m:sSub>
        <m:r>
          <m:rPr>
            <m:sty m:val="p"/>
          </m:rPr>
          <m:t>=</m:t>
        </m:r>
        <m:f>
          <m:fPr>
            <m:type m:val="bar"/>
          </m:fPr>
          <m:num>
            <m:r>
              <m:t>b</m:t>
            </m:r>
          </m:num>
          <m:den>
            <m:sSub>
              <m:e>
                <m:r>
                  <m:t>b</m:t>
                </m:r>
              </m:e>
              <m:sub>
                <m:r>
                  <m:rPr>
                    <m:sty m:val="p"/>
                  </m:rPr>
                  <m:t>max</m:t>
                </m:r>
              </m:sub>
            </m:sSub>
          </m:den>
        </m:f>
        <m:r>
          <m:rPr>
            <m:sty m:val="p"/>
          </m:rPr>
          <m:t>.</m:t>
        </m:r>
      </m:oMath>
      <w:r>
        <w:tab/>
      </w:r>
      <w:r>
        <w:t xml:space="preserve">(2)</w:t>
      </w:r>
      <w:bookmarkEnd w:id="11"/>
    </w:p>
    <w:p>
      <w:pPr>
        <w:pStyle w:val="BodyText"/>
      </w:pPr>
      <w:r>
        <w:t xml:space="preserve">Para la sección truncada equivalente del modelo de Dakoulas y Gazetas</w:t>
      </w:r>
      <w:r>
        <w:t xml:space="preserve"> </w:t>
      </w:r>
      <w:r>
        <w:t xml:space="preserve">(</w:t>
      </w:r>
      <w:hyperlink w:anchor="ref-DakoulasGazetas1985Inhomogeneous">
        <w:r>
          <w:rPr>
            <w:rStyle w:val="Hyperlink"/>
          </w:rPr>
          <w:t xml:space="preserve">1985</w:t>
        </w:r>
      </w:hyperlink>
      <w:r>
        <w:t xml:space="preserve">)</w:t>
      </w:r>
      <w:r>
        <w:t xml:space="preserve">, la altura</w:t>
      </w:r>
      <w:r>
        <w:t xml:space="preserve"> </w:t>
      </w:r>
      <m:oMath>
        <m:sSub>
          <m:e>
            <m:r>
              <m:t>H</m:t>
            </m:r>
          </m:e>
          <m:sub>
            <m:r>
              <m:t>s</m:t>
            </m:r>
          </m:sub>
        </m:sSub>
      </m:oMath>
      <w:r>
        <w:t xml:space="preserve">, la relación de talud</w:t>
      </w:r>
      <w:r>
        <w:t xml:space="preserve"> </w:t>
      </w:r>
      <m:oMath>
        <m:r>
          <m:t>s</m:t>
        </m:r>
      </m:oMath>
      <w:r>
        <w:t xml:space="preserve"> </w:t>
      </w:r>
      <w:r>
        <w:t xml:space="preserve">y la razón de truncamiento</w:t>
      </w:r>
      <w:r>
        <w:t xml:space="preserve"> </w:t>
      </w:r>
      <m:oMath>
        <m:sSub>
          <m:e>
            <m:r>
              <m:t>λ</m:t>
            </m:r>
          </m:e>
          <m:sub>
            <m:r>
              <m:t>o</m:t>
            </m:r>
          </m:sub>
        </m:sSub>
      </m:oMath>
      <w:r>
        <w:t xml:space="preserve"> </w:t>
      </w:r>
      <w:r>
        <w:t xml:space="preserve">determinan el ancho</w:t>
      </w:r>
      <w:r>
        <w:t xml:space="preserve"> </w:t>
      </w:r>
      <m:oMath>
        <m:r>
          <m:t>b</m:t>
        </m:r>
      </m:oMath>
      <w:r>
        <w:t xml:space="preserve"> </w:t>
      </w:r>
      <w:r>
        <w:t xml:space="preserve">de la berma y el ancho</w:t>
      </w:r>
      <w:r>
        <w:t xml:space="preserve"> </w:t>
      </w:r>
      <m:oMath>
        <m:sSub>
          <m:e>
            <m:r>
              <m:t>b</m:t>
            </m:r>
          </m:e>
          <m:sub>
            <m:r>
              <m:rPr>
                <m:sty m:val="p"/>
              </m:rPr>
              <m:t>max</m:t>
            </m:r>
          </m:sub>
        </m:sSub>
      </m:oMath>
      <w:r>
        <w:t xml:space="preserve"> </w:t>
      </w:r>
      <w:r>
        <w:t xml:space="preserve">de la base según las expresiones</w:t>
      </w:r>
      <w:r>
        <w:t xml:space="preserve"> </w:t>
      </w:r>
      <w:hyperlink w:anchor="eq-slope-berm-width">
        <w:r>
          <w:rPr>
            <w:rStyle w:val="Hyperlink"/>
          </w:rPr>
          <w:t xml:space="preserve">3</w:t>
        </w:r>
      </w:hyperlink>
      <w:r>
        <w:t xml:space="preserve"> </w:t>
      </w:r>
      <w:r>
        <w:t xml:space="preserve">y</w:t>
      </w:r>
      <w:r>
        <w:t xml:space="preserve"> </w:t>
      </w:r>
      <w:hyperlink w:anchor="eq-slope-base-width">
        <w:r>
          <w:rPr>
            <w:rStyle w:val="Hyperlink"/>
          </w:rPr>
          <w:t xml:space="preserve">4</w:t>
        </w:r>
      </w:hyperlink>
      <w:r>
        <w:t xml:space="preserve">, respectivamente; la relación de talud se define por</w:t>
      </w:r>
      <w:r>
        <w:t xml:space="preserve"> </w:t>
      </w:r>
      <m:oMath>
        <m:r>
          <m:rPr>
            <m:sty m:val="p"/>
          </m:rPr>
          <m:t>tan</m:t>
        </m:r>
        <m:r>
          <m:t>β</m:t>
        </m:r>
        <m:r>
          <m:rPr>
            <m:sty m:val="p"/>
          </m:rPr>
          <m:t>=</m:t>
        </m:r>
        <m:r>
          <m:t>1</m:t>
        </m:r>
        <m:r>
          <m:rPr>
            <m:sty m:val="p"/>
          </m:rPr>
          <m:t>/</m:t>
        </m:r>
        <m:r>
          <m:t>s</m:t>
        </m:r>
      </m:oMath>
      <w:r>
        <w:t xml:space="preserve">, con</w:t>
      </w:r>
      <w:r>
        <w:t xml:space="preserve"> </w:t>
      </w:r>
      <m:oMath>
        <m:r>
          <m:t>β</m:t>
        </m:r>
      </m:oMath>
      <w:r>
        <w:t xml:space="preserve"> </w:t>
      </w:r>
      <w:r>
        <w:t xml:space="preserve">el ángulo del talud.</w:t>
      </w:r>
    </w:p>
    <w:p>
      <w:pPr>
        <w:pStyle w:val="Equation"/>
      </w:pPr>
      <w:bookmarkStart w:id="12" w:name="eq-slope-berm-width"/>
      <w:r>
        <w:tab/>
      </w:r>
      <m:oMath>
        <m:r>
          <m:t>b</m:t>
        </m:r>
        <m:r>
          <m:rPr>
            <m:sty m:val="p"/>
          </m:rPr>
          <m:t>=</m:t>
        </m:r>
        <m:f>
          <m:fPr>
            <m:type m:val="bar"/>
          </m:fPr>
          <m:num>
            <m:r>
              <m:t>2</m:t>
            </m:r>
            <m:sSub>
              <m:e>
                <m:r>
                  <m:t>H</m:t>
                </m:r>
              </m:e>
              <m:sub>
                <m:r>
                  <m:t>s</m:t>
                </m:r>
              </m:sub>
            </m:sSub>
            <m:r>
              <m:t>s</m:t>
            </m:r>
          </m:num>
          <m:den>
            <m:r>
              <m:t>1</m:t>
            </m:r>
            <m:r>
              <m:rPr>
                <m:sty m:val="p"/>
              </m:rPr>
              <m:t>/</m:t>
            </m:r>
            <m:sSub>
              <m:e>
                <m:r>
                  <m:t>λ</m:t>
                </m:r>
              </m:e>
              <m:sub>
                <m:r>
                  <m:t>o</m:t>
                </m:r>
              </m:sub>
            </m:sSub>
            <m:r>
              <m:rPr>
                <m:sty m:val="p"/>
              </m:rPr>
              <m:t>−</m:t>
            </m:r>
            <m:r>
              <m:t>1</m:t>
            </m:r>
          </m:den>
        </m:f>
        <m:r>
          <m:rPr>
            <m:sty m:val="p"/>
          </m:rPr>
          <m:t>.</m:t>
        </m:r>
      </m:oMath>
      <w:r>
        <w:tab/>
      </w:r>
      <w:r>
        <w:t xml:space="preserve">(3)</w:t>
      </w:r>
      <w:bookmarkEnd w:id="12"/>
    </w:p>
    <w:p>
      <w:pPr>
        <w:pStyle w:val="Equation"/>
      </w:pPr>
      <w:bookmarkStart w:id="13" w:name="eq-slope-base-width"/>
      <w:r>
        <w:tab/>
      </w:r>
      <m:oMath>
        <m:sSub>
          <m:e>
            <m:r>
              <m:t>b</m:t>
            </m:r>
          </m:e>
          <m:sub>
            <m:r>
              <m:rPr>
                <m:sty m:val="p"/>
              </m:rPr>
              <m:t>max</m:t>
            </m:r>
          </m:sub>
        </m:sSub>
        <m:r>
          <m:rPr>
            <m:sty m:val="p"/>
          </m:rPr>
          <m:t>=</m:t>
        </m:r>
        <m:r>
          <m:t>b</m:t>
        </m:r>
        <m:r>
          <m:rPr>
            <m:sty m:val="p"/>
          </m:rPr>
          <m:t>+</m:t>
        </m:r>
        <m:r>
          <m:t>2</m:t>
        </m:r>
        <m:sSub>
          <m:e>
            <m:r>
              <m:t>H</m:t>
            </m:r>
          </m:e>
          <m:sub>
            <m:r>
              <m:t>s</m:t>
            </m:r>
          </m:sub>
        </m:sSub>
        <m:r>
          <m:t>s</m:t>
        </m:r>
        <m:r>
          <m:rPr>
            <m:sty m:val="p"/>
          </m:rPr>
          <m:t>.</m:t>
        </m:r>
      </m:oMath>
      <w:r>
        <w:tab/>
      </w:r>
      <w:r>
        <w:t xml:space="preserve">(4)</w:t>
      </w:r>
      <w:bookmarkEnd w:id="13"/>
    </w:p>
    <w:p>
      <w:pPr>
        <w:pStyle w:val="BodyText"/>
      </w:pPr>
      <w:r>
        <w:t xml:space="preserve">En cada realización, la velocidad basal de onda de corte</w:t>
      </w:r>
      <w:r>
        <w:t xml:space="preserve"> </w:t>
      </w:r>
      <m:oMath>
        <m:sSubSup>
          <m:e>
            <m:r>
              <m:t>V</m:t>
            </m:r>
          </m:e>
          <m:sub>
            <m:r>
              <m:t>S</m:t>
            </m:r>
          </m:sub>
          <m:sup>
            <m:r>
              <m:t>o</m:t>
            </m:r>
          </m:sup>
        </m:sSubSup>
      </m:oMath>
      <w:r>
        <w:t xml:space="preserve"> </w:t>
      </w:r>
      <w:r>
        <w:t xml:space="preserve">se obtiene según la expresión</w:t>
      </w:r>
      <w:r>
        <w:t xml:space="preserve"> </w:t>
      </w:r>
      <w:hyperlink w:anchor="eq-slope-basal-velocity">
        <w:r>
          <w:rPr>
            <w:rStyle w:val="Hyperlink"/>
          </w:rPr>
          <w:t xml:space="preserve">5</w:t>
        </w:r>
      </w:hyperlink>
      <w:r>
        <w:t xml:space="preserve">, donde</w:t>
      </w:r>
      <w:r>
        <w:t xml:space="preserve"> </w:t>
      </w:r>
      <m:oMath>
        <m:sSub>
          <m:e>
            <m:r>
              <m:t>G</m:t>
            </m:r>
          </m:e>
          <m:sub>
            <m:r>
              <m:t>o</m:t>
            </m:r>
          </m:sub>
        </m:sSub>
      </m:oMath>
      <w:r>
        <w:t xml:space="preserve"> </w:t>
      </w:r>
      <w:r>
        <w:t xml:space="preserve">es el módulo basal ajustado,</w:t>
      </w:r>
      <w:r>
        <w:t xml:space="preserve"> </w:t>
      </w:r>
      <m:oMath>
        <m:r>
          <m:t>g</m:t>
        </m:r>
      </m:oMath>
      <w:r>
        <w:t xml:space="preserve"> </w:t>
      </w:r>
      <w:r>
        <w:t xml:space="preserve">es la aceleración de la gravedad y</w:t>
      </w:r>
      <w:r>
        <w:t xml:space="preserve"> </w:t>
      </w:r>
      <m:oMath>
        <m:sSubSup>
          <m:e>
            <m:r>
              <m:t>γ</m:t>
            </m:r>
          </m:e>
          <m:sub>
            <m:r>
              <m:rPr>
                <m:sty m:val="p"/>
              </m:rPr>
              <m:t>s</m:t>
            </m:r>
            <m:r>
              <m:rPr>
                <m:sty m:val="p"/>
              </m:rPr>
              <m:t>a</m:t>
            </m:r>
            <m:r>
              <m:rPr>
                <m:sty m:val="p"/>
              </m:rPr>
              <m:t>t</m:t>
            </m:r>
          </m:sub>
          <m:sup>
            <m:r>
              <m:rPr>
                <m:sty m:val="p"/>
              </m:rPr>
              <m:t>(</m:t>
            </m:r>
            <m:sSub>
              <m:e>
                <m:r>
                  <m:t>k</m:t>
                </m:r>
              </m:e>
              <m:sub>
                <m:r>
                  <m:rPr>
                    <m:sty m:val="p"/>
                  </m:rPr>
                  <m:t>b</m:t>
                </m:r>
              </m:sub>
            </m:sSub>
            <m:r>
              <m:rPr>
                <m:sty m:val="p"/>
              </m:rPr>
              <m:t>)</m:t>
            </m:r>
          </m:sup>
        </m:sSubSup>
      </m:oMath>
      <w:r>
        <w:t xml:space="preserve"> </w:t>
      </w:r>
      <w:r>
        <w:t xml:space="preserve">es el peso unitario saturado de la capa basal, cuyo índice es</w:t>
      </w:r>
      <w:r>
        <w:t xml:space="preserve"> </w:t>
      </w:r>
      <m:oMath>
        <m:sSub>
          <m:e>
            <m:r>
              <m:t>k</m:t>
            </m:r>
          </m:e>
          <m:sub>
            <m:r>
              <m:rPr>
                <m:sty m:val="p"/>
              </m:rPr>
              <m:t>b</m:t>
            </m:r>
          </m:sub>
        </m:sSub>
      </m:oMath>
      <w:r>
        <w:t xml:space="preserve">, con las magnitudes expresadas en unidades consistentes.</w:t>
      </w:r>
    </w:p>
    <w:p>
      <w:pPr>
        <w:pStyle w:val="Equation"/>
      </w:pPr>
      <w:bookmarkStart w:id="14" w:name="eq-slope-basal-velocity"/>
      <w:r>
        <w:tab/>
      </w:r>
      <m:oMath>
        <m:sSubSup>
          <m:e>
            <m:r>
              <m:t>V</m:t>
            </m:r>
          </m:e>
          <m:sub>
            <m:r>
              <m:t>S</m:t>
            </m:r>
          </m:sub>
          <m:sup>
            <m:r>
              <m:t>o</m:t>
            </m:r>
          </m:sup>
        </m:sSubSup>
        <m:r>
          <m:rPr>
            <m:sty m:val="p"/>
          </m:rPr>
          <m:t>=</m:t>
        </m:r>
        <m:sSup>
          <m:e>
            <m:d>
              <m:dPr>
                <m:begChr m:val="("/>
                <m:sepChr m:val=""/>
                <m:endChr m:val=")"/>
                <m:grow/>
              </m:dPr>
              <m:e>
                <m:f>
                  <m:fPr>
                    <m:type m:val="bar"/>
                  </m:fPr>
                  <m:num>
                    <m:r>
                      <m:t>g</m:t>
                    </m:r>
                    <m:sSub>
                      <m:e>
                        <m:r>
                          <m:t>G</m:t>
                        </m:r>
                      </m:e>
                      <m:sub>
                        <m:r>
                          <m:t>o</m:t>
                        </m:r>
                      </m:sub>
                    </m:sSub>
                  </m:num>
                  <m:den>
                    <m:sSubSup>
                      <m:e>
                        <m:r>
                          <m:t>γ</m:t>
                        </m:r>
                      </m:e>
                      <m:sub>
                        <m:r>
                          <m:rPr>
                            <m:sty m:val="p"/>
                          </m:rPr>
                          <m:t>s</m:t>
                        </m:r>
                        <m:r>
                          <m:rPr>
                            <m:sty m:val="p"/>
                          </m:rPr>
                          <m:t>a</m:t>
                        </m:r>
                        <m:r>
                          <m:rPr>
                            <m:sty m:val="p"/>
                          </m:rPr>
                          <m:t>t</m:t>
                        </m:r>
                      </m:sub>
                      <m:sup>
                        <m:r>
                          <m:rPr>
                            <m:sty m:val="p"/>
                          </m:rPr>
                          <m:t>(</m:t>
                        </m:r>
                        <m:sSub>
                          <m:e>
                            <m:r>
                              <m:t>k</m:t>
                            </m:r>
                          </m:e>
                          <m:sub>
                            <m:r>
                              <m:rPr>
                                <m:sty m:val="p"/>
                              </m:rPr>
                              <m:t>b</m:t>
                            </m:r>
                          </m:sub>
                        </m:sSub>
                        <m:r>
                          <m:rPr>
                            <m:sty m:val="p"/>
                          </m:rPr>
                          <m:t>)</m:t>
                        </m:r>
                      </m:sup>
                    </m:sSubSup>
                  </m:den>
                </m:f>
              </m:e>
            </m:d>
          </m:e>
          <m:sup>
            <m:r>
              <m:t>1</m:t>
            </m:r>
            <m:r>
              <m:rPr>
                <m:sty m:val="p"/>
              </m:rPr>
              <m:t>/</m:t>
            </m:r>
            <m:r>
              <m:t>2</m:t>
            </m:r>
          </m:sup>
        </m:sSup>
        <m:r>
          <m:rPr>
            <m:sty m:val="p"/>
          </m:rPr>
          <m:t>.</m:t>
        </m:r>
      </m:oMath>
      <w:r>
        <w:tab/>
      </w:r>
      <w:r>
        <w:t xml:space="preserve">(5)</w:t>
      </w:r>
      <w:bookmarkEnd w:id="14"/>
    </w:p>
    <w:p>
      <w:pPr>
        <w:pStyle w:val="BodyText"/>
      </w:pPr>
      <w:r>
        <w:t xml:space="preserve">El perfil de rigidez de cada realización se representa según la expresión</w:t>
      </w:r>
      <w:r>
        <w:t xml:space="preserve"> </w:t>
      </w:r>
      <w:hyperlink w:anchor="eq-slope-profile">
        <w:r>
          <w:rPr>
            <w:rStyle w:val="Hyperlink"/>
          </w:rPr>
          <w:t xml:space="preserve">6</w:t>
        </w:r>
      </w:hyperlink>
      <w:r>
        <w:t xml:space="preserve">, donde</w:t>
      </w:r>
      <w:r>
        <w:t xml:space="preserve"> </w:t>
      </w:r>
      <m:oMath>
        <m:r>
          <m:t>z</m:t>
        </m:r>
      </m:oMath>
      <w:r>
        <w:t xml:space="preserve"> </w:t>
      </w:r>
      <w:r>
        <w:t xml:space="preserve">es la profundidad medida desde la coronación,</w:t>
      </w:r>
      <w:r>
        <w:t xml:space="preserve"> </w:t>
      </w:r>
      <m:oMath>
        <m:sSub>
          <m:e>
            <m:r>
              <m:t>G</m:t>
            </m:r>
          </m:e>
          <m:sub>
            <m:r>
              <m:t>o</m:t>
            </m:r>
          </m:sub>
        </m:sSub>
      </m:oMath>
      <w:r>
        <w:t xml:space="preserve"> </w:t>
      </w:r>
      <w:r>
        <w:t xml:space="preserve">es el módulo ajustado en</w:t>
      </w:r>
      <w:r>
        <w:t xml:space="preserve"> </w:t>
      </w:r>
      <m:oMath>
        <m:r>
          <m:t>z</m:t>
        </m:r>
        <m:r>
          <m:rPr>
            <m:sty m:val="p"/>
          </m:rPr>
          <m:t>/</m:t>
        </m:r>
        <m:sSub>
          <m:e>
            <m:r>
              <m:t>H</m:t>
            </m:r>
          </m:e>
          <m:sub>
            <m:r>
              <m:t>s</m:t>
            </m:r>
          </m:sub>
        </m:sSub>
        <m:r>
          <m:rPr>
            <m:sty m:val="p"/>
          </m:rPr>
          <m:t>=</m:t>
        </m:r>
        <m:r>
          <m:t>1</m:t>
        </m:r>
      </m:oMath>
      <w:r>
        <w:t xml:space="preserve"> </w:t>
      </w:r>
      <w:r>
        <w:t xml:space="preserve">y</w:t>
      </w:r>
      <w:r>
        <w:t xml:space="preserve"> </w:t>
      </w:r>
      <m:oMath>
        <m:sSub>
          <m:e>
            <m:r>
              <m:t>m</m:t>
            </m:r>
          </m:e>
          <m:sub>
            <m:r>
              <m:t>o</m:t>
            </m:r>
          </m:sub>
        </m:sSub>
      </m:oMath>
      <w:r>
        <w:t xml:space="preserve"> </w:t>
      </w:r>
      <w:r>
        <w:t xml:space="preserve">es el exponente obtenido del ajuste logarítmico de los módulos de capa</w:t>
      </w:r>
      <w:r>
        <w:t xml:space="preserve"> </w:t>
      </w:r>
      <m:oMath>
        <m:sSubSup>
          <m:e>
            <m:r>
              <m:t>G</m:t>
            </m:r>
          </m:e>
          <m:sub>
            <m:r>
              <m:t>m</m:t>
            </m:r>
          </m:sub>
          <m:sup>
            <m:r>
              <m:rPr>
                <m:sty m:val="p"/>
              </m:rPr>
              <m:t>(</m:t>
            </m:r>
            <m:r>
              <m:t>k</m:t>
            </m:r>
            <m:r>
              <m:rPr>
                <m:sty m:val="p"/>
              </m:rPr>
              <m:t>)</m:t>
            </m:r>
          </m:sup>
        </m:sSubSup>
      </m:oMath>
      <w:r>
        <w:t xml:space="preserve">; la ecuación característica corresponde a la ley de potencia con la profundidad medida desde el vértice de los taludes prolongados y normalizada por</w:t>
      </w:r>
      <w:r>
        <w:t xml:space="preserve"> </w:t>
      </w:r>
      <m:oMath>
        <m:r>
          <m:t>H</m:t>
        </m:r>
      </m:oMath>
      <w:r>
        <w:t xml:space="preserve"> </w:t>
      </w:r>
      <w:r>
        <w:t xml:space="preserve">(</w:t>
      </w:r>
      <w:hyperlink w:anchor="ref-DakoulasGazetas1985Inhomogeneous">
        <w:r>
          <w:rPr>
            <w:rStyle w:val="Hyperlink"/>
          </w:rPr>
          <w:t xml:space="preserve">1985</w:t>
        </w:r>
      </w:hyperlink>
      <w:r>
        <w:t xml:space="preserve">)</w:t>
      </w:r>
      <w:r>
        <w:t xml:space="preserve">, de modo que evaluar</w:t>
      </w:r>
      <w:r>
        <w:t xml:space="preserve"> </w:t>
      </w:r>
      <m:oMath>
        <m:sSub>
          <m:e>
            <m:r>
              <m:t>a</m:t>
            </m:r>
          </m:e>
          <m:sub>
            <m:r>
              <m:t>1</m:t>
            </m:r>
          </m:sub>
        </m:sSub>
      </m:oMath>
      <w:r>
        <w:t xml:space="preserve"> </w:t>
      </w:r>
      <w:r>
        <w:t xml:space="preserve">con el exponente ajustado desde la coronación es una aproximación.</w:t>
      </w:r>
    </w:p>
    <w:p>
      <w:pPr>
        <w:pStyle w:val="Equation"/>
      </w:pPr>
      <w:bookmarkStart w:id="15" w:name="eq-slope-profile"/>
      <w:r>
        <w:tab/>
      </w:r>
      <m:oMath>
        <m:r>
          <m:t>G</m:t>
        </m:r>
        <m:r>
          <m:rPr>
            <m:sty m:val="p"/>
          </m:rPr>
          <m:t>(</m:t>
        </m:r>
        <m:r>
          <m:t>z</m:t>
        </m:r>
        <m:r>
          <m:rPr>
            <m:sty m:val="p"/>
          </m:rPr>
          <m:t>)</m:t>
        </m:r>
        <m:r>
          <m:rPr>
            <m:sty m:val="p"/>
          </m:rPr>
          <m:t>=</m:t>
        </m:r>
        <m:sSub>
          <m:e>
            <m:r>
              <m:t>G</m:t>
            </m:r>
          </m:e>
          <m:sub>
            <m:r>
              <m:t>o</m:t>
            </m:r>
          </m:sub>
        </m:sSub>
        <m:sSup>
          <m:e>
            <m:d>
              <m:dPr>
                <m:begChr m:val="("/>
                <m:sepChr m:val=""/>
                <m:endChr m:val=")"/>
                <m:grow/>
              </m:dPr>
              <m:e>
                <m:f>
                  <m:fPr>
                    <m:type m:val="bar"/>
                  </m:fPr>
                  <m:num>
                    <m:r>
                      <m:t>z</m:t>
                    </m:r>
                  </m:num>
                  <m:den>
                    <m:sSub>
                      <m:e>
                        <m:r>
                          <m:t>H</m:t>
                        </m:r>
                      </m:e>
                      <m:sub>
                        <m:r>
                          <m:t>s</m:t>
                        </m:r>
                      </m:sub>
                    </m:sSub>
                  </m:den>
                </m:f>
              </m:e>
            </m:d>
          </m:e>
          <m:sup>
            <m:sSub>
              <m:e>
                <m:r>
                  <m:t>m</m:t>
                </m:r>
              </m:e>
              <m:sub>
                <m:r>
                  <m:t>o</m:t>
                </m:r>
              </m:sub>
            </m:sSub>
          </m:sup>
        </m:sSup>
        <m:r>
          <m:rPr>
            <m:sty m:val="p"/>
          </m:rPr>
          <m:t>.</m:t>
        </m:r>
      </m:oMath>
      <w:r>
        <w:tab/>
      </w:r>
      <w:r>
        <w:t xml:space="preserve">(6)</w:t>
      </w:r>
      <w:bookmarkEnd w:id="15"/>
    </w:p>
    <w:p>
      <w:pPr>
        <w:pStyle w:val="BodyText"/>
      </w:pPr>
      <w:r>
        <w:t xml:space="preserve">Los módulos de capa provienen de la clasificación del suelo: la clasificación USCS de la capa</w:t>
      </w:r>
      <w:r>
        <w:t xml:space="preserve"> </w:t>
      </w:r>
      <m:oMath>
        <m:r>
          <m:t>k</m:t>
        </m:r>
      </m:oMath>
      <w:r>
        <w:t xml:space="preserve"> </w:t>
      </w:r>
      <w:r>
        <w:t xml:space="preserve">determina su familia constitutiva y las</w:t>
      </w:r>
      <w:r>
        <w:t xml:space="preserve"> </w:t>
      </w:r>
      <m:oMath>
        <m:sSup>
          <m:e>
            <m:r>
              <m:t>J</m:t>
            </m:r>
          </m:e>
          <m:sup>
            <m:r>
              <m:rPr>
                <m:sty m:val="p"/>
              </m:rPr>
              <m:t>(</m:t>
            </m:r>
            <m:r>
              <m:t>k</m:t>
            </m:r>
            <m:r>
              <m:rPr>
                <m:sty m:val="p"/>
              </m:rPr>
              <m:t>)</m:t>
            </m:r>
          </m:sup>
        </m:sSup>
      </m:oMath>
      <w:r>
        <w:t xml:space="preserve"> </w:t>
      </w:r>
      <w:r>
        <w:t xml:space="preserve">formulaciones tabuladas de rigidez</w:t>
      </w:r>
      <w:r>
        <w:t xml:space="preserve"> </w:t>
      </w:r>
      <w:r>
        <w:t xml:space="preserve">(</w:t>
      </w:r>
      <w:hyperlink w:anchor="ref-Ishihara1996">
        <w:r>
          <w:rPr>
            <w:rStyle w:val="Hyperlink"/>
          </w:rPr>
          <w:t xml:space="preserve">1996</w:t>
        </w:r>
      </w:hyperlink>
      <w:r>
        <w:t xml:space="preserve">)</w:t>
      </w:r>
      <w:r>
        <w:t xml:space="preserve">, y el módulo adoptado para la capa corresponde a la media aritmética definida por la expresión</w:t>
      </w:r>
      <w:r>
        <w:t xml:space="preserve"> </w:t>
      </w:r>
      <w:hyperlink w:anchor="eq-slope-modulus">
        <w:r>
          <w:rPr>
            <w:rStyle w:val="Hyperlink"/>
          </w:rPr>
          <w:t xml:space="preserve">7</w:t>
        </w:r>
      </w:hyperlink>
      <w:r>
        <w:t xml:space="preserve">, donde</w:t>
      </w:r>
      <w:r>
        <w:t xml:space="preserve"> </w:t>
      </w:r>
      <m:oMath>
        <m:sSup>
          <m:e>
            <m:r>
              <m:t>A</m:t>
            </m:r>
          </m:e>
          <m:sup>
            <m:r>
              <m:rPr>
                <m:sty m:val="p"/>
              </m:rPr>
              <m:t>(</m:t>
            </m:r>
            <m:r>
              <m:t>j</m:t>
            </m:r>
            <m:r>
              <m:rPr>
                <m:sty m:val="p"/>
              </m:rPr>
              <m:t>)</m:t>
            </m:r>
          </m:sup>
        </m:sSup>
      </m:oMath>
      <w:r>
        <w:t xml:space="preserve"> </w:t>
      </w:r>
      <w:r>
        <w:t xml:space="preserve">y</w:t>
      </w:r>
      <w:r>
        <w:t xml:space="preserve"> </w:t>
      </w:r>
      <m:oMath>
        <m:sSup>
          <m:e>
            <m:r>
              <m:t>n</m:t>
            </m:r>
          </m:e>
          <m:sup>
            <m:r>
              <m:rPr>
                <m:sty m:val="p"/>
              </m:rPr>
              <m:t>(</m:t>
            </m:r>
            <m:r>
              <m:t>j</m:t>
            </m:r>
            <m:r>
              <m:rPr>
                <m:sty m:val="p"/>
              </m:rPr>
              <m:t>)</m:t>
            </m:r>
          </m:sup>
        </m:sSup>
      </m:oMath>
      <w:r>
        <w:t xml:space="preserve"> </w:t>
      </w:r>
      <w:r>
        <w:t xml:space="preserve">son parámetros tabulados,</w:t>
      </w:r>
      <w:r>
        <w:t xml:space="preserve"> </w:t>
      </w:r>
      <m:oMath>
        <m:sSubSup>
          <m:e>
            <m:r>
              <m:t>F</m:t>
            </m:r>
          </m:e>
          <m:sub>
            <m:r>
              <m:t>e</m:t>
            </m:r>
          </m:sub>
          <m:sup>
            <m:r>
              <m:rPr>
                <m:sty m:val="p"/>
              </m:rPr>
              <m:t>(</m:t>
            </m:r>
            <m:r>
              <m:t>k</m:t>
            </m:r>
            <m:r>
              <m:rPr>
                <m:sty m:val="p"/>
              </m:rPr>
              <m:t>,</m:t>
            </m:r>
            <m:r>
              <m:t>j</m:t>
            </m:r>
            <m:r>
              <m:rPr>
                <m:sty m:val="p"/>
              </m:rPr>
              <m:t>)</m:t>
            </m:r>
          </m:sup>
        </m:sSubSup>
      </m:oMath>
      <w:r>
        <w:t xml:space="preserve"> </w:t>
      </w:r>
      <w:r>
        <w:t xml:space="preserve">es el factor de relación de vacíos,</w:t>
      </w:r>
      <w:r>
        <w:t xml:space="preserve"> </w:t>
      </w:r>
      <m:oMath>
        <m:sSubSup>
          <m:e>
            <m:r>
              <m:t>m</m:t>
            </m:r>
          </m:e>
          <m:sub>
            <m:r>
              <m:t>1</m:t>
            </m:r>
          </m:sub>
          <m:sup>
            <m:r>
              <m:rPr>
                <m:sty m:val="p"/>
              </m:rPr>
              <m:t>(</m:t>
            </m:r>
            <m:r>
              <m:t>k</m:t>
            </m:r>
            <m:r>
              <m:rPr>
                <m:sty m:val="p"/>
              </m:rPr>
              <m:t>)</m:t>
            </m:r>
          </m:sup>
        </m:sSubSup>
      </m:oMath>
      <w:r>
        <w:t xml:space="preserve"> </w:t>
      </w:r>
      <w:r>
        <w:t xml:space="preserve">es el exponente de sobreconsolidación,</w:t>
      </w:r>
      <w:r>
        <w:t xml:space="preserve"> </w:t>
      </w:r>
      <m:oMath>
        <m:sSubSup>
          <m:e>
            <m:r>
              <m:t>p</m:t>
            </m:r>
          </m:e>
          <m:sub>
            <m:r>
              <m:t>m</m:t>
            </m:r>
          </m:sub>
          <m:sup>
            <m:r>
              <m:rPr>
                <m:sty m:val="p"/>
              </m:rPr>
              <m:t>(</m:t>
            </m:r>
            <m:r>
              <m:t>k</m:t>
            </m:r>
            <m:r>
              <m:rPr>
                <m:sty m:val="p"/>
              </m:rPr>
              <m:t>)</m:t>
            </m:r>
          </m:sup>
        </m:sSubSup>
      </m:oMath>
      <w:r>
        <w:t xml:space="preserve"> </w:t>
      </w:r>
      <w:r>
        <w:t xml:space="preserve">es la tensión normal octaédrica efectiva promediada en el espesor de la capa y</w:t>
      </w:r>
      <w:r>
        <w:t xml:space="preserve"> </w:t>
      </w:r>
      <m:oMath>
        <m:sSub>
          <m:e>
            <m:r>
              <m:t>p</m:t>
            </m:r>
          </m:e>
          <m:sub>
            <m:r>
              <m:rPr>
                <m:sty m:val="p"/>
              </m:rPr>
              <m:t>r</m:t>
            </m:r>
            <m:r>
              <m:rPr>
                <m:sty m:val="p"/>
              </m:rPr>
              <m:t>e</m:t>
            </m:r>
            <m:r>
              <m:rPr>
                <m:sty m:val="p"/>
              </m:rPr>
              <m:t>f</m:t>
            </m:r>
          </m:sub>
        </m:sSub>
        <m:r>
          <m:rPr>
            <m:sty m:val="p"/>
          </m:rPr>
          <m:t>=</m:t>
        </m:r>
        <m:r>
          <m:t>100</m:t>
        </m:r>
      </m:oMath>
      <w:r>
        <w:t xml:space="preserve"> </w:t>
      </w:r>
      <w:r>
        <w:t xml:space="preserve">kPa es la presión de normalización.</w:t>
      </w:r>
    </w:p>
    <w:p>
      <w:pPr>
        <w:pStyle w:val="Equation"/>
      </w:pPr>
      <w:bookmarkStart w:id="16" w:name="eq-slope-modulus"/>
      <w:r>
        <w:tab/>
      </w:r>
      <m:oMath>
        <m:sSubSup>
          <m:e>
            <m:r>
              <m:t>G</m:t>
            </m:r>
          </m:e>
          <m:sub>
            <m:r>
              <m:t>m</m:t>
            </m:r>
          </m:sub>
          <m:sup>
            <m:r>
              <m:rPr>
                <m:sty m:val="p"/>
              </m:rPr>
              <m:t>(</m:t>
            </m:r>
            <m:r>
              <m:t>k</m:t>
            </m:r>
            <m:r>
              <m:rPr>
                <m:sty m:val="p"/>
              </m:rPr>
              <m:t>)</m:t>
            </m:r>
          </m:sup>
        </m:sSubSup>
        <m:r>
          <m:rPr>
            <m:sty m:val="p"/>
          </m:rPr>
          <m:t>=</m:t>
        </m:r>
        <m:f>
          <m:fPr>
            <m:type m:val="bar"/>
          </m:fPr>
          <m:num>
            <m:r>
              <m:t>1</m:t>
            </m:r>
          </m:num>
          <m:den>
            <m:sSup>
              <m:e>
                <m:r>
                  <m:t>J</m:t>
                </m:r>
              </m:e>
              <m:sup>
                <m:r>
                  <m:rPr>
                    <m:sty m:val="p"/>
                  </m:rPr>
                  <m:t>(</m:t>
                </m:r>
                <m:r>
                  <m:t>k</m:t>
                </m:r>
                <m:r>
                  <m:rPr>
                    <m:sty m:val="p"/>
                  </m:rPr>
                  <m:t>)</m:t>
                </m:r>
              </m:sup>
            </m:sSup>
          </m:den>
        </m:f>
        <m:nary>
          <m:naryPr>
            <m:chr m:val="∑"/>
            <m:limLoc m:val="undOvr"/>
            <m:subHide m:val="off"/>
            <m:supHide m:val="off"/>
          </m:naryPr>
          <m:sub>
            <m:r>
              <m:t>j</m:t>
            </m:r>
            <m:r>
              <m:rPr>
                <m:sty m:val="p"/>
              </m:rPr>
              <m:t>=</m:t>
            </m:r>
            <m:r>
              <m:t>1</m:t>
            </m:r>
          </m:sub>
          <m:sup>
            <m:sSup>
              <m:e>
                <m:r>
                  <m:t>J</m:t>
                </m:r>
              </m:e>
              <m:sup>
                <m:r>
                  <m:rPr>
                    <m:sty m:val="p"/>
                  </m:rPr>
                  <m:t>(</m:t>
                </m:r>
                <m:r>
                  <m:t>k</m:t>
                </m:r>
                <m:r>
                  <m:rPr>
                    <m:sty m:val="p"/>
                  </m:rPr>
                  <m:t>)</m:t>
                </m:r>
              </m:sup>
            </m:sSup>
          </m:sup>
          <m:e>
            <m:sSup>
              <m:e>
                <m:r>
                  <m:t>A</m:t>
                </m:r>
              </m:e>
              <m:sup>
                <m:r>
                  <m:rPr>
                    <m:sty m:val="p"/>
                  </m:rPr>
                  <m:t>(</m:t>
                </m:r>
                <m:r>
                  <m:t>j</m:t>
                </m:r>
                <m:r>
                  <m:rPr>
                    <m:sty m:val="p"/>
                  </m:rPr>
                  <m:t>)</m:t>
                </m:r>
              </m:sup>
            </m:sSup>
          </m:e>
        </m:nary>
        <m:sSubSup>
          <m:e>
            <m:r>
              <m:t>F</m:t>
            </m:r>
          </m:e>
          <m:sub>
            <m:r>
              <m:t>e</m:t>
            </m:r>
          </m:sub>
          <m:sup>
            <m:r>
              <m:rPr>
                <m:sty m:val="p"/>
              </m:rPr>
              <m:t>(</m:t>
            </m:r>
            <m:r>
              <m:t>k</m:t>
            </m:r>
            <m:r>
              <m:rPr>
                <m:sty m:val="p"/>
              </m:rPr>
              <m:t>,</m:t>
            </m:r>
            <m:r>
              <m:t>j</m:t>
            </m:r>
            <m:r>
              <m:rPr>
                <m:sty m:val="p"/>
              </m:rPr>
              <m:t>)</m:t>
            </m:r>
          </m:sup>
        </m:sSubSup>
        <m:sSup>
          <m:e>
            <m:d>
              <m:dPr>
                <m:begChr m:val="["/>
                <m:sepChr m:val=""/>
                <m:endChr m:val="]"/>
                <m:grow/>
              </m:dPr>
              <m:e>
                <m:sSup>
                  <m:e>
                    <m:r>
                      <m:rPr>
                        <m:sty m:val="p"/>
                      </m:rPr>
                      <m:t>O</m:t>
                    </m:r>
                    <m:r>
                      <m:rPr>
                        <m:sty m:val="p"/>
                      </m:rPr>
                      <m:t>C</m:t>
                    </m:r>
                    <m:r>
                      <m:rPr>
                        <m:sty m:val="p"/>
                      </m:rPr>
                      <m:t>R</m:t>
                    </m:r>
                  </m:e>
                  <m:sup>
                    <m:r>
                      <m:rPr>
                        <m:sty m:val="p"/>
                      </m:rPr>
                      <m:t>(</m:t>
                    </m:r>
                    <m:r>
                      <m:t>k</m:t>
                    </m:r>
                    <m:r>
                      <m:rPr>
                        <m:sty m:val="p"/>
                      </m:rPr>
                      <m:t>)</m:t>
                    </m:r>
                  </m:sup>
                </m:sSup>
              </m:e>
            </m:d>
          </m:e>
          <m:sup>
            <m:sSubSup>
              <m:e>
                <m:r>
                  <m:t>m</m:t>
                </m:r>
              </m:e>
              <m:sub>
                <m:r>
                  <m:t>1</m:t>
                </m:r>
              </m:sub>
              <m:sup>
                <m:r>
                  <m:rPr>
                    <m:sty m:val="p"/>
                  </m:rPr>
                  <m:t>(</m:t>
                </m:r>
                <m:r>
                  <m:t>k</m:t>
                </m:r>
                <m:r>
                  <m:rPr>
                    <m:sty m:val="p"/>
                  </m:rPr>
                  <m:t>)</m:t>
                </m:r>
              </m:sup>
            </m:sSubSup>
          </m:sup>
        </m:sSup>
        <m:sSubSup>
          <m:e>
            <m:r>
              <m:t>p</m:t>
            </m:r>
          </m:e>
          <m:sub>
            <m:r>
              <m:rPr>
                <m:sty m:val="p"/>
              </m:rPr>
              <m:t>r</m:t>
            </m:r>
            <m:r>
              <m:rPr>
                <m:sty m:val="p"/>
              </m:rPr>
              <m:t>e</m:t>
            </m:r>
            <m:r>
              <m:rPr>
                <m:sty m:val="p"/>
              </m:rPr>
              <m:t>f</m:t>
            </m:r>
          </m:sub>
          <m:sup>
            <m:sSup>
              <m:e>
                <m:r>
                  <m:t>n</m:t>
                </m:r>
              </m:e>
              <m:sup>
                <m:r>
                  <m:rPr>
                    <m:sty m:val="p"/>
                  </m:rPr>
                  <m:t>(</m:t>
                </m:r>
                <m:r>
                  <m:t>j</m:t>
                </m:r>
                <m:r>
                  <m:rPr>
                    <m:sty m:val="p"/>
                  </m:rPr>
                  <m:t>)</m:t>
                </m:r>
              </m:sup>
            </m:sSup>
          </m:sup>
        </m:sSubSup>
        <m:sSup>
          <m:e>
            <m:d>
              <m:dPr>
                <m:begChr m:val="("/>
                <m:sepChr m:val=""/>
                <m:endChr m:val=")"/>
                <m:grow/>
              </m:dPr>
              <m:e>
                <m:f>
                  <m:fPr>
                    <m:type m:val="bar"/>
                  </m:fPr>
                  <m:num>
                    <m:sSubSup>
                      <m:e>
                        <m:r>
                          <m:t>p</m:t>
                        </m:r>
                      </m:e>
                      <m:sub>
                        <m:r>
                          <m:t>m</m:t>
                        </m:r>
                      </m:sub>
                      <m:sup>
                        <m:r>
                          <m:rPr>
                            <m:sty m:val="p"/>
                          </m:rPr>
                          <m:t>(</m:t>
                        </m:r>
                        <m:r>
                          <m:t>k</m:t>
                        </m:r>
                        <m:r>
                          <m:rPr>
                            <m:sty m:val="p"/>
                          </m:rPr>
                          <m:t>)</m:t>
                        </m:r>
                      </m:sup>
                    </m:sSubSup>
                  </m:num>
                  <m:den>
                    <m:sSub>
                      <m:e>
                        <m:r>
                          <m:t>p</m:t>
                        </m:r>
                      </m:e>
                      <m:sub>
                        <m:r>
                          <m:rPr>
                            <m:sty m:val="p"/>
                          </m:rPr>
                          <m:t>r</m:t>
                        </m:r>
                        <m:r>
                          <m:rPr>
                            <m:sty m:val="p"/>
                          </m:rPr>
                          <m:t>e</m:t>
                        </m:r>
                        <m:r>
                          <m:rPr>
                            <m:sty m:val="p"/>
                          </m:rPr>
                          <m:t>f</m:t>
                        </m:r>
                      </m:sub>
                    </m:sSub>
                  </m:den>
                </m:f>
              </m:e>
            </m:d>
          </m:e>
          <m:sup>
            <m:sSup>
              <m:e>
                <m:r>
                  <m:t>n</m:t>
                </m:r>
              </m:e>
              <m:sup>
                <m:r>
                  <m:rPr>
                    <m:sty m:val="p"/>
                  </m:rPr>
                  <m:t>(</m:t>
                </m:r>
                <m:r>
                  <m:t>j</m:t>
                </m:r>
                <m:r>
                  <m:rPr>
                    <m:sty m:val="p"/>
                  </m:rPr>
                  <m:t>)</m:t>
                </m:r>
              </m:sup>
            </m:sSup>
          </m:sup>
        </m:sSup>
        <m:r>
          <m:rPr>
            <m:sty m:val="p"/>
          </m:rPr>
          <m:t>.</m:t>
        </m:r>
      </m:oMath>
      <w:r>
        <w:tab/>
      </w:r>
      <w:r>
        <w:t xml:space="preserve">(7)</w:t>
      </w:r>
      <w:bookmarkEnd w:id="16"/>
    </w:p>
    <w:p>
      <w:pPr>
        <w:pStyle w:val="BodyText"/>
      </w:pPr>
      <w:r>
        <w:t xml:space="preserve">La tensión normal octaédrica efectiva, promediada en el espesor de la capa</w:t>
      </w:r>
      <w:r>
        <w:t xml:space="preserve"> </w:t>
      </w:r>
      <m:oMath>
        <m:r>
          <m:t>k</m:t>
        </m:r>
      </m:oMath>
      <w:r>
        <w:t xml:space="preserve">,</w:t>
      </w:r>
      <w:r>
        <w:t xml:space="preserve"> </w:t>
      </w:r>
      <m:oMath>
        <m:sSubSup>
          <m:e>
            <m:r>
              <m:t>p</m:t>
            </m:r>
          </m:e>
          <m:sub>
            <m:r>
              <m:t>m</m:t>
            </m:r>
          </m:sub>
          <m:sup>
            <m:r>
              <m:rPr>
                <m:sty m:val="p"/>
              </m:rPr>
              <m:t>(</m:t>
            </m:r>
            <m:r>
              <m:t>k</m:t>
            </m:r>
            <m:r>
              <m:rPr>
                <m:sty m:val="p"/>
              </m:rPr>
              <m:t>)</m:t>
            </m:r>
          </m:sup>
        </m:sSubSup>
      </m:oMath>
      <w:r>
        <w:t xml:space="preserve"> </w:t>
      </w:r>
      <w:r>
        <w:t xml:space="preserve">(</w:t>
      </w:r>
      <w:hyperlink w:anchor="ref-HardinBlack1968">
        <w:r>
          <w:rPr>
            <w:rStyle w:val="Hyperlink"/>
          </w:rPr>
          <w:t xml:space="preserve">1968</w:t>
        </w:r>
      </w:hyperlink>
      <w:r>
        <w:t xml:space="preserve">;</w:t>
      </w:r>
      <w:r>
        <w:t xml:space="preserve"> </w:t>
      </w:r>
      <w:hyperlink w:anchor="ref-HardinDrnevich1972">
        <w:r>
          <w:rPr>
            <w:rStyle w:val="Hyperlink"/>
          </w:rPr>
          <w:t xml:space="preserve">1972</w:t>
        </w:r>
      </w:hyperlink>
      <w:r>
        <w:t xml:space="preserve">)</w:t>
      </w:r>
      <w:r>
        <w:t xml:space="preserve">, se obtiene, para el estado de esfuerzos en reposo, según la expresión</w:t>
      </w:r>
      <w:r>
        <w:t xml:space="preserve"> </w:t>
      </w:r>
      <w:hyperlink w:anchor="eq-slope-mean-pressure">
        <w:r>
          <w:rPr>
            <w:rStyle w:val="Hyperlink"/>
          </w:rPr>
          <w:t xml:space="preserve">8</w:t>
        </w:r>
      </w:hyperlink>
      <w:r>
        <w:t xml:space="preserve">, donde</w:t>
      </w:r>
      <w:r>
        <w:t xml:space="preserve"> </w:t>
      </w:r>
      <m:oMath>
        <m:sSub>
          <m:e>
            <m:r>
              <m:t>K</m:t>
            </m:r>
          </m:e>
          <m:sub>
            <m:r>
              <m:t>0</m:t>
            </m:r>
          </m:sub>
        </m:sSub>
      </m:oMath>
      <w:r>
        <w:t xml:space="preserve"> </w:t>
      </w:r>
      <w:r>
        <w:t xml:space="preserve">es el coeficiente de presión lateral en reposo,</w:t>
      </w:r>
      <w:r>
        <w:t xml:space="preserve"> </w:t>
      </w:r>
      <m:oMath>
        <m:sSup>
          <m:e>
            <m:r>
              <m:t>γ</m:t>
            </m:r>
          </m:e>
          <m:sup>
            <m:r>
              <m:rPr>
                <m:sty m:val="p"/>
              </m:rPr>
              <m:t>(</m:t>
            </m:r>
            <m:r>
              <m:t>ℓ</m:t>
            </m:r>
            <m:r>
              <m:rPr>
                <m:sty m:val="p"/>
              </m:rPr>
              <m:t>)</m:t>
            </m:r>
          </m:sup>
        </m:sSup>
      </m:oMath>
      <w:r>
        <w:t xml:space="preserve"> </w:t>
      </w:r>
      <w:r>
        <w:t xml:space="preserve">y</w:t>
      </w:r>
      <w:r>
        <w:t xml:space="preserve"> </w:t>
      </w:r>
      <m:oMath>
        <m:sSup>
          <m:e>
            <m:r>
              <m:t>h</m:t>
            </m:r>
          </m:e>
          <m:sup>
            <m:r>
              <m:rPr>
                <m:sty m:val="p"/>
              </m:rPr>
              <m:t>(</m:t>
            </m:r>
            <m:r>
              <m:t>ℓ</m:t>
            </m:r>
            <m:r>
              <m:rPr>
                <m:sty m:val="p"/>
              </m:rPr>
              <m:t>)</m:t>
            </m:r>
          </m:sup>
        </m:sSup>
      </m:oMath>
      <w:r>
        <w:t xml:space="preserve"> </w:t>
      </w:r>
      <w:r>
        <w:t xml:space="preserve">son el peso unitario correspondiente a la condición freática y el espesor de la capa</w:t>
      </w:r>
      <w:r>
        <w:t xml:space="preserve"> </w:t>
      </w:r>
      <m:oMath>
        <m:r>
          <m:t>ℓ</m:t>
        </m:r>
      </m:oMath>
      <w:r>
        <w:t xml:space="preserve">, y</w:t>
      </w:r>
      <w:r>
        <w:t xml:space="preserve"> </w:t>
      </w:r>
      <m:oMath>
        <m:r>
          <m:t>ℓ</m:t>
        </m:r>
        <m:r>
          <m:rPr>
            <m:sty m:val="p"/>
          </m:rPr>
          <m:t>&lt;</m:t>
        </m:r>
        <m:r>
          <m:t>k</m:t>
        </m:r>
      </m:oMath>
      <w:r>
        <w:t xml:space="preserve"> </w:t>
      </w:r>
      <w:r>
        <w:t xml:space="preserve">identifica las capas suprayacentes.</w:t>
      </w:r>
    </w:p>
    <w:p>
      <w:pPr>
        <w:pStyle w:val="Equation"/>
      </w:pPr>
      <w:bookmarkStart w:id="17" w:name="eq-slope-mean-pressure"/>
      <w:r>
        <w:tab/>
      </w:r>
      <m:oMath>
        <m:sSubSup>
          <m:e>
            <m:r>
              <m:t>p</m:t>
            </m:r>
          </m:e>
          <m:sub>
            <m:r>
              <m:t>m</m:t>
            </m:r>
          </m:sub>
          <m:sup>
            <m:r>
              <m:rPr>
                <m:sty m:val="p"/>
              </m:rPr>
              <m:t>(</m:t>
            </m:r>
            <m:r>
              <m:t>k</m:t>
            </m:r>
            <m:r>
              <m:rPr>
                <m:sty m:val="p"/>
              </m:rPr>
              <m:t>)</m:t>
            </m:r>
          </m:sup>
        </m:sSubSup>
        <m:r>
          <m:rPr>
            <m:sty m:val="p"/>
          </m:rPr>
          <m:t>=</m:t>
        </m:r>
        <m:f>
          <m:fPr>
            <m:type m:val="bar"/>
          </m:fPr>
          <m:num>
            <m:r>
              <m:t>1</m:t>
            </m:r>
            <m:r>
              <m:rPr>
                <m:sty m:val="p"/>
              </m:rPr>
              <m:t>+</m:t>
            </m:r>
            <m:r>
              <m:t>2</m:t>
            </m:r>
            <m:sSub>
              <m:e>
                <m:r>
                  <m:t>K</m:t>
                </m:r>
              </m:e>
              <m:sub>
                <m:r>
                  <m:t>0</m:t>
                </m:r>
              </m:sub>
            </m:sSub>
          </m:num>
          <m:den>
            <m:r>
              <m:t>3</m:t>
            </m:r>
          </m:den>
        </m:f>
        <m:d>
          <m:dPr>
            <m:begChr m:val="("/>
            <m:sepChr m:val=""/>
            <m:endChr m:val=")"/>
            <m:grow/>
          </m:dPr>
          <m:e>
            <m:nary>
              <m:naryPr>
                <m:chr m:val="∑"/>
                <m:limLoc m:val="undOvr"/>
                <m:subHide m:val="off"/>
                <m:supHide m:val="off"/>
              </m:naryPr>
              <m:sub>
                <m:r>
                  <m:t>ℓ</m:t>
                </m:r>
                <m:r>
                  <m:rPr>
                    <m:sty m:val="p"/>
                  </m:rPr>
                  <m:t>=</m:t>
                </m:r>
                <m:r>
                  <m:t>1</m:t>
                </m:r>
              </m:sub>
              <m:sup>
                <m:r>
                  <m:t>k</m:t>
                </m:r>
                <m:r>
                  <m:rPr>
                    <m:sty m:val="p"/>
                  </m:rPr>
                  <m:t>−</m:t>
                </m:r>
                <m:r>
                  <m:t>1</m:t>
                </m:r>
              </m:sup>
              <m:e>
                <m:sSup>
                  <m:e>
                    <m:r>
                      <m:t>γ</m:t>
                    </m:r>
                  </m:e>
                  <m:sup>
                    <m:r>
                      <m:rPr>
                        <m:sty m:val="p"/>
                      </m:rPr>
                      <m:t>(</m:t>
                    </m:r>
                    <m:r>
                      <m:t>ℓ</m:t>
                    </m:r>
                    <m:r>
                      <m:rPr>
                        <m:sty m:val="p"/>
                      </m:rPr>
                      <m:t>)</m:t>
                    </m:r>
                  </m:sup>
                </m:sSup>
              </m:e>
            </m:nary>
            <m:sSup>
              <m:e>
                <m:r>
                  <m:t>h</m:t>
                </m:r>
              </m:e>
              <m:sup>
                <m:r>
                  <m:rPr>
                    <m:sty m:val="p"/>
                  </m:rPr>
                  <m:t>(</m:t>
                </m:r>
                <m:r>
                  <m:t>ℓ</m:t>
                </m:r>
                <m:r>
                  <m:rPr>
                    <m:sty m:val="p"/>
                  </m:rPr>
                  <m:t>)</m:t>
                </m:r>
              </m:sup>
            </m:sSup>
            <m:r>
              <m:rPr>
                <m:sty m:val="p"/>
              </m:rPr>
              <m:t>+</m:t>
            </m:r>
            <m:f>
              <m:fPr>
                <m:type m:val="bar"/>
              </m:fPr>
              <m:num>
                <m:sSup>
                  <m:e>
                    <m:r>
                      <m:t>γ</m:t>
                    </m:r>
                  </m:e>
                  <m:sup>
                    <m:r>
                      <m:rPr>
                        <m:sty m:val="p"/>
                      </m:rPr>
                      <m:t>(</m:t>
                    </m:r>
                    <m:r>
                      <m:t>k</m:t>
                    </m:r>
                    <m:r>
                      <m:rPr>
                        <m:sty m:val="p"/>
                      </m:rPr>
                      <m:t>)</m:t>
                    </m:r>
                  </m:sup>
                </m:sSup>
                <m:sSup>
                  <m:e>
                    <m:r>
                      <m:t>h</m:t>
                    </m:r>
                  </m:e>
                  <m:sup>
                    <m:r>
                      <m:rPr>
                        <m:sty m:val="p"/>
                      </m:rPr>
                      <m:t>(</m:t>
                    </m:r>
                    <m:r>
                      <m:t>k</m:t>
                    </m:r>
                    <m:r>
                      <m:rPr>
                        <m:sty m:val="p"/>
                      </m:rPr>
                      <m:t>)</m:t>
                    </m:r>
                  </m:sup>
                </m:sSup>
              </m:num>
              <m:den>
                <m:r>
                  <m:t>2</m:t>
                </m:r>
              </m:den>
            </m:f>
          </m:e>
        </m:d>
        <m:r>
          <m:rPr>
            <m:sty m:val="p"/>
          </m:rPr>
          <m:t>.</m:t>
        </m:r>
      </m:oMath>
      <w:r>
        <w:tab/>
      </w:r>
      <w:r>
        <w:t xml:space="preserve">(8)</w:t>
      </w:r>
      <w:bookmarkEnd w:id="17"/>
    </w:p>
    <w:p>
      <w:pPr>
        <w:pStyle w:val="BodyText"/>
      </w:pPr>
      <w:r>
        <w:t xml:space="preserve">La razón de sobreconsolidación</w:t>
      </w:r>
      <w:r>
        <w:t xml:space="preserve"> </w:t>
      </w:r>
      <m:oMath>
        <m:sSup>
          <m:e>
            <m:r>
              <m:rPr>
                <m:sty m:val="p"/>
              </m:rPr>
              <m:t>O</m:t>
            </m:r>
            <m:r>
              <m:rPr>
                <m:sty m:val="p"/>
              </m:rPr>
              <m:t>C</m:t>
            </m:r>
            <m:r>
              <m:rPr>
                <m:sty m:val="p"/>
              </m:rPr>
              <m:t>R</m:t>
            </m:r>
          </m:e>
          <m:sup>
            <m:r>
              <m:rPr>
                <m:sty m:val="p"/>
              </m:rPr>
              <m:t>(</m:t>
            </m:r>
            <m:r>
              <m:t>k</m:t>
            </m:r>
            <m:r>
              <m:rPr>
                <m:sty m:val="p"/>
              </m:rPr>
              <m:t>)</m:t>
            </m:r>
          </m:sup>
        </m:sSup>
        <m:r>
          <m:rPr>
            <m:sty m:val="p"/>
          </m:rPr>
          <m:t>=</m:t>
        </m:r>
        <m:r>
          <m:rPr>
            <m:sty m:val="p"/>
          </m:rPr>
          <m:t>max</m:t>
        </m:r>
        <m:r>
          <m:rPr>
            <m:sty m:val="p"/>
          </m:rPr>
          <m:t>[</m:t>
        </m:r>
        <m:r>
          <m:rPr>
            <m:sty m:val="p"/>
          </m:rPr>
          <m:t>(</m:t>
        </m:r>
        <m:sSubSup>
          <m:e>
            <m:r>
              <m:t>p</m:t>
            </m:r>
          </m:e>
          <m:sub>
            <m:r>
              <m:t>m</m:t>
            </m:r>
          </m:sub>
          <m:sup>
            <m:r>
              <m:rPr>
                <m:sty m:val="p"/>
              </m:rPr>
              <m:t>(</m:t>
            </m:r>
            <m:r>
              <m:t>k</m:t>
            </m:r>
            <m:r>
              <m:rPr>
                <m:sty m:val="p"/>
              </m:rPr>
              <m:t>)</m:t>
            </m:r>
          </m:sup>
        </m:sSubSup>
        <m:r>
          <m:rPr>
            <m:sty m:val="p"/>
          </m:rPr>
          <m:t>+</m:t>
        </m:r>
        <m:r>
          <m:rPr>
            <m:sty m:val="p"/>
          </m:rPr>
          <m:t>P</m:t>
        </m:r>
        <m:r>
          <m:rPr>
            <m:sty m:val="p"/>
          </m:rPr>
          <m:t>O</m:t>
        </m:r>
        <m:r>
          <m:rPr>
            <m:sty m:val="p"/>
          </m:rPr>
          <m:t>P</m:t>
        </m:r>
        <m:r>
          <m:rPr>
            <m:sty m:val="p"/>
          </m:rPr>
          <m:t>)</m:t>
        </m:r>
        <m:r>
          <m:rPr>
            <m:sty m:val="p"/>
          </m:rPr>
          <m:t>/</m:t>
        </m:r>
        <m:sSubSup>
          <m:e>
            <m:r>
              <m:t>p</m:t>
            </m:r>
          </m:e>
          <m:sub>
            <m:r>
              <m:t>m</m:t>
            </m:r>
          </m:sub>
          <m:sup>
            <m:r>
              <m:rPr>
                <m:sty m:val="p"/>
              </m:rPr>
              <m:t>(</m:t>
            </m:r>
            <m:r>
              <m:t>k</m:t>
            </m:r>
            <m:r>
              <m:rPr>
                <m:sty m:val="p"/>
              </m:rPr>
              <m:t>)</m:t>
            </m:r>
          </m:sup>
        </m:sSubSup>
        <m:r>
          <m:rPr>
            <m:sty m:val="p"/>
          </m:rPr>
          <m:t>,</m:t>
        </m:r>
        <m:r>
          <m:t>1</m:t>
        </m:r>
        <m:r>
          <m:rPr>
            <m:sty m:val="p"/>
          </m:rPr>
          <m:t>]</m:t>
        </m:r>
      </m:oMath>
      <w:r>
        <w:t xml:space="preserve">, donde</w:t>
      </w:r>
      <w:r>
        <w:t xml:space="preserve"> </w:t>
      </w:r>
      <m:oMath>
        <m:r>
          <m:rPr>
            <m:sty m:val="p"/>
          </m:rPr>
          <m:t>P</m:t>
        </m:r>
        <m:r>
          <m:rPr>
            <m:sty m:val="p"/>
          </m:rPr>
          <m:t>O</m:t>
        </m:r>
        <m:r>
          <m:rPr>
            <m:sty m:val="p"/>
          </m:rPr>
          <m:t>P</m:t>
        </m:r>
      </m:oMath>
      <w:r>
        <w:t xml:space="preserve"> </w:t>
      </w:r>
      <w:r>
        <w:t xml:space="preserve">es la presión de preconsolidación, sólo modifica el módulo de los suelos finos: en ellos</w:t>
      </w:r>
      <w:r>
        <w:t xml:space="preserve"> </w:t>
      </w:r>
      <m:oMath>
        <m:sSubSup>
          <m:e>
            <m:r>
              <m:t>m</m:t>
            </m:r>
          </m:e>
          <m:sub>
            <m:r>
              <m:t>1</m:t>
            </m:r>
          </m:sub>
          <m:sup>
            <m:r>
              <m:rPr>
                <m:sty m:val="p"/>
              </m:rPr>
              <m:t>(</m:t>
            </m:r>
            <m:r>
              <m:t>k</m:t>
            </m:r>
            <m:r>
              <m:rPr>
                <m:sty m:val="p"/>
              </m:rPr>
              <m:t>)</m:t>
            </m:r>
          </m:sup>
        </m:sSubSup>
        <m:r>
          <m:rPr>
            <m:sty m:val="p"/>
          </m:rPr>
          <m:t>=</m:t>
        </m:r>
        <m:sSub>
          <m:e>
            <m:r>
              <m:t>f</m:t>
            </m:r>
          </m:e>
          <m:sub>
            <m:r>
              <m:rPr>
                <m:sty m:val="p"/>
              </m:rPr>
              <m:t>I</m:t>
            </m:r>
            <m:r>
              <m:rPr>
                <m:sty m:val="p"/>
              </m:rPr>
              <m:t>P</m:t>
            </m:r>
          </m:sub>
        </m:sSub>
        <m:r>
          <m:rPr>
            <m:sty m:val="p"/>
          </m:rPr>
          <m:t>(</m:t>
        </m:r>
        <m:sSup>
          <m:e>
            <m:r>
              <m:rPr>
                <m:sty m:val="p"/>
              </m:rPr>
              <m:t>I</m:t>
            </m:r>
            <m:r>
              <m:rPr>
                <m:sty m:val="p"/>
              </m:rPr>
              <m:t>P</m:t>
            </m:r>
          </m:e>
          <m:sup>
            <m:r>
              <m:rPr>
                <m:sty m:val="p"/>
              </m:rPr>
              <m:t>(</m:t>
            </m:r>
            <m:r>
              <m:t>k</m:t>
            </m:r>
            <m:r>
              <m:rPr>
                <m:sty m:val="p"/>
              </m:rPr>
              <m:t>)</m:t>
            </m:r>
          </m:sup>
        </m:sSup>
        <m:r>
          <m:rPr>
            <m:sty m:val="p"/>
          </m:rPr>
          <m:t>)</m:t>
        </m:r>
      </m:oMath>
      <w:r>
        <w:t xml:space="preserve">, mientras que en arenas y gravas</w:t>
      </w:r>
      <w:r>
        <w:t xml:space="preserve"> </w:t>
      </w:r>
      <m:oMath>
        <m:sSubSup>
          <m:e>
            <m:r>
              <m:t>m</m:t>
            </m:r>
          </m:e>
          <m:sub>
            <m:r>
              <m:t>1</m:t>
            </m:r>
          </m:sub>
          <m:sup>
            <m:r>
              <m:rPr>
                <m:sty m:val="p"/>
              </m:rPr>
              <m:t>(</m:t>
            </m:r>
            <m:r>
              <m:t>k</m:t>
            </m:r>
            <m:r>
              <m:rPr>
                <m:sty m:val="p"/>
              </m:rPr>
              <m:t>)</m:t>
            </m:r>
          </m:sup>
        </m:sSubSup>
        <m:r>
          <m:rPr>
            <m:sty m:val="p"/>
          </m:rPr>
          <m:t>=</m:t>
        </m:r>
        <m:r>
          <m:t>0</m:t>
        </m:r>
      </m:oMath>
      <w:r>
        <w:t xml:space="preserve"> </w:t>
      </w:r>
      <w:r>
        <w:t xml:space="preserve">y</w:t>
      </w:r>
      <w:r>
        <w:t xml:space="preserve"> </w:t>
      </w:r>
      <m:oMath>
        <m:r>
          <m:rPr>
            <m:sty m:val="p"/>
          </m:rPr>
          <m:t>[</m:t>
        </m:r>
        <m:sSup>
          <m:e>
            <m:r>
              <m:rPr>
                <m:sty m:val="p"/>
              </m:rPr>
              <m:t>O</m:t>
            </m:r>
            <m:r>
              <m:rPr>
                <m:sty m:val="p"/>
              </m:rPr>
              <m:t>C</m:t>
            </m:r>
            <m:r>
              <m:rPr>
                <m:sty m:val="p"/>
              </m:rPr>
              <m:t>R</m:t>
            </m:r>
          </m:e>
          <m:sup>
            <m:r>
              <m:rPr>
                <m:sty m:val="p"/>
              </m:rPr>
              <m:t>(</m:t>
            </m:r>
            <m:r>
              <m:t>k</m:t>
            </m:r>
            <m:r>
              <m:rPr>
                <m:sty m:val="p"/>
              </m:rPr>
              <m:t>)</m:t>
            </m:r>
          </m:sup>
        </m:sSup>
        <m:sSup>
          <m:e>
            <m:r>
              <m:rPr>
                <m:sty m:val="p"/>
              </m:rPr>
              <m:t>]</m:t>
            </m:r>
          </m:e>
          <m:sup>
            <m:sSubSup>
              <m:e>
                <m:r>
                  <m:t>m</m:t>
                </m:r>
              </m:e>
              <m:sub>
                <m:r>
                  <m:t>1</m:t>
                </m:r>
              </m:sub>
              <m:sup>
                <m:r>
                  <m:rPr>
                    <m:sty m:val="p"/>
                  </m:rPr>
                  <m:t>(</m:t>
                </m:r>
                <m:r>
                  <m:t>k</m:t>
                </m:r>
                <m:r>
                  <m:rPr>
                    <m:sty m:val="p"/>
                  </m:rPr>
                  <m:t>)</m:t>
                </m:r>
              </m:sup>
            </m:sSubSup>
          </m:sup>
        </m:sSup>
        <m:r>
          <m:rPr>
            <m:sty m:val="p"/>
          </m:rPr>
          <m:t>=</m:t>
        </m:r>
        <m:r>
          <m:t>1</m:t>
        </m:r>
      </m:oMath>
      <w:r>
        <w:t xml:space="preserve">. La relación de vacíos</w:t>
      </w:r>
      <w:r>
        <w:t xml:space="preserve"> </w:t>
      </w:r>
      <m:oMath>
        <m:sSubSup>
          <m:e>
            <m:r>
              <m:t>e</m:t>
            </m:r>
          </m:e>
          <m:sub>
            <m:r>
              <m:t>0</m:t>
            </m:r>
          </m:sub>
          <m:sup>
            <m:r>
              <m:rPr>
                <m:sty m:val="p"/>
              </m:rPr>
              <m:t>(</m:t>
            </m:r>
            <m:r>
              <m:t>k</m:t>
            </m:r>
            <m:r>
              <m:rPr>
                <m:sty m:val="p"/>
              </m:rPr>
              <m:t>)</m:t>
            </m:r>
          </m:sup>
        </m:sSubSup>
      </m:oMath>
      <w:r>
        <w:t xml:space="preserve"> </w:t>
      </w:r>
      <w:r>
        <w:t xml:space="preserve">interviene en las tres familias mediante</w:t>
      </w:r>
      <w:r>
        <w:t xml:space="preserve"> </w:t>
      </w:r>
      <m:oMath>
        <m:sSubSup>
          <m:e>
            <m:r>
              <m:t>F</m:t>
            </m:r>
          </m:e>
          <m:sub>
            <m:r>
              <m:t>e</m:t>
            </m:r>
          </m:sub>
          <m:sup>
            <m:r>
              <m:rPr>
                <m:sty m:val="p"/>
              </m:rPr>
              <m:t>(</m:t>
            </m:r>
            <m:r>
              <m:t>k</m:t>
            </m:r>
            <m:r>
              <m:rPr>
                <m:sty m:val="p"/>
              </m:rPr>
              <m:t>,</m:t>
            </m:r>
            <m:r>
              <m:t>j</m:t>
            </m:r>
            <m:r>
              <m:rPr>
                <m:sty m:val="p"/>
              </m:rPr>
              <m:t>)</m:t>
            </m:r>
          </m:sup>
        </m:sSubSup>
      </m:oMath>
      <w:r>
        <w:t xml:space="preserve">, que en las formulaciones tabuladas</w:t>
      </w:r>
      <w:r>
        <w:t xml:space="preserve"> </w:t>
      </w:r>
      <w:r>
        <w:t xml:space="preserve">(</w:t>
      </w:r>
      <w:hyperlink w:anchor="ref-Ishihara1996">
        <w:r>
          <w:rPr>
            <w:rStyle w:val="Hyperlink"/>
          </w:rPr>
          <w:t xml:space="preserve">1996</w:t>
        </w:r>
      </w:hyperlink>
      <w:r>
        <w:t xml:space="preserve">)</w:t>
      </w:r>
      <w:r>
        <w:t xml:space="preserve"> </w:t>
      </w:r>
      <w:r>
        <w:t xml:space="preserve">se define mediante</w:t>
      </w:r>
      <w:r>
        <w:t xml:space="preserve"> </w:t>
      </w:r>
      <w:hyperlink w:anchor="eq-slope-void-factor">
        <w:r>
          <w:rPr>
            <w:rStyle w:val="Hyperlink"/>
          </w:rPr>
          <w:t xml:space="preserve">9</w:t>
        </w:r>
      </w:hyperlink>
      <w:r>
        <w:t xml:space="preserve"> </w:t>
      </w:r>
      <w:r>
        <w:t xml:space="preserve">a partir de la relación de vacíos</w:t>
      </w:r>
      <w:r>
        <w:t xml:space="preserve"> </w:t>
      </w:r>
      <m:oMath>
        <m:sSubSup>
          <m:e>
            <m:r>
              <m:t>e</m:t>
            </m:r>
          </m:e>
          <m:sub>
            <m:r>
              <m:t>0</m:t>
            </m:r>
          </m:sub>
          <m:sup>
            <m:r>
              <m:rPr>
                <m:sty m:val="p"/>
              </m:rPr>
              <m:t>(</m:t>
            </m:r>
            <m:r>
              <m:t>k</m:t>
            </m:r>
            <m:r>
              <m:rPr>
                <m:sty m:val="p"/>
              </m:rPr>
              <m:t>)</m:t>
            </m:r>
          </m:sup>
        </m:sSubSup>
      </m:oMath>
      <w:r>
        <w:t xml:space="preserve"> </w:t>
      </w:r>
      <w:r>
        <w:t xml:space="preserve">y del parámetro</w:t>
      </w:r>
      <w:r>
        <w:t xml:space="preserve"> </w:t>
      </w:r>
      <m:oMath>
        <m:sSubSup>
          <m:e>
            <m:r>
              <m:t>C</m:t>
            </m:r>
          </m:e>
          <m:sub>
            <m:r>
              <m:t>e</m:t>
            </m:r>
          </m:sub>
          <m:sup>
            <m:r>
              <m:rPr>
                <m:sty m:val="p"/>
              </m:rPr>
              <m:t>(</m:t>
            </m:r>
            <m:r>
              <m:t>j</m:t>
            </m:r>
            <m:r>
              <m:rPr>
                <m:sty m:val="p"/>
              </m:rPr>
              <m:t>)</m:t>
            </m:r>
          </m:sup>
        </m:sSubSup>
      </m:oMath>
      <w:r>
        <w:t xml:space="preserve">;</w:t>
      </w:r>
      <w:r>
        <w:t xml:space="preserve"> </w:t>
      </w:r>
      <m:oMath>
        <m:sSub>
          <m:e>
            <m:r>
              <m:t>j</m:t>
            </m:r>
          </m:e>
          <m:sub>
            <m:r>
              <m:rPr>
                <m:sty m:val="p"/>
              </m:rPr>
              <m:t>S</m:t>
            </m:r>
            <m:r>
              <m:rPr>
                <m:sty m:val="p"/>
              </m:rPr>
              <m:t>S</m:t>
            </m:r>
            <m:r>
              <m:rPr>
                <m:sty m:val="p"/>
              </m:rPr>
              <m:t>75</m:t>
            </m:r>
          </m:sub>
        </m:sSub>
      </m:oMath>
      <w:r>
        <w:t xml:space="preserve"> </w:t>
      </w:r>
      <w:r>
        <w:t xml:space="preserve">identifica la formulación de Shibata y Soelarno</w:t>
      </w:r>
      <w:r>
        <w:t xml:space="preserve"> </w:t>
      </w:r>
      <w:r>
        <w:t xml:space="preserve">(</w:t>
      </w:r>
      <w:hyperlink w:anchor="ref-ShibataSoelarno1975">
        <w:r>
          <w:rPr>
            <w:rStyle w:val="Hyperlink"/>
          </w:rPr>
          <w:t xml:space="preserve">1975</w:t>
        </w:r>
      </w:hyperlink>
      <w:r>
        <w:t xml:space="preserve">)</w:t>
      </w:r>
      <w:r>
        <w:t xml:space="preserve">.</w:t>
      </w:r>
    </w:p>
    <w:p>
      <w:pPr>
        <w:pStyle w:val="Equation"/>
      </w:pPr>
      <w:bookmarkStart w:id="18" w:name="eq-slope-void-factor"/>
      <w:r>
        <w:tab/>
      </w:r>
      <m:oMath>
        <m:sSubSup>
          <m:e>
            <m:r>
              <m:t>F</m:t>
            </m:r>
          </m:e>
          <m:sub>
            <m:r>
              <m:t>e</m:t>
            </m:r>
          </m:sub>
          <m:sup>
            <m:r>
              <m:rPr>
                <m:sty m:val="p"/>
              </m:rPr>
              <m:t>(</m:t>
            </m:r>
            <m:r>
              <m:t>k</m:t>
            </m:r>
            <m:r>
              <m:rPr>
                <m:sty m:val="p"/>
              </m:rPr>
              <m:t>,</m:t>
            </m:r>
            <m:r>
              <m:t>j</m:t>
            </m:r>
            <m:r>
              <m:rPr>
                <m:sty m:val="p"/>
              </m:rPr>
              <m:t>)</m:t>
            </m:r>
          </m:sup>
        </m:sSubSup>
        <m:r>
          <m:rPr>
            <m:sty m:val="p"/>
          </m:rPr>
          <m:t>=</m:t>
        </m:r>
        <m:d>
          <m:dPr>
            <m:begChr m:val="{"/>
            <m:sepChr m:val=""/>
            <m:endChr m:val=""/>
            <m:grow/>
          </m:dPr>
          <m:e>
            <m:m>
              <m:mPr>
                <m:baseJc m:val="center"/>
                <m:plcHide m:val="on"/>
                <m:mcs>
                  <m:mc>
                    <m:mcPr>
                      <m:mcJc m:val="left"/>
                      <m:count m:val="1"/>
                    </m:mcPr>
                  </m:mc>
                  <m:mc>
                    <m:mcPr>
                      <m:mcJc m:val="left"/>
                      <m:count m:val="1"/>
                    </m:mcPr>
                  </m:mc>
                </m:mcs>
              </m:mPr>
              <m:mr>
                <m:e>
                  <m:sSubSup>
                    <m:e>
                      <m:r>
                        <m:t>C</m:t>
                      </m:r>
                    </m:e>
                    <m:sub>
                      <m:r>
                        <m:t>e</m:t>
                      </m:r>
                    </m:sub>
                    <m:sup>
                      <m:r>
                        <m:rPr>
                          <m:sty m:val="p"/>
                        </m:rPr>
                        <m:t>(</m:t>
                      </m:r>
                      <m:r>
                        <m:t>j</m:t>
                      </m:r>
                      <m:r>
                        <m:rPr>
                          <m:sty m:val="p"/>
                        </m:rPr>
                        <m:t>)</m:t>
                      </m:r>
                    </m:sup>
                  </m:sSubSup>
                  <m:r>
                    <m:rPr>
                      <m:sty m:val="p"/>
                    </m:rPr>
                    <m:t>−</m:t>
                  </m:r>
                  <m:f>
                    <m:fPr>
                      <m:type m:val="bar"/>
                    </m:fPr>
                    <m:num>
                      <m:sSubSup>
                        <m:e>
                          <m:r>
                            <m:t>e</m:t>
                          </m:r>
                        </m:e>
                        <m:sub>
                          <m:r>
                            <m:t>0</m:t>
                          </m:r>
                        </m:sub>
                        <m:sup>
                          <m:r>
                            <m:rPr>
                              <m:sty m:val="p"/>
                            </m:rPr>
                            <m:t>(</m:t>
                          </m:r>
                          <m:r>
                            <m:t>k</m:t>
                          </m:r>
                          <m:r>
                            <m:rPr>
                              <m:sty m:val="p"/>
                            </m:rPr>
                            <m:t>)</m:t>
                          </m:r>
                        </m:sup>
                      </m:sSubSup>
                    </m:num>
                    <m:den>
                      <m:r>
                        <m:t>1</m:t>
                      </m:r>
                      <m:r>
                        <m:rPr>
                          <m:sty m:val="p"/>
                        </m:rPr>
                        <m:t>+</m:t>
                      </m:r>
                      <m:sSubSup>
                        <m:e>
                          <m:r>
                            <m:t>e</m:t>
                          </m:r>
                        </m:e>
                        <m:sub>
                          <m:r>
                            <m:t>0</m:t>
                          </m:r>
                        </m:sub>
                        <m:sup>
                          <m:r>
                            <m:rPr>
                              <m:sty m:val="p"/>
                            </m:rPr>
                            <m:t>(</m:t>
                          </m:r>
                          <m:r>
                            <m:t>k</m:t>
                          </m:r>
                          <m:r>
                            <m:rPr>
                              <m:sty m:val="p"/>
                            </m:rPr>
                            <m:t>)</m:t>
                          </m:r>
                        </m:sup>
                      </m:sSubSup>
                    </m:den>
                  </m:f>
                  <m:r>
                    <m:rPr>
                      <m:sty m:val="p"/>
                    </m:rPr>
                    <m:t>,</m:t>
                  </m:r>
                </m:e>
                <m:e>
                  <m:r>
                    <m:t>j</m:t>
                  </m:r>
                  <m:r>
                    <m:rPr>
                      <m:sty m:val="p"/>
                    </m:rPr>
                    <m:t>=</m:t>
                  </m:r>
                  <m:sSub>
                    <m:e>
                      <m:r>
                        <m:t>j</m:t>
                      </m:r>
                    </m:e>
                    <m:sub>
                      <m:r>
                        <m:rPr>
                          <m:sty m:val="p"/>
                        </m:rPr>
                        <m:t>S</m:t>
                      </m:r>
                      <m:r>
                        <m:rPr>
                          <m:sty m:val="p"/>
                        </m:rPr>
                        <m:t>S</m:t>
                      </m:r>
                      <m:r>
                        <m:rPr>
                          <m:sty m:val="p"/>
                        </m:rPr>
                        <m:t>75</m:t>
                      </m:r>
                    </m:sub>
                  </m:sSub>
                  <m:r>
                    <m:rPr>
                      <m:sty m:val="p"/>
                    </m:rPr>
                    <m:t>,</m:t>
                  </m:r>
                </m:e>
              </m:mr>
              <m:mr>
                <m:e>
                  <m:f>
                    <m:fPr>
                      <m:type m:val="bar"/>
                    </m:fPr>
                    <m:num>
                      <m:sSup>
                        <m:e>
                          <m:d>
                            <m:dPr>
                              <m:begChr m:val="("/>
                              <m:sepChr m:val=""/>
                              <m:endChr m:val=")"/>
                              <m:grow/>
                            </m:dPr>
                            <m:e>
                              <m:sSubSup>
                                <m:e>
                                  <m:r>
                                    <m:t>C</m:t>
                                  </m:r>
                                </m:e>
                                <m:sub>
                                  <m:r>
                                    <m:t>e</m:t>
                                  </m:r>
                                </m:sub>
                                <m:sup>
                                  <m:r>
                                    <m:rPr>
                                      <m:sty m:val="p"/>
                                    </m:rPr>
                                    <m:t>(</m:t>
                                  </m:r>
                                  <m:r>
                                    <m:t>j</m:t>
                                  </m:r>
                                  <m:r>
                                    <m:rPr>
                                      <m:sty m:val="p"/>
                                    </m:rPr>
                                    <m:t>)</m:t>
                                  </m:r>
                                </m:sup>
                              </m:sSubSup>
                              <m:r>
                                <m:rPr>
                                  <m:sty m:val="p"/>
                                </m:rPr>
                                <m:t>−</m:t>
                              </m:r>
                              <m:sSubSup>
                                <m:e>
                                  <m:r>
                                    <m:t>e</m:t>
                                  </m:r>
                                </m:e>
                                <m:sub>
                                  <m:r>
                                    <m:t>0</m:t>
                                  </m:r>
                                </m:sub>
                                <m:sup>
                                  <m:r>
                                    <m:rPr>
                                      <m:sty m:val="p"/>
                                    </m:rPr>
                                    <m:t>(</m:t>
                                  </m:r>
                                  <m:r>
                                    <m:t>k</m:t>
                                  </m:r>
                                  <m:r>
                                    <m:rPr>
                                      <m:sty m:val="p"/>
                                    </m:rPr>
                                    <m:t>)</m:t>
                                  </m:r>
                                </m:sup>
                              </m:sSubSup>
                            </m:e>
                          </m:d>
                        </m:e>
                        <m:sup>
                          <m:r>
                            <m:t>2</m:t>
                          </m:r>
                        </m:sup>
                      </m:sSup>
                    </m:num>
                    <m:den>
                      <m:r>
                        <m:t>1</m:t>
                      </m:r>
                      <m:r>
                        <m:rPr>
                          <m:sty m:val="p"/>
                        </m:rPr>
                        <m:t>+</m:t>
                      </m:r>
                      <m:sSubSup>
                        <m:e>
                          <m:r>
                            <m:t>e</m:t>
                          </m:r>
                        </m:e>
                        <m:sub>
                          <m:r>
                            <m:t>0</m:t>
                          </m:r>
                        </m:sub>
                        <m:sup>
                          <m:r>
                            <m:rPr>
                              <m:sty m:val="p"/>
                            </m:rPr>
                            <m:t>(</m:t>
                          </m:r>
                          <m:r>
                            <m:t>k</m:t>
                          </m:r>
                          <m:r>
                            <m:rPr>
                              <m:sty m:val="p"/>
                            </m:rPr>
                            <m:t>)</m:t>
                          </m:r>
                        </m:sup>
                      </m:sSubSup>
                    </m:den>
                  </m:f>
                  <m:r>
                    <m:rPr>
                      <m:sty m:val="p"/>
                    </m:rPr>
                    <m:t>,</m:t>
                  </m:r>
                </m:e>
                <m:e>
                  <m:r>
                    <m:t>j</m:t>
                  </m:r>
                  <m:r>
                    <m:rPr>
                      <m:sty m:val="p"/>
                    </m:rPr>
                    <m:t>≠</m:t>
                  </m:r>
                  <m:sSub>
                    <m:e>
                      <m:r>
                        <m:t>j</m:t>
                      </m:r>
                    </m:e>
                    <m:sub>
                      <m:r>
                        <m:rPr>
                          <m:sty m:val="p"/>
                        </m:rPr>
                        <m:t>S</m:t>
                      </m:r>
                      <m:r>
                        <m:rPr>
                          <m:sty m:val="p"/>
                        </m:rPr>
                        <m:t>S</m:t>
                      </m:r>
                      <m:r>
                        <m:rPr>
                          <m:sty m:val="p"/>
                        </m:rPr>
                        <m:t>75</m:t>
                      </m:r>
                    </m:sub>
                  </m:sSub>
                  <m:r>
                    <m:rPr>
                      <m:sty m:val="p"/>
                    </m:rPr>
                    <m:t>.</m:t>
                  </m:r>
                </m:e>
              </m:mr>
            </m:m>
          </m:e>
        </m:d>
      </m:oMath>
      <w:r>
        <w:tab/>
      </w:r>
      <w:r>
        <w:t xml:space="preserve">(9)</w:t>
      </w:r>
      <w:bookmarkEnd w:id="18"/>
    </w:p>
    <w:p>
      <w:pPr>
        <w:pStyle w:val="BodyText"/>
      </w:pPr>
      <w:r>
        <w:t xml:space="preserve">La velocidad de onda de corte</w:t>
      </w:r>
      <w:r>
        <w:t xml:space="preserve"> </w:t>
      </w:r>
      <m:oMath>
        <m:sSubSup>
          <m:e>
            <m:r>
              <m:t>V</m:t>
            </m:r>
          </m:e>
          <m:sub>
            <m:r>
              <m:t>S</m:t>
            </m:r>
          </m:sub>
          <m:sup>
            <m:r>
              <m:rPr>
                <m:sty m:val="p"/>
              </m:rPr>
              <m:t>(</m:t>
            </m:r>
            <m:r>
              <m:t>k</m:t>
            </m:r>
            <m:r>
              <m:rPr>
                <m:sty m:val="p"/>
              </m:rPr>
              <m:t>)</m:t>
            </m:r>
          </m:sup>
        </m:sSubSup>
      </m:oMath>
      <w:r>
        <w:t xml:space="preserve"> </w:t>
      </w:r>
      <w:r>
        <w:t xml:space="preserve">de la capa</w:t>
      </w:r>
      <w:r>
        <w:t xml:space="preserve"> </w:t>
      </w:r>
      <m:oMath>
        <m:r>
          <m:t>k</m:t>
        </m:r>
      </m:oMath>
      <w:r>
        <w:t xml:space="preserve"> </w:t>
      </w:r>
      <w:r>
        <w:t xml:space="preserve">se obtiene según la expresión</w:t>
      </w:r>
      <w:r>
        <w:t xml:space="preserve"> </w:t>
      </w:r>
      <w:hyperlink w:anchor="eq-slope-layer-velocity">
        <w:r>
          <w:rPr>
            <w:rStyle w:val="Hyperlink"/>
          </w:rPr>
          <w:t xml:space="preserve">10</w:t>
        </w:r>
      </w:hyperlink>
      <w:r>
        <w:t xml:space="preserve">, donde</w:t>
      </w:r>
      <w:r>
        <w:t xml:space="preserve"> </w:t>
      </w:r>
      <m:oMath>
        <m:sSubSup>
          <m:e>
            <m:r>
              <m:t>G</m:t>
            </m:r>
          </m:e>
          <m:sub>
            <m:r>
              <m:t>m</m:t>
            </m:r>
          </m:sub>
          <m:sup>
            <m:r>
              <m:rPr>
                <m:sty m:val="p"/>
              </m:rPr>
              <m:t>(</m:t>
            </m:r>
            <m:r>
              <m:t>k</m:t>
            </m:r>
            <m:r>
              <m:rPr>
                <m:sty m:val="p"/>
              </m:rPr>
              <m:t>)</m:t>
            </m:r>
          </m:sup>
        </m:sSubSup>
      </m:oMath>
      <w:r>
        <w:t xml:space="preserve"> </w:t>
      </w:r>
      <w:r>
        <w:t xml:space="preserve">es el módulo adoptado para la capa,</w:t>
      </w:r>
      <w:r>
        <w:t xml:space="preserve"> </w:t>
      </w:r>
      <m:oMath>
        <m:sSubSup>
          <m:e>
            <m:r>
              <m:t>γ</m:t>
            </m:r>
          </m:e>
          <m:sub>
            <m:r>
              <m:rPr>
                <m:sty m:val="p"/>
              </m:rPr>
              <m:t>s</m:t>
            </m:r>
            <m:r>
              <m:rPr>
                <m:sty m:val="p"/>
              </m:rPr>
              <m:t>a</m:t>
            </m:r>
            <m:r>
              <m:rPr>
                <m:sty m:val="p"/>
              </m:rPr>
              <m:t>t</m:t>
            </m:r>
          </m:sub>
          <m:sup>
            <m:r>
              <m:rPr>
                <m:sty m:val="p"/>
              </m:rPr>
              <m:t>(</m:t>
            </m:r>
            <m:r>
              <m:t>k</m:t>
            </m:r>
            <m:r>
              <m:rPr>
                <m:sty m:val="p"/>
              </m:rPr>
              <m:t>)</m:t>
            </m:r>
          </m:sup>
        </m:sSubSup>
      </m:oMath>
      <w:r>
        <w:t xml:space="preserve"> </w:t>
      </w:r>
      <w:r>
        <w:t xml:space="preserve">es su peso unitario saturado y las magnitudes se expresan en unidades consistentes.</w:t>
      </w:r>
    </w:p>
    <w:p>
      <w:pPr>
        <w:pStyle w:val="Equation"/>
      </w:pPr>
      <w:bookmarkStart w:id="19" w:name="eq-slope-layer-velocity"/>
      <w:r>
        <w:tab/>
      </w:r>
      <m:oMath>
        <m:sSubSup>
          <m:e>
            <m:r>
              <m:t>V</m:t>
            </m:r>
          </m:e>
          <m:sub>
            <m:r>
              <m:t>S</m:t>
            </m:r>
          </m:sub>
          <m:sup>
            <m:r>
              <m:rPr>
                <m:sty m:val="p"/>
              </m:rPr>
              <m:t>(</m:t>
            </m:r>
            <m:r>
              <m:t>k</m:t>
            </m:r>
            <m:r>
              <m:rPr>
                <m:sty m:val="p"/>
              </m:rPr>
              <m:t>)</m:t>
            </m:r>
          </m:sup>
        </m:sSubSup>
        <m:r>
          <m:rPr>
            <m:sty m:val="p"/>
          </m:rPr>
          <m:t>=</m:t>
        </m:r>
        <m:sSup>
          <m:e>
            <m:d>
              <m:dPr>
                <m:begChr m:val="("/>
                <m:sepChr m:val=""/>
                <m:endChr m:val=")"/>
                <m:grow/>
              </m:dPr>
              <m:e>
                <m:f>
                  <m:fPr>
                    <m:type m:val="bar"/>
                  </m:fPr>
                  <m:num>
                    <m:r>
                      <m:t>g</m:t>
                    </m:r>
                    <m:sSubSup>
                      <m:e>
                        <m:r>
                          <m:t>G</m:t>
                        </m:r>
                      </m:e>
                      <m:sub>
                        <m:r>
                          <m:t>m</m:t>
                        </m:r>
                      </m:sub>
                      <m:sup>
                        <m:r>
                          <m:rPr>
                            <m:sty m:val="p"/>
                          </m:rPr>
                          <m:t>(</m:t>
                        </m:r>
                        <m:r>
                          <m:t>k</m:t>
                        </m:r>
                        <m:r>
                          <m:rPr>
                            <m:sty m:val="p"/>
                          </m:rPr>
                          <m:t>)</m:t>
                        </m:r>
                      </m:sup>
                    </m:sSubSup>
                  </m:num>
                  <m:den>
                    <m:sSubSup>
                      <m:e>
                        <m:r>
                          <m:t>γ</m:t>
                        </m:r>
                      </m:e>
                      <m:sub>
                        <m:r>
                          <m:rPr>
                            <m:sty m:val="p"/>
                          </m:rPr>
                          <m:t>s</m:t>
                        </m:r>
                        <m:r>
                          <m:rPr>
                            <m:sty m:val="p"/>
                          </m:rPr>
                          <m:t>a</m:t>
                        </m:r>
                        <m:r>
                          <m:rPr>
                            <m:sty m:val="p"/>
                          </m:rPr>
                          <m:t>t</m:t>
                        </m:r>
                      </m:sub>
                      <m:sup>
                        <m:r>
                          <m:rPr>
                            <m:sty m:val="p"/>
                          </m:rPr>
                          <m:t>(</m:t>
                        </m:r>
                        <m:r>
                          <m:t>k</m:t>
                        </m:r>
                        <m:r>
                          <m:rPr>
                            <m:sty m:val="p"/>
                          </m:rPr>
                          <m:t>)</m:t>
                        </m:r>
                      </m:sup>
                    </m:sSubSup>
                  </m:den>
                </m:f>
              </m:e>
            </m:d>
          </m:e>
          <m:sup>
            <m:r>
              <m:t>1</m:t>
            </m:r>
            <m:r>
              <m:rPr>
                <m:sty m:val="p"/>
              </m:rPr>
              <m:t>/</m:t>
            </m:r>
            <m:r>
              <m:t>2</m:t>
            </m:r>
          </m:sup>
        </m:sSup>
        <m:r>
          <m:rPr>
            <m:sty m:val="p"/>
          </m:rPr>
          <m:t>.</m:t>
        </m:r>
      </m:oMath>
      <w:r>
        <w:tab/>
      </w:r>
      <w:r>
        <w:t xml:space="preserve">(10)</w:t>
      </w:r>
      <w:bookmarkEnd w:id="19"/>
    </w:p>
    <w:p>
      <w:pPr>
        <w:pStyle w:val="BodyText"/>
      </w:pPr>
      <w:r>
        <w:t xml:space="preserve"> </w:t>
      </w:r>
    </w:p>
    <w:bookmarkStart w:id="20" w:name="tbl-ish1"/>
    <w:p>
      <w:pPr>
        <w:pStyle w:val="ImageCaption"/>
        <w:spacing w:before="200"/>
        <w:jc w:val="left"/>
      </w:pPr>
      <w:r>
        <w:t xml:space="preserve">Table 1: Parámetros de las formulaciones de rigidez de pequeña deformación para gravas, arenas y suelos finos, utilizados en la expresión</w:t>
      </w:r>
      <w:r>
        <w:t xml:space="preserve"> </w:t>
      </w:r>
      <w:hyperlink w:anchor="eq-slope-modulus">
        <w:r>
          <w:rPr>
            <w:rStyle w:val="Hyperlink"/>
          </w:rPr>
          <w:t xml:space="preserve">7</w:t>
        </w:r>
      </w:hyperlink>
      <w:r>
        <w:t xml:space="preserve"> </w:t>
      </w:r>
      <w:r>
        <w:t xml:space="preserve">con</w:t>
      </w:r>
      <w:r>
        <w:t xml:space="preserve"> </w:t>
      </w:r>
      <m:oMath>
        <m:sSubSup>
          <m:e>
            <m:r>
              <m:t>p</m:t>
            </m:r>
          </m:e>
          <m:sub>
            <m:r>
              <m:t>m</m:t>
            </m:r>
          </m:sub>
          <m:sup>
            <m:r>
              <m:rPr>
                <m:sty m:val="p"/>
              </m:rPr>
              <m:t>(</m:t>
            </m:r>
            <m:r>
              <m:t>k</m:t>
            </m:r>
            <m:r>
              <m:rPr>
                <m:sty m:val="p"/>
              </m:rPr>
              <m:t>)</m:t>
            </m:r>
          </m:sup>
        </m:sSubSup>
      </m:oMath>
      <w:r>
        <w:t xml:space="preserve"> </w:t>
      </w:r>
      <w:r>
        <w:t xml:space="preserve">y</w:t>
      </w:r>
      <w:r>
        <w:t xml:space="preserve"> </w:t>
      </w:r>
      <m:oMath>
        <m:sSub>
          <m:e>
            <m:r>
              <m:t>p</m:t>
            </m:r>
          </m:e>
          <m:sub>
            <m:r>
              <m:rPr>
                <m:sty m:val="p"/>
              </m:rPr>
              <m:t>r</m:t>
            </m:r>
            <m:r>
              <m:rPr>
                <m:sty m:val="p"/>
              </m:rPr>
              <m:t>e</m:t>
            </m:r>
            <m:r>
              <m:rPr>
                <m:sty m:val="p"/>
              </m:rPr>
              <m:t>f</m:t>
            </m:r>
          </m:sub>
        </m:sSub>
      </m:oMath>
      <w:r>
        <w:t xml:space="preserve"> </w:t>
      </w:r>
      <w:r>
        <w:t xml:space="preserve">en kPa y</w:t>
      </w:r>
      <w:r>
        <w:t xml:space="preserve"> </w:t>
      </w:r>
      <m:oMath>
        <m:sSubSup>
          <m:e>
            <m:r>
              <m:t>G</m:t>
            </m:r>
          </m:e>
          <m:sub>
            <m:r>
              <m:t>m</m:t>
            </m:r>
          </m:sub>
          <m:sup>
            <m:r>
              <m:rPr>
                <m:sty m:val="p"/>
              </m:rPr>
              <m:t>(</m:t>
            </m:r>
            <m:r>
              <m:t>k</m:t>
            </m:r>
            <m:r>
              <m:rPr>
                <m:sty m:val="p"/>
              </m:rPr>
              <m:t>)</m:t>
            </m:r>
          </m:sup>
        </m:sSubSup>
      </m:oMath>
      <w:r>
        <w:t xml:space="preserve"> </w:t>
      </w:r>
      <w:r>
        <w:t xml:space="preserve">en MPa.</w:t>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Formulación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Familia</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Material de referencia</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Autor</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A</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C</m:t>
                  </m:r>
                </m:e>
                <m:sub>
                  <m:r>
                    <m:t>e</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HR63A</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Arenas</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Angular-grain crushed sand</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Hardin &amp; Richart (1963)</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3.27</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2.973</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HR63R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Arenas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Round-grain Ottawa sand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Hardin &amp; Richart (1963)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IW78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Arenas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Several sands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Iwasaki et al.(1978)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KO80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Arenas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Toyoura sand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Kokusho (1980)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LO93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Arenas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Ticino sands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Lo Presti et.al (1993)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SS75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Arenas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Several sands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Shibata-Soelarno (1975)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YR84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Arenas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Several sands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Yu-Richart (1984)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HB68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Finos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Several undisturbed NC Clays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Hardin &amp; Black (1968)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KU82C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Finos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Undisturbed NC Clay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Kokusho et al.(1982)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MW72B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Finos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Reconstituted NC Bentonite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Marcuson &amp; Wahls (1972)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MW72K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Finos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Reconstituted NC Kaoline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Marcuson &amp; Wahls (1972)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ZU78A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Finos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Clay remolded IP=0-50%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Zen-Umehara (1978)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ZU78B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Finos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Clay remolded IP=0-50%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Zen-Umehara (1978)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ZU78C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Finos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Clay remolded IP=0-50%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Zen-Umehara (1978)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GO87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Gravas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Gravel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Goto et al.(1987)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KE81G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Gravas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Rounded Gravel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Kokusho-Esashi (1981)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KE81R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Gravas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Crushed Rock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Kokusho-Esashi (1981)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NI85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Gravas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Gravel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Nishio et al.(1985)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PR81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Gravas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Balast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Prange (1981)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0.38</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TA87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Gravas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Gravel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Tanaka et al.(1987)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left"/>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0.60</w:t>
            </w:r>
          </w:p>
        </w:tc>
      </w:tr>
    </w:tbl>
    <w:bookmarkEnd w:id="20"/>
    <w:p/>
    <w:p>
      <w:pPr>
        <w:pStyle w:val="BodyText"/>
      </w:pPr>
      <w:r>
        <w:t xml:space="preserve"> </w:t>
      </w:r>
    </w:p>
    <w:p>
      <w:pPr>
        <w:pStyle w:val="BodyText"/>
      </w:pPr>
      <w:r>
        <w:t xml:space="preserve">Para cada combinación de geometría y material se generan</w:t>
      </w:r>
      <w:r>
        <w:t xml:space="preserve"> </w:t>
      </w:r>
      <m:oMath>
        <m:r>
          <m:t>N</m:t>
        </m:r>
      </m:oMath>
      <w:r>
        <w:t xml:space="preserve"> </w:t>
      </w:r>
      <w:r>
        <w:t xml:space="preserve">realizaciones sintéticas del perfil estratificado, y los valores de</w:t>
      </w:r>
      <w:r>
        <w:t xml:space="preserve"> </w:t>
      </w:r>
      <m:oMath>
        <m:sSub>
          <m:e>
            <m:r>
              <m:t>G</m:t>
            </m:r>
          </m:e>
          <m:sub>
            <m:r>
              <m:t>o</m:t>
            </m:r>
          </m:sub>
        </m:sSub>
      </m:oMath>
      <w:r>
        <w:t xml:space="preserve">,</w:t>
      </w:r>
      <w:r>
        <w:t xml:space="preserve"> </w:t>
      </w:r>
      <m:oMath>
        <m:sSub>
          <m:e>
            <m:r>
              <m:t>m</m:t>
            </m:r>
          </m:e>
          <m:sub>
            <m:r>
              <m:t>o</m:t>
            </m:r>
          </m:sub>
        </m:sSub>
      </m:oMath>
      <w:r>
        <w:t xml:space="preserve">,</w:t>
      </w:r>
      <w:r>
        <w:t xml:space="preserve"> </w:t>
      </w:r>
      <m:oMath>
        <m:sSubSup>
          <m:e>
            <m:r>
              <m:t>V</m:t>
            </m:r>
          </m:e>
          <m:sub>
            <m:r>
              <m:t>S</m:t>
            </m:r>
          </m:sub>
          <m:sup>
            <m:r>
              <m:t>o</m:t>
            </m:r>
          </m:sup>
        </m:sSubSup>
      </m:oMath>
      <w:r>
        <w:t xml:space="preserve"> </w:t>
      </w:r>
      <w:r>
        <w:t xml:space="preserve">y</w:t>
      </w:r>
      <w:r>
        <w:t xml:space="preserve"> </w:t>
      </w:r>
      <m:oMath>
        <m:sSub>
          <m:e>
            <m:r>
              <m:t>V</m:t>
            </m:r>
          </m:e>
          <m:sub>
            <m:r>
              <m:t>S</m:t>
            </m:r>
            <m:r>
              <m:t>30</m:t>
            </m:r>
          </m:sub>
        </m:sSub>
      </m:oMath>
      <w:r>
        <w:t xml:space="preserve"> </w:t>
      </w:r>
      <w:r>
        <w:t xml:space="preserve">se resumen separadamente mediante la media y los fractiles marginales; para la media y cada fractil marginal,</w:t>
      </w:r>
      <w:r>
        <w:t xml:space="preserve"> </w:t>
      </w:r>
      <m:oMath>
        <m:sSub>
          <m:e>
            <m:r>
              <m:t>a</m:t>
            </m:r>
          </m:e>
          <m:sub>
            <m:r>
              <m:t>1</m:t>
            </m:r>
          </m:sub>
        </m:sSub>
      </m:oMath>
      <w:r>
        <w:t xml:space="preserve"> </w:t>
      </w:r>
      <w:r>
        <w:t xml:space="preserve">y</w:t>
      </w:r>
      <w:r>
        <w:t xml:space="preserve"> </w:t>
      </w:r>
      <m:oMath>
        <m:sSub>
          <m:e>
            <m:r>
              <m:t>T</m:t>
            </m:r>
          </m:e>
          <m:sub>
            <m:r>
              <m:t>s</m:t>
            </m:r>
          </m:sub>
        </m:sSub>
      </m:oMath>
      <w:r>
        <w:t xml:space="preserve"> </w:t>
      </w:r>
      <w:r>
        <w:t xml:space="preserve">se evalúan con los valores correspondientes de</w:t>
      </w:r>
      <w:r>
        <w:t xml:space="preserve"> </w:t>
      </w:r>
      <m:oMath>
        <m:sSub>
          <m:e>
            <m:r>
              <m:t>m</m:t>
            </m:r>
          </m:e>
          <m:sub>
            <m:r>
              <m:t>o</m:t>
            </m:r>
          </m:sub>
        </m:sSub>
      </m:oMath>
      <w:r>
        <w:t xml:space="preserve"> </w:t>
      </w:r>
      <w:r>
        <w:t xml:space="preserve">y</w:t>
      </w:r>
      <w:r>
        <w:t xml:space="preserve"> </w:t>
      </w:r>
      <m:oMath>
        <m:sSubSup>
          <m:e>
            <m:r>
              <m:t>V</m:t>
            </m:r>
          </m:e>
          <m:sub>
            <m:r>
              <m:t>S</m:t>
            </m:r>
          </m:sub>
          <m:sup>
            <m:r>
              <m:t>o</m:t>
            </m:r>
          </m:sup>
        </m:sSubSup>
      </m:oMath>
      <w:r>
        <w:t xml:space="preserve">, y las estimaciones basadas en la media proporcionan las propiedades dinámicas empleadas por los modelos de desplazamiento. El valor de</w:t>
      </w:r>
      <w:r>
        <w:t xml:space="preserve"> </w:t>
      </w:r>
      <m:oMath>
        <m:sSub>
          <m:e>
            <m:r>
              <m:t>V</m:t>
            </m:r>
          </m:e>
          <m:sub>
            <m:r>
              <m:t>S</m:t>
            </m:r>
            <m:r>
              <m:t>30</m:t>
            </m:r>
          </m:sub>
        </m:sSub>
      </m:oMath>
      <w:r>
        <w:t xml:space="preserve"> </w:t>
      </w:r>
      <w:r>
        <w:t xml:space="preserve">se obtiene por tiempo de viaje según la expresión</w:t>
      </w:r>
      <w:r>
        <w:t xml:space="preserve"> </w:t>
      </w:r>
      <w:hyperlink w:anchor="eq-slope-vs30">
        <w:r>
          <w:rPr>
            <w:rStyle w:val="Hyperlink"/>
          </w:rPr>
          <w:t xml:space="preserve">11</w:t>
        </w:r>
      </w:hyperlink>
      <w:r>
        <w:t xml:space="preserve">, donde</w:t>
      </w:r>
      <w:r>
        <w:t xml:space="preserve"> </w:t>
      </w:r>
      <m:oMath>
        <m:sSubSup>
          <m:e>
            <m:r>
              <m:t>h</m:t>
            </m:r>
          </m:e>
          <m:sub>
            <m:r>
              <m:t>30</m:t>
            </m:r>
          </m:sub>
          <m:sup>
            <m:r>
              <m:rPr>
                <m:sty m:val="p"/>
              </m:rPr>
              <m:t>(</m:t>
            </m:r>
            <m:r>
              <m:t>i</m:t>
            </m:r>
            <m:r>
              <m:rPr>
                <m:sty m:val="p"/>
              </m:rPr>
              <m:t>)</m:t>
            </m:r>
          </m:sup>
        </m:sSubSup>
      </m:oMath>
      <w:r>
        <w:t xml:space="preserve"> </w:t>
      </w:r>
      <w:r>
        <w:t xml:space="preserve">es el espesor de la capa</w:t>
      </w:r>
      <w:r>
        <w:t xml:space="preserve"> </w:t>
      </w:r>
      <m:oMath>
        <m:r>
          <m:t>i</m:t>
        </m:r>
      </m:oMath>
      <w:r>
        <w:t xml:space="preserve"> </w:t>
      </w:r>
      <w:r>
        <w:t xml:space="preserve">comprendido en los primeros 30 m,</w:t>
      </w:r>
      <w:r>
        <w:t xml:space="preserve"> </w:t>
      </w:r>
      <m:oMath>
        <m:sSubSup>
          <m:e>
            <m:r>
              <m:t>V</m:t>
            </m:r>
          </m:e>
          <m:sub>
            <m:r>
              <m:t>S</m:t>
            </m:r>
          </m:sub>
          <m:sup>
            <m:r>
              <m:rPr>
                <m:sty m:val="p"/>
              </m:rPr>
              <m:t>(</m:t>
            </m:r>
            <m:r>
              <m:t>i</m:t>
            </m:r>
            <m:r>
              <m:rPr>
                <m:sty m:val="p"/>
              </m:rPr>
              <m:t>)</m:t>
            </m:r>
          </m:sup>
        </m:sSubSup>
      </m:oMath>
      <w:r>
        <w:t xml:space="preserve"> </w:t>
      </w:r>
      <w:r>
        <w:t xml:space="preserve">es su velocidad de onda de corte y</w:t>
      </w:r>
      <w:r>
        <w:t xml:space="preserve"> </w:t>
      </w:r>
      <m:oMath>
        <m:sSub>
          <m:e>
            <m:r>
              <m:t>V</m:t>
            </m:r>
          </m:e>
          <m:sub>
            <m:r>
              <m:rPr>
                <m:sty m:val="p"/>
              </m:rPr>
              <m:t>r</m:t>
            </m:r>
            <m:r>
              <m:rPr>
                <m:sty m:val="p"/>
              </m:rPr>
              <m:t>e</m:t>
            </m:r>
            <m:r>
              <m:rPr>
                <m:sty m:val="p"/>
              </m:rPr>
              <m:t>f</m:t>
            </m:r>
          </m:sub>
        </m:sSub>
      </m:oMath>
      <w:r>
        <w:t xml:space="preserve"> </w:t>
      </w:r>
      <w:r>
        <w:t xml:space="preserve">es la velocidad asignada al espesor complementario cuando</w:t>
      </w:r>
      <w:r>
        <w:t xml:space="preserve"> </w:t>
      </w:r>
      <m:oMath>
        <m:sSub>
          <m:e>
            <m:r>
              <m:t>H</m:t>
            </m:r>
          </m:e>
          <m:sub>
            <m:r>
              <m:t>s</m:t>
            </m:r>
          </m:sub>
        </m:sSub>
        <m:r>
          <m:rPr>
            <m:sty m:val="p"/>
          </m:rPr>
          <m:t>&lt;</m:t>
        </m:r>
        <m:r>
          <m:t>30</m:t>
        </m:r>
      </m:oMath>
      <w:r>
        <w:t xml:space="preserve"> </w:t>
      </w:r>
      <w:r>
        <w:t xml:space="preserve">m.</w:t>
      </w:r>
    </w:p>
    <w:p>
      <w:pPr>
        <w:pStyle w:val="Equation"/>
      </w:pPr>
      <w:bookmarkStart w:id="21" w:name="eq-slope-vs30"/>
      <w:r>
        <w:tab/>
      </w:r>
      <m:oMath>
        <m:sSub>
          <m:e>
            <m:r>
              <m:t>V</m:t>
            </m:r>
          </m:e>
          <m:sub>
            <m:r>
              <m:t>S</m:t>
            </m:r>
            <m:r>
              <m:t>30</m:t>
            </m:r>
          </m:sub>
        </m:sSub>
        <m:r>
          <m:rPr>
            <m:sty m:val="p"/>
          </m:rPr>
          <m:t>=</m:t>
        </m:r>
        <m:f>
          <m:fPr>
            <m:type m:val="bar"/>
          </m:fPr>
          <m:num>
            <m:r>
              <m:t>30</m:t>
            </m:r>
          </m:num>
          <m:den>
            <m:nary>
              <m:naryPr>
                <m:chr m:val="∑"/>
                <m:limLoc m:val="undOvr"/>
                <m:subHide m:val="off"/>
                <m:supHide m:val="on"/>
              </m:naryPr>
              <m:sub>
                <m:r>
                  <m:t>i</m:t>
                </m:r>
              </m:sub>
              <m:sup>
                <m:r>
                  <m:t>​</m:t>
                </m:r>
              </m:sup>
              <m:e>
                <m:f>
                  <m:fPr>
                    <m:type m:val="bar"/>
                  </m:fPr>
                  <m:num>
                    <m:sSubSup>
                      <m:e>
                        <m:r>
                          <m:t>h</m:t>
                        </m:r>
                      </m:e>
                      <m:sub>
                        <m:r>
                          <m:t>30</m:t>
                        </m:r>
                      </m:sub>
                      <m:sup>
                        <m:r>
                          <m:rPr>
                            <m:sty m:val="p"/>
                          </m:rPr>
                          <m:t>(</m:t>
                        </m:r>
                        <m:r>
                          <m:t>i</m:t>
                        </m:r>
                        <m:r>
                          <m:rPr>
                            <m:sty m:val="p"/>
                          </m:rPr>
                          <m:t>)</m:t>
                        </m:r>
                      </m:sup>
                    </m:sSubSup>
                  </m:num>
                  <m:den>
                    <m:sSubSup>
                      <m:e>
                        <m:r>
                          <m:t>V</m:t>
                        </m:r>
                      </m:e>
                      <m:sub>
                        <m:r>
                          <m:t>S</m:t>
                        </m:r>
                      </m:sub>
                      <m:sup>
                        <m:r>
                          <m:rPr>
                            <m:sty m:val="p"/>
                          </m:rPr>
                          <m:t>(</m:t>
                        </m:r>
                        <m:r>
                          <m:t>i</m:t>
                        </m:r>
                        <m:r>
                          <m:rPr>
                            <m:sty m:val="p"/>
                          </m:rPr>
                          <m:t>)</m:t>
                        </m:r>
                      </m:sup>
                    </m:sSubSup>
                  </m:den>
                </m:f>
              </m:e>
            </m:nary>
            <m:r>
              <m:rPr>
                <m:sty m:val="p"/>
              </m:rPr>
              <m:t>+</m:t>
            </m:r>
            <m:f>
              <m:fPr>
                <m:type m:val="bar"/>
              </m:fPr>
              <m:num>
                <m:r>
                  <m:rPr>
                    <m:sty m:val="p"/>
                  </m:rPr>
                  <m:t>max</m:t>
                </m:r>
                <m:r>
                  <m:rPr>
                    <m:sty m:val="p"/>
                  </m:rPr>
                  <m:t>(</m:t>
                </m:r>
                <m:r>
                  <m:t>30</m:t>
                </m:r>
                <m:r>
                  <m:rPr>
                    <m:sty m:val="p"/>
                  </m:rPr>
                  <m:t>−</m:t>
                </m:r>
                <m:sSub>
                  <m:e>
                    <m:r>
                      <m:t>H</m:t>
                    </m:r>
                  </m:e>
                  <m:sub>
                    <m:r>
                      <m:t>s</m:t>
                    </m:r>
                  </m:sub>
                </m:sSub>
                <m:r>
                  <m:rPr>
                    <m:sty m:val="p"/>
                  </m:rPr>
                  <m:t>,</m:t>
                </m:r>
                <m:r>
                  <m:t>0</m:t>
                </m:r>
                <m:r>
                  <m:rPr>
                    <m:sty m:val="p"/>
                  </m:rPr>
                  <m:t>)</m:t>
                </m:r>
              </m:num>
              <m:den>
                <m:sSub>
                  <m:e>
                    <m:r>
                      <m:t>V</m:t>
                    </m:r>
                  </m:e>
                  <m:sub>
                    <m:r>
                      <m:rPr>
                        <m:sty m:val="p"/>
                      </m:rPr>
                      <m:t>r</m:t>
                    </m:r>
                    <m:r>
                      <m:rPr>
                        <m:sty m:val="p"/>
                      </m:rPr>
                      <m:t>e</m:t>
                    </m:r>
                    <m:r>
                      <m:rPr>
                        <m:sty m:val="p"/>
                      </m:rPr>
                      <m:t>f</m:t>
                    </m:r>
                  </m:sub>
                </m:sSub>
              </m:den>
            </m:f>
          </m:den>
        </m:f>
        <m:r>
          <m:rPr>
            <m:sty m:val="p"/>
          </m:rPr>
          <m:t>.</m:t>
        </m:r>
      </m:oMath>
      <w:r>
        <w:tab/>
      </w:r>
      <w:r>
        <w:t xml:space="preserve">(11)</w:t>
      </w:r>
      <w:bookmarkEnd w:id="21"/>
    </w:p>
    <w:bookmarkStart w:id="23" w:name="tbl-memo-periods-table-ts"/>
    <w:p>
      <w:pPr>
        <w:pStyle w:val="ImageCaption"/>
        <w:spacing w:before="200"/>
        <w:jc w:val="left"/>
      </w:pPr>
      <w:r>
        <w:t xml:space="preserve">Table 2: Períodos fundamentales</w:t>
      </w:r>
      <w:r>
        <w:t xml:space="preserve"> </w:t>
      </w:r>
      <m:oMath>
        <m:sSub>
          <m:e>
            <m:r>
              <m:t>T</m:t>
            </m:r>
          </m:e>
          <m:sub>
            <m:r>
              <m:t>s</m:t>
            </m:r>
          </m:sub>
        </m:sSub>
        <m:r>
          <m:rPr>
            <m:sty m:val="p"/>
          </m:rPr>
          <m:t>≈</m:t>
        </m:r>
        <m:sSub>
          <m:e>
            <m:r>
              <m:t>T</m:t>
            </m:r>
          </m:e>
          <m:sub>
            <m:r>
              <m:t>1</m:t>
            </m:r>
          </m:sub>
        </m:sSub>
      </m:oMath>
      <w:r>
        <w:t xml:space="preserve"> </w:t>
      </w:r>
      <w:r>
        <w:t xml:space="preserve">[s] y propiedades dinámicas medias de los escenarios evaluados.</w:t>
      </w:r>
      <w:r>
        <w:rPr>
          <w:rStyle w:val="FootnoteReference"/>
        </w:rPr>
        <w:footnoteReference w:id="22"/>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IDm</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USCS</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H</m:t>
                  </m:r>
                </m:e>
                <m:sub>
                  <m:r>
                    <m:t>s</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r>
                <m:t>b</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r>
                <m:t>s</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λ</m:t>
                  </m:r>
                </m:e>
                <m:sub>
                  <m:r>
                    <m:t>o</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m</m:t>
                  </m:r>
                </m:e>
                <m:sub>
                  <m:r>
                    <m:t>o</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a</m:t>
                  </m:r>
                </m:e>
                <m:sub>
                  <m:r>
                    <m:t>1</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G</m:t>
                  </m:r>
                </m:e>
                <m:sub>
                  <m:r>
                    <m:t>o</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Sup>
                <m:e>
                  <m:r>
                    <m:t>V</m:t>
                  </m:r>
                </m:e>
                <m:sub>
                  <m:r>
                    <m:t>S</m:t>
                  </m:r>
                </m:sub>
                <m:sup>
                  <m:r>
                    <m:t>o</m:t>
                  </m:r>
                </m:sup>
              </m:sSubSup>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s</m:t>
                  </m:r>
                </m:sub>
              </m:sSub>
            </m:oMath>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U1</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ML MH</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363</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0.350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0.484</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3.6538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263.8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368.8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SP 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3.3699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SP SM ML MH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3.1306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GP GW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3.1036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365.1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U5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GP GW SP SM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2.9528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r>
    </w:tbl>
    <w:bookmarkEnd w:id="23"/>
    <w:p/>
    <w:bookmarkEnd w:id="24"/>
    <w:bookmarkStart w:id="29" w:name="sec-coefficients"/>
    <w:p>
      <w:pPr>
        <w:pStyle w:val="Heading2"/>
      </w:pPr>
      <w:r>
        <w:t xml:space="preserve">Coeficiente sísmico basado en desempeño</w:t>
      </w:r>
    </w:p>
    <w:p>
      <w:pPr>
        <w:pStyle w:val="FirstParagraph"/>
      </w:pPr>
      <w:r>
        <w:t xml:space="preserve">El diseño sísmico de taludes por el método pseudoestático requiere un coeficiente horizontal que represente la acción del sismo sobre la masa deslizante. En este informe el coeficiente se deriva del desempeño en desplazamientos: el desplazamiento permanente de Newmark</w:t>
      </w:r>
      <w:r>
        <w:t xml:space="preserve"> </w:t>
      </w:r>
      <m:oMath>
        <m:sSub>
          <m:e>
            <m:r>
              <m:t>D</m:t>
            </m:r>
          </m:e>
          <m:sub>
            <m:r>
              <m:t>n</m:t>
            </m:r>
          </m:sub>
        </m:sSub>
      </m:oMath>
      <w:r>
        <w:t xml:space="preserve"> </w:t>
      </w:r>
      <w:r>
        <w:t xml:space="preserve">es la medida de desempeño de la que se derivan los coeficientes sísmicos, y el coeficiente</w:t>
      </w:r>
      <w:r>
        <w:t xml:space="preserve"> </w:t>
      </w:r>
      <m:oMath>
        <m:sSub>
          <m:e>
            <m:r>
              <m:t>k</m:t>
            </m:r>
          </m:e>
          <m:sub>
            <m:r>
              <m:rPr>
                <m:sty m:val="p"/>
              </m:rPr>
              <m:t>max</m:t>
            </m:r>
          </m:sub>
        </m:sSub>
      </m:oMath>
      <w:r>
        <w:t xml:space="preserve"> </w:t>
      </w:r>
      <w:r>
        <w:t xml:space="preserve">es la menor aceleración de fluencia</w:t>
      </w:r>
      <w:r>
        <w:t xml:space="preserve"> </w:t>
      </w:r>
      <m:oMath>
        <m:sSub>
          <m:e>
            <m:r>
              <m:t>k</m:t>
            </m:r>
          </m:e>
          <m:sub>
            <m:r>
              <m:t>y</m:t>
            </m:r>
          </m:sub>
        </m:sSub>
      </m:oMath>
      <w:r>
        <w:t xml:space="preserve"> </w:t>
      </w:r>
      <w:r>
        <w:t xml:space="preserve">compatible con un objetivo de desempeño definido por el desplazamiento admisible</w:t>
      </w:r>
      <w:r>
        <w:t xml:space="preserve"> </w:t>
      </w:r>
      <m:oMath>
        <m:sSub>
          <m:e>
            <m:r>
              <m:t>D</m:t>
            </m:r>
          </m:e>
          <m:sub>
            <m:r>
              <m:t>a</m:t>
            </m:r>
          </m:sub>
        </m:sSub>
      </m:oMath>
      <w:r>
        <w:t xml:space="preserve"> </w:t>
      </w:r>
      <w:r>
        <w:t xml:space="preserve">y la probabilidad objetivo</w:t>
      </w:r>
      <w:r>
        <w:t xml:space="preserve"> </w:t>
      </w:r>
      <m:oMath>
        <m:sSub>
          <m:e>
            <m:r>
              <m:t>p</m:t>
            </m:r>
          </m:e>
          <m:sub>
            <m:r>
              <m:t>e</m:t>
            </m:r>
          </m:sub>
        </m:sSub>
      </m:oMath>
      <w:r>
        <w:t xml:space="preserve"> </w:t>
      </w:r>
      <w:r>
        <w:t xml:space="preserve">de que</w:t>
      </w:r>
      <w:r>
        <w:t xml:space="preserve"> </w:t>
      </w:r>
      <m:oMath>
        <m:sSub>
          <m:e>
            <m:r>
              <m:t>D</m:t>
            </m:r>
          </m:e>
          <m:sub>
            <m:r>
              <m:t>n</m:t>
            </m:r>
          </m:sub>
        </m:sSub>
      </m:oMath>
      <w:r>
        <w:t xml:space="preserve"> </w:t>
      </w:r>
      <w:r>
        <w:t xml:space="preserve">exceda</w:t>
      </w:r>
      <w:r>
        <w:t xml:space="preserve"> </w:t>
      </w:r>
      <m:oMath>
        <m:sSub>
          <m:e>
            <m:r>
              <m:t>D</m:t>
            </m:r>
          </m:e>
          <m:sub>
            <m:r>
              <m:t>a</m:t>
            </m:r>
          </m:sub>
        </m:sSub>
      </m:oMath>
      <w:r>
        <w:t xml:space="preserve">. El coeficiente normalizado</w:t>
      </w:r>
      <w:r>
        <w:t xml:space="preserve"> </w:t>
      </w:r>
      <m:oMath>
        <m:sSub>
          <m:e>
            <m:r>
              <m:t>k</m:t>
            </m:r>
          </m:e>
          <m:sub>
            <m:r>
              <m:t>h</m:t>
            </m:r>
          </m:sub>
        </m:sSub>
      </m:oMath>
      <w:r>
        <w:t xml:space="preserve"> </w:t>
      </w:r>
      <w:r>
        <w:t xml:space="preserve">expresa</w:t>
      </w:r>
      <w:r>
        <w:t xml:space="preserve"> </w:t>
      </w:r>
      <m:oMath>
        <m:sSub>
          <m:e>
            <m:r>
              <m:t>k</m:t>
            </m:r>
          </m:e>
          <m:sub>
            <m:r>
              <m:rPr>
                <m:sty m:val="p"/>
              </m:rPr>
              <m:t>max</m:t>
            </m:r>
          </m:sub>
        </m:sSub>
      </m:oMath>
      <w:r>
        <w:t xml:space="preserve"> </w:t>
      </w:r>
      <w:r>
        <w:t xml:space="preserve">como porcentaje de la PGA con respuesta de sitio correspondiente a cada combinación de geometría y material, y los coeficientes se reportan por geometría, material y demanda sísmica. Para los taludes evaluados,</w:t>
      </w:r>
      <w:r>
        <w:t xml:space="preserve"> </w:t>
      </w:r>
      <m:oMath>
        <m:sSub>
          <m:e>
            <m:r>
              <m:t>D</m:t>
            </m:r>
          </m:e>
          <m:sub>
            <m:r>
              <m:t>n</m:t>
            </m:r>
          </m:sub>
        </m:sSub>
      </m:oMath>
      <w:r>
        <w:t xml:space="preserve"> </w:t>
      </w:r>
      <w:r>
        <w:t xml:space="preserve">se estima de forma probabilística combinando modelos empíricos de regresión en un marco lognormal.</w:t>
      </w:r>
    </w:p>
    <w:p>
      <w:pPr>
        <w:pStyle w:val="BodyText"/>
      </w:pPr>
      <w:r>
        <w:t xml:space="preserve">El coeficiente pseudoestático horizontal se deriva en esta evaluación a partir del desplazamiento permanente admisible</w:t>
      </w:r>
      <w:r>
        <w:t xml:space="preserve"> </w:t>
      </w:r>
      <m:oMath>
        <m:sSub>
          <m:e>
            <m:r>
              <m:t>D</m:t>
            </m:r>
          </m:e>
          <m:sub>
            <m:r>
              <m:t>a</m:t>
            </m:r>
          </m:sub>
        </m:sSub>
      </m:oMath>
      <w:r>
        <w:t xml:space="preserve"> </w:t>
      </w:r>
      <w:r>
        <w:t xml:space="preserve">de la masa potencialmente deslizante</w:t>
      </w:r>
      <w:r>
        <w:t xml:space="preserve"> </w:t>
      </w:r>
      <w:r>
        <w:t xml:space="preserve">(</w:t>
      </w:r>
      <w:hyperlink w:anchor="ref-BrayTravasarou2009">
        <w:r>
          <w:rPr>
            <w:rStyle w:val="Hyperlink"/>
          </w:rPr>
          <w:t xml:space="preserve">Bray y Travasarou 2009</w:t>
        </w:r>
      </w:hyperlink>
      <w:r>
        <w:t xml:space="preserve">;</w:t>
      </w:r>
      <w:r>
        <w:t xml:space="preserve"> </w:t>
      </w:r>
      <w:hyperlink w:anchor="ref-MacedoEtAl2018">
        <w:r>
          <w:rPr>
            <w:rStyle w:val="Hyperlink"/>
          </w:rPr>
          <w:t xml:space="preserve">Macedo et al. 2018</w:t>
        </w:r>
      </w:hyperlink>
      <w:r>
        <w:t xml:space="preserve">)</w:t>
      </w:r>
      <w:r>
        <w:t xml:space="preserve">. La demanda sísmica y los períodos fundamentales establecidos en las secciones precedentes permiten calcular las relaciones</w:t>
      </w:r>
      <w:r>
        <w:t xml:space="preserve"> </w:t>
      </w:r>
      <m:oMath>
        <m:sSub>
          <m:e>
            <m:r>
              <m:t>D</m:t>
            </m:r>
          </m:e>
          <m:sub>
            <m:r>
              <m:t>n</m:t>
            </m:r>
          </m:sub>
        </m:sSub>
        <m:r>
          <m:rPr>
            <m:sty m:val="p"/>
          </m:rPr>
          <m:t>(</m:t>
        </m:r>
        <m:sSub>
          <m:e>
            <m:r>
              <m:t>k</m:t>
            </m:r>
          </m:e>
          <m:sub>
            <m:r>
              <m:t>y</m:t>
            </m:r>
          </m:sub>
        </m:sSub>
        <m:r>
          <m:rPr>
            <m:sty m:val="p"/>
          </m:rPr>
          <m:t>)</m:t>
        </m:r>
      </m:oMath>
      <w:r>
        <w:t xml:space="preserve"> </w:t>
      </w:r>
      <w:r>
        <w:t xml:space="preserve">entre el desplazamiento permanente de Newmark y la aceleración de fluencia; su inversión produce</w:t>
      </w:r>
      <w:r>
        <w:t xml:space="preserve"> </w:t>
      </w:r>
      <m:oMath>
        <m:sSub>
          <m:e>
            <m:r>
              <m:t>k</m:t>
            </m:r>
          </m:e>
          <m:sub>
            <m:r>
              <m:rPr>
                <m:sty m:val="p"/>
              </m:rPr>
              <m:t>max</m:t>
            </m:r>
          </m:sub>
        </m:sSub>
      </m:oMath>
      <w:r>
        <w:t xml:space="preserve"> </w:t>
      </w:r>
      <w:r>
        <w:t xml:space="preserve">y su normalización respecto de la PGA transformada al</w:t>
      </w:r>
      <w:r>
        <w:t xml:space="preserve"> </w:t>
      </w:r>
      <m:oMath>
        <m:sSub>
          <m:e>
            <m:r>
              <m:t>V</m:t>
            </m:r>
          </m:e>
          <m:sub>
            <m:r>
              <m:t>S</m:t>
            </m:r>
            <m:r>
              <m:t>30</m:t>
            </m:r>
          </m:sub>
        </m:sSub>
      </m:oMath>
      <w:r>
        <w:t xml:space="preserve"> </w:t>
      </w:r>
      <w:r>
        <w:t xml:space="preserve">de cada combinación de geometría y material produce</w:t>
      </w:r>
      <w:r>
        <w:t xml:space="preserve"> </w:t>
      </w:r>
      <m:oMath>
        <m:sSub>
          <m:e>
            <m:r>
              <m:t>k</m:t>
            </m:r>
          </m:e>
          <m:sub>
            <m:r>
              <m:t>h</m:t>
            </m:r>
          </m:sub>
        </m:sSub>
      </m:oMath>
      <w:r>
        <w:t xml:space="preserve">, de modo que el resultado vincula de forma trazable el objetivo de deformación con la acción horizontal empleada en la verificación de estabilidad. La aceleración de fluencia</w:t>
      </w:r>
      <w:r>
        <w:t xml:space="preserve"> </w:t>
      </w:r>
      <m:oMath>
        <m:sSub>
          <m:e>
            <m:r>
              <m:t>a</m:t>
            </m:r>
          </m:e>
          <m:sub>
            <m:r>
              <m:t>y</m:t>
            </m:r>
          </m:sub>
        </m:sSub>
      </m:oMath>
      <w:r>
        <w:t xml:space="preserve"> </w:t>
      </w:r>
      <w:r>
        <w:t xml:space="preserve">representa el nivel de aceleración que moviliza la resistencia disponible a lo largo del mecanismo potencial de falla, y su forma adimensional es</w:t>
      </w:r>
      <w:r>
        <w:t xml:space="preserve"> </w:t>
      </w:r>
      <m:oMath>
        <m:sSub>
          <m:e>
            <m:r>
              <m:t>k</m:t>
            </m:r>
          </m:e>
          <m:sub>
            <m:r>
              <m:t>y</m:t>
            </m:r>
          </m:sub>
        </m:sSub>
        <m:r>
          <m:rPr>
            <m:sty m:val="p"/>
          </m:rPr>
          <m:t>=</m:t>
        </m:r>
        <m:sSub>
          <m:e>
            <m:r>
              <m:t>a</m:t>
            </m:r>
          </m:e>
          <m:sub>
            <m:r>
              <m:t>y</m:t>
            </m:r>
          </m:sub>
        </m:sSub>
        <m:r>
          <m:rPr>
            <m:sty m:val="p"/>
          </m:rPr>
          <m:t>/</m:t>
        </m:r>
        <m:r>
          <m:t>g</m:t>
        </m:r>
      </m:oMath>
      <w:r>
        <w:t xml:space="preserve">; para cada desplazamiento admisible y probabilidad objetivo de excedencia, el análisis determina el umbral de</w:t>
      </w:r>
      <w:r>
        <w:t xml:space="preserve"> </w:t>
      </w:r>
      <m:oMath>
        <m:sSub>
          <m:e>
            <m:r>
              <m:t>k</m:t>
            </m:r>
          </m:e>
          <m:sub>
            <m:r>
              <m:t>y</m:t>
            </m:r>
          </m:sub>
        </m:sSub>
      </m:oMath>
      <w:r>
        <w:t xml:space="preserve"> </w:t>
      </w:r>
      <w:r>
        <w:t xml:space="preserve">que satisface el criterio de desempeño, y ese umbral es</w:t>
      </w:r>
      <w:r>
        <w:t xml:space="preserve"> </w:t>
      </w:r>
      <m:oMath>
        <m:sSub>
          <m:e>
            <m:r>
              <m:t>k</m:t>
            </m:r>
          </m:e>
          <m:sub>
            <m:r>
              <m:rPr>
                <m:sty m:val="p"/>
              </m:rPr>
              <m:t>max</m:t>
            </m:r>
          </m:sub>
        </m:sSub>
      </m:oMath>
      <w:r>
        <w:t xml:space="preserve">, el coeficiente de la verificación pseudoestática de equilibrio límite.</w:t>
      </w:r>
    </w:p>
    <w:p>
      <w:pPr>
        <w:pStyle w:val="BodyText"/>
      </w:pPr>
      <w:r>
        <w:t xml:space="preserve">En el método del bloque deslizante de Newmark</w:t>
      </w:r>
      <w:r>
        <w:t xml:space="preserve"> </w:t>
      </w:r>
      <w:r>
        <w:t xml:space="preserve">(</w:t>
      </w:r>
      <w:hyperlink w:anchor="ref-Newmark1965">
        <w:r>
          <w:rPr>
            <w:rStyle w:val="Hyperlink"/>
          </w:rPr>
          <w:t xml:space="preserve">Newmark 1965</w:t>
        </w:r>
      </w:hyperlink>
      <w:r>
        <w:t xml:space="preserve">)</w:t>
      </w:r>
      <w:r>
        <w:t xml:space="preserve">, la cuña en potencial deslizamiento es un bloque rígido apoyado sobre un plano inclinado: el movimiento relativo comienza cuando la aceleración impulsora supera la aceleración de fluencia</w:t>
      </w:r>
      <w:r>
        <w:t xml:space="preserve"> </w:t>
      </w:r>
      <m:oMath>
        <m:sSub>
          <m:e>
            <m:r>
              <m:t>a</m:t>
            </m:r>
          </m:e>
          <m:sub>
            <m:r>
              <m:t>y</m:t>
            </m:r>
          </m:sub>
        </m:sSub>
        <m:r>
          <m:rPr>
            <m:sty m:val="p"/>
          </m:rPr>
          <m:t>=</m:t>
        </m:r>
        <m:sSub>
          <m:e>
            <m:r>
              <m:t>k</m:t>
            </m:r>
          </m:e>
          <m:sub>
            <m:r>
              <m:t>y</m:t>
            </m:r>
          </m:sub>
        </m:sSub>
        <m:r>
          <m:t>g</m:t>
        </m:r>
      </m:oMath>
      <w:r>
        <w:t xml:space="preserve"> </w:t>
      </w:r>
      <w:r>
        <w:t xml:space="preserve">y continúa hasta que la velocidad relativa vuelve a cero, y el desplazamiento permanente es la suma de esos episodios durante el movimiento sísmico, obtenida por doble integración del exceso de aceleración. La extensión del procedimiento a presas y terraplenes</w:t>
      </w:r>
      <w:r>
        <w:t xml:space="preserve"> </w:t>
      </w:r>
      <w:r>
        <w:t xml:space="preserve">(</w:t>
      </w:r>
      <w:hyperlink w:anchor="ref-MakdisiSeed1978">
        <w:r>
          <w:rPr>
            <w:rStyle w:val="Hyperlink"/>
          </w:rPr>
          <w:t xml:space="preserve">Makdisi y Seed 1978</w:t>
        </w:r>
      </w:hyperlink>
      <w:r>
        <w:t xml:space="preserve">)</w:t>
      </w:r>
      <w:r>
        <w:t xml:space="preserve"> </w:t>
      </w:r>
      <w:r>
        <w:t xml:space="preserve">derivó la aceleración equivalente de la masa deslizante a partir de su respuesta dinámica y es el antecedente directo de las formulaciones flexibles. Las relaciones empíricas adoptadas representan estadísticamente el desplazamiento acumulado mediante dos idealizaciones: los modelos de bloque rígido relacionan el desplazamiento con medidas de la excitación basal, y los modelos de bloque flexible incorporan además la respuesta dinámica de la masa mediante</w:t>
      </w:r>
      <w:r>
        <w:t xml:space="preserve"> </w:t>
      </w:r>
      <m:oMath>
        <m:sSub>
          <m:e>
            <m:r>
              <m:t>T</m:t>
            </m:r>
          </m:e>
          <m:sub>
            <m:r>
              <m:t>s</m:t>
            </m:r>
          </m:sub>
        </m:sSub>
      </m:oMath>
      <w:r>
        <w:t xml:space="preserve"> </w:t>
      </w:r>
      <w:r>
        <w:t xml:space="preserve">y la aceleración espectral evaluada en un período proporcional a</w:t>
      </w:r>
      <w:r>
        <w:t xml:space="preserve"> </w:t>
      </w:r>
      <m:oMath>
        <m:sSub>
          <m:e>
            <m:r>
              <m:t>T</m:t>
            </m:r>
          </m:e>
          <m:sub>
            <m:r>
              <m:t>s</m:t>
            </m:r>
          </m:sub>
        </m:sSub>
      </m:oMath>
      <w:r>
        <w:t xml:space="preserve">.</w:t>
      </w:r>
    </w:p>
    <w:p>
      <w:pPr>
        <w:pStyle w:val="BodyText"/>
      </w:pPr>
      <w:r>
        <w:t xml:space="preserve">El cálculo de desplazamientos utiliza la demanda sísmica y los períodos fundamentales establecidos en la Sección</w:t>
      </w:r>
      <w:r>
        <w:t xml:space="preserve"> </w:t>
      </w:r>
      <w:hyperlink w:anchor="sec-slope_periods">
        <w:r>
          <w:rPr>
            <w:rStyle w:val="Hyperlink"/>
          </w:rPr>
          <w:t xml:space="preserve">1.2</w:t>
        </w:r>
      </w:hyperlink>
      <w:r>
        <w:t xml:space="preserve">. Para cada geometría, material y demanda sísmica —el espectro probabilístico de cada período de retorno evaluado y el escenario MCE— se construye una muestra conjunta de las medidas de intensidad requeridas por las formulaciones de bloque rígido y flexible; esa muestra es común a todos los modelos, de modo que sus diferencias representan la formulación del desplazamiento y no demandas sísmicas incompatibles. Dos entradas alimentan esa muestra. La entrada probabilística de cada período de retorno es la UHS en roca de referencia, que para 10,000 años es el MDE, y la entrada MCE es el espectro en roca de cada escenario; ambas conservan la distribución completa de la demanda en roca y ambas se definen para</w:t>
      </w:r>
      <w:r>
        <w:t xml:space="preserve"> </w:t>
      </w:r>
      <m:oMath>
        <m:sSub>
          <m:e>
            <m:r>
              <m:t>V</m:t>
            </m:r>
          </m:e>
          <m:sub>
            <m:r>
              <m:t>S</m:t>
            </m:r>
            <m:r>
              <m:t>30</m:t>
            </m:r>
          </m:sub>
        </m:sSub>
        <m:r>
          <m:rPr>
            <m:sty m:val="p"/>
          </m:rPr>
          <m:t>=</m:t>
        </m:r>
        <m:sSub>
          <m:e>
            <m:r>
              <m:t>V</m:t>
            </m:r>
          </m:e>
          <m:sub>
            <m:r>
              <m:rPr>
                <m:sty m:val="p"/>
              </m:rPr>
              <m:t>r</m:t>
            </m:r>
            <m:r>
              <m:rPr>
                <m:sty m:val="p"/>
              </m:rPr>
              <m:t>e</m:t>
            </m:r>
            <m:r>
              <m:rPr>
                <m:sty m:val="p"/>
              </m:rPr>
              <m:t>f</m:t>
            </m:r>
          </m:sub>
        </m:sSub>
        <m:r>
          <m:rPr>
            <m:sty m:val="p"/>
          </m:rPr>
          <m:t>=</m:t>
        </m:r>
        <m:r>
          <m:t>760</m:t>
        </m:r>
      </m:oMath>
      <w:r>
        <w:t xml:space="preserve"> </w:t>
      </w:r>
      <w:r>
        <w:t xml:space="preserve">m/s. Para cada escenario de geometría y material, las ordenadas espectrales y la PGA se transforman al</w:t>
      </w:r>
      <w:r>
        <w:t xml:space="preserve"> </w:t>
      </w:r>
      <m:oMath>
        <m:sSub>
          <m:e>
            <m:r>
              <m:t>V</m:t>
            </m:r>
          </m:e>
          <m:sub>
            <m:r>
              <m:t>S</m:t>
            </m:r>
            <m:r>
              <m:t>30</m:t>
            </m:r>
          </m:sub>
        </m:sSub>
      </m:oMath>
      <w:r>
        <w:t xml:space="preserve"> </w:t>
      </w:r>
      <w:r>
        <w:t xml:space="preserve">correspondiente mediante el modelo de amplificación</w:t>
      </w:r>
      <w:r>
        <w:t xml:space="preserve"> </w:t>
      </w:r>
      <w:r>
        <w:rPr>
          <w:rStyle w:val="VerbatimChar"/>
        </w:rPr>
        <w:t xml:space="preserve">ST20</w:t>
      </w:r>
      <w:r>
        <w:t xml:space="preserve"> </w:t>
      </w:r>
      <w:r>
        <w:t xml:space="preserve">(</w:t>
      </w:r>
      <w:hyperlink w:anchor="ref-Stewart2020">
        <w:r>
          <w:rPr>
            <w:rStyle w:val="Hyperlink"/>
          </w:rPr>
          <w:t xml:space="preserve">Stewart et al. 2020</w:t>
        </w:r>
      </w:hyperlink>
      <w:r>
        <w:t xml:space="preserve">;</w:t>
      </w:r>
      <w:r>
        <w:t xml:space="preserve"> </w:t>
      </w:r>
      <w:hyperlink w:anchor="ref-Hashash2020">
        <w:r>
          <w:rPr>
            <w:rStyle w:val="Hyperlink"/>
          </w:rPr>
          <w:t xml:space="preserve">Hashash et al. 2020</w:t>
        </w:r>
      </w:hyperlink>
      <w:r>
        <w:t xml:space="preserve">)</w:t>
      </w:r>
      <w:r>
        <w:t xml:space="preserve">.</w:t>
      </w:r>
    </w:p>
    <w:p>
      <w:pPr>
        <w:pStyle w:val="BodyText"/>
      </w:pPr>
      <w:r>
        <w:t xml:space="preserve">En la condición de sitio de cada escenario, la muestra conjunta comprende PGA,</w:t>
      </w:r>
      <w:r>
        <w:t xml:space="preserve"> </w:t>
      </w:r>
      <m:oMath>
        <m:sSub>
          <m:e>
            <m:r>
              <m:t>S</m:t>
            </m:r>
          </m:e>
          <m:sub>
            <m:r>
              <m:t>a</m:t>
            </m:r>
          </m:sub>
        </m:sSub>
        <m:r>
          <m:rPr>
            <m:sty m:val="p"/>
          </m:rPr>
          <m:t>(</m:t>
        </m:r>
        <m:r>
          <m:t>1.3</m:t>
        </m:r>
        <m:sSub>
          <m:e>
            <m:r>
              <m:t>T</m:t>
            </m:r>
          </m:e>
          <m:sub>
            <m:r>
              <m:t>s</m:t>
            </m:r>
          </m:sub>
        </m:sSub>
        <m:r>
          <m:rPr>
            <m:sty m:val="p"/>
          </m:rPr>
          <m:t>)</m:t>
        </m:r>
      </m:oMath>
      <w:r>
        <w:t xml:space="preserve"> </w:t>
      </w:r>
      <w:r>
        <w:t xml:space="preserve">y</w:t>
      </w:r>
      <w:r>
        <w:t xml:space="preserve"> </w:t>
      </w:r>
      <m:oMath>
        <m:sSub>
          <m:e>
            <m:r>
              <m:t>S</m:t>
            </m:r>
          </m:e>
          <m:sub>
            <m:r>
              <m:t>a</m:t>
            </m:r>
          </m:sub>
        </m:sSub>
        <m:r>
          <m:rPr>
            <m:sty m:val="p"/>
          </m:rPr>
          <m:t>(</m:t>
        </m:r>
        <m:r>
          <m:t>1.5</m:t>
        </m:r>
        <m:sSub>
          <m:e>
            <m:r>
              <m:t>T</m:t>
            </m:r>
          </m:e>
          <m:sub>
            <m:r>
              <m:t>s</m:t>
            </m:r>
          </m:sub>
        </m:sSub>
        <m:r>
          <m:rPr>
            <m:sty m:val="p"/>
          </m:rPr>
          <m:t>)</m:t>
        </m:r>
      </m:oMath>
      <w:r>
        <w:t xml:space="preserve">. Las tres medidas se representan mediante marginales empíricas en</w:t>
      </w:r>
      <w:r>
        <w:t xml:space="preserve"> </w:t>
      </w:r>
      <m:oMath>
        <m:r>
          <m:rPr>
            <m:sty m:val="p"/>
          </m:rPr>
          <m:t>ln</m:t>
        </m:r>
        <m:sSub>
          <m:e>
            <m:r>
              <m:t>S</m:t>
            </m:r>
          </m:e>
          <m:sub>
            <m:r>
              <m:t>a</m:t>
            </m:r>
          </m:sub>
        </m:sSub>
      </m:oMath>
      <w:r>
        <w:t xml:space="preserve"> </w:t>
      </w:r>
      <w:r>
        <w:t xml:space="preserve">y una cópula gaussiana con la matriz completa de correlación interperíodo</w:t>
      </w:r>
      <w:r>
        <w:t xml:space="preserve"> </w:t>
      </w:r>
      <w:r>
        <w:t xml:space="preserve">(</w:t>
      </w:r>
      <w:hyperlink w:anchor="ref-BakerJayaram2008">
        <w:r>
          <w:rPr>
            <w:rStyle w:val="Hyperlink"/>
          </w:rPr>
          <w:t xml:space="preserve">Baker y Jayaram 2008</w:t>
        </w:r>
      </w:hyperlink>
      <w:r>
        <w:t xml:space="preserve">)</w:t>
      </w:r>
      <w:r>
        <w:t xml:space="preserve">, y las muestras se recentran para conservar la media de cada marginal amplificada; en cada realización, las tres intensidades permanecen apareadas y cada formulación de desplazamiento utiliza las medidas que intervienen en su regresión. La intensidad de Arias utilizada por</w:t>
      </w:r>
      <w:r>
        <w:t xml:space="preserve"> </w:t>
      </w:r>
      <w:r>
        <w:rPr>
          <w:rStyle w:val="VerbatimChar"/>
        </w:rPr>
        <w:t xml:space="preserve">JB07</w:t>
      </w:r>
      <w:r>
        <w:t xml:space="preserve"> </w:t>
      </w:r>
      <w:r>
        <w:t xml:space="preserve">y</w:t>
      </w:r>
      <w:r>
        <w:t xml:space="preserve"> </w:t>
      </w:r>
      <w:r>
        <w:rPr>
          <w:rStyle w:val="VerbatimChar"/>
        </w:rPr>
        <w:t xml:space="preserve">SR08</w:t>
      </w:r>
      <w:r>
        <w:t xml:space="preserve"> </w:t>
      </w:r>
      <w:r>
        <w:t xml:space="preserve">completa el conjunto de medidas de intensidad; se estima para cada realización a partir de la PGA, de modo que cada realización de PGA determina un único valor de</w:t>
      </w:r>
      <w:r>
        <w:t xml:space="preserve"> </w:t>
      </w:r>
      <m:oMath>
        <m:sSub>
          <m:e>
            <m:r>
              <m:t>I</m:t>
            </m:r>
          </m:e>
          <m:sub>
            <m:r>
              <m:t>A</m:t>
            </m:r>
          </m:sub>
        </m:sSub>
      </m:oMath>
      <w:r>
        <w:t xml:space="preserve"> </w:t>
      </w:r>
      <w:r>
        <w:t xml:space="preserve">y la muestra de desplazamientos propaga la variabilidad de PGA.</w:t>
      </w:r>
    </w:p>
    <w:p>
      <w:pPr>
        <w:pStyle w:val="BodyText"/>
      </w:pPr>
      <w:r>
        <w:t xml:space="preserve">Para cada escenario se evalúan 30 valores de</w:t>
      </w:r>
      <w:r>
        <w:t xml:space="preserve"> </w:t>
      </w:r>
      <m:oMath>
        <m:sSub>
          <m:e>
            <m:r>
              <m:t>k</m:t>
            </m:r>
          </m:e>
          <m:sub>
            <m:r>
              <m:t>y</m:t>
            </m:r>
          </m:sub>
        </m:sSub>
      </m:oMath>
      <w:r>
        <w:t xml:space="preserve"> </w:t>
      </w:r>
      <w:r>
        <w:t xml:space="preserve">distribuidos logarítmicamente entre 0.01 y</w:t>
      </w:r>
      <w:r>
        <w:t xml:space="preserve"> </w:t>
      </w:r>
      <m:oMath>
        <m:r>
          <m:rPr>
            <m:sty m:val="p"/>
          </m:rPr>
          <m:t>max</m:t>
        </m:r>
        <m:r>
          <m:rPr>
            <m:sty m:val="p"/>
          </m:rPr>
          <m:t>(</m:t>
        </m:r>
        <m:bar>
          <m:barPr>
            <m:pos m:val="top"/>
          </m:barPr>
          <m:e>
            <m:r>
              <m:rPr>
                <m:sty m:val="p"/>
              </m:rPr>
              <m:t>P</m:t>
            </m:r>
            <m:r>
              <m:rPr>
                <m:sty m:val="p"/>
              </m:rPr>
              <m:t>G</m:t>
            </m:r>
            <m:r>
              <m:rPr>
                <m:sty m:val="p"/>
              </m:rPr>
              <m:t>A</m:t>
            </m:r>
          </m:e>
        </m:bar>
        <m:r>
          <m:rPr>
            <m:sty m:val="p"/>
          </m:rPr>
          <m:t>,</m:t>
        </m:r>
        <m:r>
          <m:t>0.80</m:t>
        </m:r>
        <m:r>
          <m:rPr>
            <m:sty m:val="p"/>
          </m:rPr>
          <m:t>)</m:t>
        </m:r>
      </m:oMath>
      <w:r>
        <w:t xml:space="preserve">, donde</w:t>
      </w:r>
      <w:r>
        <w:t xml:space="preserve"> </w:t>
      </w:r>
      <m:oMath>
        <m:bar>
          <m:barPr>
            <m:pos m:val="top"/>
          </m:barPr>
          <m:e>
            <m:r>
              <m:rPr>
                <m:sty m:val="p"/>
              </m:rPr>
              <m:t>P</m:t>
            </m:r>
            <m:r>
              <m:rPr>
                <m:sty m:val="p"/>
              </m:rPr>
              <m:t>G</m:t>
            </m:r>
            <m:r>
              <m:rPr>
                <m:sty m:val="p"/>
              </m:rPr>
              <m:t>A</m:t>
            </m:r>
          </m:e>
        </m:bar>
      </m:oMath>
      <w:r>
        <w:t xml:space="preserve"> </w:t>
      </w:r>
      <w:r>
        <w:t xml:space="preserve">es la media de la PGA en la condición de sitio del escenario. Ese intervalo establece el soporte calculado de las relaciones</w:t>
      </w:r>
      <w:r>
        <w:t xml:space="preserve"> </w:t>
      </w:r>
      <m:oMath>
        <m:sSub>
          <m:e>
            <m:r>
              <m:t>D</m:t>
            </m:r>
          </m:e>
          <m:sub>
            <m:r>
              <m:t>n</m:t>
            </m:r>
          </m:sub>
        </m:sSub>
        <m:r>
          <m:rPr>
            <m:sty m:val="p"/>
          </m:rPr>
          <m:t>(</m:t>
        </m:r>
        <m:sSub>
          <m:e>
            <m:r>
              <m:t>k</m:t>
            </m:r>
          </m:e>
          <m:sub>
            <m:r>
              <m:t>y</m:t>
            </m:r>
          </m:sub>
        </m:sSub>
        <m:r>
          <m:rPr>
            <m:sty m:val="p"/>
          </m:rPr>
          <m:t>)</m:t>
        </m:r>
      </m:oMath>
      <w:r>
        <w:t xml:space="preserve">, sobre el cual se evalúan las formulaciones y opera la inversión a</w:t>
      </w:r>
      <w:r>
        <w:t xml:space="preserve"> </w:t>
      </w:r>
      <m:oMath>
        <m:sSub>
          <m:e>
            <m:r>
              <m:t>k</m:t>
            </m:r>
          </m:e>
          <m:sub>
            <m:r>
              <m:rPr>
                <m:sty m:val="p"/>
              </m:rPr>
              <m:t>max</m:t>
            </m:r>
          </m:sub>
        </m:sSub>
      </m:oMath>
      <w:r>
        <w:t xml:space="preserve">.</w:t>
      </w:r>
    </w:p>
    <w:p>
      <w:pPr>
        <w:pStyle w:val="BodyText"/>
      </w:pPr>
      <w:r>
        <w:t xml:space="preserve">Cada formulación activa estima el desplazamiento permanente de Newmark</w:t>
      </w:r>
      <w:r>
        <w:t xml:space="preserve"> </w:t>
      </w:r>
      <w:r>
        <w:t xml:space="preserve">(</w:t>
      </w:r>
      <w:hyperlink w:anchor="ref-Newmark1965">
        <w:r>
          <w:rPr>
            <w:rStyle w:val="Hyperlink"/>
          </w:rPr>
          <w:t xml:space="preserve">1965</w:t>
        </w:r>
      </w:hyperlink>
      <w:r>
        <w:t xml:space="preserve">)</w:t>
      </w:r>
      <w:r>
        <w:t xml:space="preserve"> </w:t>
      </w:r>
      <w:r>
        <w:t xml:space="preserve">de la masa deslizante a partir de la aceleración de fluencia y de las medidas de intensidad de su regresión, y todas expresan el desplazamiento positivo</w:t>
      </w:r>
      <w:r>
        <w:t xml:space="preserve"> </w:t>
      </w:r>
      <m:oMath>
        <m:sSub>
          <m:e>
            <m:r>
              <m:t>D</m:t>
            </m:r>
          </m:e>
          <m:sub>
            <m:r>
              <m:t>n</m:t>
            </m:r>
          </m:sub>
        </m:sSub>
      </m:oMath>
      <w:r>
        <w:t xml:space="preserve">, en centímetros, mediante</w:t>
      </w:r>
    </w:p>
    <w:p>
      <w:pPr>
        <w:pStyle w:val="Equation"/>
      </w:pPr>
      <w:bookmarkStart w:id="25" w:name="eq-newmark-lognormal"/>
      <w:r>
        <w:tab/>
      </w:r>
      <m:oMath>
        <m:sSub>
          <m:e>
            <m:r>
              <m:t>D</m:t>
            </m:r>
          </m:e>
          <m:sub>
            <m:r>
              <m:t>n</m:t>
            </m:r>
          </m:sub>
        </m:sSub>
        <m:r>
          <m:rPr>
            <m:sty m:val="p"/>
          </m:rPr>
          <m:t>=</m:t>
        </m:r>
        <m:r>
          <m:rPr>
            <m:sty m:val="p"/>
          </m:rPr>
          <m:t>exp</m:t>
        </m:r>
        <m:r>
          <m:t>​</m:t>
        </m:r>
        <m:d>
          <m:dPr>
            <m:begChr m:val="("/>
            <m:sepChr m:val=""/>
            <m:endChr m:val=")"/>
            <m:grow/>
          </m:dPr>
          <m:e>
            <m:sSub>
              <m:e>
                <m:r>
                  <m:t>μ</m:t>
                </m:r>
              </m:e>
              <m:sub>
                <m:r>
                  <m:rPr>
                    <m:sty m:val="p"/>
                  </m:rPr>
                  <m:t>ln</m:t>
                </m:r>
                <m:r>
                  <m:t>D</m:t>
                </m:r>
              </m:sub>
            </m:sSub>
            <m:r>
              <m:rPr>
                <m:sty m:val="p"/>
              </m:rPr>
              <m:t>+</m:t>
            </m:r>
            <m:r>
              <m:t>ϵ</m:t>
            </m:r>
            <m:sSub>
              <m:e>
                <m:r>
                  <m:t>σ</m:t>
                </m:r>
              </m:e>
              <m:sub>
                <m:r>
                  <m:rPr>
                    <m:sty m:val="p"/>
                  </m:rPr>
                  <m:t>ln</m:t>
                </m:r>
                <m:r>
                  <m:t>D</m:t>
                </m:r>
              </m:sub>
            </m:sSub>
          </m:e>
        </m:d>
        <m:r>
          <m:rPr>
            <m:sty m:val="p"/>
          </m:rPr>
          <m:t>,</m:t>
        </m:r>
        <m:r>
          <m:t>  </m:t>
        </m:r>
        <m:r>
          <m:t>ϵ</m:t>
        </m:r>
        <m:r>
          <m:rPr>
            <m:sty m:val="p"/>
          </m:rPr>
          <m:t>∼</m:t>
        </m:r>
        <m:r>
          <m:rPr>
            <m:scr m:val="script"/>
            <m:sty m:val="p"/>
          </m:rPr>
          <m:t>N</m:t>
        </m:r>
        <m:r>
          <m:rPr>
            <m:sty m:val="p"/>
          </m:rPr>
          <m:t>(</m:t>
        </m:r>
        <m:r>
          <m:t>0</m:t>
        </m:r>
        <m:r>
          <m:rPr>
            <m:sty m:val="p"/>
          </m:rPr>
          <m:t>,</m:t>
        </m:r>
        <m:r>
          <m:t>1</m:t>
        </m:r>
        <m:r>
          <m:rPr>
            <m:sty m:val="p"/>
          </m:rPr>
          <m:t>)</m:t>
        </m:r>
        <m:r>
          <m:rPr>
            <m:sty m:val="p"/>
          </m:rPr>
          <m:t>,</m:t>
        </m:r>
      </m:oMath>
      <w:r>
        <w:tab/>
      </w:r>
      <w:r>
        <w:t xml:space="preserve">(12)</w:t>
      </w:r>
      <w:bookmarkEnd w:id="25"/>
    </w:p>
    <w:p>
      <w:pPr>
        <w:pStyle w:val="BodyText"/>
      </w:pPr>
      <w:r>
        <w:t xml:space="preserve">donde</w:t>
      </w:r>
      <w:r>
        <w:t xml:space="preserve"> </w:t>
      </w:r>
      <m:oMath>
        <m:sSub>
          <m:e>
            <m:r>
              <m:t>μ</m:t>
            </m:r>
          </m:e>
          <m:sub>
            <m:r>
              <m:rPr>
                <m:sty m:val="p"/>
              </m:rPr>
              <m:t>ln</m:t>
            </m:r>
            <m:r>
              <m:t>D</m:t>
            </m:r>
          </m:sub>
        </m:sSub>
      </m:oMath>
      <w:r>
        <w:t xml:space="preserve"> </w:t>
      </w:r>
      <w:r>
        <w:t xml:space="preserve">y</w:t>
      </w:r>
      <w:r>
        <w:t xml:space="preserve"> </w:t>
      </w:r>
      <m:oMath>
        <m:sSub>
          <m:e>
            <m:r>
              <m:t>σ</m:t>
            </m:r>
          </m:e>
          <m:sub>
            <m:r>
              <m:rPr>
                <m:sty m:val="p"/>
              </m:rPr>
              <m:t>ln</m:t>
            </m:r>
            <m:r>
              <m:t>D</m:t>
            </m:r>
          </m:sub>
        </m:sSub>
      </m:oMath>
      <w:r>
        <w:t xml:space="preserve"> </w:t>
      </w:r>
      <w:r>
        <w:t xml:space="preserve">son la media y la desviación estándar de</w:t>
      </w:r>
      <w:r>
        <w:t xml:space="preserve"> </w:t>
      </w:r>
      <m:oMath>
        <m:r>
          <m:rPr>
            <m:sty m:val="p"/>
          </m:rPr>
          <m:t>ln</m:t>
        </m:r>
        <m:sSub>
          <m:e>
            <m:r>
              <m:t>D</m:t>
            </m:r>
          </m:e>
          <m:sub>
            <m:r>
              <m:t>n</m:t>
            </m:r>
          </m:sub>
        </m:sSub>
      </m:oMath>
      <w:r>
        <w:t xml:space="preserve"> </w:t>
      </w:r>
      <w:r>
        <w:t xml:space="preserve">definidas por cada modelo, y</w:t>
      </w:r>
      <w:r>
        <w:t xml:space="preserve"> </w:t>
      </w:r>
      <m:oMath>
        <m:r>
          <m:t>ϵ</m:t>
        </m:r>
      </m:oMath>
      <w:r>
        <w:t xml:space="preserve"> </w:t>
      </w:r>
      <w:r>
        <w:t xml:space="preserve">es un residuo normal estándar. Algunas formulaciones fuente contienen una rama discreta de desplazamiento nulo o despreciable; la evaluación implementada utiliza exclusivamente la rama lognormal positiva. En todas las formulaciones,</w:t>
      </w:r>
      <w:r>
        <w:t xml:space="preserve"> </w:t>
      </w:r>
      <m:oMath>
        <m:sSub>
          <m:e>
            <m:r>
              <m:t>k</m:t>
            </m:r>
          </m:e>
          <m:sub>
            <m:r>
              <m:t>y</m:t>
            </m:r>
          </m:sub>
        </m:sSub>
      </m:oMath>
      <w:r>
        <w:t xml:space="preserve">, PGA y</w:t>
      </w:r>
      <w:r>
        <w:t xml:space="preserve"> </w:t>
      </w:r>
      <m:oMath>
        <m:sSub>
          <m:e>
            <m:r>
              <m:t>S</m:t>
            </m:r>
          </m:e>
          <m:sub>
            <m:r>
              <m:t>a</m:t>
            </m:r>
          </m:sub>
        </m:sSub>
      </m:oMath>
      <w:r>
        <w:t xml:space="preserve"> </w:t>
      </w:r>
      <w:r>
        <w:t xml:space="preserve">se expresan en unidades de</w:t>
      </w:r>
      <w:r>
        <w:t xml:space="preserve"> </w:t>
      </w:r>
      <m:oMath>
        <m:r>
          <m:t>g</m:t>
        </m:r>
      </m:oMath>
      <w:r>
        <w:t xml:space="preserve"> </w:t>
      </w:r>
      <w:r>
        <w:t xml:space="preserve">—la aceleración de la gravedad—,</w:t>
      </w:r>
      <w:r>
        <w:t xml:space="preserve"> </w:t>
      </w:r>
      <m:oMath>
        <m:sSub>
          <m:e>
            <m:r>
              <m:t>I</m:t>
            </m:r>
          </m:e>
          <m:sub>
            <m:r>
              <m:t>A</m:t>
            </m:r>
          </m:sub>
        </m:sSub>
      </m:oMath>
      <w:r>
        <w:t xml:space="preserve"> </w:t>
      </w:r>
      <w:r>
        <w:t xml:space="preserve">en m/s y</w:t>
      </w:r>
      <w:r>
        <w:t xml:space="preserve"> </w:t>
      </w:r>
      <m:oMath>
        <m:sSub>
          <m:e>
            <m:r>
              <m:t>T</m:t>
            </m:r>
          </m:e>
          <m:sub>
            <m:r>
              <m:t>s</m:t>
            </m:r>
          </m:sub>
        </m:sSub>
      </m:oMath>
      <w:r>
        <w:t xml:space="preserve"> </w:t>
      </w:r>
      <w:r>
        <w:t xml:space="preserve">en segundos; la intensidad de Arias se deriva de la PGA de cada realización, y la magnitud de referencia del proyecto,</w:t>
      </w:r>
      <w:r>
        <w:t xml:space="preserve"> </w:t>
      </w:r>
      <m:oMath>
        <m:sSub>
          <m:e>
            <m:r>
              <m:t>M</m:t>
            </m:r>
          </m:e>
          <m:sub>
            <m:r>
              <m:t>w</m:t>
            </m:r>
          </m:sub>
        </m:sSub>
        <m:r>
          <m:rPr>
            <m:sty m:val="p"/>
          </m:rPr>
          <m:t>=</m:t>
        </m:r>
      </m:oMath>
      <w:r>
        <w:t xml:space="preserve"> </w:t>
      </w:r>
      <w:r>
        <w:t xml:space="preserve">7.0, se aplica como entrada constante a todas las demandas, geometrías, materiales y sitios evaluados. La forma publicada de cada formulación se reproduce en la Sección</w:t>
      </w:r>
      <w:r>
        <w:t xml:space="preserve"> </w:t>
      </w:r>
      <w:hyperlink w:anchor="sec-newmark-appendix">
        <w:r>
          <w:rPr>
            <w:rStyle w:val="Hyperlink"/>
          </w:rPr>
          <w:t xml:space="preserve">1.6</w:t>
        </w:r>
      </w:hyperlink>
      <w:r>
        <w:t xml:space="preserve">. El coeficiente sísmico basado en desempeño se define mediante</w:t>
      </w:r>
    </w:p>
    <w:p>
      <w:pPr>
        <w:pStyle w:val="Equation"/>
      </w:pPr>
      <w:bookmarkStart w:id="26" w:name="eq-kmax-criterion"/>
      <w:r>
        <w:tab/>
      </w:r>
      <m:oMath>
        <m:sSub>
          <m:e>
            <m:r>
              <m:t>k</m:t>
            </m:r>
          </m:e>
          <m:sub>
            <m:r>
              <m:rPr>
                <m:sty m:val="p"/>
              </m:rPr>
              <m:t>max</m:t>
            </m:r>
          </m:sub>
        </m:sSub>
        <m:r>
          <m:rPr>
            <m:sty m:val="p"/>
          </m:rPr>
          <m:t>(</m:t>
        </m:r>
        <m:sSub>
          <m:e>
            <m:r>
              <m:t>p</m:t>
            </m:r>
          </m:e>
          <m:sub>
            <m:r>
              <m:t>e</m:t>
            </m:r>
          </m:sub>
        </m:sSub>
        <m:r>
          <m:rPr>
            <m:sty m:val="p"/>
          </m:rPr>
          <m:t>∣</m:t>
        </m:r>
        <m:sSub>
          <m:e>
            <m:r>
              <m:t>D</m:t>
            </m:r>
          </m:e>
          <m:sub>
            <m:r>
              <m:t>a</m:t>
            </m:r>
          </m:sub>
        </m:sSub>
        <m:r>
          <m:rPr>
            <m:sty m:val="p"/>
          </m:rPr>
          <m:t>)</m:t>
        </m:r>
        <m:r>
          <m:rPr>
            <m:sty m:val="p"/>
          </m:rPr>
          <m:t>=</m:t>
        </m:r>
        <m:r>
          <m:rPr>
            <m:sty m:val="p"/>
          </m:rPr>
          <m:t>inf</m:t>
        </m:r>
        <m:d>
          <m:dPr>
            <m:begChr m:val="{"/>
            <m:sepChr m:val=""/>
            <m:endChr m:val="}"/>
            <m:grow/>
          </m:dPr>
          <m:e>
            <m:sSub>
              <m:e>
                <m:r>
                  <m:t>k</m:t>
                </m:r>
              </m:e>
              <m:sub>
                <m:r>
                  <m:t>y</m:t>
                </m:r>
              </m:sub>
            </m:sSub>
            <m:r>
              <m:rPr>
                <m:sty m:val="p"/>
              </m:rPr>
              <m:t>:</m:t>
            </m:r>
            <m:r>
              <m:t>P</m:t>
            </m:r>
            <m:r>
              <m:rPr>
                <m:sty m:val="p"/>
              </m:rPr>
              <m:t>[</m:t>
            </m:r>
            <m:sSub>
              <m:e>
                <m:r>
                  <m:t>D</m:t>
                </m:r>
              </m:e>
              <m:sub>
                <m:r>
                  <m:t>n</m:t>
                </m:r>
              </m:sub>
            </m:sSub>
            <m:r>
              <m:rPr>
                <m:sty m:val="p"/>
              </m:rPr>
              <m:t>(</m:t>
            </m:r>
            <m:sSub>
              <m:e>
                <m:r>
                  <m:t>k</m:t>
                </m:r>
              </m:e>
              <m:sub>
                <m:r>
                  <m:t>y</m:t>
                </m:r>
              </m:sub>
            </m:sSub>
            <m:r>
              <m:rPr>
                <m:sty m:val="p"/>
              </m:rPr>
              <m:t>)</m:t>
            </m:r>
            <m:r>
              <m:rPr>
                <m:sty m:val="p"/>
              </m:rPr>
              <m:t>&gt;</m:t>
            </m:r>
            <m:sSub>
              <m:e>
                <m:r>
                  <m:t>D</m:t>
                </m:r>
              </m:e>
              <m:sub>
                <m:r>
                  <m:t>a</m:t>
                </m:r>
              </m:sub>
            </m:sSub>
            <m:r>
              <m:rPr>
                <m:sty m:val="p"/>
              </m:rPr>
              <m:t>]</m:t>
            </m:r>
            <m:r>
              <m:rPr>
                <m:sty m:val="p"/>
              </m:rPr>
              <m:t>≤</m:t>
            </m:r>
            <m:sSub>
              <m:e>
                <m:r>
                  <m:t>p</m:t>
                </m:r>
              </m:e>
              <m:sub>
                <m:r>
                  <m:t>e</m:t>
                </m:r>
              </m:sub>
            </m:sSub>
          </m:e>
        </m:d>
        <m:r>
          <m:rPr>
            <m:sty m:val="p"/>
          </m:rPr>
          <m:t>.</m:t>
        </m:r>
      </m:oMath>
      <w:r>
        <w:tab/>
      </w:r>
      <w:r>
        <w:t xml:space="preserve">(13)</w:t>
      </w:r>
      <w:bookmarkEnd w:id="26"/>
    </w:p>
    <w:p>
      <w:pPr>
        <w:pStyle w:val="BodyText"/>
      </w:pPr>
      <w:r>
        <w:t xml:space="preserve">donde</w:t>
      </w:r>
      <w:r>
        <w:t xml:space="preserve"> </w:t>
      </w:r>
      <m:oMath>
        <m:sSub>
          <m:e>
            <m:r>
              <m:t>p</m:t>
            </m:r>
          </m:e>
          <m:sub>
            <m:r>
              <m:t>e</m:t>
            </m:r>
          </m:sub>
        </m:sSub>
      </m:oMath>
      <w:r>
        <w:t xml:space="preserve"> </w:t>
      </w:r>
      <w:r>
        <w:t xml:space="preserve">es la probabilidad objetivo de que</w:t>
      </w:r>
      <w:r>
        <w:t xml:space="preserve"> </w:t>
      </w:r>
      <m:oMath>
        <m:sSub>
          <m:e>
            <m:r>
              <m:t>D</m:t>
            </m:r>
          </m:e>
          <m:sub>
            <m:r>
              <m:t>n</m:t>
            </m:r>
          </m:sub>
        </m:sSub>
      </m:oMath>
      <w:r>
        <w:t xml:space="preserve"> </w:t>
      </w:r>
      <w:r>
        <w:t xml:space="preserve">exceda</w:t>
      </w:r>
      <w:r>
        <w:t xml:space="preserve"> </w:t>
      </w:r>
      <m:oMath>
        <m:sSub>
          <m:e>
            <m:r>
              <m:t>D</m:t>
            </m:r>
          </m:e>
          <m:sub>
            <m:r>
              <m:t>a</m:t>
            </m:r>
          </m:sub>
        </m:sSub>
      </m:oMath>
      <w:r>
        <w:t xml:space="preserve">:</w:t>
      </w:r>
      <w:r>
        <w:t xml:space="preserve"> </w:t>
      </w:r>
      <m:oMath>
        <m:sSub>
          <m:e>
            <m:r>
              <m:t>k</m:t>
            </m:r>
          </m:e>
          <m:sub>
            <m:r>
              <m:rPr>
                <m:sty m:val="p"/>
              </m:rPr>
              <m:t>max</m:t>
            </m:r>
          </m:sub>
        </m:sSub>
      </m:oMath>
      <w:r>
        <w:t xml:space="preserve"> </w:t>
      </w:r>
      <w:r>
        <w:t xml:space="preserve">es el menor</w:t>
      </w:r>
      <w:r>
        <w:t xml:space="preserve"> </w:t>
      </w:r>
      <m:oMath>
        <m:sSub>
          <m:e>
            <m:r>
              <m:t>k</m:t>
            </m:r>
          </m:e>
          <m:sub>
            <m:r>
              <m:t>y</m:t>
            </m:r>
          </m:sub>
        </m:sSub>
      </m:oMath>
      <w:r>
        <w:t xml:space="preserve"> </w:t>
      </w:r>
      <w:r>
        <w:t xml:space="preserve">para el cual la probabilidad de exceder el desplazamiento admisible es a lo sumo</w:t>
      </w:r>
      <w:r>
        <w:t xml:space="preserve"> </w:t>
      </w:r>
      <m:oMath>
        <m:sSub>
          <m:e>
            <m:r>
              <m:t>p</m:t>
            </m:r>
          </m:e>
          <m:sub>
            <m:r>
              <m:t>e</m:t>
            </m:r>
          </m:sub>
        </m:sSub>
      </m:oMath>
      <w:r>
        <w:t xml:space="preserve">. El coeficiente normalizado, reportado como porcentaje de la PGA [% de la PGA], se calcula con la PGA transformada al</w:t>
      </w:r>
      <w:r>
        <w:t xml:space="preserve"> </w:t>
      </w:r>
      <m:oMath>
        <m:sSub>
          <m:e>
            <m:r>
              <m:t>V</m:t>
            </m:r>
          </m:e>
          <m:sub>
            <m:r>
              <m:t>S</m:t>
            </m:r>
            <m:r>
              <m:t>30</m:t>
            </m:r>
          </m:sub>
        </m:sSub>
      </m:oMath>
      <w:r>
        <w:t xml:space="preserve"> </w:t>
      </w:r>
      <w:r>
        <w:t xml:space="preserve">de la combinación de geometría y material evaluada para cada demanda:</w:t>
      </w:r>
    </w:p>
    <w:p>
      <w:pPr>
        <w:pStyle w:val="Equation"/>
      </w:pPr>
      <w:bookmarkStart w:id="27" w:name="eq-kh-normalization"/>
      <w:r>
        <w:tab/>
      </w:r>
      <m:oMath>
        <m:sSub>
          <m:e>
            <m:r>
              <m:t>k</m:t>
            </m:r>
          </m:e>
          <m:sub>
            <m:r>
              <m:t>h</m:t>
            </m:r>
          </m:sub>
        </m:sSub>
        <m:r>
          <m:rPr>
            <m:sty m:val="p"/>
          </m:rPr>
          <m:t>=</m:t>
        </m:r>
        <m:f>
          <m:fPr>
            <m:type m:val="bar"/>
          </m:fPr>
          <m:num>
            <m:sSub>
              <m:e>
                <m:r>
                  <m:t>k</m:t>
                </m:r>
              </m:e>
              <m:sub>
                <m:r>
                  <m:rPr>
                    <m:sty m:val="p"/>
                  </m:rPr>
                  <m:t>max</m:t>
                </m:r>
              </m:sub>
            </m:sSub>
          </m:num>
          <m:den>
            <m:r>
              <m:rPr>
                <m:sty m:val="p"/>
              </m:rPr>
              <m:t>P</m:t>
            </m:r>
            <m:r>
              <m:rPr>
                <m:sty m:val="p"/>
              </m:rPr>
              <m:t>G</m:t>
            </m:r>
            <m:r>
              <m:rPr>
                <m:sty m:val="p"/>
              </m:rPr>
              <m:t>A</m:t>
            </m:r>
            <m:r>
              <m:rPr>
                <m:sty m:val="p"/>
              </m:rPr>
              <m:t>(</m:t>
            </m:r>
            <m:sSub>
              <m:e>
                <m:r>
                  <m:t>V</m:t>
                </m:r>
              </m:e>
              <m:sub>
                <m:r>
                  <m:t>S</m:t>
                </m:r>
                <m:r>
                  <m:t>30</m:t>
                </m:r>
              </m:sub>
            </m:sSub>
            <m:r>
              <m:rPr>
                <m:sty m:val="p"/>
              </m:rPr>
              <m:t>)</m:t>
            </m:r>
          </m:den>
        </m:f>
        <m:r>
          <m:rPr>
            <m:sty m:val="p"/>
          </m:rPr>
          <m:t>.</m:t>
        </m:r>
      </m:oMath>
      <w:r>
        <w:tab/>
      </w:r>
      <w:r>
        <w:t xml:space="preserve">(14)</w:t>
      </w:r>
      <w:bookmarkEnd w:id="27"/>
    </w:p>
    <w:p>
      <w:pPr>
        <w:pStyle w:val="BodyText"/>
      </w:pPr>
      <m:oMath>
        <m:sSub>
          <m:e>
            <m:r>
              <m:t>k</m:t>
            </m:r>
          </m:e>
          <m:sub>
            <m:r>
              <m:rPr>
                <m:sty m:val="p"/>
              </m:rPr>
              <m:t>max</m:t>
            </m:r>
          </m:sub>
        </m:sSub>
      </m:oMath>
      <w:r>
        <w:t xml:space="preserve"> </w:t>
      </w:r>
      <w:r>
        <w:t xml:space="preserve">se expresa en unidades de</w:t>
      </w:r>
      <w:r>
        <w:t xml:space="preserve"> </w:t>
      </w:r>
      <m:oMath>
        <m:r>
          <m:t>g</m:t>
        </m:r>
      </m:oMath>
      <w:r>
        <w:t xml:space="preserve"> </w:t>
      </w:r>
      <w:r>
        <w:t xml:space="preserve">y</w:t>
      </w:r>
      <w:r>
        <w:t xml:space="preserve"> </w:t>
      </w:r>
      <m:oMath>
        <m:sSub>
          <m:e>
            <m:r>
              <m:t>k</m:t>
            </m:r>
          </m:e>
          <m:sub>
            <m:r>
              <m:t>h</m:t>
            </m:r>
          </m:sub>
        </m:sSub>
      </m:oMath>
      <w:r>
        <w:t xml:space="preserve"> </w:t>
      </w:r>
      <w:r>
        <w:t xml:space="preserve">como porcentaje de la PGA de la condición de sitio correspondiente. Estas dos magnitudes expresan el criterio de desplazamiento como la acción horizontal de la verificación pseudoestática.</w:t>
      </w:r>
    </w:p>
    <w:p>
      <w:pPr>
        <w:pStyle w:val="BodyText"/>
      </w:pPr>
      <w:r>
        <w:t xml:space="preserve">Las cinco formulaciones se evalúan individualmente y se combinan en los tres conjuntos que las tablas y las figuras identifican como</w:t>
      </w:r>
      <w:r>
        <w:t xml:space="preserve"> </w:t>
      </w:r>
      <w:r>
        <w:rPr>
          <w:rStyle w:val="VerbatimChar"/>
        </w:rPr>
        <w:t xml:space="preserve">IDn</w:t>
      </w:r>
      <w:r>
        <w:t xml:space="preserve">:</w:t>
      </w:r>
      <w:r>
        <w:t xml:space="preserve"> </w:t>
      </w:r>
      <w:r>
        <w:rPr>
          <w:rStyle w:val="VerbatimChar"/>
        </w:rPr>
        <w:t xml:space="preserve">rigid</w:t>
      </w:r>
      <w:r>
        <w:t xml:space="preserve">,</w:t>
      </w:r>
      <w:r>
        <w:t xml:space="preserve"> </w:t>
      </w:r>
      <w:r>
        <w:rPr>
          <w:rStyle w:val="VerbatimChar"/>
        </w:rPr>
        <w:t xml:space="preserve">flexible</w:t>
      </w:r>
      <w:r>
        <w:t xml:space="preserve"> </w:t>
      </w:r>
      <w:r>
        <w:t xml:space="preserve">y</w:t>
      </w:r>
      <w:r>
        <w:t xml:space="preserve"> </w:t>
      </w:r>
      <w:r>
        <w:rPr>
          <w:rStyle w:val="VerbatimChar"/>
        </w:rPr>
        <w:t xml:space="preserve">ensemble</w:t>
      </w:r>
      <w:r>
        <w:t xml:space="preserve">. El modelo de desplazamientos calcula realizaciones individuales para</w:t>
      </w:r>
      <w:r>
        <w:t xml:space="preserve"> </w:t>
      </w:r>
      <w:r>
        <w:rPr>
          <w:rStyle w:val="VerbatimChar"/>
        </w:rPr>
        <w:t xml:space="preserve">AM88</w:t>
      </w:r>
      <w:r>
        <w:t xml:space="preserve">,</w:t>
      </w:r>
      <w:r>
        <w:t xml:space="preserve"> </w:t>
      </w:r>
      <w:r>
        <w:rPr>
          <w:rStyle w:val="VerbatimChar"/>
        </w:rPr>
        <w:t xml:space="preserve">JB07</w:t>
      </w:r>
      <w:r>
        <w:t xml:space="preserve">,</w:t>
      </w:r>
      <w:r>
        <w:t xml:space="preserve"> </w:t>
      </w:r>
      <w:r>
        <w:rPr>
          <w:rStyle w:val="VerbatimChar"/>
        </w:rPr>
        <w:t xml:space="preserve">SR08</w:t>
      </w:r>
      <w:r>
        <w:t xml:space="preserve">,</w:t>
      </w:r>
      <w:r>
        <w:t xml:space="preserve"> </w:t>
      </w:r>
      <w:r>
        <w:rPr>
          <w:rStyle w:val="VerbatimChar"/>
        </w:rPr>
        <w:t xml:space="preserve">BT07</w:t>
      </w:r>
      <w:r>
        <w:t xml:space="preserve"> </w:t>
      </w:r>
      <w:r>
        <w:t xml:space="preserve">y una quinta formulación seleccionada por el contexto tectónico:</w:t>
      </w:r>
      <w:r>
        <w:t xml:space="preserve"> </w:t>
      </w:r>
      <w:r>
        <w:rPr>
          <w:rStyle w:val="VerbatimChar"/>
        </w:rPr>
        <w:t xml:space="preserve">BM17</w:t>
      </w:r>
      <w:r>
        <w:t xml:space="preserve"> </w:t>
      </w:r>
      <w:r>
        <w:t xml:space="preserve">para proyectos con control de subducción y</w:t>
      </w:r>
      <w:r>
        <w:t xml:space="preserve"> </w:t>
      </w:r>
      <w:r>
        <w:rPr>
          <w:rStyle w:val="VerbatimChar"/>
        </w:rPr>
        <w:t xml:space="preserve">BM19</w:t>
      </w:r>
      <w:r>
        <w:t xml:space="preserve"> </w:t>
      </w:r>
      <w:r>
        <w:t xml:space="preserve">para proyectos con control cortical. El conjunto global de diseño, identificado como</w:t>
      </w:r>
      <w:r>
        <w:t xml:space="preserve"> </w:t>
      </w:r>
      <w:r>
        <w:rPr>
          <w:rStyle w:val="VerbatimChar"/>
        </w:rPr>
        <w:t xml:space="preserve">ensemble</w:t>
      </w:r>
      <w:r>
        <w:t xml:space="preserve">, combina con pesos iguales</w:t>
      </w:r>
      <w:r>
        <w:t xml:space="preserve"> </w:t>
      </w:r>
      <w:r>
        <w:rPr>
          <w:rStyle w:val="VerbatimChar"/>
        </w:rPr>
        <w:t xml:space="preserve">AM88</w:t>
      </w:r>
      <w:r>
        <w:t xml:space="preserve">,</w:t>
      </w:r>
      <w:r>
        <w:t xml:space="preserve"> </w:t>
      </w:r>
      <w:r>
        <w:rPr>
          <w:rStyle w:val="VerbatimChar"/>
        </w:rPr>
        <w:t xml:space="preserve">JB07</w:t>
      </w:r>
      <w:r>
        <w:t xml:space="preserve">,</w:t>
      </w:r>
      <w:r>
        <w:t xml:space="preserve"> </w:t>
      </w:r>
      <w:r>
        <w:rPr>
          <w:rStyle w:val="VerbatimChar"/>
        </w:rPr>
        <w:t xml:space="preserve">SR08</w:t>
      </w:r>
      <w:r>
        <w:t xml:space="preserve">,</w:t>
      </w:r>
      <w:r>
        <w:t xml:space="preserve"> </w:t>
      </w:r>
      <w:r>
        <w:rPr>
          <w:rStyle w:val="VerbatimChar"/>
        </w:rPr>
        <w:t xml:space="preserve">BT07</w:t>
      </w:r>
      <w:r>
        <w:t xml:space="preserve"> </w:t>
      </w:r>
      <w:r>
        <w:t xml:space="preserve">y la rama BM activa; la familia rígida combina</w:t>
      </w:r>
      <w:r>
        <w:t xml:space="preserve"> </w:t>
      </w:r>
      <w:r>
        <w:rPr>
          <w:rStyle w:val="VerbatimChar"/>
        </w:rPr>
        <w:t xml:space="preserve">AM88</w:t>
      </w:r>
      <w:r>
        <w:t xml:space="preserve">,</w:t>
      </w:r>
      <w:r>
        <w:t xml:space="preserve"> </w:t>
      </w:r>
      <w:r>
        <w:rPr>
          <w:rStyle w:val="VerbatimChar"/>
        </w:rPr>
        <w:t xml:space="preserve">JB07</w:t>
      </w:r>
      <w:r>
        <w:t xml:space="preserve"> </w:t>
      </w:r>
      <w:r>
        <w:t xml:space="preserve">y</w:t>
      </w:r>
      <w:r>
        <w:t xml:space="preserve"> </w:t>
      </w:r>
      <w:r>
        <w:rPr>
          <w:rStyle w:val="VerbatimChar"/>
        </w:rPr>
        <w:t xml:space="preserve">SR08</w:t>
      </w:r>
      <w:r>
        <w:t xml:space="preserve">, y la familia flexible combina</w:t>
      </w:r>
      <w:r>
        <w:t xml:space="preserve"> </w:t>
      </w:r>
      <w:r>
        <w:rPr>
          <w:rStyle w:val="VerbatimChar"/>
        </w:rPr>
        <w:t xml:space="preserve">BT07</w:t>
      </w:r>
      <w:r>
        <w:t xml:space="preserve"> </w:t>
      </w:r>
      <w:r>
        <w:t xml:space="preserve">y la rama BM activa. La familia rígida relaciona así el desplazamiento con medidas de la excitación basal, la familia flexible incorpora además la respuesta dinámica de la masa deslizante mediante</w:t>
      </w:r>
      <w:r>
        <w:t xml:space="preserve"> </w:t>
      </w:r>
      <m:oMath>
        <m:sSub>
          <m:e>
            <m:r>
              <m:t>T</m:t>
            </m:r>
          </m:e>
          <m:sub>
            <m:r>
              <m:t>s</m:t>
            </m:r>
          </m:sub>
        </m:sSub>
      </m:oMath>
      <w:r>
        <w:t xml:space="preserve">, y</w:t>
      </w:r>
      <w:r>
        <w:t xml:space="preserve"> </w:t>
      </w:r>
      <w:r>
        <w:rPr>
          <w:rStyle w:val="VerbatimChar"/>
        </w:rPr>
        <w:t xml:space="preserve">ensemble</w:t>
      </w:r>
      <w:r>
        <w:t xml:space="preserve"> </w:t>
      </w:r>
      <w:r>
        <w:t xml:space="preserve">es el conjunto de diseño que combina ambas. Para cada</w:t>
      </w:r>
      <w:r>
        <w:t xml:space="preserve"> </w:t>
      </w:r>
      <m:oMath>
        <m:sSub>
          <m:e>
            <m:r>
              <m:t>k</m:t>
            </m:r>
          </m:e>
          <m:sub>
            <m:r>
              <m:t>y</m:t>
            </m:r>
          </m:sub>
        </m:sSub>
      </m:oMath>
      <w:r>
        <w:t xml:space="preserve">, los desplazamientos de una familia se resumen a partir de la distribución empírica ponderada de las realizaciones de sus modelos.</w:t>
      </w:r>
    </w:p>
    <w:p>
      <w:pPr>
        <w:pStyle w:val="BodyText"/>
      </w:pPr>
      <w:r>
        <w:t xml:space="preserve">Todos los modelos reciben la misma muestra conjunta de PGA y aceleraciones espectrales, y una misma realización de</w:t>
      </w:r>
      <w:r>
        <w:t xml:space="preserve"> </w:t>
      </w:r>
      <m:oMath>
        <m:r>
          <m:t>ϵ</m:t>
        </m:r>
      </m:oMath>
      <w:r>
        <w:t xml:space="preserve"> </w:t>
      </w:r>
      <w:r>
        <w:t xml:space="preserve">se comparte entre los modelos y entre todos los valores de</w:t>
      </w:r>
      <w:r>
        <w:t xml:space="preserve"> </w:t>
      </w:r>
      <m:oMath>
        <m:sSub>
          <m:e>
            <m:r>
              <m:t>k</m:t>
            </m:r>
          </m:e>
          <m:sub>
            <m:r>
              <m:t>y</m:t>
            </m:r>
          </m:sub>
        </m:sSub>
      </m:oMath>
      <w:r>
        <w:t xml:space="preserve">; cada formulación escala ese residuo mediante su propia</w:t>
      </w:r>
      <w:r>
        <w:t xml:space="preserve"> </w:t>
      </w:r>
      <m:oMath>
        <m:sSub>
          <m:e>
            <m:r>
              <m:t>σ</m:t>
            </m:r>
          </m:e>
          <m:sub>
            <m:r>
              <m:rPr>
                <m:sty m:val="p"/>
              </m:rPr>
              <m:t>ln</m:t>
            </m:r>
            <m:r>
              <m:t>D</m:t>
            </m:r>
          </m:sub>
        </m:sSub>
      </m:oMath>
      <w:r>
        <w:t xml:space="preserve">, y la PGA muestreada se conserva con cada realización para que la inversión mantenga su estado de demanda. Las realizaciones de</w:t>
      </w:r>
      <w:r>
        <w:t xml:space="preserve"> </w:t>
      </w:r>
      <m:oMath>
        <m:sSub>
          <m:e>
            <m:r>
              <m:t>D</m:t>
            </m:r>
          </m:e>
          <m:sub>
            <m:r>
              <m:t>n</m:t>
            </m:r>
          </m:sub>
        </m:sSub>
      </m:oMath>
      <w:r>
        <w:t xml:space="preserve"> </w:t>
      </w:r>
      <w:r>
        <w:t xml:space="preserve">se calculan para cada clase de material con sus propiedades dinámicas medias; los fractiles de los perfiles de rigidez y de</w:t>
      </w:r>
      <w:r>
        <w:t xml:space="preserve"> </w:t>
      </w:r>
      <m:oMath>
        <m:sSub>
          <m:e>
            <m:r>
              <m:t>T</m:t>
            </m:r>
          </m:e>
          <m:sub>
            <m:r>
              <m:t>s</m:t>
            </m:r>
          </m:sub>
        </m:sSub>
      </m:oMath>
      <w:r>
        <w:t xml:space="preserve"> </w:t>
      </w:r>
      <w:r>
        <w:t xml:space="preserve">no se propagan como realizaciones adicionales en el cálculo de desplazamientos, y cada clase de material se conserva como entrada independiente durante la inversión a</w:t>
      </w:r>
      <w:r>
        <w:t xml:space="preserve"> </w:t>
      </w:r>
      <m:oMath>
        <m:sSub>
          <m:e>
            <m:r>
              <m:t>k</m:t>
            </m:r>
          </m:e>
          <m:sub>
            <m:r>
              <m:rPr>
                <m:sty m:val="p"/>
              </m:rPr>
              <m:t>max</m:t>
            </m:r>
          </m:sub>
        </m:sSub>
      </m:oMath>
      <w:r>
        <w:t xml:space="preserve">, de modo que las curvas de desplazamiento no se promedian entre materiales antes de esa operación.</w:t>
      </w:r>
    </w:p>
    <w:p>
      <w:pPr>
        <w:pStyle w:val="BodyText"/>
      </w:pPr>
      <w:r>
        <w:t xml:space="preserve">Para cada modelo y realización, la relación</w:t>
      </w:r>
      <w:r>
        <w:t xml:space="preserve"> </w:t>
      </w:r>
      <m:oMath>
        <m:sSub>
          <m:e>
            <m:r>
              <m:t>D</m:t>
            </m:r>
          </m:e>
          <m:sub>
            <m:r>
              <m:t>n</m:t>
            </m:r>
          </m:sub>
        </m:sSub>
        <m:r>
          <m:rPr>
            <m:sty m:val="p"/>
          </m:rPr>
          <m:t>(</m:t>
        </m:r>
        <m:sSub>
          <m:e>
            <m:r>
              <m:t>k</m:t>
            </m:r>
          </m:e>
          <m:sub>
            <m:r>
              <m:t>y</m:t>
            </m:r>
          </m:sub>
        </m:sSub>
        <m:r>
          <m:rPr>
            <m:sty m:val="p"/>
          </m:rPr>
          <m:t>)</m:t>
        </m:r>
      </m:oMath>
      <w:r>
        <w:t xml:space="preserve"> </w:t>
      </w:r>
      <w:r>
        <w:t xml:space="preserve">calculada se proyecta sobre una curva no creciente y se invierte en el plano</w:t>
      </w:r>
      <w:r>
        <w:t xml:space="preserve"> </w:t>
      </w:r>
      <m:oMath>
        <m:r>
          <m:rPr>
            <m:sty m:val="p"/>
          </m:rPr>
          <m:t>(</m:t>
        </m:r>
        <m:r>
          <m:rPr>
            <m:sty m:val="p"/>
          </m:rPr>
          <m:t>ln</m:t>
        </m:r>
        <m:sSub>
          <m:e>
            <m:r>
              <m:t>D</m:t>
            </m:r>
          </m:e>
          <m:sub>
            <m:r>
              <m:t>n</m:t>
            </m:r>
          </m:sub>
        </m:sSub>
        <m:r>
          <m:rPr>
            <m:sty m:val="p"/>
          </m:rPr>
          <m:t>,</m:t>
        </m:r>
        <m:r>
          <m:rPr>
            <m:sty m:val="p"/>
          </m:rPr>
          <m:t>ln</m:t>
        </m:r>
        <m:sSub>
          <m:e>
            <m:r>
              <m:t>k</m:t>
            </m:r>
          </m:e>
          <m:sub>
            <m:r>
              <m:t>y</m:t>
            </m:r>
          </m:sub>
        </m:sSub>
        <m:r>
          <m:rPr>
            <m:sty m:val="p"/>
          </m:rPr>
          <m:t>)</m:t>
        </m:r>
      </m:oMath>
      <w:r>
        <w:t xml:space="preserve"> </w:t>
      </w:r>
      <w:r>
        <w:t xml:space="preserve">para resolver el criterio de</w:t>
      </w:r>
      <w:r>
        <w:t xml:space="preserve"> </w:t>
      </w:r>
      <w:hyperlink w:anchor="eq-kmax-criterion">
        <w:r>
          <w:rPr>
            <w:rStyle w:val="Hyperlink"/>
          </w:rPr>
          <w:t xml:space="preserve">13</w:t>
        </w:r>
      </w:hyperlink>
      <w:r>
        <w:t xml:space="preserve">; cuando</w:t>
      </w:r>
      <w:r>
        <w:t xml:space="preserve"> </w:t>
      </w:r>
      <m:oMath>
        <m:sSub>
          <m:e>
            <m:r>
              <m:t>D</m:t>
            </m:r>
          </m:e>
          <m:sub>
            <m:r>
              <m:t>a</m:t>
            </m:r>
          </m:sub>
        </m:sSub>
      </m:oMath>
      <w:r>
        <w:t xml:space="preserve"> </w:t>
      </w:r>
      <w:r>
        <w:t xml:space="preserve">se ubica fuera del soporte calculado, la relación se prolonga en ese plano a partir de los dos puntos del extremo correspondiente, con la única excepción del límite de AM88 tratado en la Sección</w:t>
      </w:r>
      <w:r>
        <w:t xml:space="preserve"> </w:t>
      </w:r>
      <w:hyperlink w:anchor="sec-newmark-appendix">
        <w:r>
          <w:rPr>
            <w:rStyle w:val="Hyperlink"/>
          </w:rPr>
          <w:t xml:space="preserve">1.6</w:t>
        </w:r>
      </w:hyperlink>
      <w:r>
        <w:t xml:space="preserve">. La inversión se efectúa primero por modelo dentro de cada realización. Las distribuciones de raíces de los modelos se combinan después con los pesos de la familia y se resumen mediante la media aritmética y los fractiles empíricos</w:t>
      </w:r>
      <w:r>
        <w:t xml:space="preserve"> </w:t>
      </w:r>
      <m:oMath>
        <m:r>
          <m:t>q</m:t>
        </m:r>
        <m:r>
          <m:rPr>
            <m:sty m:val="p"/>
          </m:rPr>
          <m:t>=</m:t>
        </m:r>
        <m:r>
          <m:t>0.05</m:t>
        </m:r>
      </m:oMath>
      <w:r>
        <w:t xml:space="preserve">, 0.10, 0.16, 0.50, 0.84, 0.90 y 0.95</w:t>
      </w:r>
      <w:r>
        <w:t xml:space="preserve"> </w:t>
      </w:r>
      <w:r>
        <w:t xml:space="preserve">(</w:t>
      </w:r>
      <w:hyperlink w:anchor="ref-VerriKozlowski2026Newmark">
        <w:r>
          <w:rPr>
            <w:rStyle w:val="Hyperlink"/>
          </w:rPr>
          <w:t xml:space="preserve">Verri Kozlowski 2026</w:t>
        </w:r>
      </w:hyperlink>
      <w:r>
        <w:t xml:space="preserve">)</w:t>
      </w:r>
      <w:r>
        <w:t xml:space="preserve">. Debido a la relación decreciente entre</w:t>
      </w:r>
      <w:r>
        <w:t xml:space="preserve"> </w:t>
      </w:r>
      <m:oMath>
        <m:sSub>
          <m:e>
            <m:r>
              <m:t>D</m:t>
            </m:r>
          </m:e>
          <m:sub>
            <m:r>
              <m:t>n</m:t>
            </m:r>
          </m:sub>
        </m:sSub>
      </m:oMath>
      <w:r>
        <w:t xml:space="preserve"> </w:t>
      </w:r>
      <w:r>
        <w:t xml:space="preserve">y</w:t>
      </w:r>
      <w:r>
        <w:t xml:space="preserve"> </w:t>
      </w:r>
      <m:oMath>
        <m:sSub>
          <m:e>
            <m:r>
              <m:t>k</m:t>
            </m:r>
          </m:e>
          <m:sub>
            <m:r>
              <m:t>y</m:t>
            </m:r>
          </m:sub>
        </m:sSub>
      </m:oMath>
      <w:r>
        <w:t xml:space="preserve">, el fractil asociado al objetivo de excedencia cumple la expresión</w:t>
      </w:r>
      <w:r>
        <w:t xml:space="preserve"> </w:t>
      </w:r>
      <w:hyperlink w:anchor="eq-kmax-fractile">
        <w:r>
          <w:rPr>
            <w:rStyle w:val="Hyperlink"/>
          </w:rPr>
          <w:t xml:space="preserve">15</w:t>
        </w:r>
      </w:hyperlink>
      <w:r>
        <w:t xml:space="preserve">, donde</w:t>
      </w:r>
      <w:r>
        <w:t xml:space="preserve"> </w:t>
      </w:r>
      <m:oMath>
        <m:r>
          <m:t>q</m:t>
        </m:r>
        <m:r>
          <m:rPr>
            <m:sty m:val="p"/>
          </m:rPr>
          <m:t>=</m:t>
        </m:r>
        <m:r>
          <m:t>0.84</m:t>
        </m:r>
      </m:oMath>
      <w:r>
        <w:t xml:space="preserve"> </w:t>
      </w:r>
      <w:r>
        <w:t xml:space="preserve">corresponde a una probabilidad de excedencia de</w:t>
      </w:r>
      <w:r>
        <w:t xml:space="preserve"> </w:t>
      </w:r>
      <m:oMath>
        <m:sSub>
          <m:e>
            <m:r>
              <m:t>p</m:t>
            </m:r>
          </m:e>
          <m:sub>
            <m:r>
              <m:t>e</m:t>
            </m:r>
          </m:sub>
        </m:sSub>
        <m:r>
          <m:rPr>
            <m:sty m:val="p"/>
          </m:rPr>
          <m:t>=</m:t>
        </m:r>
        <m:r>
          <m:t>16</m:t>
        </m:r>
        <m:r>
          <m:rPr>
            <m:sty m:val="p"/>
          </m:rPr>
          <m:t>%</m:t>
        </m:r>
      </m:oMath>
      <w:r>
        <w:t xml:space="preserve">.</w:t>
      </w:r>
    </w:p>
    <w:p>
      <w:pPr>
        <w:pStyle w:val="Equation"/>
      </w:pPr>
      <w:bookmarkStart w:id="28" w:name="eq-kmax-fractile"/>
      <w:r>
        <w:tab/>
      </w:r>
      <m:oMath>
        <m:r>
          <m:t>q</m:t>
        </m:r>
        <m:r>
          <m:rPr>
            <m:sty m:val="p"/>
          </m:rPr>
          <m:t>=</m:t>
        </m:r>
        <m:r>
          <m:t>1</m:t>
        </m:r>
        <m:r>
          <m:rPr>
            <m:sty m:val="p"/>
          </m:rPr>
          <m:t>−</m:t>
        </m:r>
        <m:sSub>
          <m:e>
            <m:r>
              <m:t>p</m:t>
            </m:r>
          </m:e>
          <m:sub>
            <m:r>
              <m:t>e</m:t>
            </m:r>
          </m:sub>
        </m:sSub>
      </m:oMath>
      <w:r>
        <w:tab/>
      </w:r>
      <w:r>
        <w:t xml:space="preserve">(15)</w:t>
      </w:r>
      <w:bookmarkEnd w:id="28"/>
    </w:p>
    <w:p>
      <w:pPr>
        <w:pStyle w:val="BodyText"/>
      </w:pPr>
      <w:r>
        <w:t xml:space="preserve">Los fractiles</w:t>
      </w:r>
      <w:r>
        <w:t xml:space="preserve"> </w:t>
      </w:r>
      <m:oMath>
        <m:r>
          <m:t>q</m:t>
        </m:r>
      </m:oMath>
      <w:r>
        <w:t xml:space="preserve"> </w:t>
      </w:r>
      <w:r>
        <w:t xml:space="preserve">son, por lo tanto, los estadísticos asociados al criterio expresado mediante</w:t>
      </w:r>
      <w:r>
        <w:t xml:space="preserve"> </w:t>
      </w:r>
      <m:oMath>
        <m:sSub>
          <m:e>
            <m:r>
              <m:t>p</m:t>
            </m:r>
          </m:e>
          <m:sub>
            <m:r>
              <m:t>e</m:t>
            </m:r>
          </m:sub>
        </m:sSub>
      </m:oMath>
      <w:r>
        <w:t xml:space="preserve">; la media aritmética resume el centro de la distribución simulada y no representa una probabilidad objetivo. La evaluación utiliza 300 realizaciones para cada demanda —el espectro probabilístico de cada período de retorno</w:t>
      </w:r>
      <w:r>
        <w:t xml:space="preserve"> </w:t>
      </w:r>
      <m:oMath>
        <m:sSub>
          <m:e>
            <m:r>
              <m:t>T</m:t>
            </m:r>
          </m:e>
          <m:sub>
            <m:r>
              <m:t>R</m:t>
            </m:r>
          </m:sub>
        </m:sSub>
      </m:oMath>
      <w:r>
        <w:t xml:space="preserve"> </w:t>
      </w:r>
      <w:r>
        <w:t xml:space="preserve">= 500, 2,500, 10,000 años y el MCE— y una grilla de desplazamientos admisibles</w:t>
      </w:r>
      <w:r>
        <w:t xml:space="preserve"> </w:t>
      </w:r>
      <m:oMath>
        <m:sSub>
          <m:e>
            <m:r>
              <m:t>D</m:t>
            </m:r>
          </m:e>
          <m:sub>
            <m:r>
              <m:t>a</m:t>
            </m:r>
          </m:sub>
        </m:sSub>
        <m:r>
          <m:rPr>
            <m:sty m:val="p"/>
          </m:rPr>
          <m:t>/</m:t>
        </m:r>
        <m:sSub>
          <m:e>
            <m:r>
              <m:t>H</m:t>
            </m:r>
          </m:e>
          <m:sub>
            <m:r>
              <m:t>s</m:t>
            </m:r>
          </m:sub>
        </m:sSub>
      </m:oMath>
      <w:r>
        <w:t xml:space="preserve"> </w:t>
      </w:r>
      <w:r>
        <w:t xml:space="preserve">comprendida entre 0.05 y 2.50 %. Esta grilla contiene, para cada altura de talud, los umbrales de daño</w:t>
      </w:r>
      <w:r>
        <w:t xml:space="preserve"> </w:t>
      </w:r>
      <m:oMath>
        <m:sSub>
          <m:e>
            <m:r>
              <m:t>D</m:t>
            </m:r>
          </m:e>
          <m:sub>
            <m:r>
              <m:t>a</m:t>
            </m:r>
          </m:sub>
        </m:sSub>
        <m:r>
          <m:rPr>
            <m:sty m:val="p"/>
          </m:rPr>
          <m:t>/</m:t>
        </m:r>
        <m:r>
          <m:t>H</m:t>
        </m:r>
      </m:oMath>
      <w:r>
        <w:t xml:space="preserve"> </w:t>
      </w:r>
      <w:r>
        <w:t xml:space="preserve">= 0.1, 0.4, 1.0, 2.5% de la Sección</w:t>
      </w:r>
      <w:r>
        <w:t xml:space="preserve"> </w:t>
      </w:r>
      <w:hyperlink w:anchor="sec-criteria">
        <w:r>
          <w:rPr>
            <w:rStyle w:val="Hyperlink"/>
          </w:rPr>
          <w:t xml:space="preserve">1.1</w:t>
        </w:r>
      </w:hyperlink>
      <w:r>
        <w:t xml:space="preserve">, en los que se reportan las tablas de coeficientes. Los valores de</w:t>
      </w:r>
      <w:r>
        <w:t xml:space="preserve"> </w:t>
      </w:r>
      <m:oMath>
        <m:sSub>
          <m:e>
            <m:r>
              <m:t>D</m:t>
            </m:r>
          </m:e>
          <m:sub>
            <m:r>
              <m:t>a</m:t>
            </m:r>
          </m:sub>
        </m:sSub>
      </m:oMath>
      <w:r>
        <w:t xml:space="preserve"> </w:t>
      </w:r>
      <w:r>
        <w:t xml:space="preserve">que exceden el soporte calculado de una realización se obtienen mediante la prolongación logarítmica definida anteriormente.</w:t>
      </w:r>
    </w:p>
    <w:bookmarkEnd w:id="29"/>
    <w:bookmarkStart w:id="60" w:name="sec-kmax-tables"/>
    <w:p>
      <w:pPr>
        <w:pStyle w:val="Heading2"/>
      </w:pPr>
      <w:r>
        <w:t xml:space="preserve">Coeficiente sísmico basado en desempeño</w:t>
      </w:r>
      <w:r>
        <w:t xml:space="preserve"> </w:t>
      </w:r>
      <m:oMath>
        <m:sSub>
          <m:e>
            <m:r>
              <m:t>k</m:t>
            </m:r>
          </m:e>
          <m:sub>
            <m:r>
              <m:t>m</m:t>
            </m:r>
            <m:r>
              <m:t>a</m:t>
            </m:r>
            <m:r>
              <m:t>x</m:t>
            </m:r>
          </m:sub>
        </m:sSub>
      </m:oMath>
    </w:p>
    <w:tbl>
      <w:tblPr>
        <w:tblStyle w:val="Table"/>
        <w:tblW w:type="pct" w:w="5000"/>
        <w:tblLayout w:type="fixed"/>
        <w:tblLook w:firstRow="0" w:lastRow="0" w:firstColumn="0" w:lastColumn="0" w:noHBand="0" w:noVBand="0" w:val="0000"/>
      </w:tblPr>
      <w:tblGrid>
        <w:gridCol w:w="7920"/>
      </w:tblGrid>
      <w:tr>
        <w:tc>
          <w:tcPr/>
          <w:bookmarkStart w:id="34" w:name="fig-memo-kmax-tr500-kmax-one"/>
          <w:p>
            <w:pPr>
              <w:pStyle w:val="Compact"/>
              <w:jc w:val="center"/>
            </w:pPr>
            <w:r>
              <w:drawing>
                <wp:inline>
                  <wp:extent cx="5760720" cy="4322064"/>
                  <wp:effectExtent b="0" l="0" r="0" t="0"/>
                  <wp:docPr descr="" title="" id="31" name="Picture"/>
                  <a:graphic>
                    <a:graphicData uri="http://schemas.openxmlformats.org/drawingml/2006/picture">
                      <pic:pic>
                        <pic:nvPicPr>
                          <pic:cNvPr descr="gmdp.memo.es_files/figure-docx/fig-memo-kmax-tr500-kmax-one-1.png" id="32" name="Picture"/>
                          <pic:cNvPicPr>
                            <a:picLocks noChangeArrowheads="1" noChangeAspect="1"/>
                          </pic:cNvPicPr>
                        </pic:nvPicPr>
                        <pic:blipFill>
                          <a:blip r:embed="rId30"/>
                          <a:stretch>
                            <a:fillRect/>
                          </a:stretch>
                        </pic:blipFill>
                        <pic:spPr bwMode="auto">
                          <a:xfrm>
                            <a:off x="0" y="0"/>
                            <a:ext cx="5760720" cy="4322064"/>
                          </a:xfrm>
                          <a:prstGeom prst="rect">
                            <a:avLst/>
                          </a:prstGeom>
                          <a:noFill/>
                          <a:ln w="9525">
                            <a:noFill/>
                            <a:headEnd/>
                            <a:tailEnd/>
                          </a:ln>
                        </pic:spPr>
                      </pic:pic>
                    </a:graphicData>
                  </a:graphic>
                </wp:inline>
              </w:drawing>
            </w:r>
          </w:p>
          <w:p>
            <w:pPr>
              <w:pStyle w:val="ImageCaption"/>
              <w:spacing w:before="200"/>
              <w:jc w:val="left"/>
            </w:pPr>
            <w:r>
              <w:t xml:space="preserve">Fig. 1: Valores medios de</w:t>
            </w:r>
            <w:r>
              <w:t xml:space="preserve"> </w:t>
            </w:r>
            <m:oMath>
              <m:sSub>
                <m:e>
                  <m:r>
                    <m:t>k</m:t>
                  </m:r>
                </m:e>
                <m:sub>
                  <m:r>
                    <m:rPr>
                      <m:sty m:val="p"/>
                    </m:rPr>
                    <m:t>max</m:t>
                  </m:r>
                </m:sub>
              </m:sSub>
            </m:oMath>
            <w:r>
              <w:t xml:space="preserve"> </w:t>
            </w:r>
            <w:r>
              <w:t xml:space="preserve">[</w:t>
            </w:r>
            <m:oMath>
              <m:r>
                <m:t>g</m:t>
              </m:r>
            </m:oMath>
            <w:r>
              <w:t xml:space="preserve">] para el sitio CFD y un período de retorno</w:t>
            </w:r>
            <w:r>
              <w:t xml:space="preserve"> </w:t>
            </w:r>
            <m:oMath>
              <m:sSub>
                <m:e>
                  <m:r>
                    <m:t>T</m:t>
                  </m:r>
                </m:e>
                <m:sub>
                  <m:r>
                    <m:t>R</m:t>
                  </m:r>
                </m:sub>
              </m:sSub>
              <m:r>
                <m:rPr>
                  <m:sty m:val="p"/>
                </m:rPr>
                <m:t>=</m:t>
              </m:r>
              <m:r>
                <m:t>500</m:t>
              </m:r>
            </m:oMath>
            <w:r>
              <w:t xml:space="preserve"> </w:t>
            </w:r>
            <w:r>
              <w:t xml:space="preserve">años, en función del desplazamiento permanente admisible relativo a la altura del talud,</w:t>
            </w:r>
            <w:r>
              <w:t xml:space="preserve"> </w:t>
            </w:r>
            <m:oMath>
              <m:sSub>
                <m:e>
                  <m:r>
                    <m:t>D</m:t>
                  </m:r>
                </m:e>
                <m:sub>
                  <m:r>
                    <m:t>a</m:t>
                  </m:r>
                </m:sub>
              </m:sSub>
              <m:r>
                <m:rPr>
                  <m:sty m:val="p"/>
                </m:rPr>
                <m:t>/</m:t>
              </m:r>
              <m:r>
                <m:t>H</m:t>
              </m:r>
            </m:oMath>
            <w:r>
              <w:t xml:space="preserve"> </w:t>
            </w:r>
            <w:r>
              <w:t xml:space="preserve">[%]. Las curvas corresponden a los escenarios S135, S50, S32, S27, S35 evaluados con los conjuntos</w:t>
            </w:r>
            <w:r>
              <w:t xml:space="preserve"> </w:t>
            </w:r>
            <w:r>
              <w:rPr>
                <w:rStyle w:val="VerbatimChar"/>
              </w:rPr>
              <w:t xml:space="preserve">rigid</w:t>
            </w:r>
            <w:r>
              <w:t xml:space="preserve">,</w:t>
            </w:r>
            <w:r>
              <w:t xml:space="preserve"> </w:t>
            </w:r>
            <w:r>
              <w:rPr>
                <w:rStyle w:val="VerbatimChar"/>
              </w:rPr>
              <w:t xml:space="preserve">ensemble</w:t>
            </w:r>
            <w:r>
              <w:t xml:space="preserve"> </w:t>
            </w:r>
            <w:r>
              <w:t xml:space="preserve">y</w:t>
            </w:r>
            <w:r>
              <w:t xml:space="preserve"> </w:t>
            </w:r>
            <w:r>
              <w:rPr>
                <w:rStyle w:val="VerbatimChar"/>
              </w:rPr>
              <w:t xml:space="preserve">flexible</w:t>
            </w:r>
            <w:r>
              <w:t xml:space="preserve">.</w:t>
            </w:r>
            <w:r>
              <w:rPr>
                <w:rStyle w:val="FootnoteReference"/>
              </w:rPr>
              <w:footnoteReference w:id="33"/>
            </w:r>
          </w:p>
          <w:bookmarkEnd w:id="34"/>
        </w:tc>
      </w:tr>
    </w:tbl>
    <w:tbl>
      <w:tblPr>
        <w:tblStyle w:val="Table"/>
        <w:tblW w:type="pct" w:w="5000"/>
        <w:tblLayout w:type="fixed"/>
        <w:tblLook w:firstRow="0" w:lastRow="0" w:firstColumn="0" w:lastColumn="0" w:noHBand="0" w:noVBand="0" w:val="0000"/>
      </w:tblPr>
      <w:tblGrid>
        <w:gridCol w:w="7920"/>
      </w:tblGrid>
      <w:tr>
        <w:tc>
          <w:tcPr/>
          <w:bookmarkStart w:id="39" w:name="fig-memo-kmax-tr2500-kmax-one"/>
          <w:p>
            <w:pPr>
              <w:pStyle w:val="Compact"/>
              <w:jc w:val="center"/>
            </w:pPr>
            <w:r>
              <w:drawing>
                <wp:inline>
                  <wp:extent cx="5760720" cy="4322064"/>
                  <wp:effectExtent b="0" l="0" r="0" t="0"/>
                  <wp:docPr descr="" title="" id="36" name="Picture"/>
                  <a:graphic>
                    <a:graphicData uri="http://schemas.openxmlformats.org/drawingml/2006/picture">
                      <pic:pic>
                        <pic:nvPicPr>
                          <pic:cNvPr descr="gmdp.memo.es_files/figure-docx/fig-memo-kmax-tr2500-kmax-one-1.png" id="37" name="Picture"/>
                          <pic:cNvPicPr>
                            <a:picLocks noChangeArrowheads="1" noChangeAspect="1"/>
                          </pic:cNvPicPr>
                        </pic:nvPicPr>
                        <pic:blipFill>
                          <a:blip r:embed="rId35"/>
                          <a:stretch>
                            <a:fillRect/>
                          </a:stretch>
                        </pic:blipFill>
                        <pic:spPr bwMode="auto">
                          <a:xfrm>
                            <a:off x="0" y="0"/>
                            <a:ext cx="5760720" cy="4322064"/>
                          </a:xfrm>
                          <a:prstGeom prst="rect">
                            <a:avLst/>
                          </a:prstGeom>
                          <a:noFill/>
                          <a:ln w="9525">
                            <a:noFill/>
                            <a:headEnd/>
                            <a:tailEnd/>
                          </a:ln>
                        </pic:spPr>
                      </pic:pic>
                    </a:graphicData>
                  </a:graphic>
                </wp:inline>
              </w:drawing>
            </w:r>
          </w:p>
          <w:p>
            <w:pPr>
              <w:pStyle w:val="ImageCaption"/>
              <w:spacing w:before="200"/>
              <w:jc w:val="left"/>
            </w:pPr>
            <w:r>
              <w:t xml:space="preserve">Fig. 2: Valores medios de</w:t>
            </w:r>
            <w:r>
              <w:t xml:space="preserve"> </w:t>
            </w:r>
            <m:oMath>
              <m:sSub>
                <m:e>
                  <m:r>
                    <m:t>k</m:t>
                  </m:r>
                </m:e>
                <m:sub>
                  <m:r>
                    <m:rPr>
                      <m:sty m:val="p"/>
                    </m:rPr>
                    <m:t>max</m:t>
                  </m:r>
                </m:sub>
              </m:sSub>
            </m:oMath>
            <w:r>
              <w:t xml:space="preserve"> </w:t>
            </w:r>
            <w:r>
              <w:t xml:space="preserve">[</w:t>
            </w:r>
            <m:oMath>
              <m:r>
                <m:t>g</m:t>
              </m:r>
            </m:oMath>
            <w:r>
              <w:t xml:space="preserve">] para el sitio CFD y un período de retorno</w:t>
            </w:r>
            <w:r>
              <w:t xml:space="preserve"> </w:t>
            </w:r>
            <m:oMath>
              <m:sSub>
                <m:e>
                  <m:r>
                    <m:t>T</m:t>
                  </m:r>
                </m:e>
                <m:sub>
                  <m:r>
                    <m:t>R</m:t>
                  </m:r>
                </m:sub>
              </m:sSub>
              <m:r>
                <m:rPr>
                  <m:sty m:val="p"/>
                </m:rPr>
                <m:t>=</m:t>
              </m:r>
              <m:r>
                <m:t>2</m:t>
              </m:r>
              <m:r>
                <m:rPr>
                  <m:sty m:val="p"/>
                </m:rPr>
                <m:t>,</m:t>
              </m:r>
              <m:r>
                <m:t>500</m:t>
              </m:r>
            </m:oMath>
            <w:r>
              <w:t xml:space="preserve"> </w:t>
            </w:r>
            <w:r>
              <w:t xml:space="preserve">años, en función del desplazamiento permanente admisible relativo a la altura del talud,</w:t>
            </w:r>
            <w:r>
              <w:t xml:space="preserve"> </w:t>
            </w:r>
            <m:oMath>
              <m:sSub>
                <m:e>
                  <m:r>
                    <m:t>D</m:t>
                  </m:r>
                </m:e>
                <m:sub>
                  <m:r>
                    <m:t>a</m:t>
                  </m:r>
                </m:sub>
              </m:sSub>
              <m:r>
                <m:rPr>
                  <m:sty m:val="p"/>
                </m:rPr>
                <m:t>/</m:t>
              </m:r>
              <m:r>
                <m:t>H</m:t>
              </m:r>
            </m:oMath>
            <w:r>
              <w:t xml:space="preserve"> </w:t>
            </w:r>
            <w:r>
              <w:t xml:space="preserve">[%]. Las curvas corresponden a los escenarios S135, S50, S32, S27, S35 evaluados con los conjuntos</w:t>
            </w:r>
            <w:r>
              <w:t xml:space="preserve"> </w:t>
            </w:r>
            <w:r>
              <w:rPr>
                <w:rStyle w:val="VerbatimChar"/>
              </w:rPr>
              <w:t xml:space="preserve">rigid</w:t>
            </w:r>
            <w:r>
              <w:t xml:space="preserve">,</w:t>
            </w:r>
            <w:r>
              <w:t xml:space="preserve"> </w:t>
            </w:r>
            <w:r>
              <w:rPr>
                <w:rStyle w:val="VerbatimChar"/>
              </w:rPr>
              <w:t xml:space="preserve">ensemble</w:t>
            </w:r>
            <w:r>
              <w:t xml:space="preserve"> </w:t>
            </w:r>
            <w:r>
              <w:t xml:space="preserve">y</w:t>
            </w:r>
            <w:r>
              <w:t xml:space="preserve"> </w:t>
            </w:r>
            <w:r>
              <w:rPr>
                <w:rStyle w:val="VerbatimChar"/>
              </w:rPr>
              <w:t xml:space="preserve">flexible</w:t>
            </w:r>
            <w:r>
              <w:t xml:space="preserve">.</w:t>
            </w:r>
            <w:r>
              <w:rPr>
                <w:rStyle w:val="FootnoteReference"/>
              </w:rPr>
              <w:footnoteReference w:id="38"/>
            </w:r>
          </w:p>
          <w:bookmarkEnd w:id="39"/>
        </w:tc>
      </w:tr>
    </w:tbl>
    <w:tbl>
      <w:tblPr>
        <w:tblStyle w:val="Table"/>
        <w:tblW w:type="pct" w:w="5000"/>
        <w:tblLayout w:type="fixed"/>
        <w:tblLook w:firstRow="0" w:lastRow="0" w:firstColumn="0" w:lastColumn="0" w:noHBand="0" w:noVBand="0" w:val="0000"/>
      </w:tblPr>
      <w:tblGrid>
        <w:gridCol w:w="7920"/>
      </w:tblGrid>
      <w:tr>
        <w:tc>
          <w:tcPr/>
          <w:bookmarkStart w:id="44" w:name="fig-memo-kmax-mde-kmax-one"/>
          <w:p>
            <w:pPr>
              <w:pStyle w:val="Compact"/>
              <w:jc w:val="center"/>
            </w:pPr>
            <w:r>
              <w:drawing>
                <wp:inline>
                  <wp:extent cx="5760720" cy="4322064"/>
                  <wp:effectExtent b="0" l="0" r="0" t="0"/>
                  <wp:docPr descr="" title="" id="41" name="Picture"/>
                  <a:graphic>
                    <a:graphicData uri="http://schemas.openxmlformats.org/drawingml/2006/picture">
                      <pic:pic>
                        <pic:nvPicPr>
                          <pic:cNvPr descr="gmdp.memo.es_files/figure-docx/fig-memo-kmax-mde-kmax-one-1.png" id="42" name="Picture"/>
                          <pic:cNvPicPr>
                            <a:picLocks noChangeArrowheads="1" noChangeAspect="1"/>
                          </pic:cNvPicPr>
                        </pic:nvPicPr>
                        <pic:blipFill>
                          <a:blip r:embed="rId40"/>
                          <a:stretch>
                            <a:fillRect/>
                          </a:stretch>
                        </pic:blipFill>
                        <pic:spPr bwMode="auto">
                          <a:xfrm>
                            <a:off x="0" y="0"/>
                            <a:ext cx="5760720" cy="4322064"/>
                          </a:xfrm>
                          <a:prstGeom prst="rect">
                            <a:avLst/>
                          </a:prstGeom>
                          <a:noFill/>
                          <a:ln w="9525">
                            <a:noFill/>
                            <a:headEnd/>
                            <a:tailEnd/>
                          </a:ln>
                        </pic:spPr>
                      </pic:pic>
                    </a:graphicData>
                  </a:graphic>
                </wp:inline>
              </w:drawing>
            </w:r>
          </w:p>
          <w:p>
            <w:pPr>
              <w:pStyle w:val="ImageCaption"/>
              <w:spacing w:before="200"/>
              <w:jc w:val="left"/>
            </w:pPr>
            <w:r>
              <w:t xml:space="preserve">Fig. 3: Valores medios de</w:t>
            </w:r>
            <w:r>
              <w:t xml:space="preserve"> </w:t>
            </w:r>
            <m:oMath>
              <m:sSub>
                <m:e>
                  <m:r>
                    <m:t>k</m:t>
                  </m:r>
                </m:e>
                <m:sub>
                  <m:r>
                    <m:rPr>
                      <m:sty m:val="p"/>
                    </m:rPr>
                    <m:t>max</m:t>
                  </m:r>
                </m:sub>
              </m:sSub>
            </m:oMath>
            <w:r>
              <w:t xml:space="preserve"> </w:t>
            </w:r>
            <w:r>
              <w:t xml:space="preserve">[</w:t>
            </w:r>
            <m:oMath>
              <m:r>
                <m:t>g</m:t>
              </m:r>
            </m:oMath>
            <w:r>
              <w:t xml:space="preserve">] para el sitio CFD y un período de retorno</w:t>
            </w:r>
            <w:r>
              <w:t xml:space="preserve"> </w:t>
            </w:r>
            <m:oMath>
              <m:sSub>
                <m:e>
                  <m:r>
                    <m:t>T</m:t>
                  </m:r>
                </m:e>
                <m:sub>
                  <m:r>
                    <m:t>R</m:t>
                  </m:r>
                </m:sub>
              </m:sSub>
              <m:r>
                <m:rPr>
                  <m:sty m:val="p"/>
                </m:rPr>
                <m:t>=</m:t>
              </m:r>
              <m:r>
                <m:t>10</m:t>
              </m:r>
              <m:r>
                <m:rPr>
                  <m:sty m:val="p"/>
                </m:rPr>
                <m:t>,</m:t>
              </m:r>
              <m:r>
                <m:t>000</m:t>
              </m:r>
            </m:oMath>
            <w:r>
              <w:t xml:space="preserve"> </w:t>
            </w:r>
            <w:r>
              <w:t xml:space="preserve">años, en función del desplazamiento permanente admisible relativo a la altura del talud,</w:t>
            </w:r>
            <w:r>
              <w:t xml:space="preserve"> </w:t>
            </w:r>
            <m:oMath>
              <m:sSub>
                <m:e>
                  <m:r>
                    <m:t>D</m:t>
                  </m:r>
                </m:e>
                <m:sub>
                  <m:r>
                    <m:t>a</m:t>
                  </m:r>
                </m:sub>
              </m:sSub>
              <m:r>
                <m:rPr>
                  <m:sty m:val="p"/>
                </m:rPr>
                <m:t>/</m:t>
              </m:r>
              <m:r>
                <m:t>H</m:t>
              </m:r>
            </m:oMath>
            <w:r>
              <w:t xml:space="preserve"> </w:t>
            </w:r>
            <w:r>
              <w:t xml:space="preserve">[%]. Las curvas corresponden a los escenarios S135, S50, S32, S27, S35 evaluados con los conjuntos</w:t>
            </w:r>
            <w:r>
              <w:t xml:space="preserve"> </w:t>
            </w:r>
            <w:r>
              <w:rPr>
                <w:rStyle w:val="VerbatimChar"/>
              </w:rPr>
              <w:t xml:space="preserve">rigid</w:t>
            </w:r>
            <w:r>
              <w:t xml:space="preserve">,</w:t>
            </w:r>
            <w:r>
              <w:t xml:space="preserve"> </w:t>
            </w:r>
            <w:r>
              <w:rPr>
                <w:rStyle w:val="VerbatimChar"/>
              </w:rPr>
              <w:t xml:space="preserve">ensemble</w:t>
            </w:r>
            <w:r>
              <w:t xml:space="preserve"> </w:t>
            </w:r>
            <w:r>
              <w:t xml:space="preserve">y</w:t>
            </w:r>
            <w:r>
              <w:t xml:space="preserve"> </w:t>
            </w:r>
            <w:r>
              <w:rPr>
                <w:rStyle w:val="VerbatimChar"/>
              </w:rPr>
              <w:t xml:space="preserve">flexible</w:t>
            </w:r>
            <w:r>
              <w:t xml:space="preserve">.</w:t>
            </w:r>
            <w:r>
              <w:rPr>
                <w:rStyle w:val="FootnoteReference"/>
              </w:rPr>
              <w:footnoteReference w:id="43"/>
            </w:r>
          </w:p>
          <w:bookmarkEnd w:id="44"/>
        </w:tc>
      </w:tr>
    </w:tbl>
    <w:tbl>
      <w:tblPr>
        <w:tblStyle w:val="Table"/>
        <w:tblW w:type="pct" w:w="5000"/>
        <w:tblLayout w:type="fixed"/>
        <w:tblLook w:firstRow="0" w:lastRow="0" w:firstColumn="0" w:lastColumn="0" w:noHBand="0" w:noVBand="0" w:val="0000"/>
      </w:tblPr>
      <w:tblGrid>
        <w:gridCol w:w="7920"/>
      </w:tblGrid>
      <w:tr>
        <w:tc>
          <w:tcPr/>
          <w:bookmarkStart w:id="49" w:name="fig-memo-kmax-mce-kmax-one"/>
          <w:p>
            <w:pPr>
              <w:pStyle w:val="Compact"/>
              <w:jc w:val="center"/>
            </w:pPr>
            <w:r>
              <w:drawing>
                <wp:inline>
                  <wp:extent cx="5760720" cy="4322064"/>
                  <wp:effectExtent b="0" l="0" r="0" t="0"/>
                  <wp:docPr descr="" title="" id="46" name="Picture"/>
                  <a:graphic>
                    <a:graphicData uri="http://schemas.openxmlformats.org/drawingml/2006/picture">
                      <pic:pic>
                        <pic:nvPicPr>
                          <pic:cNvPr descr="gmdp.memo.es_files/figure-docx/fig-memo-kmax-mce-kmax-one-1.png" id="47" name="Picture"/>
                          <pic:cNvPicPr>
                            <a:picLocks noChangeArrowheads="1" noChangeAspect="1"/>
                          </pic:cNvPicPr>
                        </pic:nvPicPr>
                        <pic:blipFill>
                          <a:blip r:embed="rId45"/>
                          <a:stretch>
                            <a:fillRect/>
                          </a:stretch>
                        </pic:blipFill>
                        <pic:spPr bwMode="auto">
                          <a:xfrm>
                            <a:off x="0" y="0"/>
                            <a:ext cx="5760720" cy="4322064"/>
                          </a:xfrm>
                          <a:prstGeom prst="rect">
                            <a:avLst/>
                          </a:prstGeom>
                          <a:noFill/>
                          <a:ln w="9525">
                            <a:noFill/>
                            <a:headEnd/>
                            <a:tailEnd/>
                          </a:ln>
                        </pic:spPr>
                      </pic:pic>
                    </a:graphicData>
                  </a:graphic>
                </wp:inline>
              </w:drawing>
            </w:r>
          </w:p>
          <w:p>
            <w:pPr>
              <w:pStyle w:val="ImageCaption"/>
              <w:spacing w:before="200"/>
              <w:jc w:val="left"/>
            </w:pPr>
            <w:r>
              <w:t xml:space="preserve">Fig. 4: Valores medios de</w:t>
            </w:r>
            <w:r>
              <w:t xml:space="preserve"> </w:t>
            </w:r>
            <m:oMath>
              <m:sSub>
                <m:e>
                  <m:r>
                    <m:t>k</m:t>
                  </m:r>
                </m:e>
                <m:sub>
                  <m:r>
                    <m:rPr>
                      <m:sty m:val="p"/>
                    </m:rPr>
                    <m:t>max</m:t>
                  </m:r>
                </m:sub>
              </m:sSub>
            </m:oMath>
            <w:r>
              <w:t xml:space="preserve"> </w:t>
            </w:r>
            <w:r>
              <w:t xml:space="preserve">[</w:t>
            </w:r>
            <m:oMath>
              <m:r>
                <m:t>g</m:t>
              </m:r>
            </m:oMath>
            <w:r>
              <w:t xml:space="preserve">] para el sitio CFD bajo la demanda MCE, en función del desplazamiento permanente admisible relativo a la altura del talud,</w:t>
            </w:r>
            <w:r>
              <w:t xml:space="preserve"> </w:t>
            </w:r>
            <m:oMath>
              <m:sSub>
                <m:e>
                  <m:r>
                    <m:t>D</m:t>
                  </m:r>
                </m:e>
                <m:sub>
                  <m:r>
                    <m:t>a</m:t>
                  </m:r>
                </m:sub>
              </m:sSub>
              <m:r>
                <m:rPr>
                  <m:sty m:val="p"/>
                </m:rPr>
                <m:t>/</m:t>
              </m:r>
              <m:r>
                <m:t>H</m:t>
              </m:r>
            </m:oMath>
            <w:r>
              <w:t xml:space="preserve"> </w:t>
            </w:r>
            <w:r>
              <w:t xml:space="preserve">[%]. Las curvas corresponden a los escenarios S135, S50, S32, S27, S35 evaluados con los conjuntos</w:t>
            </w:r>
            <w:r>
              <w:t xml:space="preserve"> </w:t>
            </w:r>
            <w:r>
              <w:rPr>
                <w:rStyle w:val="VerbatimChar"/>
              </w:rPr>
              <w:t xml:space="preserve">rigid</w:t>
            </w:r>
            <w:r>
              <w:t xml:space="preserve">,</w:t>
            </w:r>
            <w:r>
              <w:t xml:space="preserve"> </w:t>
            </w:r>
            <w:r>
              <w:rPr>
                <w:rStyle w:val="VerbatimChar"/>
              </w:rPr>
              <w:t xml:space="preserve">ensemble</w:t>
            </w:r>
            <w:r>
              <w:t xml:space="preserve"> </w:t>
            </w:r>
            <w:r>
              <w:t xml:space="preserve">y</w:t>
            </w:r>
            <w:r>
              <w:t xml:space="preserve"> </w:t>
            </w:r>
            <w:r>
              <w:rPr>
                <w:rStyle w:val="VerbatimChar"/>
              </w:rPr>
              <w:t xml:space="preserve">flexible</w:t>
            </w:r>
            <w:r>
              <w:t xml:space="preserve">.</w:t>
            </w:r>
            <w:r>
              <w:rPr>
                <w:rStyle w:val="FootnoteReference"/>
              </w:rPr>
              <w:footnoteReference w:id="48"/>
            </w:r>
          </w:p>
          <w:bookmarkEnd w:id="49"/>
        </w:tc>
      </w:tr>
    </w:tbl>
    <w:p>
      <w:pPr>
        <w:pStyle w:val="BodyText"/>
      </w:pPr>
      <w:r>
        <w:t xml:space="preserve"> </w:t>
      </w:r>
    </w:p>
    <w:bookmarkStart w:id="51" w:name="tbl-memo-kmax-s135-u1-kmax"/>
    <w:p>
      <w:pPr>
        <w:pStyle w:val="ImageCaption"/>
        <w:spacing w:before="200"/>
        <w:jc w:val="left"/>
      </w:pPr>
      <w:r>
        <w:t xml:space="preserve">Table 3: Valores medios de</w:t>
      </w:r>
      <w:r>
        <w:t xml:space="preserve"> </w:t>
      </w:r>
      <m:oMath>
        <m:sSub>
          <m:e>
            <m:r>
              <m:t>k</m:t>
            </m:r>
          </m:e>
          <m:sub>
            <m:r>
              <m:rPr>
                <m:sty m:val="p"/>
              </m:rPr>
              <m:t>max</m:t>
            </m:r>
          </m:sub>
        </m:sSub>
      </m:oMath>
      <w:r>
        <w:t xml:space="preserve"> </w:t>
      </w:r>
      <w:r>
        <w:t xml:space="preserve">[cm/s2] para el sitio CFD, el escenario S135, bajo la demanda MCE y los períodos de retorno</w:t>
      </w:r>
      <w:r>
        <w:t xml:space="preserve"> </w:t>
      </w:r>
      <m:oMath>
        <m:sSub>
          <m:e>
            <m:r>
              <m:t>T</m:t>
            </m:r>
          </m:e>
          <m:sub>
            <m:r>
              <m:t>R</m:t>
            </m:r>
          </m:sub>
        </m:sSub>
        <m:r>
          <m:rPr>
            <m:sty m:val="p"/>
          </m:rPr>
          <m:t>=</m:t>
        </m:r>
        <m:r>
          <m:t>500</m:t>
        </m:r>
        <m:r>
          <m:rPr>
            <m:sty m:val="p"/>
          </m:rPr>
          <m:t>,</m:t>
        </m:r>
        <m:r>
          <m:t>2</m:t>
        </m:r>
        <m:r>
          <m:rPr>
            <m:sty m:val="p"/>
          </m:rPr>
          <m:t>,</m:t>
        </m:r>
        <m:r>
          <m:t>500</m:t>
        </m:r>
        <m:r>
          <m:rPr>
            <m:sty m:val="p"/>
          </m:rPr>
          <m:t>,</m:t>
        </m:r>
        <m:r>
          <m:t>10</m:t>
        </m:r>
        <m:r>
          <m:rPr>
            <m:sty m:val="p"/>
          </m:rPr>
          <m:t>,</m:t>
        </m:r>
        <m:r>
          <m:t>000</m:t>
        </m:r>
      </m:oMath>
      <w:r>
        <w:t xml:space="preserve"> </w:t>
      </w:r>
      <w:r>
        <w:t xml:space="preserve">años.</w:t>
      </w:r>
      <w:r>
        <w:rPr>
          <w:rStyle w:val="FootnoteReference"/>
        </w:rPr>
        <w:footnoteReference w:id="50"/>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s</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0.1%</w:t>
            </w:r>
          </w:p>
        </w:tc>
        <w:tc>
          <w:tcPr>
            <w:tcBorders>
              <w:bottom w:val="single" w:sz="8" w:space="0" w:color="BEBEBE"/>
              <w:top w:val="single" w:sz="12" w:space="0" w:color="666666"/>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0.4%</w:t>
            </w:r>
          </w:p>
        </w:tc>
        <w:tc>
          <w:tcPr>
            <w:tcBorders>
              <w:bottom w:val="single" w:sz="8" w:space="0" w:color="BEBEBE"/>
              <w:top w:val="single" w:sz="12" w:space="0" w:color="666666"/>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w:t>
            </w:r>
          </w:p>
        </w:tc>
        <w:tc>
          <w:tcPr>
            <w:tcBorders>
              <w:bottom w:val="single" w:sz="8" w:space="0" w:color="BEBEBE"/>
              <w:top w:val="single" w:sz="12" w:space="0" w:color="666666"/>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2.5%</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single" w:sz="8" w:space="0" w:color="BEBEBE"/>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c>
          <w:tcPr>
            <w:tcBorders>
              <w:bottom w:val="none" w:sz="0" w:space="0" w:color="000000"/>
              <w:top w:val="single" w:sz="8" w:space="0" w:color="BEBEBE"/>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single" w:sz="8" w:space="0" w:color="BEBEBE"/>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single" w:sz="8" w:space="0" w:color="BEBEBE"/>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single" w:sz="12" w:space="0" w:color="666666"/>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61</w:t>
            </w:r>
          </w:p>
        </w:tc>
        <w:tc>
          <w:tcPr>
            <w:tcBorders>
              <w:bottom w:val="single" w:sz="12" w:space="0" w:color="666666"/>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31</w:t>
            </w:r>
          </w:p>
        </w:tc>
        <w:tc>
          <w:tcPr>
            <w:tcBorders>
              <w:bottom w:val="single" w:sz="12" w:space="0" w:color="666666"/>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w:t>
            </w:r>
          </w:p>
        </w:tc>
      </w:tr>
    </w:tbl>
    <w:bookmarkEnd w:id="51"/>
    <w:p/>
    <w:p>
      <w:pPr>
        <w:pStyle w:val="BodyText"/>
      </w:pPr>
      <w:r>
        <w:t xml:space="preserve"> </w:t>
      </w:r>
    </w:p>
    <w:p>
      <w:pPr>
        <w:pStyle w:val="BodyText"/>
      </w:pPr>
      <w:r>
        <w:t xml:space="preserve"> </w:t>
      </w:r>
    </w:p>
    <w:bookmarkStart w:id="53" w:name="tbl-memo-kmax-s50-u2-kmax"/>
    <w:p>
      <w:pPr>
        <w:pStyle w:val="ImageCaption"/>
        <w:spacing w:before="200"/>
        <w:jc w:val="left"/>
      </w:pPr>
      <w:r>
        <w:t xml:space="preserve">Table 4: Valores medios de</w:t>
      </w:r>
      <w:r>
        <w:t xml:space="preserve"> </w:t>
      </w:r>
      <m:oMath>
        <m:sSub>
          <m:e>
            <m:r>
              <m:t>k</m:t>
            </m:r>
          </m:e>
          <m:sub>
            <m:r>
              <m:rPr>
                <m:sty m:val="p"/>
              </m:rPr>
              <m:t>max</m:t>
            </m:r>
          </m:sub>
        </m:sSub>
      </m:oMath>
      <w:r>
        <w:t xml:space="preserve"> </w:t>
      </w:r>
      <w:r>
        <w:t xml:space="preserve">[cm/s2] para el sitio CFD, el escenario S50, bajo la demanda MCE y los períodos de retorno</w:t>
      </w:r>
      <w:r>
        <w:t xml:space="preserve"> </w:t>
      </w:r>
      <m:oMath>
        <m:sSub>
          <m:e>
            <m:r>
              <m:t>T</m:t>
            </m:r>
          </m:e>
          <m:sub>
            <m:r>
              <m:t>R</m:t>
            </m:r>
          </m:sub>
        </m:sSub>
        <m:r>
          <m:rPr>
            <m:sty m:val="p"/>
          </m:rPr>
          <m:t>=</m:t>
        </m:r>
        <m:r>
          <m:t>500</m:t>
        </m:r>
        <m:r>
          <m:rPr>
            <m:sty m:val="p"/>
          </m:rPr>
          <m:t>,</m:t>
        </m:r>
        <m:r>
          <m:t>2</m:t>
        </m:r>
        <m:r>
          <m:rPr>
            <m:sty m:val="p"/>
          </m:rPr>
          <m:t>,</m:t>
        </m:r>
        <m:r>
          <m:t>500</m:t>
        </m:r>
        <m:r>
          <m:rPr>
            <m:sty m:val="p"/>
          </m:rPr>
          <m:t>,</m:t>
        </m:r>
        <m:r>
          <m:t>10</m:t>
        </m:r>
        <m:r>
          <m:rPr>
            <m:sty m:val="p"/>
          </m:rPr>
          <m:t>,</m:t>
        </m:r>
        <m:r>
          <m:t>000</m:t>
        </m:r>
      </m:oMath>
      <w:r>
        <w:t xml:space="preserve"> </w:t>
      </w:r>
      <w:r>
        <w:t xml:space="preserve">años.</w:t>
      </w:r>
      <w:r>
        <w:rPr>
          <w:rStyle w:val="FootnoteReference"/>
        </w:rPr>
        <w:footnoteReference w:id="52"/>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s</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0.1%</w:t>
            </w:r>
          </w:p>
        </w:tc>
        <w:tc>
          <w:tcPr>
            <w:tcBorders>
              <w:bottom w:val="single" w:sz="8" w:space="0" w:color="BEBEBE"/>
              <w:top w:val="single" w:sz="12" w:space="0" w:color="666666"/>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0.4%</w:t>
            </w:r>
          </w:p>
        </w:tc>
        <w:tc>
          <w:tcPr>
            <w:tcBorders>
              <w:bottom w:val="single" w:sz="8" w:space="0" w:color="BEBEBE"/>
              <w:top w:val="single" w:sz="12" w:space="0" w:color="666666"/>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w:t>
            </w:r>
          </w:p>
        </w:tc>
        <w:tc>
          <w:tcPr>
            <w:tcBorders>
              <w:bottom w:val="single" w:sz="8" w:space="0" w:color="BEBEBE"/>
              <w:top w:val="single" w:sz="12" w:space="0" w:color="666666"/>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2.5%</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single" w:sz="8" w:space="0" w:color="BEBEBE"/>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w:t>
            </w:r>
          </w:p>
        </w:tc>
        <w:tc>
          <w:tcPr>
            <w:tcBorders>
              <w:bottom w:val="none" w:sz="0" w:space="0" w:color="000000"/>
              <w:top w:val="single" w:sz="8" w:space="0" w:color="BEBEBE"/>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c>
          <w:tcPr>
            <w:tcBorders>
              <w:bottom w:val="none" w:sz="0" w:space="0" w:color="000000"/>
              <w:top w:val="single" w:sz="8" w:space="0" w:color="BEBEBE"/>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single" w:sz="8" w:space="0" w:color="BEBEBE"/>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single" w:sz="12" w:space="0" w:color="666666"/>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84</w:t>
            </w:r>
          </w:p>
        </w:tc>
        <w:tc>
          <w:tcPr>
            <w:tcBorders>
              <w:bottom w:val="single" w:sz="12" w:space="0" w:color="666666"/>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50</w:t>
            </w:r>
          </w:p>
        </w:tc>
        <w:tc>
          <w:tcPr>
            <w:tcBorders>
              <w:bottom w:val="single" w:sz="12" w:space="0" w:color="666666"/>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31</w:t>
            </w:r>
          </w:p>
        </w:tc>
        <w:tc>
          <w:tcPr>
            <w:tcBorders>
              <w:bottom w:val="single" w:sz="12" w:space="0" w:color="666666"/>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w:t>
            </w:r>
          </w:p>
        </w:tc>
      </w:tr>
    </w:tbl>
    <w:bookmarkEnd w:id="53"/>
    <w:p/>
    <w:p>
      <w:pPr>
        <w:pStyle w:val="BodyText"/>
      </w:pPr>
      <w:r>
        <w:t xml:space="preserve"> </w:t>
      </w:r>
    </w:p>
    <w:p>
      <w:pPr>
        <w:pStyle w:val="BodyText"/>
      </w:pPr>
      <w:r>
        <w:t xml:space="preserve"> </w:t>
      </w:r>
    </w:p>
    <w:bookmarkStart w:id="55" w:name="tbl-memo-kmax-s32-u3-kmax"/>
    <w:p>
      <w:pPr>
        <w:pStyle w:val="ImageCaption"/>
        <w:spacing w:before="200"/>
        <w:jc w:val="left"/>
      </w:pPr>
      <w:r>
        <w:t xml:space="preserve">Table 5: Valores medios de</w:t>
      </w:r>
      <w:r>
        <w:t xml:space="preserve"> </w:t>
      </w:r>
      <m:oMath>
        <m:sSub>
          <m:e>
            <m:r>
              <m:t>k</m:t>
            </m:r>
          </m:e>
          <m:sub>
            <m:r>
              <m:rPr>
                <m:sty m:val="p"/>
              </m:rPr>
              <m:t>max</m:t>
            </m:r>
          </m:sub>
        </m:sSub>
      </m:oMath>
      <w:r>
        <w:t xml:space="preserve"> </w:t>
      </w:r>
      <w:r>
        <w:t xml:space="preserve">[cm/s2] para el sitio CFD, el escenario S32, bajo la demanda MCE y los períodos de retorno</w:t>
      </w:r>
      <w:r>
        <w:t xml:space="preserve"> </w:t>
      </w:r>
      <m:oMath>
        <m:sSub>
          <m:e>
            <m:r>
              <m:t>T</m:t>
            </m:r>
          </m:e>
          <m:sub>
            <m:r>
              <m:t>R</m:t>
            </m:r>
          </m:sub>
        </m:sSub>
        <m:r>
          <m:rPr>
            <m:sty m:val="p"/>
          </m:rPr>
          <m:t>=</m:t>
        </m:r>
        <m:r>
          <m:t>500</m:t>
        </m:r>
        <m:r>
          <m:rPr>
            <m:sty m:val="p"/>
          </m:rPr>
          <m:t>,</m:t>
        </m:r>
        <m:r>
          <m:t>2</m:t>
        </m:r>
        <m:r>
          <m:rPr>
            <m:sty m:val="p"/>
          </m:rPr>
          <m:t>,</m:t>
        </m:r>
        <m:r>
          <m:t>500</m:t>
        </m:r>
        <m:r>
          <m:rPr>
            <m:sty m:val="p"/>
          </m:rPr>
          <m:t>,</m:t>
        </m:r>
        <m:r>
          <m:t>10</m:t>
        </m:r>
        <m:r>
          <m:rPr>
            <m:sty m:val="p"/>
          </m:rPr>
          <m:t>,</m:t>
        </m:r>
        <m:r>
          <m:t>000</m:t>
        </m:r>
      </m:oMath>
      <w:r>
        <w:t xml:space="preserve"> </w:t>
      </w:r>
      <w:r>
        <w:t xml:space="preserve">años.</w:t>
      </w:r>
      <w:r>
        <w:rPr>
          <w:rStyle w:val="FootnoteReference"/>
        </w:rPr>
        <w:footnoteReference w:id="54"/>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s</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0.1%</w:t>
            </w:r>
          </w:p>
        </w:tc>
        <w:tc>
          <w:tcPr>
            <w:tcBorders>
              <w:bottom w:val="single" w:sz="8" w:space="0" w:color="BEBEBE"/>
              <w:top w:val="single" w:sz="12" w:space="0" w:color="666666"/>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0.4%</w:t>
            </w:r>
          </w:p>
        </w:tc>
        <w:tc>
          <w:tcPr>
            <w:tcBorders>
              <w:bottom w:val="single" w:sz="8" w:space="0" w:color="BEBEBE"/>
              <w:top w:val="single" w:sz="12" w:space="0" w:color="666666"/>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w:t>
            </w:r>
          </w:p>
        </w:tc>
        <w:tc>
          <w:tcPr>
            <w:tcBorders>
              <w:bottom w:val="single" w:sz="8" w:space="0" w:color="BEBEBE"/>
              <w:top w:val="single" w:sz="12" w:space="0" w:color="666666"/>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2.5%</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single" w:sz="8" w:space="0" w:color="BEBEBE"/>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c>
          <w:tcPr>
            <w:tcBorders>
              <w:bottom w:val="none" w:sz="0" w:space="0" w:color="000000"/>
              <w:top w:val="single" w:sz="8" w:space="0" w:color="BEBEBE"/>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none" w:sz="0" w:space="0" w:color="000000"/>
              <w:top w:val="single" w:sz="8" w:space="0" w:color="BEBEBE"/>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single" w:sz="8" w:space="0" w:color="BEBEBE"/>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single" w:sz="12" w:space="0" w:color="666666"/>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98</w:t>
            </w:r>
          </w:p>
        </w:tc>
        <w:tc>
          <w:tcPr>
            <w:tcBorders>
              <w:bottom w:val="single" w:sz="12" w:space="0" w:color="666666"/>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62</w:t>
            </w:r>
          </w:p>
        </w:tc>
        <w:tc>
          <w:tcPr>
            <w:tcBorders>
              <w:bottom w:val="single" w:sz="12" w:space="0" w:color="666666"/>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w:t>
            </w:r>
          </w:p>
        </w:tc>
        <w:tc>
          <w:tcPr>
            <w:tcBorders>
              <w:bottom w:val="single" w:sz="12" w:space="0" w:color="666666"/>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w:t>
            </w:r>
          </w:p>
        </w:tc>
      </w:tr>
    </w:tbl>
    <w:bookmarkEnd w:id="55"/>
    <w:p/>
    <w:p>
      <w:pPr>
        <w:pStyle w:val="BodyText"/>
      </w:pPr>
      <w:r>
        <w:t xml:space="preserve"> </w:t>
      </w:r>
    </w:p>
    <w:p>
      <w:pPr>
        <w:pStyle w:val="BodyText"/>
      </w:pPr>
      <w:r>
        <w:t xml:space="preserve"> </w:t>
      </w:r>
    </w:p>
    <w:bookmarkStart w:id="57" w:name="tbl-memo-kmax-s27-u4-kmax"/>
    <w:p>
      <w:pPr>
        <w:pStyle w:val="ImageCaption"/>
        <w:spacing w:before="200"/>
        <w:jc w:val="left"/>
      </w:pPr>
      <w:r>
        <w:t xml:space="preserve">Table 6: Valores medios de</w:t>
      </w:r>
      <w:r>
        <w:t xml:space="preserve"> </w:t>
      </w:r>
      <m:oMath>
        <m:sSub>
          <m:e>
            <m:r>
              <m:t>k</m:t>
            </m:r>
          </m:e>
          <m:sub>
            <m:r>
              <m:rPr>
                <m:sty m:val="p"/>
              </m:rPr>
              <m:t>max</m:t>
            </m:r>
          </m:sub>
        </m:sSub>
      </m:oMath>
      <w:r>
        <w:t xml:space="preserve"> </w:t>
      </w:r>
      <w:r>
        <w:t xml:space="preserve">[cm/s2] para el sitio CFD, el escenario S27, bajo la demanda MCE y los períodos de retorno</w:t>
      </w:r>
      <w:r>
        <w:t xml:space="preserve"> </w:t>
      </w:r>
      <m:oMath>
        <m:sSub>
          <m:e>
            <m:r>
              <m:t>T</m:t>
            </m:r>
          </m:e>
          <m:sub>
            <m:r>
              <m:t>R</m:t>
            </m:r>
          </m:sub>
        </m:sSub>
        <m:r>
          <m:rPr>
            <m:sty m:val="p"/>
          </m:rPr>
          <m:t>=</m:t>
        </m:r>
        <m:r>
          <m:t>500</m:t>
        </m:r>
        <m:r>
          <m:rPr>
            <m:sty m:val="p"/>
          </m:rPr>
          <m:t>,</m:t>
        </m:r>
        <m:r>
          <m:t>2</m:t>
        </m:r>
        <m:r>
          <m:rPr>
            <m:sty m:val="p"/>
          </m:rPr>
          <m:t>,</m:t>
        </m:r>
        <m:r>
          <m:t>500</m:t>
        </m:r>
        <m:r>
          <m:rPr>
            <m:sty m:val="p"/>
          </m:rPr>
          <m:t>,</m:t>
        </m:r>
        <m:r>
          <m:t>10</m:t>
        </m:r>
        <m:r>
          <m:rPr>
            <m:sty m:val="p"/>
          </m:rPr>
          <m:t>,</m:t>
        </m:r>
        <m:r>
          <m:t>000</m:t>
        </m:r>
      </m:oMath>
      <w:r>
        <w:t xml:space="preserve"> </w:t>
      </w:r>
      <w:r>
        <w:t xml:space="preserve">años.</w:t>
      </w:r>
      <w:r>
        <w:rPr>
          <w:rStyle w:val="FootnoteReference"/>
        </w:rPr>
        <w:footnoteReference w:id="56"/>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s</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0.1%</w:t>
            </w:r>
          </w:p>
        </w:tc>
        <w:tc>
          <w:tcPr>
            <w:tcBorders>
              <w:bottom w:val="single" w:sz="8" w:space="0" w:color="BEBEBE"/>
              <w:top w:val="single" w:sz="12" w:space="0" w:color="666666"/>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0.4%</w:t>
            </w:r>
          </w:p>
        </w:tc>
        <w:tc>
          <w:tcPr>
            <w:tcBorders>
              <w:bottom w:val="single" w:sz="8" w:space="0" w:color="BEBEBE"/>
              <w:top w:val="single" w:sz="12" w:space="0" w:color="666666"/>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w:t>
            </w:r>
          </w:p>
        </w:tc>
        <w:tc>
          <w:tcPr>
            <w:tcBorders>
              <w:bottom w:val="single" w:sz="8" w:space="0" w:color="BEBEBE"/>
              <w:top w:val="single" w:sz="12" w:space="0" w:color="666666"/>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2.5%</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single" w:sz="8" w:space="0" w:color="BEBEBE"/>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c>
          <w:tcPr>
            <w:tcBorders>
              <w:bottom w:val="none" w:sz="0" w:space="0" w:color="000000"/>
              <w:top w:val="single" w:sz="8" w:space="0" w:color="BEBEBE"/>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w:t>
            </w:r>
          </w:p>
        </w:tc>
        <w:tc>
          <w:tcPr>
            <w:tcBorders>
              <w:bottom w:val="none" w:sz="0" w:space="0" w:color="000000"/>
              <w:top w:val="single" w:sz="8" w:space="0" w:color="BEBEBE"/>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single" w:sz="8" w:space="0" w:color="BEBEBE"/>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94</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single" w:sz="12" w:space="0" w:color="666666"/>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108</w:t>
            </w:r>
          </w:p>
        </w:tc>
        <w:tc>
          <w:tcPr>
            <w:tcBorders>
              <w:bottom w:val="single" w:sz="12" w:space="0" w:color="666666"/>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70</w:t>
            </w:r>
          </w:p>
        </w:tc>
        <w:tc>
          <w:tcPr>
            <w:tcBorders>
              <w:bottom w:val="single" w:sz="12" w:space="0" w:color="666666"/>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47</w:t>
            </w:r>
          </w:p>
        </w:tc>
        <w:tc>
          <w:tcPr>
            <w:tcBorders>
              <w:bottom w:val="single" w:sz="12" w:space="0" w:color="666666"/>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28</w:t>
            </w:r>
          </w:p>
        </w:tc>
      </w:tr>
    </w:tbl>
    <w:bookmarkEnd w:id="57"/>
    <w:p/>
    <w:p>
      <w:pPr>
        <w:pStyle w:val="BodyText"/>
      </w:pPr>
      <w:r>
        <w:t xml:space="preserve"> </w:t>
      </w:r>
    </w:p>
    <w:p>
      <w:pPr>
        <w:pStyle w:val="BodyText"/>
      </w:pPr>
      <w:r>
        <w:t xml:space="preserve"> </w:t>
      </w:r>
    </w:p>
    <w:bookmarkStart w:id="59" w:name="tbl-memo-kmax-s35-u5-kmax"/>
    <w:p>
      <w:pPr>
        <w:pStyle w:val="ImageCaption"/>
        <w:spacing w:before="200"/>
        <w:jc w:val="left"/>
      </w:pPr>
      <w:r>
        <w:t xml:space="preserve">Table 7: Valores medios de</w:t>
      </w:r>
      <w:r>
        <w:t xml:space="preserve"> </w:t>
      </w:r>
      <m:oMath>
        <m:sSub>
          <m:e>
            <m:r>
              <m:t>k</m:t>
            </m:r>
          </m:e>
          <m:sub>
            <m:r>
              <m:rPr>
                <m:sty m:val="p"/>
              </m:rPr>
              <m:t>max</m:t>
            </m:r>
          </m:sub>
        </m:sSub>
      </m:oMath>
      <w:r>
        <w:t xml:space="preserve"> </w:t>
      </w:r>
      <w:r>
        <w:t xml:space="preserve">[cm/s2] para el sitio CFD, el escenario S35, bajo la demanda MCE y los períodos de retorno</w:t>
      </w:r>
      <w:r>
        <w:t xml:space="preserve"> </w:t>
      </w:r>
      <m:oMath>
        <m:sSub>
          <m:e>
            <m:r>
              <m:t>T</m:t>
            </m:r>
          </m:e>
          <m:sub>
            <m:r>
              <m:t>R</m:t>
            </m:r>
          </m:sub>
        </m:sSub>
        <m:r>
          <m:rPr>
            <m:sty m:val="p"/>
          </m:rPr>
          <m:t>=</m:t>
        </m:r>
        <m:r>
          <m:t>500</m:t>
        </m:r>
        <m:r>
          <m:rPr>
            <m:sty m:val="p"/>
          </m:rPr>
          <m:t>,</m:t>
        </m:r>
        <m:r>
          <m:t>2</m:t>
        </m:r>
        <m:r>
          <m:rPr>
            <m:sty m:val="p"/>
          </m:rPr>
          <m:t>,</m:t>
        </m:r>
        <m:r>
          <m:t>500</m:t>
        </m:r>
        <m:r>
          <m:rPr>
            <m:sty m:val="p"/>
          </m:rPr>
          <m:t>,</m:t>
        </m:r>
        <m:r>
          <m:t>10</m:t>
        </m:r>
        <m:r>
          <m:rPr>
            <m:sty m:val="p"/>
          </m:rPr>
          <m:t>,</m:t>
        </m:r>
        <m:r>
          <m:t>000</m:t>
        </m:r>
      </m:oMath>
      <w:r>
        <w:t xml:space="preserve"> </w:t>
      </w:r>
      <w:r>
        <w:t xml:space="preserve">años.</w:t>
      </w:r>
      <w:r>
        <w:rPr>
          <w:rStyle w:val="FootnoteReference"/>
        </w:rPr>
        <w:footnoteReference w:id="58"/>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s</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0.1%</w:t>
            </w:r>
          </w:p>
        </w:tc>
        <w:tc>
          <w:tcPr>
            <w:tcBorders>
              <w:bottom w:val="single" w:sz="8" w:space="0" w:color="BEBEBE"/>
              <w:top w:val="single" w:sz="12" w:space="0" w:color="666666"/>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0.4%</w:t>
            </w:r>
          </w:p>
        </w:tc>
        <w:tc>
          <w:tcPr>
            <w:tcBorders>
              <w:bottom w:val="single" w:sz="8" w:space="0" w:color="BEBEBE"/>
              <w:top w:val="single" w:sz="12" w:space="0" w:color="666666"/>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w:t>
            </w:r>
          </w:p>
        </w:tc>
        <w:tc>
          <w:tcPr>
            <w:tcBorders>
              <w:bottom w:val="single" w:sz="8" w:space="0" w:color="BEBEBE"/>
              <w:top w:val="single" w:sz="12" w:space="0" w:color="666666"/>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2.5%</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single" w:sz="8" w:space="0" w:color="BEBEBE"/>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w:t>
            </w:r>
          </w:p>
        </w:tc>
        <w:tc>
          <w:tcPr>
            <w:tcBorders>
              <w:bottom w:val="none" w:sz="0" w:space="0" w:color="000000"/>
              <w:top w:val="single" w:sz="8" w:space="0" w:color="BEBEBE"/>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none" w:sz="0" w:space="0" w:color="000000"/>
              <w:top w:val="single" w:sz="8" w:space="0" w:color="BEBEBE"/>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single" w:sz="8" w:space="0" w:color="BEBEBE"/>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single" w:sz="12" w:space="0" w:color="666666"/>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63</w:t>
            </w:r>
          </w:p>
        </w:tc>
        <w:tc>
          <w:tcPr>
            <w:tcBorders>
              <w:bottom w:val="single" w:sz="12" w:space="0" w:color="666666"/>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w:t>
            </w:r>
          </w:p>
        </w:tc>
        <w:tc>
          <w:tcPr>
            <w:tcBorders>
              <w:bottom w:val="single" w:sz="12" w:space="0" w:color="666666"/>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w:t>
            </w:r>
          </w:p>
        </w:tc>
      </w:tr>
    </w:tbl>
    <w:bookmarkEnd w:id="59"/>
    <w:p/>
    <w:p>
      <w:pPr>
        <w:pStyle w:val="BodyText"/>
      </w:pPr>
      <w:r>
        <w:t xml:space="preserve"> </w:t>
      </w:r>
    </w:p>
    <w:bookmarkEnd w:id="60"/>
    <w:bookmarkStart w:id="91" w:name="sec-kh-tables"/>
    <w:p>
      <w:pPr>
        <w:pStyle w:val="Heading2"/>
      </w:pPr>
      <w:r>
        <w:t xml:space="preserve">Coeficiente sísmico basado en desempeño</w:t>
      </w:r>
      <w:r>
        <w:t xml:space="preserve"> </w:t>
      </w:r>
      <m:oMath>
        <m:sSub>
          <m:e>
            <m:r>
              <m:t>k</m:t>
            </m:r>
          </m:e>
          <m:sub>
            <m:r>
              <m:t>h</m:t>
            </m:r>
          </m:sub>
        </m:sSub>
      </m:oMath>
    </w:p>
    <w:tbl>
      <w:tblPr>
        <w:tblStyle w:val="Table"/>
        <w:tblW w:type="pct" w:w="5000"/>
        <w:tblLayout w:type="fixed"/>
        <w:tblLook w:firstRow="0" w:lastRow="0" w:firstColumn="0" w:lastColumn="0" w:noHBand="0" w:noVBand="0" w:val="0000"/>
      </w:tblPr>
      <w:tblGrid>
        <w:gridCol w:w="7920"/>
      </w:tblGrid>
      <w:tr>
        <w:tc>
          <w:tcPr/>
          <w:bookmarkStart w:id="65" w:name="fig-memo-kh-tr500-kh-one"/>
          <w:p>
            <w:pPr>
              <w:pStyle w:val="Compact"/>
              <w:jc w:val="center"/>
            </w:pPr>
            <w:r>
              <w:drawing>
                <wp:inline>
                  <wp:extent cx="5760720" cy="4322064"/>
                  <wp:effectExtent b="0" l="0" r="0" t="0"/>
                  <wp:docPr descr="" title="" id="62" name="Picture"/>
                  <a:graphic>
                    <a:graphicData uri="http://schemas.openxmlformats.org/drawingml/2006/picture">
                      <pic:pic>
                        <pic:nvPicPr>
                          <pic:cNvPr descr="gmdp.memo.es_files/figure-docx/fig-memo-kh-tr500-kh-one-1.png" id="63" name="Picture"/>
                          <pic:cNvPicPr>
                            <a:picLocks noChangeArrowheads="1" noChangeAspect="1"/>
                          </pic:cNvPicPr>
                        </pic:nvPicPr>
                        <pic:blipFill>
                          <a:blip r:embed="rId61"/>
                          <a:stretch>
                            <a:fillRect/>
                          </a:stretch>
                        </pic:blipFill>
                        <pic:spPr bwMode="auto">
                          <a:xfrm>
                            <a:off x="0" y="0"/>
                            <a:ext cx="5760720" cy="4322064"/>
                          </a:xfrm>
                          <a:prstGeom prst="rect">
                            <a:avLst/>
                          </a:prstGeom>
                          <a:noFill/>
                          <a:ln w="9525">
                            <a:noFill/>
                            <a:headEnd/>
                            <a:tailEnd/>
                          </a:ln>
                        </pic:spPr>
                      </pic:pic>
                    </a:graphicData>
                  </a:graphic>
                </wp:inline>
              </w:drawing>
            </w:r>
          </w:p>
          <w:p>
            <w:pPr>
              <w:pStyle w:val="ImageCaption"/>
              <w:spacing w:before="200"/>
              <w:jc w:val="left"/>
            </w:pPr>
            <w:r>
              <w:t xml:space="preserve">Fig. 5: Valores medios de</w:t>
            </w:r>
            <w:r>
              <w:t xml:space="preserve"> </w:t>
            </w:r>
            <m:oMath>
              <m:sSub>
                <m:e>
                  <m:r>
                    <m:t>k</m:t>
                  </m:r>
                </m:e>
                <m:sub>
                  <m:r>
                    <m:t>h</m:t>
                  </m:r>
                </m:sub>
              </m:sSub>
            </m:oMath>
            <w:r>
              <w:t xml:space="preserve"> </w:t>
            </w:r>
            <w:r>
              <w:t xml:space="preserve">[% de la PGA] para el sitio CFD y un período de retorno</w:t>
            </w:r>
            <w:r>
              <w:t xml:space="preserve"> </w:t>
            </w:r>
            <m:oMath>
              <m:sSub>
                <m:e>
                  <m:r>
                    <m:t>T</m:t>
                  </m:r>
                </m:e>
                <m:sub>
                  <m:r>
                    <m:t>R</m:t>
                  </m:r>
                </m:sub>
              </m:sSub>
              <m:r>
                <m:rPr>
                  <m:sty m:val="p"/>
                </m:rPr>
                <m:t>=</m:t>
              </m:r>
              <m:r>
                <m:t>500</m:t>
              </m:r>
            </m:oMath>
            <w:r>
              <w:t xml:space="preserve"> </w:t>
            </w:r>
            <w:r>
              <w:t xml:space="preserve">años, en función del desplazamiento permanente admisible relativo a la altura del talud,</w:t>
            </w:r>
            <w:r>
              <w:t xml:space="preserve"> </w:t>
            </w:r>
            <m:oMath>
              <m:sSub>
                <m:e>
                  <m:r>
                    <m:t>D</m:t>
                  </m:r>
                </m:e>
                <m:sub>
                  <m:r>
                    <m:t>a</m:t>
                  </m:r>
                </m:sub>
              </m:sSub>
              <m:r>
                <m:rPr>
                  <m:sty m:val="p"/>
                </m:rPr>
                <m:t>/</m:t>
              </m:r>
              <m:r>
                <m:t>H</m:t>
              </m:r>
            </m:oMath>
            <w:r>
              <w:t xml:space="preserve"> </w:t>
            </w:r>
            <w:r>
              <w:t xml:space="preserve">[%]. Las curvas corresponden a los escenarios S135, S50, S32, S27, S35 evaluados con los conjuntos</w:t>
            </w:r>
            <w:r>
              <w:t xml:space="preserve"> </w:t>
            </w:r>
            <w:r>
              <w:rPr>
                <w:rStyle w:val="VerbatimChar"/>
              </w:rPr>
              <w:t xml:space="preserve">rigid</w:t>
            </w:r>
            <w:r>
              <w:t xml:space="preserve">,</w:t>
            </w:r>
            <w:r>
              <w:t xml:space="preserve"> </w:t>
            </w:r>
            <w:r>
              <w:rPr>
                <w:rStyle w:val="VerbatimChar"/>
              </w:rPr>
              <w:t xml:space="preserve">ensemble</w:t>
            </w:r>
            <w:r>
              <w:t xml:space="preserve"> </w:t>
            </w:r>
            <w:r>
              <w:t xml:space="preserve">y</w:t>
            </w:r>
            <w:r>
              <w:t xml:space="preserve"> </w:t>
            </w:r>
            <w:r>
              <w:rPr>
                <w:rStyle w:val="VerbatimChar"/>
              </w:rPr>
              <w:t xml:space="preserve">flexible</w:t>
            </w:r>
            <w:r>
              <w:t xml:space="preserve">.</w:t>
            </w:r>
            <w:r>
              <w:rPr>
                <w:rStyle w:val="FootnoteReference"/>
              </w:rPr>
              <w:footnoteReference w:id="64"/>
            </w:r>
          </w:p>
          <w:bookmarkEnd w:id="65"/>
        </w:tc>
      </w:tr>
    </w:tbl>
    <w:tbl>
      <w:tblPr>
        <w:tblStyle w:val="Table"/>
        <w:tblW w:type="pct" w:w="5000"/>
        <w:tblLayout w:type="fixed"/>
        <w:tblLook w:firstRow="0" w:lastRow="0" w:firstColumn="0" w:lastColumn="0" w:noHBand="0" w:noVBand="0" w:val="0000"/>
      </w:tblPr>
      <w:tblGrid>
        <w:gridCol w:w="7920"/>
      </w:tblGrid>
      <w:tr>
        <w:tc>
          <w:tcPr/>
          <w:bookmarkStart w:id="70" w:name="fig-memo-kh-tr2500-kh-one"/>
          <w:p>
            <w:pPr>
              <w:pStyle w:val="Compact"/>
              <w:jc w:val="center"/>
            </w:pPr>
            <w:r>
              <w:drawing>
                <wp:inline>
                  <wp:extent cx="5760720" cy="4322064"/>
                  <wp:effectExtent b="0" l="0" r="0" t="0"/>
                  <wp:docPr descr="" title="" id="67" name="Picture"/>
                  <a:graphic>
                    <a:graphicData uri="http://schemas.openxmlformats.org/drawingml/2006/picture">
                      <pic:pic>
                        <pic:nvPicPr>
                          <pic:cNvPr descr="gmdp.memo.es_files/figure-docx/fig-memo-kh-tr2500-kh-one-1.png" id="68" name="Picture"/>
                          <pic:cNvPicPr>
                            <a:picLocks noChangeArrowheads="1" noChangeAspect="1"/>
                          </pic:cNvPicPr>
                        </pic:nvPicPr>
                        <pic:blipFill>
                          <a:blip r:embed="rId66"/>
                          <a:stretch>
                            <a:fillRect/>
                          </a:stretch>
                        </pic:blipFill>
                        <pic:spPr bwMode="auto">
                          <a:xfrm>
                            <a:off x="0" y="0"/>
                            <a:ext cx="5760720" cy="4322064"/>
                          </a:xfrm>
                          <a:prstGeom prst="rect">
                            <a:avLst/>
                          </a:prstGeom>
                          <a:noFill/>
                          <a:ln w="9525">
                            <a:noFill/>
                            <a:headEnd/>
                            <a:tailEnd/>
                          </a:ln>
                        </pic:spPr>
                      </pic:pic>
                    </a:graphicData>
                  </a:graphic>
                </wp:inline>
              </w:drawing>
            </w:r>
          </w:p>
          <w:p>
            <w:pPr>
              <w:pStyle w:val="ImageCaption"/>
              <w:spacing w:before="200"/>
              <w:jc w:val="left"/>
            </w:pPr>
            <w:r>
              <w:t xml:space="preserve">Fig. 6: Valores medios de</w:t>
            </w:r>
            <w:r>
              <w:t xml:space="preserve"> </w:t>
            </w:r>
            <m:oMath>
              <m:sSub>
                <m:e>
                  <m:r>
                    <m:t>k</m:t>
                  </m:r>
                </m:e>
                <m:sub>
                  <m:r>
                    <m:t>h</m:t>
                  </m:r>
                </m:sub>
              </m:sSub>
            </m:oMath>
            <w:r>
              <w:t xml:space="preserve"> </w:t>
            </w:r>
            <w:r>
              <w:t xml:space="preserve">[% de la PGA] para el sitio CFD y un período de retorno</w:t>
            </w:r>
            <w:r>
              <w:t xml:space="preserve"> </w:t>
            </w:r>
            <m:oMath>
              <m:sSub>
                <m:e>
                  <m:r>
                    <m:t>T</m:t>
                  </m:r>
                </m:e>
                <m:sub>
                  <m:r>
                    <m:t>R</m:t>
                  </m:r>
                </m:sub>
              </m:sSub>
              <m:r>
                <m:rPr>
                  <m:sty m:val="p"/>
                </m:rPr>
                <m:t>=</m:t>
              </m:r>
              <m:r>
                <m:t>2</m:t>
              </m:r>
              <m:r>
                <m:rPr>
                  <m:sty m:val="p"/>
                </m:rPr>
                <m:t>,</m:t>
              </m:r>
              <m:r>
                <m:t>500</m:t>
              </m:r>
            </m:oMath>
            <w:r>
              <w:t xml:space="preserve"> </w:t>
            </w:r>
            <w:r>
              <w:t xml:space="preserve">años, en función del desplazamiento permanente admisible relativo a la altura del talud,</w:t>
            </w:r>
            <w:r>
              <w:t xml:space="preserve"> </w:t>
            </w:r>
            <m:oMath>
              <m:sSub>
                <m:e>
                  <m:r>
                    <m:t>D</m:t>
                  </m:r>
                </m:e>
                <m:sub>
                  <m:r>
                    <m:t>a</m:t>
                  </m:r>
                </m:sub>
              </m:sSub>
              <m:r>
                <m:rPr>
                  <m:sty m:val="p"/>
                </m:rPr>
                <m:t>/</m:t>
              </m:r>
              <m:r>
                <m:t>H</m:t>
              </m:r>
            </m:oMath>
            <w:r>
              <w:t xml:space="preserve"> </w:t>
            </w:r>
            <w:r>
              <w:t xml:space="preserve">[%]. Las curvas corresponden a los escenarios S135, S50, S32, S27, S35 evaluados con los conjuntos</w:t>
            </w:r>
            <w:r>
              <w:t xml:space="preserve"> </w:t>
            </w:r>
            <w:r>
              <w:rPr>
                <w:rStyle w:val="VerbatimChar"/>
              </w:rPr>
              <w:t xml:space="preserve">rigid</w:t>
            </w:r>
            <w:r>
              <w:t xml:space="preserve">,</w:t>
            </w:r>
            <w:r>
              <w:t xml:space="preserve"> </w:t>
            </w:r>
            <w:r>
              <w:rPr>
                <w:rStyle w:val="VerbatimChar"/>
              </w:rPr>
              <w:t xml:space="preserve">ensemble</w:t>
            </w:r>
            <w:r>
              <w:t xml:space="preserve"> </w:t>
            </w:r>
            <w:r>
              <w:t xml:space="preserve">y</w:t>
            </w:r>
            <w:r>
              <w:t xml:space="preserve"> </w:t>
            </w:r>
            <w:r>
              <w:rPr>
                <w:rStyle w:val="VerbatimChar"/>
              </w:rPr>
              <w:t xml:space="preserve">flexible</w:t>
            </w:r>
            <w:r>
              <w:t xml:space="preserve">.</w:t>
            </w:r>
            <w:r>
              <w:rPr>
                <w:rStyle w:val="FootnoteReference"/>
              </w:rPr>
              <w:footnoteReference w:id="69"/>
            </w:r>
          </w:p>
          <w:bookmarkEnd w:id="70"/>
        </w:tc>
      </w:tr>
    </w:tbl>
    <w:tbl>
      <w:tblPr>
        <w:tblStyle w:val="Table"/>
        <w:tblW w:type="pct" w:w="5000"/>
        <w:tblLayout w:type="fixed"/>
        <w:tblLook w:firstRow="0" w:lastRow="0" w:firstColumn="0" w:lastColumn="0" w:noHBand="0" w:noVBand="0" w:val="0000"/>
      </w:tblPr>
      <w:tblGrid>
        <w:gridCol w:w="7920"/>
      </w:tblGrid>
      <w:tr>
        <w:tc>
          <w:tcPr/>
          <w:bookmarkStart w:id="75" w:name="fig-memo-kh-mde-kh-one"/>
          <w:p>
            <w:pPr>
              <w:pStyle w:val="Compact"/>
              <w:jc w:val="center"/>
            </w:pPr>
            <w:r>
              <w:drawing>
                <wp:inline>
                  <wp:extent cx="5760720" cy="4322064"/>
                  <wp:effectExtent b="0" l="0" r="0" t="0"/>
                  <wp:docPr descr="" title="" id="72" name="Picture"/>
                  <a:graphic>
                    <a:graphicData uri="http://schemas.openxmlformats.org/drawingml/2006/picture">
                      <pic:pic>
                        <pic:nvPicPr>
                          <pic:cNvPr descr="gmdp.memo.es_files/figure-docx/fig-memo-kh-mde-kh-one-1.png" id="73" name="Picture"/>
                          <pic:cNvPicPr>
                            <a:picLocks noChangeArrowheads="1" noChangeAspect="1"/>
                          </pic:cNvPicPr>
                        </pic:nvPicPr>
                        <pic:blipFill>
                          <a:blip r:embed="rId71"/>
                          <a:stretch>
                            <a:fillRect/>
                          </a:stretch>
                        </pic:blipFill>
                        <pic:spPr bwMode="auto">
                          <a:xfrm>
                            <a:off x="0" y="0"/>
                            <a:ext cx="5760720" cy="4322064"/>
                          </a:xfrm>
                          <a:prstGeom prst="rect">
                            <a:avLst/>
                          </a:prstGeom>
                          <a:noFill/>
                          <a:ln w="9525">
                            <a:noFill/>
                            <a:headEnd/>
                            <a:tailEnd/>
                          </a:ln>
                        </pic:spPr>
                      </pic:pic>
                    </a:graphicData>
                  </a:graphic>
                </wp:inline>
              </w:drawing>
            </w:r>
          </w:p>
          <w:p>
            <w:pPr>
              <w:pStyle w:val="ImageCaption"/>
              <w:spacing w:before="200"/>
              <w:jc w:val="left"/>
            </w:pPr>
            <w:r>
              <w:t xml:space="preserve">Fig. 7: Valores medios de</w:t>
            </w:r>
            <w:r>
              <w:t xml:space="preserve"> </w:t>
            </w:r>
            <m:oMath>
              <m:sSub>
                <m:e>
                  <m:r>
                    <m:t>k</m:t>
                  </m:r>
                </m:e>
                <m:sub>
                  <m:r>
                    <m:t>h</m:t>
                  </m:r>
                </m:sub>
              </m:sSub>
            </m:oMath>
            <w:r>
              <w:t xml:space="preserve"> </w:t>
            </w:r>
            <w:r>
              <w:t xml:space="preserve">[% de la PGA] para el sitio CFD y un período de retorno</w:t>
            </w:r>
            <w:r>
              <w:t xml:space="preserve"> </w:t>
            </w:r>
            <m:oMath>
              <m:sSub>
                <m:e>
                  <m:r>
                    <m:t>T</m:t>
                  </m:r>
                </m:e>
                <m:sub>
                  <m:r>
                    <m:t>R</m:t>
                  </m:r>
                </m:sub>
              </m:sSub>
              <m:r>
                <m:rPr>
                  <m:sty m:val="p"/>
                </m:rPr>
                <m:t>=</m:t>
              </m:r>
              <m:r>
                <m:t>10</m:t>
              </m:r>
              <m:r>
                <m:rPr>
                  <m:sty m:val="p"/>
                </m:rPr>
                <m:t>,</m:t>
              </m:r>
              <m:r>
                <m:t>000</m:t>
              </m:r>
            </m:oMath>
            <w:r>
              <w:t xml:space="preserve"> </w:t>
            </w:r>
            <w:r>
              <w:t xml:space="preserve">años, en función del desplazamiento permanente admisible relativo a la altura del talud,</w:t>
            </w:r>
            <w:r>
              <w:t xml:space="preserve"> </w:t>
            </w:r>
            <m:oMath>
              <m:sSub>
                <m:e>
                  <m:r>
                    <m:t>D</m:t>
                  </m:r>
                </m:e>
                <m:sub>
                  <m:r>
                    <m:t>a</m:t>
                  </m:r>
                </m:sub>
              </m:sSub>
              <m:r>
                <m:rPr>
                  <m:sty m:val="p"/>
                </m:rPr>
                <m:t>/</m:t>
              </m:r>
              <m:r>
                <m:t>H</m:t>
              </m:r>
            </m:oMath>
            <w:r>
              <w:t xml:space="preserve"> </w:t>
            </w:r>
            <w:r>
              <w:t xml:space="preserve">[%]. Las curvas corresponden a los escenarios S135, S50, S32, S27, S35 evaluados con los conjuntos</w:t>
            </w:r>
            <w:r>
              <w:t xml:space="preserve"> </w:t>
            </w:r>
            <w:r>
              <w:rPr>
                <w:rStyle w:val="VerbatimChar"/>
              </w:rPr>
              <w:t xml:space="preserve">rigid</w:t>
            </w:r>
            <w:r>
              <w:t xml:space="preserve">,</w:t>
            </w:r>
            <w:r>
              <w:t xml:space="preserve"> </w:t>
            </w:r>
            <w:r>
              <w:rPr>
                <w:rStyle w:val="VerbatimChar"/>
              </w:rPr>
              <w:t xml:space="preserve">ensemble</w:t>
            </w:r>
            <w:r>
              <w:t xml:space="preserve"> </w:t>
            </w:r>
            <w:r>
              <w:t xml:space="preserve">y</w:t>
            </w:r>
            <w:r>
              <w:t xml:space="preserve"> </w:t>
            </w:r>
            <w:r>
              <w:rPr>
                <w:rStyle w:val="VerbatimChar"/>
              </w:rPr>
              <w:t xml:space="preserve">flexible</w:t>
            </w:r>
            <w:r>
              <w:t xml:space="preserve">.</w:t>
            </w:r>
            <w:r>
              <w:rPr>
                <w:rStyle w:val="FootnoteReference"/>
              </w:rPr>
              <w:footnoteReference w:id="74"/>
            </w:r>
          </w:p>
          <w:bookmarkEnd w:id="75"/>
        </w:tc>
      </w:tr>
    </w:tbl>
    <w:tbl>
      <w:tblPr>
        <w:tblStyle w:val="Table"/>
        <w:tblW w:type="pct" w:w="5000"/>
        <w:tblLayout w:type="fixed"/>
        <w:tblLook w:firstRow="0" w:lastRow="0" w:firstColumn="0" w:lastColumn="0" w:noHBand="0" w:noVBand="0" w:val="0000"/>
      </w:tblPr>
      <w:tblGrid>
        <w:gridCol w:w="7920"/>
      </w:tblGrid>
      <w:tr>
        <w:tc>
          <w:tcPr/>
          <w:bookmarkStart w:id="80" w:name="fig-memo-kh-mce-kh-one"/>
          <w:p>
            <w:pPr>
              <w:pStyle w:val="Compact"/>
              <w:jc w:val="center"/>
            </w:pPr>
            <w:r>
              <w:drawing>
                <wp:inline>
                  <wp:extent cx="5760720" cy="4322064"/>
                  <wp:effectExtent b="0" l="0" r="0" t="0"/>
                  <wp:docPr descr="" title="" id="77" name="Picture"/>
                  <a:graphic>
                    <a:graphicData uri="http://schemas.openxmlformats.org/drawingml/2006/picture">
                      <pic:pic>
                        <pic:nvPicPr>
                          <pic:cNvPr descr="gmdp.memo.es_files/figure-docx/fig-memo-kh-mce-kh-one-1.png" id="78" name="Picture"/>
                          <pic:cNvPicPr>
                            <a:picLocks noChangeArrowheads="1" noChangeAspect="1"/>
                          </pic:cNvPicPr>
                        </pic:nvPicPr>
                        <pic:blipFill>
                          <a:blip r:embed="rId76"/>
                          <a:stretch>
                            <a:fillRect/>
                          </a:stretch>
                        </pic:blipFill>
                        <pic:spPr bwMode="auto">
                          <a:xfrm>
                            <a:off x="0" y="0"/>
                            <a:ext cx="5760720" cy="4322064"/>
                          </a:xfrm>
                          <a:prstGeom prst="rect">
                            <a:avLst/>
                          </a:prstGeom>
                          <a:noFill/>
                          <a:ln w="9525">
                            <a:noFill/>
                            <a:headEnd/>
                            <a:tailEnd/>
                          </a:ln>
                        </pic:spPr>
                      </pic:pic>
                    </a:graphicData>
                  </a:graphic>
                </wp:inline>
              </w:drawing>
            </w:r>
          </w:p>
          <w:p>
            <w:pPr>
              <w:pStyle w:val="ImageCaption"/>
              <w:spacing w:before="200"/>
              <w:jc w:val="left"/>
            </w:pPr>
            <w:r>
              <w:t xml:space="preserve">Fig. 8: Valores medios de</w:t>
            </w:r>
            <w:r>
              <w:t xml:space="preserve"> </w:t>
            </w:r>
            <m:oMath>
              <m:sSub>
                <m:e>
                  <m:r>
                    <m:t>k</m:t>
                  </m:r>
                </m:e>
                <m:sub>
                  <m:r>
                    <m:t>h</m:t>
                  </m:r>
                </m:sub>
              </m:sSub>
            </m:oMath>
            <w:r>
              <w:t xml:space="preserve"> </w:t>
            </w:r>
            <w:r>
              <w:t xml:space="preserve">[% de la PGA] para el sitio CFD bajo la demanda MCE, en función del desplazamiento permanente admisible relativo a la altura del talud,</w:t>
            </w:r>
            <w:r>
              <w:t xml:space="preserve"> </w:t>
            </w:r>
            <m:oMath>
              <m:sSub>
                <m:e>
                  <m:r>
                    <m:t>D</m:t>
                  </m:r>
                </m:e>
                <m:sub>
                  <m:r>
                    <m:t>a</m:t>
                  </m:r>
                </m:sub>
              </m:sSub>
              <m:r>
                <m:rPr>
                  <m:sty m:val="p"/>
                </m:rPr>
                <m:t>/</m:t>
              </m:r>
              <m:r>
                <m:t>H</m:t>
              </m:r>
            </m:oMath>
            <w:r>
              <w:t xml:space="preserve"> </w:t>
            </w:r>
            <w:r>
              <w:t xml:space="preserve">[%]. Las curvas corresponden a los escenarios S135, S50, S32, S27, S35 evaluados con los conjuntos</w:t>
            </w:r>
            <w:r>
              <w:t xml:space="preserve"> </w:t>
            </w:r>
            <w:r>
              <w:rPr>
                <w:rStyle w:val="VerbatimChar"/>
              </w:rPr>
              <w:t xml:space="preserve">rigid</w:t>
            </w:r>
            <w:r>
              <w:t xml:space="preserve">,</w:t>
            </w:r>
            <w:r>
              <w:t xml:space="preserve"> </w:t>
            </w:r>
            <w:r>
              <w:rPr>
                <w:rStyle w:val="VerbatimChar"/>
              </w:rPr>
              <w:t xml:space="preserve">ensemble</w:t>
            </w:r>
            <w:r>
              <w:t xml:space="preserve"> </w:t>
            </w:r>
            <w:r>
              <w:t xml:space="preserve">y</w:t>
            </w:r>
            <w:r>
              <w:t xml:space="preserve"> </w:t>
            </w:r>
            <w:r>
              <w:rPr>
                <w:rStyle w:val="VerbatimChar"/>
              </w:rPr>
              <w:t xml:space="preserve">flexible</w:t>
            </w:r>
            <w:r>
              <w:t xml:space="preserve">.</w:t>
            </w:r>
            <w:r>
              <w:rPr>
                <w:rStyle w:val="FootnoteReference"/>
              </w:rPr>
              <w:footnoteReference w:id="79"/>
            </w:r>
          </w:p>
          <w:bookmarkEnd w:id="80"/>
        </w:tc>
      </w:tr>
    </w:tbl>
    <w:p>
      <w:pPr>
        <w:pStyle w:val="BodyText"/>
      </w:pPr>
      <w:r>
        <w:t xml:space="preserve"> </w:t>
      </w:r>
    </w:p>
    <w:bookmarkStart w:id="82" w:name="tbl-memo-kh-s135-u1-kh"/>
    <w:p>
      <w:pPr>
        <w:pStyle w:val="ImageCaption"/>
        <w:spacing w:before="200"/>
        <w:jc w:val="left"/>
      </w:pPr>
      <w:r>
        <w:t xml:space="preserve">Table 8: Valores medios de</w:t>
      </w:r>
      <w:r>
        <w:t xml:space="preserve"> </w:t>
      </w:r>
      <m:oMath>
        <m:sSub>
          <m:e>
            <m:r>
              <m:t>k</m:t>
            </m:r>
          </m:e>
          <m:sub>
            <m:r>
              <m:t>h</m:t>
            </m:r>
          </m:sub>
        </m:sSub>
      </m:oMath>
      <w:r>
        <w:t xml:space="preserve"> </w:t>
      </w:r>
      <w:r>
        <w:t xml:space="preserve">[% de la PGA] para el sitio CFD, el escenario S135, bajo la demanda MCE y los períodos de retorno</w:t>
      </w:r>
      <w:r>
        <w:t xml:space="preserve"> </w:t>
      </w:r>
      <m:oMath>
        <m:sSub>
          <m:e>
            <m:r>
              <m:t>T</m:t>
            </m:r>
          </m:e>
          <m:sub>
            <m:r>
              <m:t>R</m:t>
            </m:r>
          </m:sub>
        </m:sSub>
        <m:r>
          <m:rPr>
            <m:sty m:val="p"/>
          </m:rPr>
          <m:t>=</m:t>
        </m:r>
        <m:r>
          <m:t>500</m:t>
        </m:r>
        <m:r>
          <m:rPr>
            <m:sty m:val="p"/>
          </m:rPr>
          <m:t>,</m:t>
        </m:r>
        <m:r>
          <m:t>2</m:t>
        </m:r>
        <m:r>
          <m:rPr>
            <m:sty m:val="p"/>
          </m:rPr>
          <m:t>,</m:t>
        </m:r>
        <m:r>
          <m:t>500</m:t>
        </m:r>
        <m:r>
          <m:rPr>
            <m:sty m:val="p"/>
          </m:rPr>
          <m:t>,</m:t>
        </m:r>
        <m:r>
          <m:t>10</m:t>
        </m:r>
        <m:r>
          <m:rPr>
            <m:sty m:val="p"/>
          </m:rPr>
          <m:t>,</m:t>
        </m:r>
        <m:r>
          <m:t>000</m:t>
        </m:r>
      </m:oMath>
      <w:r>
        <w:t xml:space="preserve"> </w:t>
      </w:r>
      <w:r>
        <w:t xml:space="preserve">años.</w:t>
      </w:r>
      <w:r>
        <w:rPr>
          <w:rStyle w:val="FootnoteReference"/>
        </w:rPr>
        <w:footnoteReference w:id="81"/>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s</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0.1%</w:t>
            </w:r>
          </w:p>
        </w:tc>
        <w:tc>
          <w:tcPr>
            <w:tcBorders>
              <w:bottom w:val="single" w:sz="8" w:space="0" w:color="BEBEBE"/>
              <w:top w:val="single" w:sz="12" w:space="0" w:color="666666"/>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0.4%</w:t>
            </w:r>
          </w:p>
        </w:tc>
        <w:tc>
          <w:tcPr>
            <w:tcBorders>
              <w:bottom w:val="single" w:sz="8" w:space="0" w:color="BEBEBE"/>
              <w:top w:val="single" w:sz="12" w:space="0" w:color="666666"/>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w:t>
            </w:r>
          </w:p>
        </w:tc>
        <w:tc>
          <w:tcPr>
            <w:tcBorders>
              <w:bottom w:val="single" w:sz="8" w:space="0" w:color="BEBEBE"/>
              <w:top w:val="single" w:sz="12" w:space="0" w:color="666666"/>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2.5%</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single" w:sz="8" w:space="0" w:color="BEBEBE"/>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5.6</w:t>
            </w:r>
          </w:p>
        </w:tc>
        <w:tc>
          <w:tcPr>
            <w:tcBorders>
              <w:bottom w:val="none" w:sz="0" w:space="0" w:color="000000"/>
              <w:top w:val="single" w:sz="8" w:space="0" w:color="BEBEBE"/>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w:t>
            </w:r>
          </w:p>
        </w:tc>
        <w:tc>
          <w:tcPr>
            <w:tcBorders>
              <w:bottom w:val="none" w:sz="0" w:space="0" w:color="000000"/>
              <w:top w:val="single" w:sz="8" w:space="0" w:color="BEBEBE"/>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w:t>
            </w:r>
          </w:p>
        </w:tc>
        <w:tc>
          <w:tcPr>
            <w:tcBorders>
              <w:bottom w:val="none" w:sz="0" w:space="0" w:color="000000"/>
              <w:top w:val="single" w:sz="8" w:space="0" w:color="BEBEBE"/>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21.7</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18.6</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194</w:t>
            </w:r>
          </w:p>
        </w:tc>
        <w:tc>
          <w:tcPr>
            <w:tcBorders>
              <w:bottom w:val="single" w:sz="12" w:space="0" w:color="666666"/>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26.5</w:t>
            </w:r>
          </w:p>
        </w:tc>
        <w:tc>
          <w:tcPr>
            <w:tcBorders>
              <w:bottom w:val="single" w:sz="12" w:space="0" w:color="666666"/>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13.5</w:t>
            </w:r>
          </w:p>
        </w:tc>
        <w:tc>
          <w:tcPr>
            <w:tcBorders>
              <w:bottom w:val="single" w:sz="12" w:space="0" w:color="666666"/>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7.4</w:t>
            </w:r>
          </w:p>
        </w:tc>
        <w:tc>
          <w:tcPr>
            <w:tcBorders>
              <w:bottom w:val="single" w:sz="12" w:space="0" w:color="666666"/>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4.0</w:t>
            </w:r>
          </w:p>
        </w:tc>
      </w:tr>
    </w:tbl>
    <w:bookmarkEnd w:id="82"/>
    <w:p/>
    <w:p>
      <w:pPr>
        <w:pStyle w:val="BodyText"/>
      </w:pPr>
      <w:r>
        <w:t xml:space="preserve"> </w:t>
      </w:r>
    </w:p>
    <w:p>
      <w:pPr>
        <w:pStyle w:val="BodyText"/>
      </w:pPr>
      <w:r>
        <w:t xml:space="preserve"> </w:t>
      </w:r>
    </w:p>
    <w:bookmarkStart w:id="84" w:name="tbl-memo-kh-s50-u2-kh"/>
    <w:p>
      <w:pPr>
        <w:pStyle w:val="ImageCaption"/>
        <w:spacing w:before="200"/>
        <w:jc w:val="left"/>
      </w:pPr>
      <w:r>
        <w:t xml:space="preserve">Table 9: Valores medios de</w:t>
      </w:r>
      <w:r>
        <w:t xml:space="preserve"> </w:t>
      </w:r>
      <m:oMath>
        <m:sSub>
          <m:e>
            <m:r>
              <m:t>k</m:t>
            </m:r>
          </m:e>
          <m:sub>
            <m:r>
              <m:t>h</m:t>
            </m:r>
          </m:sub>
        </m:sSub>
      </m:oMath>
      <w:r>
        <w:t xml:space="preserve"> </w:t>
      </w:r>
      <w:r>
        <w:t xml:space="preserve">[% de la PGA] para el sitio CFD, el escenario S50, bajo la demanda MCE y los períodos de retorno</w:t>
      </w:r>
      <w:r>
        <w:t xml:space="preserve"> </w:t>
      </w:r>
      <m:oMath>
        <m:sSub>
          <m:e>
            <m:r>
              <m:t>T</m:t>
            </m:r>
          </m:e>
          <m:sub>
            <m:r>
              <m:t>R</m:t>
            </m:r>
          </m:sub>
        </m:sSub>
        <m:r>
          <m:rPr>
            <m:sty m:val="p"/>
          </m:rPr>
          <m:t>=</m:t>
        </m:r>
        <m:r>
          <m:t>500</m:t>
        </m:r>
        <m:r>
          <m:rPr>
            <m:sty m:val="p"/>
          </m:rPr>
          <m:t>,</m:t>
        </m:r>
        <m:r>
          <m:t>2</m:t>
        </m:r>
        <m:r>
          <m:rPr>
            <m:sty m:val="p"/>
          </m:rPr>
          <m:t>,</m:t>
        </m:r>
        <m:r>
          <m:t>500</m:t>
        </m:r>
        <m:r>
          <m:rPr>
            <m:sty m:val="p"/>
          </m:rPr>
          <m:t>,</m:t>
        </m:r>
        <m:r>
          <m:t>10</m:t>
        </m:r>
        <m:r>
          <m:rPr>
            <m:sty m:val="p"/>
          </m:rPr>
          <m:t>,</m:t>
        </m:r>
        <m:r>
          <m:t>000</m:t>
        </m:r>
      </m:oMath>
      <w:r>
        <w:t xml:space="preserve"> </w:t>
      </w:r>
      <w:r>
        <w:t xml:space="preserve">años.</w:t>
      </w:r>
      <w:r>
        <w:rPr>
          <w:rStyle w:val="FootnoteReference"/>
        </w:rPr>
        <w:footnoteReference w:id="83"/>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s</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0.1%</w:t>
            </w:r>
          </w:p>
        </w:tc>
        <w:tc>
          <w:tcPr>
            <w:tcBorders>
              <w:bottom w:val="single" w:sz="8" w:space="0" w:color="BEBEBE"/>
              <w:top w:val="single" w:sz="12" w:space="0" w:color="666666"/>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0.4%</w:t>
            </w:r>
          </w:p>
        </w:tc>
        <w:tc>
          <w:tcPr>
            <w:tcBorders>
              <w:bottom w:val="single" w:sz="8" w:space="0" w:color="BEBEBE"/>
              <w:top w:val="single" w:sz="12" w:space="0" w:color="666666"/>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w:t>
            </w:r>
          </w:p>
        </w:tc>
        <w:tc>
          <w:tcPr>
            <w:tcBorders>
              <w:bottom w:val="single" w:sz="8" w:space="0" w:color="BEBEBE"/>
              <w:top w:val="single" w:sz="12" w:space="0" w:color="666666"/>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2.5%</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single" w:sz="8" w:space="0" w:color="BEBEBE"/>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14.8</w:t>
            </w:r>
          </w:p>
        </w:tc>
        <w:tc>
          <w:tcPr>
            <w:tcBorders>
              <w:bottom w:val="none" w:sz="0" w:space="0" w:color="000000"/>
              <w:top w:val="single" w:sz="8" w:space="0" w:color="BEBEBE"/>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w:t>
            </w:r>
          </w:p>
        </w:tc>
        <w:tc>
          <w:tcPr>
            <w:tcBorders>
              <w:bottom w:val="none" w:sz="0" w:space="0" w:color="000000"/>
              <w:top w:val="single" w:sz="8" w:space="0" w:color="BEBEBE"/>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w:t>
            </w:r>
          </w:p>
        </w:tc>
        <w:tc>
          <w:tcPr>
            <w:tcBorders>
              <w:bottom w:val="none" w:sz="0" w:space="0" w:color="000000"/>
              <w:top w:val="single" w:sz="8" w:space="0" w:color="BEBEBE"/>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25.2</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31.5</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32.5</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26.3</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36.7</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25.7</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single" w:sz="12" w:space="0" w:color="666666"/>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36.3</w:t>
            </w:r>
          </w:p>
        </w:tc>
        <w:tc>
          <w:tcPr>
            <w:tcBorders>
              <w:bottom w:val="single" w:sz="12" w:space="0" w:color="666666"/>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21.4</w:t>
            </w:r>
          </w:p>
        </w:tc>
        <w:tc>
          <w:tcPr>
            <w:tcBorders>
              <w:bottom w:val="single" w:sz="12" w:space="0" w:color="666666"/>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13.2</w:t>
            </w:r>
          </w:p>
        </w:tc>
        <w:tc>
          <w:tcPr>
            <w:tcBorders>
              <w:bottom w:val="single" w:sz="12" w:space="0" w:color="666666"/>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7.1</w:t>
            </w:r>
          </w:p>
        </w:tc>
      </w:tr>
    </w:tbl>
    <w:bookmarkEnd w:id="84"/>
    <w:p/>
    <w:p>
      <w:pPr>
        <w:pStyle w:val="BodyText"/>
      </w:pPr>
      <w:r>
        <w:t xml:space="preserve"> </w:t>
      </w:r>
    </w:p>
    <w:p>
      <w:pPr>
        <w:pStyle w:val="BodyText"/>
      </w:pPr>
      <w:r>
        <w:t xml:space="preserve"> </w:t>
      </w:r>
    </w:p>
    <w:bookmarkStart w:id="86" w:name="tbl-memo-kh-s32-u3-kh"/>
    <w:p>
      <w:pPr>
        <w:pStyle w:val="ImageCaption"/>
        <w:spacing w:before="200"/>
        <w:jc w:val="left"/>
      </w:pPr>
      <w:r>
        <w:t xml:space="preserve">Table 10: Valores medios de</w:t>
      </w:r>
      <w:r>
        <w:t xml:space="preserve"> </w:t>
      </w:r>
      <m:oMath>
        <m:sSub>
          <m:e>
            <m:r>
              <m:t>k</m:t>
            </m:r>
          </m:e>
          <m:sub>
            <m:r>
              <m:t>h</m:t>
            </m:r>
          </m:sub>
        </m:sSub>
      </m:oMath>
      <w:r>
        <w:t xml:space="preserve"> </w:t>
      </w:r>
      <w:r>
        <w:t xml:space="preserve">[% de la PGA] para el sitio CFD, el escenario S32, bajo la demanda MCE y los períodos de retorno</w:t>
      </w:r>
      <w:r>
        <w:t xml:space="preserve"> </w:t>
      </w:r>
      <m:oMath>
        <m:sSub>
          <m:e>
            <m:r>
              <m:t>T</m:t>
            </m:r>
          </m:e>
          <m:sub>
            <m:r>
              <m:t>R</m:t>
            </m:r>
          </m:sub>
        </m:sSub>
        <m:r>
          <m:rPr>
            <m:sty m:val="p"/>
          </m:rPr>
          <m:t>=</m:t>
        </m:r>
        <m:r>
          <m:t>500</m:t>
        </m:r>
        <m:r>
          <m:rPr>
            <m:sty m:val="p"/>
          </m:rPr>
          <m:t>,</m:t>
        </m:r>
        <m:r>
          <m:t>2</m:t>
        </m:r>
        <m:r>
          <m:rPr>
            <m:sty m:val="p"/>
          </m:rPr>
          <m:t>,</m:t>
        </m:r>
        <m:r>
          <m:t>500</m:t>
        </m:r>
        <m:r>
          <m:rPr>
            <m:sty m:val="p"/>
          </m:rPr>
          <m:t>,</m:t>
        </m:r>
        <m:r>
          <m:t>10</m:t>
        </m:r>
        <m:r>
          <m:rPr>
            <m:sty m:val="p"/>
          </m:rPr>
          <m:t>,</m:t>
        </m:r>
        <m:r>
          <m:t>000</m:t>
        </m:r>
      </m:oMath>
      <w:r>
        <w:t xml:space="preserve"> </w:t>
      </w:r>
      <w:r>
        <w:t xml:space="preserve">años.</w:t>
      </w:r>
      <w:r>
        <w:rPr>
          <w:rStyle w:val="FootnoteReference"/>
        </w:rPr>
        <w:footnoteReference w:id="85"/>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s</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0.1%</w:t>
            </w:r>
          </w:p>
        </w:tc>
        <w:tc>
          <w:tcPr>
            <w:tcBorders>
              <w:bottom w:val="single" w:sz="8" w:space="0" w:color="BEBEBE"/>
              <w:top w:val="single" w:sz="12" w:space="0" w:color="666666"/>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0.4%</w:t>
            </w:r>
          </w:p>
        </w:tc>
        <w:tc>
          <w:tcPr>
            <w:tcBorders>
              <w:bottom w:val="single" w:sz="8" w:space="0" w:color="BEBEBE"/>
              <w:top w:val="single" w:sz="12" w:space="0" w:color="666666"/>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w:t>
            </w:r>
          </w:p>
        </w:tc>
        <w:tc>
          <w:tcPr>
            <w:tcBorders>
              <w:bottom w:val="single" w:sz="8" w:space="0" w:color="BEBEBE"/>
              <w:top w:val="single" w:sz="12" w:space="0" w:color="666666"/>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2.5%</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single" w:sz="8" w:space="0" w:color="BEBEBE"/>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24.7</w:t>
            </w:r>
          </w:p>
        </w:tc>
        <w:tc>
          <w:tcPr>
            <w:tcBorders>
              <w:bottom w:val="none" w:sz="0" w:space="0" w:color="000000"/>
              <w:top w:val="single" w:sz="8" w:space="0" w:color="BEBEBE"/>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w:t>
            </w:r>
          </w:p>
        </w:tc>
        <w:tc>
          <w:tcPr>
            <w:tcBorders>
              <w:bottom w:val="none" w:sz="0" w:space="0" w:color="000000"/>
              <w:top w:val="single" w:sz="8" w:space="0" w:color="BEBEBE"/>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w:t>
            </w:r>
          </w:p>
        </w:tc>
        <w:tc>
          <w:tcPr>
            <w:tcBorders>
              <w:bottom w:val="none" w:sz="0" w:space="0" w:color="000000"/>
              <w:top w:val="single" w:sz="8" w:space="0" w:color="BEBEBE"/>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24.5</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33.1</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27.3</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37.1</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21.8</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41.5</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14.3</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39.2</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43.0</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27.3</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18.7</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205.7</w:t>
            </w:r>
          </w:p>
        </w:tc>
        <w:tc>
          <w:tcPr>
            <w:tcBorders>
              <w:bottom w:val="single" w:sz="12" w:space="0" w:color="666666"/>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42.5</w:t>
            </w:r>
          </w:p>
        </w:tc>
        <w:tc>
          <w:tcPr>
            <w:tcBorders>
              <w:bottom w:val="single" w:sz="12" w:space="0" w:color="666666"/>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26.8</w:t>
            </w:r>
          </w:p>
        </w:tc>
        <w:tc>
          <w:tcPr>
            <w:tcBorders>
              <w:bottom w:val="single" w:sz="12" w:space="0" w:color="666666"/>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17.7</w:t>
            </w:r>
          </w:p>
        </w:tc>
        <w:tc>
          <w:tcPr>
            <w:tcBorders>
              <w:bottom w:val="single" w:sz="12" w:space="0" w:color="666666"/>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10.2</w:t>
            </w:r>
          </w:p>
        </w:tc>
      </w:tr>
    </w:tbl>
    <w:bookmarkEnd w:id="86"/>
    <w:p/>
    <w:p>
      <w:pPr>
        <w:pStyle w:val="BodyText"/>
      </w:pPr>
      <w:r>
        <w:t xml:space="preserve"> </w:t>
      </w:r>
    </w:p>
    <w:p>
      <w:pPr>
        <w:pStyle w:val="BodyText"/>
      </w:pPr>
      <w:r>
        <w:t xml:space="preserve"> </w:t>
      </w:r>
    </w:p>
    <w:bookmarkStart w:id="88" w:name="tbl-memo-kh-s27-u4-kh"/>
    <w:p>
      <w:pPr>
        <w:pStyle w:val="ImageCaption"/>
        <w:spacing w:before="200"/>
        <w:jc w:val="left"/>
      </w:pPr>
      <w:r>
        <w:t xml:space="preserve">Table 11: Valores medios de</w:t>
      </w:r>
      <w:r>
        <w:t xml:space="preserve"> </w:t>
      </w:r>
      <m:oMath>
        <m:sSub>
          <m:e>
            <m:r>
              <m:t>k</m:t>
            </m:r>
          </m:e>
          <m:sub>
            <m:r>
              <m:t>h</m:t>
            </m:r>
          </m:sub>
        </m:sSub>
      </m:oMath>
      <w:r>
        <w:t xml:space="preserve"> </w:t>
      </w:r>
      <w:r>
        <w:t xml:space="preserve">[% de la PGA] para el sitio CFD, el escenario S27, bajo la demanda MCE y los períodos de retorno</w:t>
      </w:r>
      <w:r>
        <w:t xml:space="preserve"> </w:t>
      </w:r>
      <m:oMath>
        <m:sSub>
          <m:e>
            <m:r>
              <m:t>T</m:t>
            </m:r>
          </m:e>
          <m:sub>
            <m:r>
              <m:t>R</m:t>
            </m:r>
          </m:sub>
        </m:sSub>
        <m:r>
          <m:rPr>
            <m:sty m:val="p"/>
          </m:rPr>
          <m:t>=</m:t>
        </m:r>
        <m:r>
          <m:t>500</m:t>
        </m:r>
        <m:r>
          <m:rPr>
            <m:sty m:val="p"/>
          </m:rPr>
          <m:t>,</m:t>
        </m:r>
        <m:r>
          <m:t>2</m:t>
        </m:r>
        <m:r>
          <m:rPr>
            <m:sty m:val="p"/>
          </m:rPr>
          <m:t>,</m:t>
        </m:r>
        <m:r>
          <m:t>500</m:t>
        </m:r>
        <m:r>
          <m:rPr>
            <m:sty m:val="p"/>
          </m:rPr>
          <m:t>,</m:t>
        </m:r>
        <m:r>
          <m:t>10</m:t>
        </m:r>
        <m:r>
          <m:rPr>
            <m:sty m:val="p"/>
          </m:rPr>
          <m:t>,</m:t>
        </m:r>
        <m:r>
          <m:t>000</m:t>
        </m:r>
      </m:oMath>
      <w:r>
        <w:t xml:space="preserve"> </w:t>
      </w:r>
      <w:r>
        <w:t xml:space="preserve">años.</w:t>
      </w:r>
      <w:r>
        <w:rPr>
          <w:rStyle w:val="FootnoteReference"/>
        </w:rPr>
        <w:footnoteReference w:id="87"/>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s</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0.1%</w:t>
            </w:r>
          </w:p>
        </w:tc>
        <w:tc>
          <w:tcPr>
            <w:tcBorders>
              <w:bottom w:val="single" w:sz="8" w:space="0" w:color="BEBEBE"/>
              <w:top w:val="single" w:sz="12" w:space="0" w:color="666666"/>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0.4%</w:t>
            </w:r>
          </w:p>
        </w:tc>
        <w:tc>
          <w:tcPr>
            <w:tcBorders>
              <w:bottom w:val="single" w:sz="8" w:space="0" w:color="BEBEBE"/>
              <w:top w:val="single" w:sz="12" w:space="0" w:color="666666"/>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w:t>
            </w:r>
          </w:p>
        </w:tc>
        <w:tc>
          <w:tcPr>
            <w:tcBorders>
              <w:bottom w:val="single" w:sz="8" w:space="0" w:color="BEBEBE"/>
              <w:top w:val="single" w:sz="12" w:space="0" w:color="666666"/>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2.5%</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single" w:sz="8" w:space="0" w:color="BEBEBE"/>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25.7</w:t>
            </w:r>
          </w:p>
        </w:tc>
        <w:tc>
          <w:tcPr>
            <w:tcBorders>
              <w:bottom w:val="none" w:sz="0" w:space="0" w:color="000000"/>
              <w:top w:val="single" w:sz="8" w:space="0" w:color="BEBEBE"/>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8.6</w:t>
            </w:r>
          </w:p>
        </w:tc>
        <w:tc>
          <w:tcPr>
            <w:tcBorders>
              <w:bottom w:val="none" w:sz="0" w:space="0" w:color="000000"/>
              <w:top w:val="single" w:sz="8" w:space="0" w:color="BEBEBE"/>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w:t>
            </w:r>
          </w:p>
        </w:tc>
        <w:tc>
          <w:tcPr>
            <w:tcBorders>
              <w:bottom w:val="none" w:sz="0" w:space="0" w:color="000000"/>
              <w:top w:val="single" w:sz="8" w:space="0" w:color="BEBEBE"/>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27.2</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39.4</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38.7</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14.4</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39.9</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24.4</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27.9</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54.5</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45.8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29.7</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42.0</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23.8</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38.7</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2.7</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309.9</w:t>
            </w:r>
          </w:p>
        </w:tc>
        <w:tc>
          <w:tcPr>
            <w:tcBorders>
              <w:bottom w:val="single" w:sz="12" w:space="0" w:color="666666"/>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44.2</w:t>
            </w:r>
          </w:p>
        </w:tc>
        <w:tc>
          <w:tcPr>
            <w:tcBorders>
              <w:bottom w:val="single" w:sz="12" w:space="0" w:color="666666"/>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28.5</w:t>
            </w:r>
          </w:p>
        </w:tc>
        <w:tc>
          <w:tcPr>
            <w:tcBorders>
              <w:bottom w:val="single" w:sz="12" w:space="0" w:color="666666"/>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19.2</w:t>
            </w:r>
          </w:p>
        </w:tc>
        <w:tc>
          <w:tcPr>
            <w:tcBorders>
              <w:bottom w:val="single" w:sz="12" w:space="0" w:color="666666"/>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11.6</w:t>
            </w:r>
          </w:p>
        </w:tc>
      </w:tr>
    </w:tbl>
    <w:bookmarkEnd w:id="88"/>
    <w:p/>
    <w:p>
      <w:pPr>
        <w:pStyle w:val="BodyText"/>
      </w:pPr>
      <w:r>
        <w:t xml:space="preserve"> </w:t>
      </w:r>
    </w:p>
    <w:p>
      <w:pPr>
        <w:pStyle w:val="BodyText"/>
      </w:pPr>
      <w:r>
        <w:t xml:space="preserve"> </w:t>
      </w:r>
    </w:p>
    <w:bookmarkStart w:id="90" w:name="tbl-memo-kh-s35-u5-kh"/>
    <w:p>
      <w:pPr>
        <w:pStyle w:val="ImageCaption"/>
        <w:spacing w:before="200"/>
        <w:jc w:val="left"/>
      </w:pPr>
      <w:r>
        <w:t xml:space="preserve">Table 12: Valores medios de</w:t>
      </w:r>
      <w:r>
        <w:t xml:space="preserve"> </w:t>
      </w:r>
      <m:oMath>
        <m:sSub>
          <m:e>
            <m:r>
              <m:t>k</m:t>
            </m:r>
          </m:e>
          <m:sub>
            <m:r>
              <m:t>h</m:t>
            </m:r>
          </m:sub>
        </m:sSub>
      </m:oMath>
      <w:r>
        <w:t xml:space="preserve"> </w:t>
      </w:r>
      <w:r>
        <w:t xml:space="preserve">[% de la PGA] para el sitio CFD, el escenario S35, bajo la demanda MCE y los períodos de retorno</w:t>
      </w:r>
      <w:r>
        <w:t xml:space="preserve"> </w:t>
      </w:r>
      <m:oMath>
        <m:sSub>
          <m:e>
            <m:r>
              <m:t>T</m:t>
            </m:r>
          </m:e>
          <m:sub>
            <m:r>
              <m:t>R</m:t>
            </m:r>
          </m:sub>
        </m:sSub>
        <m:r>
          <m:rPr>
            <m:sty m:val="p"/>
          </m:rPr>
          <m:t>=</m:t>
        </m:r>
        <m:r>
          <m:t>500</m:t>
        </m:r>
        <m:r>
          <m:rPr>
            <m:sty m:val="p"/>
          </m:rPr>
          <m:t>,</m:t>
        </m:r>
        <m:r>
          <m:t>2</m:t>
        </m:r>
        <m:r>
          <m:rPr>
            <m:sty m:val="p"/>
          </m:rPr>
          <m:t>,</m:t>
        </m:r>
        <m:r>
          <m:t>500</m:t>
        </m:r>
        <m:r>
          <m:rPr>
            <m:sty m:val="p"/>
          </m:rPr>
          <m:t>,</m:t>
        </m:r>
        <m:r>
          <m:t>10</m:t>
        </m:r>
        <m:r>
          <m:rPr>
            <m:sty m:val="p"/>
          </m:rPr>
          <m:t>,</m:t>
        </m:r>
        <m:r>
          <m:t>000</m:t>
        </m:r>
      </m:oMath>
      <w:r>
        <w:t xml:space="preserve"> </w:t>
      </w:r>
      <w:r>
        <w:t xml:space="preserve">años.</w:t>
      </w:r>
      <w:r>
        <w:rPr>
          <w:rStyle w:val="FootnoteReference"/>
        </w:rPr>
        <w:footnoteReference w:id="89"/>
      </w:r>
    </w:p>
    <w:tbl xmlns:w14="http://schemas.microsoft.com/office/word/2010/wordml">
      <w:tblPr>
        <w:tblLayout w:type="autofit"/>
        <w:jc w:val="center"/>
        <w:tblW w:type="pct" w:w="0"/>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IDn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T</m:t>
                  </m:r>
                </m:e>
                <m:sub>
                  <m:r>
                    <m:t>s</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m:oMath xmlns:mml="http://www.w3.org/1998/Math/MathML">
              <m:sSub>
                <m:e>
                  <m:r>
                    <m:t>V</m:t>
                  </m:r>
                </m:e>
                <m:sub>
                  <m:r>
                    <m:t>S30</m:t>
                  </m:r>
                </m:sub>
              </m:sSub>
            </m:oMath>
          </w:p>
        </w:tc>
        <w:tc>
          <w:tcPr>
            <w:tcBorders>
              <w:bottom w:val="single" w:sz="8" w:space="0" w:color="BEBEBE"/>
              <w:top w:val="single" w:sz="12" w:space="0" w:color="666666"/>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0.1%</w:t>
            </w:r>
          </w:p>
        </w:tc>
        <w:tc>
          <w:tcPr>
            <w:tcBorders>
              <w:bottom w:val="single" w:sz="8" w:space="0" w:color="BEBEBE"/>
              <w:top w:val="single" w:sz="12" w:space="0" w:color="666666"/>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0.4%</w:t>
            </w:r>
          </w:p>
        </w:tc>
        <w:tc>
          <w:tcPr>
            <w:tcBorders>
              <w:bottom w:val="single" w:sz="8" w:space="0" w:color="BEBEBE"/>
              <w:top w:val="single" w:sz="12" w:space="0" w:color="666666"/>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w:t>
            </w:r>
          </w:p>
        </w:tc>
        <w:tc>
          <w:tcPr>
            <w:tcBorders>
              <w:bottom w:val="single" w:sz="8" w:space="0" w:color="BEBEBE"/>
              <w:top w:val="single" w:sz="12" w:space="0" w:color="666666"/>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2.5%</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single" w:sz="8" w:space="0" w:color="BEBEBE"/>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23.0</w:t>
            </w:r>
          </w:p>
        </w:tc>
        <w:tc>
          <w:tcPr>
            <w:tcBorders>
              <w:bottom w:val="none" w:sz="0" w:space="0" w:color="000000"/>
              <w:top w:val="single" w:sz="8" w:space="0" w:color="BEBEBE"/>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7.2</w:t>
            </w:r>
          </w:p>
        </w:tc>
        <w:tc>
          <w:tcPr>
            <w:tcBorders>
              <w:bottom w:val="none" w:sz="0" w:space="0" w:color="000000"/>
              <w:top w:val="single" w:sz="8" w:space="0" w:color="BEBEBE"/>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w:t>
            </w:r>
          </w:p>
        </w:tc>
        <w:tc>
          <w:tcPr>
            <w:tcBorders>
              <w:bottom w:val="none" w:sz="0" w:space="0" w:color="000000"/>
              <w:top w:val="single" w:sz="8" w:space="0" w:color="BEBEBE"/>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23.2</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16.2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29.3</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2,500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36.0</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42.6</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23.6</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43.7</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19.6</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 10,000 yr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41.8</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26.3</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35.6</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flexible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none" w:sz="0" w:space="0" w:color="000000"/>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25.6</w:t>
            </w:r>
          </w:p>
        </w:tc>
        <w:tc>
          <w:tcPr>
            <w:tcBorders>
              <w:bottom w:val="none" w:sz="0" w:space="0" w:color="000000"/>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rigid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0.305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251.6</w:t>
            </w:r>
          </w:p>
        </w:tc>
        <w:tc>
          <w:tcPr>
            <w:tcBorders>
              <w:bottom w:val="single" w:sz="12" w:space="0" w:color="666666"/>
              <w:top w:val="none" w:sz="0" w:space="0" w:color="000000"/>
              <w:left w:val="none" w:sz="0" w:space="0" w:color="000000"/>
              <w:right w:val="none" w:sz="0" w:space="0" w:color="000000"/>
            </w:tcBorders>
            <w:shd w:val="clear" w:color="auto" w:fill="FFFAF5"/>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42.3</w:t>
            </w:r>
          </w:p>
        </w:tc>
        <w:tc>
          <w:tcPr>
            <w:tcBorders>
              <w:bottom w:val="single" w:sz="12" w:space="0" w:color="666666"/>
              <w:top w:val="none" w:sz="0" w:space="0" w:color="000000"/>
              <w:left w:val="none" w:sz="0" w:space="0" w:color="000000"/>
              <w:right w:val="none" w:sz="0" w:space="0" w:color="000000"/>
            </w:tcBorders>
            <w:shd w:val="clear" w:color="auto" w:fill="FFF3EA"/>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26.5</w:t>
            </w:r>
          </w:p>
        </w:tc>
        <w:tc>
          <w:tcPr>
            <w:tcBorders>
              <w:bottom w:val="single" w:sz="12" w:space="0" w:color="666666"/>
              <w:top w:val="none" w:sz="0" w:space="0" w:color="000000"/>
              <w:left w:val="none" w:sz="0" w:space="0" w:color="000000"/>
              <w:right w:val="none" w:sz="0" w:space="0" w:color="000000"/>
            </w:tcBorders>
            <w:shd w:val="clear" w:color="auto" w:fill="FEE7D7"/>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17.5</w:t>
            </w:r>
          </w:p>
        </w:tc>
        <w:tc>
          <w:tcPr>
            <w:tcBorders>
              <w:bottom w:val="single" w:sz="12" w:space="0" w:color="666666"/>
              <w:top w:val="none" w:sz="0" w:space="0" w:color="000000"/>
              <w:left w:val="none" w:sz="0" w:space="0" w:color="000000"/>
              <w:right w:val="none" w:sz="0" w:space="0" w:color="000000"/>
            </w:tcBorders>
            <w:shd w:val="clear" w:color="auto" w:fill="FADEDE"/>
            <w:tcMar>
              <w:top w:w="0" w:type="dxa"/>
              <w:bottom w:w="0" w:type="dxa"/>
              <w:left w:w="0" w:type="dxa"/>
              <w:right w:w="0" w:type="dxa"/>
            </w:tcMar>
            <w:vAlign w:val="center"/>
          </w:tcPr>
          <w:p>
            <w:pPr>
              <w:pBdr>
                <w:bottom w:val="none" w:sz="0" w:space="0" w:color="000000"/>
                <w:top w:val="none" w:sz="0" w:space="0" w:color="000000"/>
                <w:left w:val="none" w:sz="0" w:space="0" w:color="000000"/>
                <w:right w:val="none" w:sz="0" w:space="0" w:color="000000"/>
              </w:pBdr>
              <w:spacing w:after="100" w:before="100" w:line="240"/>
              <w:ind w:left="100" w:right="100" w:firstLine="0" w:firstLineChars="0"/>
              <w:jc w:val="center"/>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10.2</w:t>
            </w:r>
          </w:p>
        </w:tc>
      </w:tr>
    </w:tbl>
    <w:bookmarkEnd w:id="90"/>
    <w:p/>
    <w:p>
      <w:pPr>
        <w:pStyle w:val="BodyText"/>
      </w:pPr>
      <w:r>
        <w:t xml:space="preserve"> </w:t>
      </w:r>
    </w:p>
    <w:bookmarkEnd w:id="91"/>
    <w:bookmarkStart w:id="92" w:name="sec-newmark-appendix"/>
    <w:p>
      <w:pPr>
        <w:pStyle w:val="Heading2"/>
      </w:pPr>
      <w:r>
        <w:t xml:space="preserve">Formulaciones de desplazamientos permanentes de Newmark</w:t>
      </w:r>
    </w:p>
    <w:p>
      <w:pPr>
        <w:pStyle w:val="FirstParagraph"/>
      </w:pPr>
      <w:r>
        <w:t xml:space="preserve">La sección de coeficientes sísmicos aplica cinco formulaciones de desplazamientos permanentes de Newmark: tres modelos de bloque rígido, dos modelos de bloque flexible y, entre estos últimos, la rama BM seleccionada por el control tectónico del proyecto. Esta sección reproduce la forma publicada de cada formulación, incluidas ambas ramas BM, y enuncia la regla que define la configuración activa. Las formulaciones de bloque rígido relacionan el desplazamiento con medidas de la excitación basal, mientras que las formulaciones de bloque flexible incorporan además la respuesta dinámica de la masa deslizante mediante su período fundamental</w:t>
      </w:r>
      <w:r>
        <w:t xml:space="preserve"> </w:t>
      </w:r>
      <m:oMath>
        <m:sSub>
          <m:e>
            <m:r>
              <m:t>T</m:t>
            </m:r>
          </m:e>
          <m:sub>
            <m:r>
              <m:t>s</m:t>
            </m:r>
          </m:sub>
        </m:sSub>
      </m:oMath>
      <w:r>
        <w:t xml:space="preserve"> </w:t>
      </w:r>
      <w:r>
        <w:t xml:space="preserve">y la aceleración espectral evaluada en un período proporcional a</w:t>
      </w:r>
      <w:r>
        <w:t xml:space="preserve"> </w:t>
      </w:r>
      <m:oMath>
        <m:sSub>
          <m:e>
            <m:r>
              <m:t>T</m:t>
            </m:r>
          </m:e>
          <m:sub>
            <m:r>
              <m:t>s</m:t>
            </m:r>
          </m:sub>
        </m:sSub>
      </m:oMath>
      <w:r>
        <w:t xml:space="preserve">.</w:t>
      </w:r>
    </w:p>
    <w:bookmarkEnd w:id="92"/>
    <w:bookmarkStart w:id="98" w:name="sec-newmark-rigid"/>
    <w:p>
      <w:pPr>
        <w:pStyle w:val="Heading2"/>
      </w:pPr>
      <w:r>
        <w:t xml:space="preserve">Modelos de bloque rígido</w:t>
      </w:r>
    </w:p>
    <w:p>
      <w:pPr>
        <w:pStyle w:val="FirstParagraph"/>
      </w:pPr>
      <w:r>
        <w:t xml:space="preserve">La formulación</w:t>
      </w:r>
      <w:r>
        <w:t xml:space="preserve"> </w:t>
      </w:r>
      <w:r>
        <w:rPr>
          <w:rStyle w:val="VerbatimChar"/>
        </w:rPr>
        <w:t xml:space="preserve">AM88</w:t>
      </w:r>
      <w:r>
        <w:t xml:space="preserve"> </w:t>
      </w:r>
      <w:r>
        <w:t xml:space="preserve">(</w:t>
      </w:r>
      <w:hyperlink w:anchor="ref-AmbraseysMenu1988">
        <w:r>
          <w:rPr>
            <w:rStyle w:val="Hyperlink"/>
          </w:rPr>
          <w:t xml:space="preserve">Ambraseys y Menu 1988</w:t>
        </w:r>
      </w:hyperlink>
      <w:r>
        <w:t xml:space="preserve">)</w:t>
      </w:r>
      <w:r>
        <w:t xml:space="preserve"> </w:t>
      </w:r>
      <w:r>
        <w:t xml:space="preserve">utiliza la razón entre aceleración de fluencia y PGA, limitada para mantener el dominio logarítmico,</w:t>
      </w:r>
      <w:r>
        <w:t xml:space="preserve"> </w:t>
      </w:r>
      <m:oMath>
        <m:sSup>
          <m:e>
            <m:r>
              <m:t>r</m:t>
            </m:r>
          </m:e>
          <m:sup>
            <m:r>
              <m:rPr>
                <m:sty m:val="p"/>
              </m:rPr>
              <m:t>⋆</m:t>
            </m:r>
          </m:sup>
        </m:sSup>
        <m:r>
          <m:rPr>
            <m:sty m:val="p"/>
          </m:rPr>
          <m:t>=</m:t>
        </m:r>
        <m:r>
          <m:rPr>
            <m:sty m:val="p"/>
          </m:rPr>
          <m:t>min</m:t>
        </m:r>
        <m:r>
          <m:rPr>
            <m:sty m:val="p"/>
          </m:rPr>
          <m:t>(</m:t>
        </m:r>
        <m:sSub>
          <m:e>
            <m:r>
              <m:t>k</m:t>
            </m:r>
          </m:e>
          <m:sub>
            <m:r>
              <m:t>y</m:t>
            </m:r>
          </m:sub>
        </m:sSub>
        <m:r>
          <m:rPr>
            <m:sty m:val="p"/>
          </m:rPr>
          <m:t>/</m:t>
        </m:r>
        <m:r>
          <m:rPr>
            <m:sty m:val="p"/>
          </m:rPr>
          <m:t>P</m:t>
        </m:r>
        <m:r>
          <m:rPr>
            <m:sty m:val="p"/>
          </m:rPr>
          <m:t>G</m:t>
        </m:r>
        <m:r>
          <m:rPr>
            <m:sty m:val="p"/>
          </m:rPr>
          <m:t>A</m:t>
        </m:r>
        <m:r>
          <m:rPr>
            <m:sty m:val="p"/>
          </m:rPr>
          <m:t>,</m:t>
        </m:r>
        <m:r>
          <m:t>0.9999</m:t>
        </m:r>
        <m:r>
          <m:rPr>
            <m:sty m:val="p"/>
          </m:rPr>
          <m:t>)</m:t>
        </m:r>
      </m:oMath>
      <w:r>
        <w:rPr>
          <w:rStyle w:val="FootnoteReference"/>
        </w:rPr>
        <w:footnoteReference w:id="93"/>
      </w:r>
      <w:r>
        <w:t xml:space="preserve">:</w:t>
      </w:r>
    </w:p>
    <w:p>
      <w:pPr>
        <w:pStyle w:val="Equation"/>
      </w:pPr>
      <w:bookmarkStart w:id="94" w:name="eq-newmark-am88"/>
      <w:r>
        <w:tab/>
      </w:r>
      <m:oMath>
        <m:eqArr>
          <m:e>
            <m:sSub>
              <m:e>
                <m:r>
                  <m:t>μ</m:t>
                </m:r>
              </m:e>
              <m:sub>
                <m:r>
                  <m:rPr>
                    <m:sty m:val="p"/>
                  </m:rPr>
                  <m:t>ln</m:t>
                </m:r>
                <m:r>
                  <m:t>D</m:t>
                </m:r>
              </m:sub>
            </m:sSub>
            <m:r>
              <m:t>&amp;</m:t>
            </m:r>
            <m:r>
              <m:rPr>
                <m:sty m:val="p"/>
              </m:rPr>
              <m:t>=</m:t>
            </m:r>
            <m:r>
              <m:rPr>
                <m:sty m:val="p"/>
              </m:rPr>
              <m:t>ln</m:t>
            </m:r>
            <m:r>
              <m:rPr>
                <m:sty m:val="p"/>
              </m:rPr>
              <m:t>(</m:t>
            </m:r>
            <m:r>
              <m:t>10</m:t>
            </m:r>
            <m:r>
              <m:rPr>
                <m:sty m:val="p"/>
              </m:rPr>
              <m:t>)</m:t>
            </m:r>
            <m:d>
              <m:dPr>
                <m:begChr m:val="["/>
                <m:sepChr m:val=""/>
                <m:endChr m:val="]"/>
                <m:grow/>
              </m:dPr>
              <m:e>
                <m:r>
                  <m:t>0.90</m:t>
                </m:r>
                <m:r>
                  <m:rPr>
                    <m:sty m:val="p"/>
                  </m:rPr>
                  <m:t>+</m:t>
                </m:r>
                <m:sSub>
                  <m:e>
                    <m:r>
                      <m:rPr>
                        <m:sty m:val="p"/>
                      </m:rPr>
                      <m:t>log</m:t>
                    </m:r>
                  </m:e>
                  <m:sub>
                    <m:r>
                      <m:t>10</m:t>
                    </m:r>
                  </m:sub>
                </m:sSub>
                <m:r>
                  <m:t>​</m:t>
                </m:r>
                <m:d>
                  <m:dPr>
                    <m:begChr m:val="("/>
                    <m:sepChr m:val=""/>
                    <m:endChr m:val=")"/>
                    <m:grow/>
                  </m:dPr>
                  <m:e>
                    <m:r>
                      <m:rPr>
                        <m:sty m:val="p"/>
                      </m:rPr>
                      <m:t>(</m:t>
                    </m:r>
                    <m:r>
                      <m:t>1</m:t>
                    </m:r>
                    <m:r>
                      <m:rPr>
                        <m:sty m:val="p"/>
                      </m:rPr>
                      <m:t>−</m:t>
                    </m:r>
                    <m:sSup>
                      <m:e>
                        <m:r>
                          <m:t>r</m:t>
                        </m:r>
                      </m:e>
                      <m:sup>
                        <m:r>
                          <m:rPr>
                            <m:sty m:val="p"/>
                          </m:rPr>
                          <m:t>⋆</m:t>
                        </m:r>
                      </m:sup>
                    </m:sSup>
                    <m:sSup>
                      <m:e>
                        <m:r>
                          <m:rPr>
                            <m:sty m:val="p"/>
                          </m:rPr>
                          <m:t>)</m:t>
                        </m:r>
                      </m:e>
                      <m:sup>
                        <m:r>
                          <m:t>2.53</m:t>
                        </m:r>
                      </m:sup>
                    </m:sSup>
                    <m:r>
                      <m:rPr>
                        <m:sty m:val="p"/>
                      </m:rPr>
                      <m:t>(</m:t>
                    </m:r>
                    <m:sSup>
                      <m:e>
                        <m:r>
                          <m:t>r</m:t>
                        </m:r>
                      </m:e>
                      <m:sup>
                        <m:r>
                          <m:rPr>
                            <m:sty m:val="p"/>
                          </m:rPr>
                          <m:t>⋆</m:t>
                        </m:r>
                      </m:sup>
                    </m:sSup>
                    <m:sSup>
                      <m:e>
                        <m:r>
                          <m:rPr>
                            <m:sty m:val="p"/>
                          </m:rPr>
                          <m:t>)</m:t>
                        </m:r>
                      </m:e>
                      <m:sup>
                        <m:r>
                          <m:rPr>
                            <m:sty m:val="p"/>
                          </m:rPr>
                          <m:t>−</m:t>
                        </m:r>
                        <m:r>
                          <m:t>1.09</m:t>
                        </m:r>
                      </m:sup>
                    </m:sSup>
                  </m:e>
                </m:d>
              </m:e>
            </m:d>
            <m:r>
              <m:rPr>
                <m:sty m:val="p"/>
              </m:rPr>
              <m:t>,</m:t>
            </m:r>
          </m:e>
          <m:e>
            <m:sSub>
              <m:e>
                <m:r>
                  <m:t>σ</m:t>
                </m:r>
              </m:e>
              <m:sub>
                <m:r>
                  <m:rPr>
                    <m:sty m:val="p"/>
                  </m:rPr>
                  <m:t>ln</m:t>
                </m:r>
                <m:r>
                  <m:t>D</m:t>
                </m:r>
              </m:sub>
            </m:sSub>
            <m:r>
              <m:t>&amp;</m:t>
            </m:r>
            <m:r>
              <m:rPr>
                <m:sty m:val="p"/>
              </m:rPr>
              <m:t>=</m:t>
            </m:r>
            <m:r>
              <m:t>0.30</m:t>
            </m:r>
            <m:r>
              <m:rPr>
                <m:sty m:val="p"/>
              </m:rPr>
              <m:t>ln</m:t>
            </m:r>
            <m:r>
              <m:rPr>
                <m:sty m:val="p"/>
              </m:rPr>
              <m:t>(</m:t>
            </m:r>
            <m:r>
              <m:t>10</m:t>
            </m:r>
            <m:r>
              <m:rPr>
                <m:sty m:val="p"/>
              </m:rPr>
              <m:t>)</m:t>
            </m:r>
            <m:r>
              <m:rPr>
                <m:sty m:val="p"/>
              </m:rPr>
              <m:t>.</m:t>
            </m:r>
          </m:e>
        </m:eqArr>
      </m:oMath>
      <w:r>
        <w:tab/>
      </w:r>
      <w:r>
        <w:t xml:space="preserve">(16)</w:t>
      </w:r>
      <w:bookmarkEnd w:id="94"/>
    </w:p>
    <w:p>
      <w:pPr>
        <w:pStyle w:val="BodyText"/>
      </w:pPr>
      <w:r>
        <w:t xml:space="preserve">Las dos formulaciones de bloque rígido restantes, JB07 y SR08, utilizan la intensidad de Arias, que se estima para cada realización a partir de la PGA;</w:t>
      </w:r>
      <w:r>
        <w:t xml:space="preserve"> </w:t>
      </w:r>
      <m:oMath>
        <m:sSub>
          <m:e>
            <m:r>
              <m:t>I</m:t>
            </m:r>
          </m:e>
          <m:sub>
            <m:r>
              <m:t>A</m:t>
            </m:r>
          </m:sub>
        </m:sSub>
      </m:oMath>
      <w:r>
        <w:t xml:space="preserve"> </w:t>
      </w:r>
      <w:r>
        <w:t xml:space="preserve">se expresa en m/s y PGA en unidades de</w:t>
      </w:r>
      <w:r>
        <w:t xml:space="preserve"> </w:t>
      </w:r>
      <m:oMath>
        <m:r>
          <m:t>g</m:t>
        </m:r>
      </m:oMath>
      <w:r>
        <w:t xml:space="preserve">, y la estimación se aplica de forma determinística, de modo que cada realización de PGA determina un único valor de</w:t>
      </w:r>
      <w:r>
        <w:t xml:space="preserve"> </w:t>
      </w:r>
      <m:oMath>
        <m:sSub>
          <m:e>
            <m:r>
              <m:t>I</m:t>
            </m:r>
          </m:e>
          <m:sub>
            <m:r>
              <m:t>A</m:t>
            </m:r>
          </m:sub>
        </m:sSub>
      </m:oMath>
      <w:r>
        <w:t xml:space="preserve"> </w:t>
      </w:r>
      <w:r>
        <w:t xml:space="preserve">y la muestra de desplazamientos propaga la variabilidad de PGA. La formulación</w:t>
      </w:r>
      <w:r>
        <w:t xml:space="preserve"> </w:t>
      </w:r>
      <w:r>
        <w:rPr>
          <w:rStyle w:val="VerbatimChar"/>
        </w:rPr>
        <w:t xml:space="preserve">JB07</w:t>
      </w:r>
      <w:r>
        <w:t xml:space="preserve"> </w:t>
      </w:r>
      <w:r>
        <w:t xml:space="preserve">(</w:t>
      </w:r>
      <w:hyperlink w:anchor="ref-Jibson2007">
        <w:r>
          <w:rPr>
            <w:rStyle w:val="Hyperlink"/>
          </w:rPr>
          <w:t xml:space="preserve">Jibson 2007</w:t>
        </w:r>
      </w:hyperlink>
      <w:r>
        <w:t xml:space="preserve">)</w:t>
      </w:r>
      <w:r>
        <w:t xml:space="preserve"> </w:t>
      </w:r>
      <w:r>
        <w:t xml:space="preserve">incorpora la intensidad de Arias y la razón</w:t>
      </w:r>
      <w:r>
        <w:t xml:space="preserve"> </w:t>
      </w:r>
      <m:oMath>
        <m:sSub>
          <m:e>
            <m:r>
              <m:t>k</m:t>
            </m:r>
          </m:e>
          <m:sub>
            <m:r>
              <m:t>y</m:t>
            </m:r>
          </m:sub>
        </m:sSub>
        <m:r>
          <m:rPr>
            <m:sty m:val="p"/>
          </m:rPr>
          <m:t>/</m:t>
        </m:r>
        <m:r>
          <m:rPr>
            <m:sty m:val="p"/>
          </m:rPr>
          <m:t>P</m:t>
        </m:r>
        <m:r>
          <m:rPr>
            <m:sty m:val="p"/>
          </m:rPr>
          <m:t>G</m:t>
        </m:r>
        <m:r>
          <m:rPr>
            <m:sty m:val="p"/>
          </m:rPr>
          <m:t>A</m:t>
        </m:r>
      </m:oMath>
      <w:r>
        <w:t xml:space="preserve">:</w:t>
      </w:r>
    </w:p>
    <w:p>
      <w:pPr>
        <w:pStyle w:val="Equation"/>
      </w:pPr>
      <w:bookmarkStart w:id="95" w:name="eq-newmark-jb07"/>
      <w:r>
        <w:tab/>
      </w:r>
      <m:oMath>
        <m:eqArr>
          <m:e>
            <m:sSub>
              <m:e>
                <m:r>
                  <m:t>μ</m:t>
                </m:r>
              </m:e>
              <m:sub>
                <m:r>
                  <m:rPr>
                    <m:sty m:val="p"/>
                  </m:rPr>
                  <m:t>ln</m:t>
                </m:r>
                <m:r>
                  <m:t>D</m:t>
                </m:r>
              </m:sub>
            </m:sSub>
            <m:r>
              <m:t>&amp;</m:t>
            </m:r>
            <m:r>
              <m:rPr>
                <m:sty m:val="p"/>
              </m:rPr>
              <m:t>=</m:t>
            </m:r>
            <m:r>
              <m:rPr>
                <m:sty m:val="p"/>
              </m:rPr>
              <m:t>ln</m:t>
            </m:r>
            <m:r>
              <m:rPr>
                <m:sty m:val="p"/>
              </m:rPr>
              <m:t>(</m:t>
            </m:r>
            <m:r>
              <m:t>10</m:t>
            </m:r>
            <m:r>
              <m:rPr>
                <m:sty m:val="p"/>
              </m:rPr>
              <m:t>)</m:t>
            </m:r>
            <m:d>
              <m:dPr>
                <m:begChr m:val="["/>
                <m:sepChr m:val=""/>
                <m:endChr m:val="]"/>
                <m:grow/>
              </m:dPr>
              <m:e>
                <m:r>
                  <m:t>0.561</m:t>
                </m:r>
                <m:sSub>
                  <m:e>
                    <m:r>
                      <m:rPr>
                        <m:sty m:val="p"/>
                      </m:rPr>
                      <m:t>log</m:t>
                    </m:r>
                  </m:e>
                  <m:sub>
                    <m:r>
                      <m:t>10</m:t>
                    </m:r>
                  </m:sub>
                </m:sSub>
                <m:sSub>
                  <m:e>
                    <m:r>
                      <m:t>I</m:t>
                    </m:r>
                  </m:e>
                  <m:sub>
                    <m:r>
                      <m:t>A</m:t>
                    </m:r>
                  </m:sub>
                </m:sSub>
                <m:r>
                  <m:rPr>
                    <m:sty m:val="p"/>
                  </m:rPr>
                  <m:t>−</m:t>
                </m:r>
                <m:r>
                  <m:t>3.833</m:t>
                </m:r>
                <m:sSub>
                  <m:e>
                    <m:r>
                      <m:rPr>
                        <m:sty m:val="p"/>
                      </m:rPr>
                      <m:t>log</m:t>
                    </m:r>
                  </m:e>
                  <m:sub>
                    <m:r>
                      <m:t>10</m:t>
                    </m:r>
                  </m:sub>
                </m:sSub>
                <m:r>
                  <m:t>​</m:t>
                </m:r>
                <m:d>
                  <m:dPr>
                    <m:begChr m:val="("/>
                    <m:sepChr m:val=""/>
                    <m:endChr m:val=")"/>
                    <m:grow/>
                  </m:dPr>
                  <m:e>
                    <m:f>
                      <m:fPr>
                        <m:type m:val="bar"/>
                      </m:fPr>
                      <m:num>
                        <m:sSub>
                          <m:e>
                            <m:r>
                              <m:t>k</m:t>
                            </m:r>
                          </m:e>
                          <m:sub>
                            <m:r>
                              <m:t>y</m:t>
                            </m:r>
                          </m:sub>
                        </m:sSub>
                      </m:num>
                      <m:den>
                        <m:r>
                          <m:rPr>
                            <m:sty m:val="p"/>
                          </m:rPr>
                          <m:t>P</m:t>
                        </m:r>
                        <m:r>
                          <m:rPr>
                            <m:sty m:val="p"/>
                          </m:rPr>
                          <m:t>G</m:t>
                        </m:r>
                        <m:r>
                          <m:rPr>
                            <m:sty m:val="p"/>
                          </m:rPr>
                          <m:t>A</m:t>
                        </m:r>
                      </m:den>
                    </m:f>
                  </m:e>
                </m:d>
                <m:r>
                  <m:rPr>
                    <m:sty m:val="p"/>
                  </m:rPr>
                  <m:t>−</m:t>
                </m:r>
                <m:r>
                  <m:t>1.474</m:t>
                </m:r>
              </m:e>
            </m:d>
            <m:r>
              <m:rPr>
                <m:sty m:val="p"/>
              </m:rPr>
              <m:t>,</m:t>
            </m:r>
          </m:e>
          <m:e>
            <m:sSub>
              <m:e>
                <m:r>
                  <m:t>σ</m:t>
                </m:r>
              </m:e>
              <m:sub>
                <m:r>
                  <m:rPr>
                    <m:sty m:val="p"/>
                  </m:rPr>
                  <m:t>ln</m:t>
                </m:r>
                <m:r>
                  <m:t>D</m:t>
                </m:r>
              </m:sub>
            </m:sSub>
            <m:r>
              <m:t>&amp;</m:t>
            </m:r>
            <m:r>
              <m:rPr>
                <m:sty m:val="p"/>
              </m:rPr>
              <m:t>=</m:t>
            </m:r>
            <m:r>
              <m:t>0.616</m:t>
            </m:r>
            <m:r>
              <m:rPr>
                <m:sty m:val="p"/>
              </m:rPr>
              <m:t>ln</m:t>
            </m:r>
            <m:r>
              <m:rPr>
                <m:sty m:val="p"/>
              </m:rPr>
              <m:t>(</m:t>
            </m:r>
            <m:r>
              <m:t>10</m:t>
            </m:r>
            <m:r>
              <m:rPr>
                <m:sty m:val="p"/>
              </m:rPr>
              <m:t>)</m:t>
            </m:r>
            <m:r>
              <m:rPr>
                <m:sty m:val="p"/>
              </m:rPr>
              <m:t>.</m:t>
            </m:r>
          </m:e>
        </m:eqArr>
      </m:oMath>
      <w:r>
        <w:tab/>
      </w:r>
      <w:r>
        <w:t xml:space="preserve">(17)</w:t>
      </w:r>
      <w:bookmarkEnd w:id="95"/>
    </w:p>
    <w:p>
      <w:pPr>
        <w:pStyle w:val="BodyText"/>
      </w:pPr>
      <w:r>
        <w:t xml:space="preserve">La formulación</w:t>
      </w:r>
      <w:r>
        <w:t xml:space="preserve"> </w:t>
      </w:r>
      <w:r>
        <w:rPr>
          <w:rStyle w:val="VerbatimChar"/>
        </w:rPr>
        <w:t xml:space="preserve">SR08</w:t>
      </w:r>
      <w:r>
        <w:t xml:space="preserve"> </w:t>
      </w:r>
      <w:r>
        <w:t xml:space="preserve">(</w:t>
      </w:r>
      <w:hyperlink w:anchor="ref-SaygiliRathje2008">
        <w:r>
          <w:rPr>
            <w:rStyle w:val="Hyperlink"/>
          </w:rPr>
          <w:t xml:space="preserve">Saygili y Rathje 2008</w:t>
        </w:r>
      </w:hyperlink>
      <w:r>
        <w:t xml:space="preserve">)</w:t>
      </w:r>
      <w:r>
        <w:t xml:space="preserve"> </w:t>
      </w:r>
      <w:r>
        <w:t xml:space="preserve">define</w:t>
      </w:r>
      <w:r>
        <w:t xml:space="preserve"> </w:t>
      </w:r>
      <m:oMath>
        <m:r>
          <m:t>r</m:t>
        </m:r>
        <m:r>
          <m:rPr>
            <m:sty m:val="p"/>
          </m:rPr>
          <m:t>=</m:t>
        </m:r>
        <m:sSub>
          <m:e>
            <m:r>
              <m:t>k</m:t>
            </m:r>
          </m:e>
          <m:sub>
            <m:r>
              <m:t>y</m:t>
            </m:r>
          </m:sub>
        </m:sSub>
        <m:r>
          <m:rPr>
            <m:sty m:val="p"/>
          </m:rPr>
          <m:t>/</m:t>
        </m:r>
        <m:r>
          <m:rPr>
            <m:sty m:val="p"/>
          </m:rPr>
          <m:t>P</m:t>
        </m:r>
        <m:r>
          <m:rPr>
            <m:sty m:val="p"/>
          </m:rPr>
          <m:t>G</m:t>
        </m:r>
        <m:r>
          <m:rPr>
            <m:sty m:val="p"/>
          </m:rPr>
          <m:t>A</m:t>
        </m:r>
      </m:oMath>
      <w:r>
        <w:t xml:space="preserve"> </w:t>
      </w:r>
      <w:r>
        <w:t xml:space="preserve">y combina PGA e intensidad de Arias:</w:t>
      </w:r>
    </w:p>
    <w:p>
      <w:pPr>
        <w:pStyle w:val="Equation"/>
      </w:pPr>
      <w:bookmarkStart w:id="96" w:name="eq-newmark-sr08"/>
      <w:r>
        <w:tab/>
      </w:r>
      <m:oMath>
        <m:eqArr>
          <m:e>
            <m:sSub>
              <m:e>
                <m:r>
                  <m:t>μ</m:t>
                </m:r>
              </m:e>
              <m:sub>
                <m:r>
                  <m:rPr>
                    <m:sty m:val="p"/>
                  </m:rPr>
                  <m:t>ln</m:t>
                </m:r>
                <m:r>
                  <m:t>D</m:t>
                </m:r>
              </m:sub>
            </m:sSub>
            <m:r>
              <m:rPr>
                <m:sty m:val="p"/>
              </m:rPr>
              <m:t>=</m:t>
            </m:r>
            <m:r>
              <m:t>​</m:t>
            </m:r>
            <m:r>
              <m:t>&amp;</m:t>
            </m:r>
            <m:r>
              <m:t>2.39</m:t>
            </m:r>
            <m:r>
              <m:rPr>
                <m:sty m:val="p"/>
              </m:rPr>
              <m:t>−</m:t>
            </m:r>
            <m:r>
              <m:t>5.24</m:t>
            </m:r>
            <m:r>
              <m:t>r</m:t>
            </m:r>
            <m:r>
              <m:rPr>
                <m:sty m:val="p"/>
              </m:rPr>
              <m:t>−</m:t>
            </m:r>
            <m:r>
              <m:t>18.78</m:t>
            </m:r>
            <m:sSup>
              <m:e>
                <m:r>
                  <m:t>r</m:t>
                </m:r>
              </m:e>
              <m:sup>
                <m:r>
                  <m:t>2</m:t>
                </m:r>
              </m:sup>
            </m:sSup>
            <m:r>
              <m:rPr>
                <m:sty m:val="p"/>
              </m:rPr>
              <m:t>+</m:t>
            </m:r>
            <m:r>
              <m:t>42.01</m:t>
            </m:r>
            <m:sSup>
              <m:e>
                <m:r>
                  <m:t>r</m:t>
                </m:r>
              </m:e>
              <m:sup>
                <m:r>
                  <m:t>3</m:t>
                </m:r>
              </m:sup>
            </m:sSup>
            <m:r>
              <m:rPr>
                <m:sty m:val="p"/>
              </m:rPr>
              <m:t>−</m:t>
            </m:r>
            <m:r>
              <m:t>29.15</m:t>
            </m:r>
            <m:sSup>
              <m:e>
                <m:r>
                  <m:t>r</m:t>
                </m:r>
              </m:e>
              <m:sup>
                <m:r>
                  <m:t>4</m:t>
                </m:r>
              </m:sup>
            </m:sSup>
          </m:e>
          <m:e>
            <m:r>
              <m:t>&amp;</m:t>
            </m:r>
            <m:r>
              <m:rPr>
                <m:sty m:val="p"/>
              </m:rPr>
              <m:t>−</m:t>
            </m:r>
            <m:r>
              <m:t>1.56</m:t>
            </m:r>
            <m:r>
              <m:rPr>
                <m:sty m:val="p"/>
              </m:rPr>
              <m:t>ln</m:t>
            </m:r>
            <m:r>
              <m:rPr>
                <m:sty m:val="p"/>
              </m:rPr>
              <m:t>P</m:t>
            </m:r>
            <m:r>
              <m:rPr>
                <m:sty m:val="p"/>
              </m:rPr>
              <m:t>G</m:t>
            </m:r>
            <m:r>
              <m:rPr>
                <m:sty m:val="p"/>
              </m:rPr>
              <m:t>A</m:t>
            </m:r>
            <m:r>
              <m:rPr>
                <m:sty m:val="p"/>
              </m:rPr>
              <m:t>+</m:t>
            </m:r>
            <m:r>
              <m:t>1.38</m:t>
            </m:r>
            <m:r>
              <m:rPr>
                <m:sty m:val="p"/>
              </m:rPr>
              <m:t>ln</m:t>
            </m:r>
            <m:sSub>
              <m:e>
                <m:r>
                  <m:t>I</m:t>
                </m:r>
              </m:e>
              <m:sub>
                <m:r>
                  <m:t>A</m:t>
                </m:r>
              </m:sub>
            </m:sSub>
            <m:r>
              <m:rPr>
                <m:sty m:val="p"/>
              </m:rPr>
              <m:t>,</m:t>
            </m:r>
          </m:e>
          <m:e>
            <m:sSub>
              <m:e>
                <m:r>
                  <m:t>σ</m:t>
                </m:r>
              </m:e>
              <m:sub>
                <m:r>
                  <m:rPr>
                    <m:sty m:val="p"/>
                  </m:rPr>
                  <m:t>ln</m:t>
                </m:r>
                <m:r>
                  <m:t>D</m:t>
                </m:r>
              </m:sub>
            </m:sSub>
            <m:r>
              <m:rPr>
                <m:sty m:val="p"/>
              </m:rPr>
              <m:t>=</m:t>
            </m:r>
            <m:r>
              <m:t>​</m:t>
            </m:r>
            <m:r>
              <m:t>&amp;</m:t>
            </m:r>
            <m:r>
              <m:t>0.46</m:t>
            </m:r>
            <m:r>
              <m:rPr>
                <m:sty m:val="p"/>
              </m:rPr>
              <m:t>+</m:t>
            </m:r>
            <m:r>
              <m:t>0.56</m:t>
            </m:r>
            <m:r>
              <m:t>r</m:t>
            </m:r>
            <m:r>
              <m:rPr>
                <m:sty m:val="p"/>
              </m:rPr>
              <m:t>.</m:t>
            </m:r>
          </m:e>
        </m:eqArr>
      </m:oMath>
      <w:r>
        <w:tab/>
      </w:r>
      <w:r>
        <w:t xml:space="preserve">(18)</w:t>
      </w:r>
      <w:bookmarkEnd w:id="96"/>
    </w:p>
    <w:p>
      <w:pPr>
        <w:pStyle w:val="BodyText"/>
      </w:pPr>
      <w:r>
        <w:t xml:space="preserve">La prolongación logarítmica de las relaciones</w:t>
      </w:r>
      <w:r>
        <w:t xml:space="preserve"> </w:t>
      </w:r>
      <m:oMath>
        <m:sSub>
          <m:e>
            <m:r>
              <m:t>D</m:t>
            </m:r>
          </m:e>
          <m:sub>
            <m:r>
              <m:t>n</m:t>
            </m:r>
          </m:sub>
        </m:sSub>
        <m:r>
          <m:rPr>
            <m:sty m:val="p"/>
          </m:rPr>
          <m:t>(</m:t>
        </m:r>
        <m:sSub>
          <m:e>
            <m:r>
              <m:t>k</m:t>
            </m:r>
          </m:e>
          <m:sub>
            <m:r>
              <m:t>y</m:t>
            </m:r>
          </m:sub>
        </m:sSub>
        <m:r>
          <m:rPr>
            <m:sty m:val="p"/>
          </m:rPr>
          <m:t>)</m:t>
        </m:r>
      </m:oMath>
      <w:r>
        <w:t xml:space="preserve"> </w:t>
      </w:r>
      <w:r>
        <w:t xml:space="preserve">más allá de su soporte calculado tiene una única excepción, el límite de AM88. Si la PGA muestreada de una realización,</w:t>
      </w:r>
      <w:r>
        <w:t xml:space="preserve"> </w:t>
      </w:r>
      <m:oMath>
        <m:sSub>
          <m:e>
            <m:r>
              <m:rPr>
                <m:sty m:val="p"/>
              </m:rPr>
              <m:t>P</m:t>
            </m:r>
            <m:r>
              <m:rPr>
                <m:sty m:val="p"/>
              </m:rPr>
              <m:t>G</m:t>
            </m:r>
            <m:r>
              <m:rPr>
                <m:sty m:val="p"/>
              </m:rPr>
              <m:t>A</m:t>
            </m:r>
          </m:e>
          <m:sub>
            <m:r>
              <m:t>s</m:t>
            </m:r>
          </m:sub>
        </m:sSub>
      </m:oMath>
      <w:r>
        <w:t xml:space="preserve">, es menor que el extremo inferior de la grilla, todos los puntos almacenados pueden satisfacer</w:t>
      </w:r>
      <w:r>
        <w:t xml:space="preserve"> </w:t>
      </w:r>
      <m:oMath>
        <m:sSub>
          <m:e>
            <m:r>
              <m:t>k</m:t>
            </m:r>
          </m:e>
          <m:sub>
            <m:r>
              <m:t>y</m:t>
            </m:r>
          </m:sub>
        </m:sSub>
        <m:r>
          <m:rPr>
            <m:sty m:val="p"/>
          </m:rPr>
          <m:t>/</m:t>
        </m:r>
        <m:sSub>
          <m:e>
            <m:r>
              <m:rPr>
                <m:sty m:val="p"/>
              </m:rPr>
              <m:t>P</m:t>
            </m:r>
            <m:r>
              <m:rPr>
                <m:sty m:val="p"/>
              </m:rPr>
              <m:t>G</m:t>
            </m:r>
            <m:r>
              <m:rPr>
                <m:sty m:val="p"/>
              </m:rPr>
              <m:t>A</m:t>
            </m:r>
          </m:e>
          <m:sub>
            <m:r>
              <m:t>s</m:t>
            </m:r>
          </m:sub>
        </m:sSub>
        <m:r>
          <m:rPr>
            <m:sty m:val="p"/>
          </m:rPr>
          <m:t>≥</m:t>
        </m:r>
        <m:sSub>
          <m:e>
            <m:r>
              <m:t>r</m:t>
            </m:r>
          </m:e>
          <m:sub>
            <m:r>
              <m:rPr>
                <m:sty m:val="p"/>
              </m:rPr>
              <m:t>max</m:t>
            </m:r>
          </m:sub>
        </m:sSub>
        <m:r>
          <m:rPr>
            <m:sty m:val="p"/>
          </m:rPr>
          <m:t>=</m:t>
        </m:r>
        <m:r>
          <m:t>0.9999</m:t>
        </m:r>
      </m:oMath>
      <w:r>
        <w:t xml:space="preserve"> </w:t>
      </w:r>
      <w:r>
        <w:t xml:space="preserve">y formar una meseta</w:t>
      </w:r>
      <w:r>
        <w:t xml:space="preserve"> </w:t>
      </w:r>
      <m:oMath>
        <m:sSub>
          <m:e>
            <m:r>
              <m:t>D</m:t>
            </m:r>
          </m:e>
          <m:sub>
            <m:r>
              <m:t>0</m:t>
            </m:r>
            <m:r>
              <m:rPr>
                <m:sty m:val="p"/>
              </m:rPr>
              <m:t>,</m:t>
            </m:r>
            <m:r>
              <m:t>s</m:t>
            </m:r>
          </m:sub>
        </m:sSub>
      </m:oMath>
      <w:r>
        <w:t xml:space="preserve">. En ese caso se resuelve, para</w:t>
      </w:r>
      <w:r>
        <w:t xml:space="preserve"> </w:t>
      </w:r>
      <m:oMath>
        <m:sSub>
          <m:e>
            <m:r>
              <m:t>D</m:t>
            </m:r>
          </m:e>
          <m:sub>
            <m:r>
              <m:t>a</m:t>
            </m:r>
          </m:sub>
        </m:sSub>
        <m:r>
          <m:rPr>
            <m:sty m:val="p"/>
          </m:rPr>
          <m:t>&gt;</m:t>
        </m:r>
        <m:sSub>
          <m:e>
            <m:r>
              <m:t>D</m:t>
            </m:r>
          </m:e>
          <m:sub>
            <m:r>
              <m:t>0</m:t>
            </m:r>
            <m:r>
              <m:rPr>
                <m:sty m:val="p"/>
              </m:rPr>
              <m:t>,</m:t>
            </m:r>
            <m:r>
              <m:t>s</m:t>
            </m:r>
          </m:sub>
        </m:sSub>
      </m:oMath>
      <w:r>
        <w:t xml:space="preserve">, la rama física</w:t>
      </w:r>
      <w:r>
        <w:t xml:space="preserve"> </w:t>
      </w:r>
      <m:oMath>
        <m:r>
          <m:t>0</m:t>
        </m:r>
        <m:r>
          <m:rPr>
            <m:sty m:val="p"/>
          </m:rPr>
          <m:t>&lt;</m:t>
        </m:r>
        <m:r>
          <m:t>r</m:t>
        </m:r>
        <m:r>
          <m:rPr>
            <m:sty m:val="p"/>
          </m:rPr>
          <m:t>&lt;</m:t>
        </m:r>
        <m:sSub>
          <m:e>
            <m:r>
              <m:t>r</m:t>
            </m:r>
          </m:e>
          <m:sub>
            <m:r>
              <m:rPr>
                <m:sty m:val="p"/>
              </m:rPr>
              <m:t>max</m:t>
            </m:r>
          </m:sub>
        </m:sSub>
      </m:oMath>
      <w:r>
        <w:t xml:space="preserve"> </w:t>
      </w:r>
      <w:r>
        <w:t xml:space="preserve">de</w:t>
      </w:r>
      <w:r>
        <w:t xml:space="preserve"> </w:t>
      </w:r>
      <w:hyperlink w:anchor="eq-newmark-am88">
        <w:r>
          <w:rPr>
            <w:rStyle w:val="Hyperlink"/>
          </w:rPr>
          <w:t xml:space="preserve">eq. 16</w:t>
        </w:r>
      </w:hyperlink>
      <w:r>
        <w:t xml:space="preserve">, en lugar de extrapolar la meseta o asignar</w:t>
      </w:r>
      <w:r>
        <w:t xml:space="preserve"> </w:t>
      </w:r>
      <m:oMath>
        <m:sSub>
          <m:e>
            <m:r>
              <m:t>k</m:t>
            </m:r>
          </m:e>
          <m:sub>
            <m:r>
              <m:rPr>
                <m:sty m:val="p"/>
              </m:rPr>
              <m:t>max</m:t>
            </m:r>
          </m:sub>
        </m:sSub>
        <m:r>
          <m:rPr>
            <m:sty m:val="p"/>
          </m:rPr>
          <m:t>=</m:t>
        </m:r>
        <m:r>
          <m:t>0</m:t>
        </m:r>
      </m:oMath>
      <w:r>
        <w:t xml:space="preserve">:</w:t>
      </w:r>
    </w:p>
    <w:p>
      <w:pPr>
        <w:pStyle w:val="Equation"/>
      </w:pPr>
      <w:bookmarkStart w:id="97" w:name="eq-kmax-am88-limit"/>
      <w:r>
        <w:tab/>
      </w:r>
      <m:oMath>
        <m:sSub>
          <m:e>
            <m:r>
              <m:t>μ</m:t>
            </m:r>
          </m:e>
          <m:sub>
            <m:r>
              <m:rPr>
                <m:sty m:val="p"/>
              </m:rPr>
              <m:t>ln</m:t>
            </m:r>
            <m:r>
              <m:t>D</m:t>
            </m:r>
          </m:sub>
        </m:sSub>
        <m:r>
          <m:rPr>
            <m:sty m:val="p"/>
          </m:rPr>
          <m:t>(</m:t>
        </m:r>
        <m:r>
          <m:t>r</m:t>
        </m:r>
        <m:r>
          <m:rPr>
            <m:sty m:val="p"/>
          </m:rPr>
          <m:t>)</m:t>
        </m:r>
        <m:r>
          <m:rPr>
            <m:sty m:val="p"/>
          </m:rPr>
          <m:t>=</m:t>
        </m:r>
        <m:r>
          <m:rPr>
            <m:sty m:val="p"/>
          </m:rPr>
          <m:t>ln</m:t>
        </m:r>
        <m:sSub>
          <m:e>
            <m:r>
              <m:t>D</m:t>
            </m:r>
          </m:e>
          <m:sub>
            <m:r>
              <m:t>a</m:t>
            </m:r>
          </m:sub>
        </m:sSub>
        <m:r>
          <m:rPr>
            <m:sty m:val="p"/>
          </m:rPr>
          <m:t>−</m:t>
        </m:r>
        <m:r>
          <m:rPr>
            <m:sty m:val="p"/>
          </m:rPr>
          <m:t>ln</m:t>
        </m:r>
        <m:sSub>
          <m:e>
            <m:r>
              <m:t>D</m:t>
            </m:r>
          </m:e>
          <m:sub>
            <m:r>
              <m:t>0</m:t>
            </m:r>
            <m:r>
              <m:rPr>
                <m:sty m:val="p"/>
              </m:rPr>
              <m:t>,</m:t>
            </m:r>
            <m:r>
              <m:t>s</m:t>
            </m:r>
          </m:sub>
        </m:sSub>
        <m:r>
          <m:rPr>
            <m:sty m:val="p"/>
          </m:rPr>
          <m:t>+</m:t>
        </m:r>
        <m:sSub>
          <m:e>
            <m:r>
              <m:t>μ</m:t>
            </m:r>
          </m:e>
          <m:sub>
            <m:r>
              <m:rPr>
                <m:sty m:val="p"/>
              </m:rPr>
              <m:t>ln</m:t>
            </m:r>
            <m:r>
              <m:t>D</m:t>
            </m:r>
          </m:sub>
        </m:sSub>
        <m:r>
          <m:rPr>
            <m:sty m:val="p"/>
          </m:rPr>
          <m:t>(</m:t>
        </m:r>
        <m:sSub>
          <m:e>
            <m:r>
              <m:t>r</m:t>
            </m:r>
          </m:e>
          <m:sub>
            <m:r>
              <m:rPr>
                <m:sty m:val="p"/>
              </m:rPr>
              <m:t>max</m:t>
            </m:r>
          </m:sub>
        </m:sSub>
        <m:r>
          <m:rPr>
            <m:sty m:val="p"/>
          </m:rPr>
          <m:t>)</m:t>
        </m:r>
        <m:r>
          <m:rPr>
            <m:sty m:val="p"/>
          </m:rPr>
          <m:t>,</m:t>
        </m:r>
        <m:r>
          <m:t>  </m:t>
        </m:r>
        <m:sSub>
          <m:e>
            <m:r>
              <m:t>k</m:t>
            </m:r>
          </m:e>
          <m:sub>
            <m:r>
              <m:rPr>
                <m:sty m:val="p"/>
              </m:rPr>
              <m:t>max</m:t>
            </m:r>
            <m:r>
              <m:rPr>
                <m:sty m:val="p"/>
              </m:rPr>
              <m:t>,</m:t>
            </m:r>
            <m:r>
              <m:t>s</m:t>
            </m:r>
          </m:sub>
        </m:sSub>
        <m:r>
          <m:rPr>
            <m:sty m:val="p"/>
          </m:rPr>
          <m:t>=</m:t>
        </m:r>
        <m:sSub>
          <m:e>
            <m:r>
              <m:rPr>
                <m:sty m:val="p"/>
              </m:rPr>
              <m:t>P</m:t>
            </m:r>
            <m:r>
              <m:rPr>
                <m:sty m:val="p"/>
              </m:rPr>
              <m:t>G</m:t>
            </m:r>
            <m:r>
              <m:rPr>
                <m:sty m:val="p"/>
              </m:rPr>
              <m:t>A</m:t>
            </m:r>
          </m:e>
          <m:sub>
            <m:r>
              <m:t>s</m:t>
            </m:r>
          </m:sub>
        </m:sSub>
        <m:r>
          <m:t>r</m:t>
        </m:r>
        <m:r>
          <m:rPr>
            <m:sty m:val="p"/>
          </m:rPr>
          <m:t>.</m:t>
        </m:r>
      </m:oMath>
      <w:r>
        <w:tab/>
      </w:r>
      <w:r>
        <w:t xml:space="preserve">(19)</w:t>
      </w:r>
      <w:bookmarkEnd w:id="97"/>
    </w:p>
    <w:p>
      <w:pPr>
        <w:pStyle w:val="BodyText"/>
      </w:pPr>
      <w:r>
        <w:t xml:space="preserve">El residuo aleatorio se cancela entre</w:t>
      </w:r>
      <w:r>
        <w:t xml:space="preserve"> </w:t>
      </w:r>
      <m:oMath>
        <m:sSub>
          <m:e>
            <m:r>
              <m:t>D</m:t>
            </m:r>
          </m:e>
          <m:sub>
            <m:r>
              <m:t>a</m:t>
            </m:r>
          </m:sub>
        </m:sSub>
      </m:oMath>
      <w:r>
        <w:t xml:space="preserve"> </w:t>
      </w:r>
      <w:r>
        <w:t xml:space="preserve">y</w:t>
      </w:r>
      <w:r>
        <w:t xml:space="preserve"> </w:t>
      </w:r>
      <m:oMath>
        <m:sSub>
          <m:e>
            <m:r>
              <m:t>D</m:t>
            </m:r>
          </m:e>
          <m:sub>
            <m:r>
              <m:t>0</m:t>
            </m:r>
            <m:r>
              <m:rPr>
                <m:sty m:val="p"/>
              </m:rPr>
              <m:t>,</m:t>
            </m:r>
            <m:r>
              <m:t>s</m:t>
            </m:r>
          </m:sub>
        </m:sSub>
      </m:oMath>
      <w:r>
        <w:t xml:space="preserve">, y</w:t>
      </w:r>
      <w:r>
        <w:t xml:space="preserve"> </w:t>
      </w:r>
      <m:oMath>
        <m:r>
          <m:rPr>
            <m:sty m:val="p"/>
          </m:rPr>
          <m:t>d</m:t>
        </m:r>
        <m:sSub>
          <m:e>
            <m:r>
              <m:t>μ</m:t>
            </m:r>
          </m:e>
          <m:sub>
            <m:r>
              <m:rPr>
                <m:sty m:val="p"/>
              </m:rPr>
              <m:t>ln</m:t>
            </m:r>
            <m:r>
              <m:t>D</m:t>
            </m:r>
          </m:sub>
        </m:sSub>
        <m:r>
          <m:rPr>
            <m:sty m:val="p"/>
          </m:rPr>
          <m:t>/</m:t>
        </m:r>
        <m:r>
          <m:rPr>
            <m:sty m:val="p"/>
          </m:rPr>
          <m:t>d</m:t>
        </m:r>
        <m:r>
          <m:t>r</m:t>
        </m:r>
        <m:r>
          <m:rPr>
            <m:sty m:val="p"/>
          </m:rPr>
          <m:t>=</m:t>
        </m:r>
        <m:r>
          <m:rPr>
            <m:sty m:val="p"/>
          </m:rPr>
          <m:t>−</m:t>
        </m:r>
        <m:r>
          <m:t>2.53</m:t>
        </m:r>
        <m:r>
          <m:rPr>
            <m:sty m:val="p"/>
          </m:rPr>
          <m:t>/</m:t>
        </m:r>
        <m:r>
          <m:rPr>
            <m:sty m:val="p"/>
          </m:rPr>
          <m:t>(</m:t>
        </m:r>
        <m:r>
          <m:t>1</m:t>
        </m:r>
        <m:r>
          <m:rPr>
            <m:sty m:val="p"/>
          </m:rPr>
          <m:t>−</m:t>
        </m:r>
        <m:r>
          <m:t>r</m:t>
        </m:r>
        <m:r>
          <m:rPr>
            <m:sty m:val="p"/>
          </m:rPr>
          <m:t>)</m:t>
        </m:r>
        <m:r>
          <m:rPr>
            <m:sty m:val="p"/>
          </m:rPr>
          <m:t>−</m:t>
        </m:r>
        <m:r>
          <m:t>1.09</m:t>
        </m:r>
        <m:r>
          <m:rPr>
            <m:sty m:val="p"/>
          </m:rPr>
          <m:t>/</m:t>
        </m:r>
        <m:r>
          <m:t>r</m:t>
        </m:r>
        <m:r>
          <m:rPr>
            <m:sty m:val="p"/>
          </m:rPr>
          <m:t>&lt;</m:t>
        </m:r>
        <m:r>
          <m:t>0</m:t>
        </m:r>
      </m:oMath>
      <w:r>
        <w:t xml:space="preserve">, por lo que la raíz es única. Una meseta AM88 sólo se acepta cuando la curva original es exactamente constante y la propia</w:t>
      </w:r>
      <w:r>
        <w:t xml:space="preserve"> </w:t>
      </w:r>
      <m:oMath>
        <m:sSub>
          <m:e>
            <m:r>
              <m:rPr>
                <m:sty m:val="p"/>
              </m:rPr>
              <m:t>P</m:t>
            </m:r>
            <m:r>
              <m:rPr>
                <m:sty m:val="p"/>
              </m:rPr>
              <m:t>G</m:t>
            </m:r>
            <m:r>
              <m:rPr>
                <m:sty m:val="p"/>
              </m:rPr>
              <m:t>A</m:t>
            </m:r>
          </m:e>
          <m:sub>
            <m:r>
              <m:t>s</m:t>
            </m:r>
          </m:sub>
        </m:sSub>
      </m:oMath>
      <w:r>
        <w:t xml:space="preserve"> </w:t>
      </w:r>
      <w:r>
        <w:t xml:space="preserve">demuestra que toda la grilla alcanzó ese límite; una curva plana de otro modelo, o un objetivo</w:t>
      </w:r>
      <w:r>
        <w:t xml:space="preserve"> </w:t>
      </w:r>
      <m:oMath>
        <m:sSub>
          <m:e>
            <m:r>
              <m:t>D</m:t>
            </m:r>
          </m:e>
          <m:sub>
            <m:r>
              <m:t>a</m:t>
            </m:r>
          </m:sub>
        </m:sSub>
        <m:r>
          <m:rPr>
            <m:sty m:val="p"/>
          </m:rPr>
          <m:t>≤</m:t>
        </m:r>
        <m:sSub>
          <m:e>
            <m:r>
              <m:t>D</m:t>
            </m:r>
          </m:e>
          <m:sub>
            <m:r>
              <m:t>0</m:t>
            </m:r>
            <m:r>
              <m:rPr>
                <m:sty m:val="p"/>
              </m:rPr>
              <m:t>,</m:t>
            </m:r>
            <m:r>
              <m:t>s</m:t>
            </m:r>
          </m:sub>
        </m:sSub>
      </m:oMath>
      <w:r>
        <w:t xml:space="preserve">, se rechaza como soporte no identificable.</w:t>
      </w:r>
    </w:p>
    <w:bookmarkEnd w:id="98"/>
    <w:bookmarkStart w:id="102" w:name="sec-newmark-flexible"/>
    <w:p>
      <w:pPr>
        <w:pStyle w:val="Heading2"/>
      </w:pPr>
      <w:r>
        <w:t xml:space="preserve">Modelos de bloque flexible</w:t>
      </w:r>
    </w:p>
    <w:p>
      <w:pPr>
        <w:pStyle w:val="FirstParagraph"/>
      </w:pPr>
      <w:r>
        <w:t xml:space="preserve">Las formulaciones de bloque flexible evalúan la aceleración espectral en un período proporcional al período fundamental</w:t>
      </w:r>
      <w:r>
        <w:t xml:space="preserve"> </w:t>
      </w:r>
      <m:oMath>
        <m:sSub>
          <m:e>
            <m:r>
              <m:t>T</m:t>
            </m:r>
          </m:e>
          <m:sub>
            <m:r>
              <m:t>s</m:t>
            </m:r>
          </m:sub>
        </m:sSub>
      </m:oMath>
      <w:r>
        <w:t xml:space="preserve"> </w:t>
      </w:r>
      <w:r>
        <w:t xml:space="preserve">de la masa deslizante. La formulación</w:t>
      </w:r>
      <w:r>
        <w:t xml:space="preserve"> </w:t>
      </w:r>
      <w:r>
        <w:rPr>
          <w:rStyle w:val="VerbatimChar"/>
        </w:rPr>
        <w:t xml:space="preserve">BT07</w:t>
      </w:r>
      <w:r>
        <w:t xml:space="preserve"> </w:t>
      </w:r>
      <w:r>
        <w:t xml:space="preserve">(</w:t>
      </w:r>
      <w:hyperlink w:anchor="ref-BrayTravasarou2007">
        <w:r>
          <w:rPr>
            <w:rStyle w:val="Hyperlink"/>
          </w:rPr>
          <w:t xml:space="preserve">Bray y Travasarou 2007</w:t>
        </w:r>
      </w:hyperlink>
      <w:r>
        <w:t xml:space="preserve">)</w:t>
      </w:r>
      <w:r>
        <w:t xml:space="preserve"> </w:t>
      </w:r>
      <w:r>
        <w:t xml:space="preserve">emplea</w:t>
      </w:r>
      <w:r>
        <w:t xml:space="preserve"> </w:t>
      </w:r>
      <m:oMath>
        <m:sSub>
          <m:e>
            <m:r>
              <m:t>S</m:t>
            </m:r>
          </m:e>
          <m:sub>
            <m:r>
              <m:t>a</m:t>
            </m:r>
          </m:sub>
        </m:sSub>
        <m:r>
          <m:rPr>
            <m:sty m:val="p"/>
          </m:rPr>
          <m:t>=</m:t>
        </m:r>
        <m:sSub>
          <m:e>
            <m:r>
              <m:t>S</m:t>
            </m:r>
          </m:e>
          <m:sub>
            <m:r>
              <m:t>a</m:t>
            </m:r>
          </m:sub>
        </m:sSub>
        <m:r>
          <m:rPr>
            <m:sty m:val="p"/>
          </m:rPr>
          <m:t>(</m:t>
        </m:r>
        <m:r>
          <m:t>1.5</m:t>
        </m:r>
        <m:sSub>
          <m:e>
            <m:r>
              <m:t>T</m:t>
            </m:r>
          </m:e>
          <m:sub>
            <m:r>
              <m:t>s</m:t>
            </m:r>
          </m:sub>
        </m:sSub>
        <m:r>
          <m:rPr>
            <m:sty m:val="p"/>
          </m:rPr>
          <m:t>)</m:t>
        </m:r>
      </m:oMath>
      <w:r>
        <w:t xml:space="preserve"> </w:t>
      </w:r>
      <w:r>
        <w:t xml:space="preserve">y</w:t>
      </w:r>
      <w:r>
        <w:t xml:space="preserve"> </w:t>
      </w:r>
      <m:oMath>
        <m:sSub>
          <m:e>
            <m:r>
              <m:t>M</m:t>
            </m:r>
          </m:e>
          <m:sub>
            <m:r>
              <m:t>w</m:t>
            </m:r>
          </m:sub>
        </m:sSub>
      </m:oMath>
      <w:r>
        <w:t xml:space="preserve">:</w:t>
      </w:r>
    </w:p>
    <w:p>
      <w:pPr>
        <w:pStyle w:val="Equation"/>
      </w:pPr>
      <w:bookmarkStart w:id="99" w:name="eq-newmark-bt07"/>
      <w:r>
        <w:tab/>
      </w:r>
      <m:oMath>
        <m:eqArr>
          <m:e>
            <m:sSub>
              <m:e>
                <m:r>
                  <m:t>μ</m:t>
                </m:r>
              </m:e>
              <m:sub>
                <m:r>
                  <m:rPr>
                    <m:sty m:val="p"/>
                  </m:rPr>
                  <m:t>ln</m:t>
                </m:r>
                <m:r>
                  <m:t>D</m:t>
                </m:r>
              </m:sub>
            </m:sSub>
            <m:r>
              <m:rPr>
                <m:sty m:val="p"/>
              </m:rPr>
              <m:t>=</m:t>
            </m:r>
            <m:r>
              <m:t>​</m:t>
            </m:r>
            <m:r>
              <m:t>&amp;</m:t>
            </m:r>
            <m:sSub>
              <m:e>
                <m:r>
                  <m:t>a</m:t>
                </m:r>
              </m:e>
              <m:sub>
                <m:r>
                  <m:t>0</m:t>
                </m:r>
              </m:sub>
            </m:sSub>
            <m:r>
              <m:rPr>
                <m:sty m:val="p"/>
              </m:rPr>
              <m:t>−</m:t>
            </m:r>
            <m:r>
              <m:t>2.83</m:t>
            </m:r>
            <m:r>
              <m:rPr>
                <m:sty m:val="p"/>
              </m:rPr>
              <m:t>ln</m:t>
            </m:r>
            <m:sSub>
              <m:e>
                <m:r>
                  <m:t>k</m:t>
                </m:r>
              </m:e>
              <m:sub>
                <m:r>
                  <m:t>y</m:t>
                </m:r>
              </m:sub>
            </m:sSub>
            <m:r>
              <m:rPr>
                <m:sty m:val="p"/>
              </m:rPr>
              <m:t>−</m:t>
            </m:r>
            <m:r>
              <m:t>0.333</m:t>
            </m:r>
            <m:r>
              <m:rPr>
                <m:sty m:val="p"/>
              </m:rPr>
              <m:t>(</m:t>
            </m:r>
            <m:r>
              <m:rPr>
                <m:sty m:val="p"/>
              </m:rPr>
              <m:t>ln</m:t>
            </m:r>
            <m:sSub>
              <m:e>
                <m:r>
                  <m:t>k</m:t>
                </m:r>
              </m:e>
              <m:sub>
                <m:r>
                  <m:t>y</m:t>
                </m:r>
              </m:sub>
            </m:sSub>
            <m:sSup>
              <m:e>
                <m:r>
                  <m:rPr>
                    <m:sty m:val="p"/>
                  </m:rPr>
                  <m:t>)</m:t>
                </m:r>
              </m:e>
              <m:sup>
                <m:r>
                  <m:t>2</m:t>
                </m:r>
              </m:sup>
            </m:sSup>
            <m:r>
              <m:rPr>
                <m:sty m:val="p"/>
              </m:rPr>
              <m:t>+</m:t>
            </m:r>
            <m:r>
              <m:t>0.566</m:t>
            </m:r>
            <m:r>
              <m:rPr>
                <m:sty m:val="p"/>
              </m:rPr>
              <m:t>ln</m:t>
            </m:r>
            <m:sSub>
              <m:e>
                <m:r>
                  <m:t>k</m:t>
                </m:r>
              </m:e>
              <m:sub>
                <m:r>
                  <m:t>y</m:t>
                </m:r>
              </m:sub>
            </m:sSub>
            <m:r>
              <m:rPr>
                <m:sty m:val="p"/>
              </m:rPr>
              <m:t>ln</m:t>
            </m:r>
            <m:sSub>
              <m:e>
                <m:r>
                  <m:t>S</m:t>
                </m:r>
              </m:e>
              <m:sub>
                <m:r>
                  <m:t>a</m:t>
                </m:r>
              </m:sub>
            </m:sSub>
          </m:e>
          <m:e>
            <m:r>
              <m:t>&amp;</m:t>
            </m:r>
            <m:r>
              <m:rPr>
                <m:sty m:val="p"/>
              </m:rPr>
              <m:t>+</m:t>
            </m:r>
            <m:r>
              <m:t>3.04</m:t>
            </m:r>
            <m:r>
              <m:rPr>
                <m:sty m:val="p"/>
              </m:rPr>
              <m:t>ln</m:t>
            </m:r>
            <m:sSub>
              <m:e>
                <m:r>
                  <m:t>S</m:t>
                </m:r>
              </m:e>
              <m:sub>
                <m:r>
                  <m:t>a</m:t>
                </m:r>
              </m:sub>
            </m:sSub>
            <m:r>
              <m:rPr>
                <m:sty m:val="p"/>
              </m:rPr>
              <m:t>−</m:t>
            </m:r>
            <m:r>
              <m:t>0.244</m:t>
            </m:r>
            <m:r>
              <m:rPr>
                <m:sty m:val="p"/>
              </m:rPr>
              <m:t>(</m:t>
            </m:r>
            <m:r>
              <m:rPr>
                <m:sty m:val="p"/>
              </m:rPr>
              <m:t>ln</m:t>
            </m:r>
            <m:sSub>
              <m:e>
                <m:r>
                  <m:t>S</m:t>
                </m:r>
              </m:e>
              <m:sub>
                <m:r>
                  <m:t>a</m:t>
                </m:r>
              </m:sub>
            </m:sSub>
            <m:sSup>
              <m:e>
                <m:r>
                  <m:rPr>
                    <m:sty m:val="p"/>
                  </m:rPr>
                  <m:t>)</m:t>
                </m:r>
              </m:e>
              <m:sup>
                <m:r>
                  <m:t>2</m:t>
                </m:r>
              </m:sup>
            </m:sSup>
            <m:r>
              <m:rPr>
                <m:sty m:val="p"/>
              </m:rPr>
              <m:t>+</m:t>
            </m:r>
            <m:r>
              <m:t>1.50</m:t>
            </m:r>
            <m:sSub>
              <m:e>
                <m:r>
                  <m:t>T</m:t>
                </m:r>
              </m:e>
              <m:sub>
                <m:r>
                  <m:t>s</m:t>
                </m:r>
              </m:sub>
            </m:sSub>
            <m:r>
              <m:rPr>
                <m:sty m:val="p"/>
              </m:rPr>
              <m:t>+</m:t>
            </m:r>
            <m:r>
              <m:t>0.278</m:t>
            </m:r>
            <m:r>
              <m:rPr>
                <m:sty m:val="p"/>
              </m:rPr>
              <m:t>(</m:t>
            </m:r>
            <m:sSub>
              <m:e>
                <m:r>
                  <m:t>M</m:t>
                </m:r>
              </m:e>
              <m:sub>
                <m:r>
                  <m:t>w</m:t>
                </m:r>
              </m:sub>
            </m:sSub>
            <m:r>
              <m:rPr>
                <m:sty m:val="p"/>
              </m:rPr>
              <m:t>−</m:t>
            </m:r>
            <m:r>
              <m:t>7</m:t>
            </m:r>
            <m:r>
              <m:rPr>
                <m:sty m:val="p"/>
              </m:rPr>
              <m:t>)</m:t>
            </m:r>
            <m:r>
              <m:rPr>
                <m:sty m:val="p"/>
              </m:rPr>
              <m:t>,</m:t>
            </m:r>
          </m:e>
          <m:e>
            <m:sSub>
              <m:e>
                <m:r>
                  <m:t>a</m:t>
                </m:r>
              </m:e>
              <m:sub>
                <m:r>
                  <m:t>0</m:t>
                </m:r>
              </m:sub>
            </m:sSub>
            <m:r>
              <m:rPr>
                <m:sty m:val="p"/>
              </m:rPr>
              <m:t>=</m:t>
            </m:r>
            <m:r>
              <m:t>​</m:t>
            </m:r>
            <m:r>
              <m:t>&amp;</m:t>
            </m:r>
            <m:d>
              <m:dPr>
                <m:begChr m:val="{"/>
                <m:sepChr m:val=""/>
                <m:endChr m:val=""/>
                <m:grow/>
              </m:dPr>
              <m:e>
                <m:m>
                  <m:mPr>
                    <m:baseJc m:val="center"/>
                    <m:plcHide m:val="on"/>
                    <m:mcs>
                      <m:mc>
                        <m:mcPr>
                          <m:mcJc m:val="left"/>
                          <m:count m:val="1"/>
                        </m:mcPr>
                      </m:mc>
                      <m:mc>
                        <m:mcPr>
                          <m:mcJc m:val="left"/>
                          <m:count m:val="1"/>
                        </m:mcPr>
                      </m:mc>
                    </m:mcs>
                  </m:mPr>
                  <m:mr>
                    <m:e>
                      <m:r>
                        <m:rPr>
                          <m:sty m:val="p"/>
                        </m:rPr>
                        <m:t>−</m:t>
                      </m:r>
                      <m:r>
                        <m:t>0.22</m:t>
                      </m:r>
                      <m:r>
                        <m:rPr>
                          <m:sty m:val="p"/>
                        </m:rPr>
                        <m:t>,</m:t>
                      </m:r>
                    </m:e>
                    <m:e>
                      <m:sSub>
                        <m:e>
                          <m:r>
                            <m:t>T</m:t>
                          </m:r>
                        </m:e>
                        <m:sub>
                          <m:r>
                            <m:t>s</m:t>
                          </m:r>
                        </m:sub>
                      </m:sSub>
                      <m:r>
                        <m:rPr>
                          <m:sty m:val="p"/>
                        </m:rPr>
                        <m:t>&lt;</m:t>
                      </m:r>
                      <m:r>
                        <m:t>0.05</m:t>
                      </m:r>
                      <m:r>
                        <m:t> </m:t>
                      </m:r>
                      <m:r>
                        <m:rPr>
                          <m:sty m:val="p"/>
                        </m:rPr>
                        <m:t>s</m:t>
                      </m:r>
                      <m:r>
                        <m:rPr>
                          <m:sty m:val="p"/>
                        </m:rPr>
                        <m:t>,</m:t>
                      </m:r>
                    </m:e>
                  </m:mr>
                  <m:mr>
                    <m:e>
                      <m:r>
                        <m:rPr>
                          <m:sty m:val="p"/>
                        </m:rPr>
                        <m:t>−</m:t>
                      </m:r>
                      <m:r>
                        <m:t>1.10</m:t>
                      </m:r>
                      <m:r>
                        <m:rPr>
                          <m:sty m:val="p"/>
                        </m:rPr>
                        <m:t>,</m:t>
                      </m:r>
                    </m:e>
                    <m:e>
                      <m:sSub>
                        <m:e>
                          <m:r>
                            <m:t>T</m:t>
                          </m:r>
                        </m:e>
                        <m:sub>
                          <m:r>
                            <m:t>s</m:t>
                          </m:r>
                        </m:sub>
                      </m:sSub>
                      <m:r>
                        <m:rPr>
                          <m:sty m:val="p"/>
                        </m:rPr>
                        <m:t>≥</m:t>
                      </m:r>
                      <m:r>
                        <m:t>0.05</m:t>
                      </m:r>
                      <m:r>
                        <m:t> </m:t>
                      </m:r>
                      <m:r>
                        <m:rPr>
                          <m:sty m:val="p"/>
                        </m:rPr>
                        <m:t>s</m:t>
                      </m:r>
                      <m:r>
                        <m:rPr>
                          <m:sty m:val="p"/>
                        </m:rPr>
                        <m:t>,</m:t>
                      </m:r>
                    </m:e>
                  </m:mr>
                </m:m>
              </m:e>
            </m:d>
          </m:e>
          <m:e>
            <m:sSub>
              <m:e>
                <m:r>
                  <m:t>σ</m:t>
                </m:r>
              </m:e>
              <m:sub>
                <m:r>
                  <m:rPr>
                    <m:sty m:val="p"/>
                  </m:rPr>
                  <m:t>ln</m:t>
                </m:r>
                <m:r>
                  <m:t>D</m:t>
                </m:r>
              </m:sub>
            </m:sSub>
            <m:r>
              <m:rPr>
                <m:sty m:val="p"/>
              </m:rPr>
              <m:t>=</m:t>
            </m:r>
            <m:r>
              <m:t>​</m:t>
            </m:r>
            <m:r>
              <m:t>&amp;</m:t>
            </m:r>
            <m:r>
              <m:t>0.66</m:t>
            </m:r>
            <m:r>
              <m:rPr>
                <m:sty m:val="p"/>
              </m:rPr>
              <m:t>.</m:t>
            </m:r>
          </m:e>
        </m:eqArr>
      </m:oMath>
      <w:r>
        <w:tab/>
      </w:r>
      <w:r>
        <w:t xml:space="preserve">(20)</w:t>
      </w:r>
      <w:bookmarkEnd w:id="99"/>
    </w:p>
    <w:p>
      <w:pPr>
        <w:pStyle w:val="BodyText"/>
      </w:pPr>
      <w:r>
        <w:t xml:space="preserve">La formulación</w:t>
      </w:r>
      <w:r>
        <w:t xml:space="preserve"> </w:t>
      </w:r>
      <w:r>
        <w:rPr>
          <w:rStyle w:val="VerbatimChar"/>
        </w:rPr>
        <w:t xml:space="preserve">BM17</w:t>
      </w:r>
      <w:r>
        <w:t xml:space="preserve"> </w:t>
      </w:r>
      <w:r>
        <w:t xml:space="preserve">(</w:t>
      </w:r>
      <w:hyperlink w:anchor="ref-BrayEtAl2018">
        <w:r>
          <w:rPr>
            <w:rStyle w:val="Hyperlink"/>
          </w:rPr>
          <w:t xml:space="preserve">Bray et al. 2018</w:t>
        </w:r>
      </w:hyperlink>
      <w:r>
        <w:t xml:space="preserve">)</w:t>
      </w:r>
      <w:r>
        <w:t xml:space="preserve"> </w:t>
      </w:r>
      <w:r>
        <w:t xml:space="preserve">representa movimientos de interfaz de subducción con</w:t>
      </w:r>
      <w:r>
        <w:t xml:space="preserve"> </w:t>
      </w:r>
      <m:oMath>
        <m:sSub>
          <m:e>
            <m:r>
              <m:t>S</m:t>
            </m:r>
          </m:e>
          <m:sub>
            <m:r>
              <m:t>a</m:t>
            </m:r>
          </m:sub>
        </m:sSub>
        <m:r>
          <m:rPr>
            <m:sty m:val="p"/>
          </m:rPr>
          <m:t>=</m:t>
        </m:r>
        <m:sSub>
          <m:e>
            <m:r>
              <m:t>S</m:t>
            </m:r>
          </m:e>
          <m:sub>
            <m:r>
              <m:t>a</m:t>
            </m:r>
          </m:sub>
        </m:sSub>
        <m:r>
          <m:rPr>
            <m:sty m:val="p"/>
          </m:rPr>
          <m:t>(</m:t>
        </m:r>
        <m:r>
          <m:t>1.5</m:t>
        </m:r>
        <m:sSub>
          <m:e>
            <m:r>
              <m:t>T</m:t>
            </m:r>
          </m:e>
          <m:sub>
            <m:r>
              <m:t>s</m:t>
            </m:r>
          </m:sub>
        </m:sSub>
        <m:r>
          <m:rPr>
            <m:sty m:val="p"/>
          </m:rPr>
          <m:t>)</m:t>
        </m:r>
      </m:oMath>
      <w:r>
        <w:t xml:space="preserve">:</w:t>
      </w:r>
    </w:p>
    <w:p>
      <w:pPr>
        <w:pStyle w:val="Equation"/>
      </w:pPr>
      <w:bookmarkStart w:id="100" w:name="eq-newmark-bm17"/>
      <w:r>
        <w:tab/>
      </w:r>
      <m:oMath>
        <m:eqArr>
          <m:e>
            <m:sSub>
              <m:e>
                <m:r>
                  <m:t>μ</m:t>
                </m:r>
              </m:e>
              <m:sub>
                <m:r>
                  <m:rPr>
                    <m:sty m:val="p"/>
                  </m:rPr>
                  <m:t>ln</m:t>
                </m:r>
                <m:r>
                  <m:t>D</m:t>
                </m:r>
              </m:sub>
            </m:sSub>
            <m:r>
              <m:t>&amp;</m:t>
            </m:r>
            <m:r>
              <m:rPr>
                <m:sty m:val="p"/>
              </m:rPr>
              <m:t>=</m:t>
            </m:r>
            <m:sSub>
              <m:e>
                <m:r>
                  <m:t>a</m:t>
                </m:r>
              </m:e>
              <m:sub>
                <m:r>
                  <m:t>0</m:t>
                </m:r>
              </m:sub>
            </m:sSub>
            <m:r>
              <m:rPr>
                <m:sty m:val="p"/>
              </m:rPr>
              <m:t>+</m:t>
            </m:r>
            <m:sSub>
              <m:e>
                <m:r>
                  <m:t>a</m:t>
                </m:r>
              </m:e>
              <m:sub>
                <m:r>
                  <m:t>1</m:t>
                </m:r>
              </m:sub>
            </m:sSub>
            <m:r>
              <m:rPr>
                <m:sty m:val="p"/>
              </m:rPr>
              <m:t>ln</m:t>
            </m:r>
            <m:sSub>
              <m:e>
                <m:r>
                  <m:t>S</m:t>
                </m:r>
              </m:e>
              <m:sub>
                <m:r>
                  <m:t>a</m:t>
                </m:r>
              </m:sub>
            </m:sSub>
            <m:r>
              <m:rPr>
                <m:sty m:val="p"/>
              </m:rPr>
              <m:t>−</m:t>
            </m:r>
            <m:r>
              <m:t>0.225</m:t>
            </m:r>
            <m:r>
              <m:rPr>
                <m:sty m:val="p"/>
              </m:rPr>
              <m:t>(</m:t>
            </m:r>
            <m:r>
              <m:rPr>
                <m:sty m:val="p"/>
              </m:rPr>
              <m:t>ln</m:t>
            </m:r>
            <m:sSub>
              <m:e>
                <m:r>
                  <m:t>S</m:t>
                </m:r>
              </m:e>
              <m:sub>
                <m:r>
                  <m:t>a</m:t>
                </m:r>
              </m:sub>
            </m:sSub>
            <m:sSup>
              <m:e>
                <m:r>
                  <m:rPr>
                    <m:sty m:val="p"/>
                  </m:rPr>
                  <m:t>)</m:t>
                </m:r>
              </m:e>
              <m:sup>
                <m:r>
                  <m:t>2</m:t>
                </m:r>
              </m:sup>
            </m:sSup>
            <m:r>
              <m:rPr>
                <m:sty m:val="p"/>
              </m:rPr>
              <m:t>,</m:t>
            </m:r>
          </m:e>
          <m:e>
            <m:sSub>
              <m:e>
                <m:r>
                  <m:t>a</m:t>
                </m:r>
              </m:e>
              <m:sub>
                <m:r>
                  <m:t>1</m:t>
                </m:r>
              </m:sub>
            </m:sSub>
            <m:r>
              <m:t>&amp;</m:t>
            </m:r>
            <m:r>
              <m:rPr>
                <m:sty m:val="p"/>
              </m:rPr>
              <m:t>=</m:t>
            </m:r>
            <m:r>
              <m:t>3.060</m:t>
            </m:r>
            <m:r>
              <m:rPr>
                <m:sty m:val="p"/>
              </m:rPr>
              <m:t>+</m:t>
            </m:r>
            <m:r>
              <m:t>0.538</m:t>
            </m:r>
            <m:r>
              <m:rPr>
                <m:sty m:val="p"/>
              </m:rPr>
              <m:t>ln</m:t>
            </m:r>
            <m:sSub>
              <m:e>
                <m:r>
                  <m:t>k</m:t>
                </m:r>
              </m:e>
              <m:sub>
                <m:r>
                  <m:t>y</m:t>
                </m:r>
              </m:sub>
            </m:sSub>
            <m:r>
              <m:rPr>
                <m:sty m:val="p"/>
              </m:rPr>
              <m:t>,</m:t>
            </m:r>
          </m:e>
          <m:e>
            <m:sSub>
              <m:e>
                <m:r>
                  <m:t>a</m:t>
                </m:r>
              </m:e>
              <m:sub>
                <m:r>
                  <m:t>0</m:t>
                </m:r>
                <m:r>
                  <m:rPr>
                    <m:sty m:val="p"/>
                  </m:rPr>
                  <m:t>,</m:t>
                </m:r>
                <m:r>
                  <m:rPr>
                    <m:sty m:val="p"/>
                  </m:rPr>
                  <m:t>&lt;</m:t>
                </m:r>
              </m:sub>
            </m:sSub>
            <m:r>
              <m:rPr>
                <m:sty m:val="p"/>
              </m:rPr>
              <m:t>=</m:t>
            </m:r>
            <m:r>
              <m:t>​</m:t>
            </m:r>
            <m:r>
              <m:t>&amp;</m:t>
            </m:r>
            <m:r>
              <m:rPr>
                <m:sty m:val="p"/>
              </m:rPr>
              <m:t>−</m:t>
            </m:r>
            <m:r>
              <m:t>5.864</m:t>
            </m:r>
            <m:r>
              <m:rPr>
                <m:sty m:val="p"/>
              </m:rPr>
              <m:t>+</m:t>
            </m:r>
            <m:r>
              <m:t>0.550</m:t>
            </m:r>
            <m:sSub>
              <m:e>
                <m:r>
                  <m:t>M</m:t>
                </m:r>
              </m:e>
              <m:sub>
                <m:r>
                  <m:t>w</m:t>
                </m:r>
              </m:sub>
            </m:sSub>
            <m:r>
              <m:rPr>
                <m:sty m:val="p"/>
              </m:rPr>
              <m:t>−</m:t>
            </m:r>
            <m:r>
              <m:t>9.421</m:t>
            </m:r>
            <m:sSub>
              <m:e>
                <m:r>
                  <m:t>T</m:t>
                </m:r>
              </m:e>
              <m:sub>
                <m:r>
                  <m:t>s</m:t>
                </m:r>
              </m:sub>
            </m:sSub>
          </m:e>
          <m:e>
            <m:r>
              <m:t>&amp;</m:t>
            </m:r>
            <m:r>
              <m:rPr>
                <m:sty m:val="p"/>
              </m:rPr>
              <m:t>−</m:t>
            </m:r>
            <m:r>
              <m:t>3.353</m:t>
            </m:r>
            <m:r>
              <m:rPr>
                <m:sty m:val="p"/>
              </m:rPr>
              <m:t>ln</m:t>
            </m:r>
            <m:sSub>
              <m:e>
                <m:r>
                  <m:t>k</m:t>
                </m:r>
              </m:e>
              <m:sub>
                <m:r>
                  <m:t>y</m:t>
                </m:r>
              </m:sub>
            </m:sSub>
            <m:r>
              <m:rPr>
                <m:sty m:val="p"/>
              </m:rPr>
              <m:t>−</m:t>
            </m:r>
            <m:r>
              <m:t>0.390</m:t>
            </m:r>
            <m:r>
              <m:rPr>
                <m:sty m:val="p"/>
              </m:rPr>
              <m:t>(</m:t>
            </m:r>
            <m:r>
              <m:rPr>
                <m:sty m:val="p"/>
              </m:rPr>
              <m:t>ln</m:t>
            </m:r>
            <m:sSub>
              <m:e>
                <m:r>
                  <m:t>k</m:t>
                </m:r>
              </m:e>
              <m:sub>
                <m:r>
                  <m:t>y</m:t>
                </m:r>
              </m:sub>
            </m:sSub>
            <m:sSup>
              <m:e>
                <m:r>
                  <m:rPr>
                    <m:sty m:val="p"/>
                  </m:rPr>
                  <m:t>)</m:t>
                </m:r>
              </m:e>
              <m:sup>
                <m:r>
                  <m:t>2</m:t>
                </m:r>
              </m:sup>
            </m:sSup>
            <m:r>
              <m:rPr>
                <m:sty m:val="p"/>
              </m:rPr>
              <m:t>,</m:t>
            </m:r>
          </m:e>
          <m:e>
            <m:sSub>
              <m:e>
                <m:r>
                  <m:t>a</m:t>
                </m:r>
              </m:e>
              <m:sub>
                <m:r>
                  <m:t>0</m:t>
                </m:r>
                <m:r>
                  <m:rPr>
                    <m:sty m:val="p"/>
                  </m:rPr>
                  <m:t>,</m:t>
                </m:r>
                <m:r>
                  <m:rPr>
                    <m:sty m:val="p"/>
                  </m:rPr>
                  <m:t>≥</m:t>
                </m:r>
              </m:sub>
            </m:sSub>
            <m:r>
              <m:rPr>
                <m:sty m:val="p"/>
              </m:rPr>
              <m:t>=</m:t>
            </m:r>
            <m:r>
              <m:t>​</m:t>
            </m:r>
            <m:r>
              <m:t>&amp;</m:t>
            </m:r>
            <m:r>
              <m:rPr>
                <m:sty m:val="p"/>
              </m:rPr>
              <m:t>−</m:t>
            </m:r>
            <m:r>
              <m:t>6.896</m:t>
            </m:r>
            <m:r>
              <m:rPr>
                <m:sty m:val="p"/>
              </m:rPr>
              <m:t>+</m:t>
            </m:r>
            <m:r>
              <m:t>0.550</m:t>
            </m:r>
            <m:sSub>
              <m:e>
                <m:r>
                  <m:t>M</m:t>
                </m:r>
              </m:e>
              <m:sub>
                <m:r>
                  <m:t>w</m:t>
                </m:r>
              </m:sub>
            </m:sSub>
            <m:r>
              <m:rPr>
                <m:sty m:val="p"/>
              </m:rPr>
              <m:t>+</m:t>
            </m:r>
            <m:r>
              <m:t>3.081</m:t>
            </m:r>
            <m:sSub>
              <m:e>
                <m:r>
                  <m:t>T</m:t>
                </m:r>
              </m:e>
              <m:sub>
                <m:r>
                  <m:t>s</m:t>
                </m:r>
              </m:sub>
            </m:sSub>
            <m:r>
              <m:rPr>
                <m:sty m:val="p"/>
              </m:rPr>
              <m:t>−</m:t>
            </m:r>
            <m:r>
              <m:t>0.803</m:t>
            </m:r>
            <m:sSubSup>
              <m:e>
                <m:r>
                  <m:t>T</m:t>
                </m:r>
              </m:e>
              <m:sub>
                <m:r>
                  <m:t>s</m:t>
                </m:r>
              </m:sub>
              <m:sup>
                <m:r>
                  <m:t>2</m:t>
                </m:r>
              </m:sup>
            </m:sSubSup>
          </m:e>
          <m:e>
            <m:r>
              <m:t>&amp;</m:t>
            </m:r>
            <m:r>
              <m:rPr>
                <m:sty m:val="p"/>
              </m:rPr>
              <m:t>−</m:t>
            </m:r>
            <m:r>
              <m:t>3.353</m:t>
            </m:r>
            <m:r>
              <m:rPr>
                <m:sty m:val="p"/>
              </m:rPr>
              <m:t>ln</m:t>
            </m:r>
            <m:sSub>
              <m:e>
                <m:r>
                  <m:t>k</m:t>
                </m:r>
              </m:e>
              <m:sub>
                <m:r>
                  <m:t>y</m:t>
                </m:r>
              </m:sub>
            </m:sSub>
            <m:r>
              <m:rPr>
                <m:sty m:val="p"/>
              </m:rPr>
              <m:t>−</m:t>
            </m:r>
            <m:r>
              <m:t>0.390</m:t>
            </m:r>
            <m:r>
              <m:rPr>
                <m:sty m:val="p"/>
              </m:rPr>
              <m:t>(</m:t>
            </m:r>
            <m:r>
              <m:rPr>
                <m:sty m:val="p"/>
              </m:rPr>
              <m:t>ln</m:t>
            </m:r>
            <m:sSub>
              <m:e>
                <m:r>
                  <m:t>k</m:t>
                </m:r>
              </m:e>
              <m:sub>
                <m:r>
                  <m:t>y</m:t>
                </m:r>
              </m:sub>
            </m:sSub>
            <m:sSup>
              <m:e>
                <m:r>
                  <m:rPr>
                    <m:sty m:val="p"/>
                  </m:rPr>
                  <m:t>)</m:t>
                </m:r>
              </m:e>
              <m:sup>
                <m:r>
                  <m:t>2</m:t>
                </m:r>
              </m:sup>
            </m:sSup>
            <m:r>
              <m:rPr>
                <m:sty m:val="p"/>
              </m:rPr>
              <m:t>,</m:t>
            </m:r>
          </m:e>
          <m:e>
            <m:sSub>
              <m:e>
                <m:r>
                  <m:t>a</m:t>
                </m:r>
              </m:e>
              <m:sub>
                <m:r>
                  <m:t>0</m:t>
                </m:r>
              </m:sub>
            </m:sSub>
            <m:r>
              <m:t>&amp;</m:t>
            </m:r>
            <m:r>
              <m:rPr>
                <m:sty m:val="p"/>
              </m:rPr>
              <m:t>=</m:t>
            </m:r>
            <m:d>
              <m:dPr>
                <m:begChr m:val="{"/>
                <m:sepChr m:val=""/>
                <m:endChr m:val=""/>
                <m:grow/>
              </m:dPr>
              <m:e>
                <m:m>
                  <m:mPr>
                    <m:baseJc m:val="center"/>
                    <m:plcHide m:val="on"/>
                    <m:mcs>
                      <m:mc>
                        <m:mcPr>
                          <m:mcJc m:val="left"/>
                          <m:count m:val="1"/>
                        </m:mcPr>
                      </m:mc>
                      <m:mc>
                        <m:mcPr>
                          <m:mcJc m:val="left"/>
                          <m:count m:val="1"/>
                        </m:mcPr>
                      </m:mc>
                    </m:mcs>
                  </m:mPr>
                  <m:mr>
                    <m:e>
                      <m:sSub>
                        <m:e>
                          <m:r>
                            <m:t>a</m:t>
                          </m:r>
                        </m:e>
                        <m:sub>
                          <m:r>
                            <m:t>0</m:t>
                          </m:r>
                          <m:r>
                            <m:rPr>
                              <m:sty m:val="p"/>
                            </m:rPr>
                            <m:t>,</m:t>
                          </m:r>
                          <m:r>
                            <m:rPr>
                              <m:sty m:val="p"/>
                            </m:rPr>
                            <m:t>&lt;</m:t>
                          </m:r>
                        </m:sub>
                      </m:sSub>
                      <m:r>
                        <m:rPr>
                          <m:sty m:val="p"/>
                        </m:rPr>
                        <m:t>,</m:t>
                      </m:r>
                    </m:e>
                    <m:e>
                      <m:sSub>
                        <m:e>
                          <m:r>
                            <m:t>T</m:t>
                          </m:r>
                        </m:e>
                        <m:sub>
                          <m:r>
                            <m:t>s</m:t>
                          </m:r>
                        </m:sub>
                      </m:sSub>
                      <m:r>
                        <m:rPr>
                          <m:sty m:val="p"/>
                        </m:rPr>
                        <m:t>&lt;</m:t>
                      </m:r>
                      <m:r>
                        <m:t>0.1</m:t>
                      </m:r>
                      <m:r>
                        <m:t> </m:t>
                      </m:r>
                      <m:r>
                        <m:rPr>
                          <m:sty m:val="p"/>
                        </m:rPr>
                        <m:t>s</m:t>
                      </m:r>
                      <m:r>
                        <m:rPr>
                          <m:sty m:val="p"/>
                        </m:rPr>
                        <m:t>,</m:t>
                      </m:r>
                    </m:e>
                  </m:mr>
                  <m:mr>
                    <m:e>
                      <m:sSub>
                        <m:e>
                          <m:r>
                            <m:t>a</m:t>
                          </m:r>
                        </m:e>
                        <m:sub>
                          <m:r>
                            <m:t>0</m:t>
                          </m:r>
                          <m:r>
                            <m:rPr>
                              <m:sty m:val="p"/>
                            </m:rPr>
                            <m:t>,</m:t>
                          </m:r>
                          <m:r>
                            <m:rPr>
                              <m:sty m:val="p"/>
                            </m:rPr>
                            <m:t>≥</m:t>
                          </m:r>
                        </m:sub>
                      </m:sSub>
                      <m:r>
                        <m:rPr>
                          <m:sty m:val="p"/>
                        </m:rPr>
                        <m:t>,</m:t>
                      </m:r>
                    </m:e>
                    <m:e>
                      <m:sSub>
                        <m:e>
                          <m:r>
                            <m:t>T</m:t>
                          </m:r>
                        </m:e>
                        <m:sub>
                          <m:r>
                            <m:t>s</m:t>
                          </m:r>
                        </m:sub>
                      </m:sSub>
                      <m:r>
                        <m:rPr>
                          <m:sty m:val="p"/>
                        </m:rPr>
                        <m:t>≥</m:t>
                      </m:r>
                      <m:r>
                        <m:t>0.1</m:t>
                      </m:r>
                      <m:r>
                        <m:t> </m:t>
                      </m:r>
                      <m:r>
                        <m:rPr>
                          <m:sty m:val="p"/>
                        </m:rPr>
                        <m:t>s</m:t>
                      </m:r>
                      <m:r>
                        <m:rPr>
                          <m:sty m:val="p"/>
                        </m:rPr>
                        <m:t>,</m:t>
                      </m:r>
                    </m:e>
                  </m:mr>
                </m:m>
              </m:e>
            </m:d>
          </m:e>
          <m:e>
            <m:sSub>
              <m:e>
                <m:r>
                  <m:t>σ</m:t>
                </m:r>
              </m:e>
              <m:sub>
                <m:r>
                  <m:rPr>
                    <m:sty m:val="p"/>
                  </m:rPr>
                  <m:t>ln</m:t>
                </m:r>
                <m:r>
                  <m:t>D</m:t>
                </m:r>
              </m:sub>
            </m:sSub>
            <m:r>
              <m:t>&amp;</m:t>
            </m:r>
            <m:r>
              <m:rPr>
                <m:sty m:val="p"/>
              </m:rPr>
              <m:t>=</m:t>
            </m:r>
            <m:r>
              <m:t>0.73</m:t>
            </m:r>
            <m:r>
              <m:rPr>
                <m:sty m:val="p"/>
              </m:rPr>
              <m:t>.</m:t>
            </m:r>
          </m:e>
        </m:eqArr>
      </m:oMath>
      <w:r>
        <w:tab/>
      </w:r>
      <w:r>
        <w:t xml:space="preserve">(21)</w:t>
      </w:r>
      <w:bookmarkEnd w:id="100"/>
    </w:p>
    <w:p>
      <w:pPr>
        <w:pStyle w:val="BodyText"/>
      </w:pPr>
      <w:r>
        <w:t xml:space="preserve">La formulación</w:t>
      </w:r>
      <w:r>
        <w:t xml:space="preserve"> </w:t>
      </w:r>
      <w:r>
        <w:rPr>
          <w:rStyle w:val="VerbatimChar"/>
        </w:rPr>
        <w:t xml:space="preserve">BM19</w:t>
      </w:r>
      <w:r>
        <w:t xml:space="preserve"> </w:t>
      </w:r>
      <w:r>
        <w:t xml:space="preserve">(</w:t>
      </w:r>
      <w:hyperlink w:anchor="ref-BrayMacedo2019">
        <w:r>
          <w:rPr>
            <w:rStyle w:val="Hyperlink"/>
          </w:rPr>
          <w:t xml:space="preserve">Bray y Macedo 2019</w:t>
        </w:r>
      </w:hyperlink>
      <w:r>
        <w:t xml:space="preserve">)</w:t>
      </w:r>
      <w:r>
        <w:t xml:space="preserve"> </w:t>
      </w:r>
      <w:r>
        <w:t xml:space="preserve">representa movimientos corticales someros ordinarios con</w:t>
      </w:r>
      <w:r>
        <w:t xml:space="preserve"> </w:t>
      </w:r>
      <m:oMath>
        <m:sSub>
          <m:e>
            <m:r>
              <m:t>S</m:t>
            </m:r>
          </m:e>
          <m:sub>
            <m:r>
              <m:t>a</m:t>
            </m:r>
          </m:sub>
        </m:sSub>
        <m:r>
          <m:rPr>
            <m:sty m:val="p"/>
          </m:rPr>
          <m:t>=</m:t>
        </m:r>
        <m:sSub>
          <m:e>
            <m:r>
              <m:t>S</m:t>
            </m:r>
          </m:e>
          <m:sub>
            <m:r>
              <m:t>a</m:t>
            </m:r>
          </m:sub>
        </m:sSub>
        <m:r>
          <m:rPr>
            <m:sty m:val="p"/>
          </m:rPr>
          <m:t>(</m:t>
        </m:r>
        <m:r>
          <m:t>1.3</m:t>
        </m:r>
        <m:sSub>
          <m:e>
            <m:r>
              <m:t>T</m:t>
            </m:r>
          </m:e>
          <m:sub>
            <m:r>
              <m:t>s</m:t>
            </m:r>
          </m:sub>
        </m:sSub>
        <m:r>
          <m:rPr>
            <m:sty m:val="p"/>
          </m:rPr>
          <m:t>)</m:t>
        </m:r>
      </m:oMath>
      <w:r>
        <w:t xml:space="preserve">:</w:t>
      </w:r>
    </w:p>
    <w:p>
      <w:pPr>
        <w:pStyle w:val="Equation"/>
      </w:pPr>
      <w:bookmarkStart w:id="101" w:name="eq-newmark-bm19"/>
      <w:r>
        <w:tab/>
      </w:r>
      <m:oMath>
        <m:eqArr>
          <m:e>
            <m:sSub>
              <m:e>
                <m:r>
                  <m:t>μ</m:t>
                </m:r>
              </m:e>
              <m:sub>
                <m:r>
                  <m:rPr>
                    <m:sty m:val="p"/>
                  </m:rPr>
                  <m:t>ln</m:t>
                </m:r>
                <m:r>
                  <m:t>D</m:t>
                </m:r>
              </m:sub>
            </m:sSub>
            <m:r>
              <m:t>&amp;</m:t>
            </m:r>
            <m:r>
              <m:rPr>
                <m:sty m:val="p"/>
              </m:rPr>
              <m:t>=</m:t>
            </m:r>
            <m:sSub>
              <m:e>
                <m:r>
                  <m:t>a</m:t>
                </m:r>
              </m:e>
              <m:sub>
                <m:r>
                  <m:t>0</m:t>
                </m:r>
              </m:sub>
            </m:sSub>
            <m:r>
              <m:rPr>
                <m:sty m:val="p"/>
              </m:rPr>
              <m:t>+</m:t>
            </m:r>
            <m:d>
              <m:dPr>
                <m:begChr m:val="("/>
                <m:sepChr m:val=""/>
                <m:endChr m:val=")"/>
                <m:grow/>
              </m:dPr>
              <m:e>
                <m:r>
                  <m:t>2.649</m:t>
                </m:r>
                <m:r>
                  <m:rPr>
                    <m:sty m:val="p"/>
                  </m:rPr>
                  <m:t>+</m:t>
                </m:r>
                <m:r>
                  <m:t>0.344</m:t>
                </m:r>
                <m:r>
                  <m:rPr>
                    <m:sty m:val="p"/>
                  </m:rPr>
                  <m:t>ln</m:t>
                </m:r>
                <m:sSub>
                  <m:e>
                    <m:r>
                      <m:t>k</m:t>
                    </m:r>
                  </m:e>
                  <m:sub>
                    <m:r>
                      <m:t>y</m:t>
                    </m:r>
                  </m:sub>
                </m:sSub>
              </m:e>
            </m:d>
            <m:r>
              <m:rPr>
                <m:sty m:val="p"/>
              </m:rPr>
              <m:t>ln</m:t>
            </m:r>
            <m:sSub>
              <m:e>
                <m:r>
                  <m:t>S</m:t>
                </m:r>
              </m:e>
              <m:sub>
                <m:r>
                  <m:t>a</m:t>
                </m:r>
              </m:sub>
            </m:sSub>
            <m:r>
              <m:rPr>
                <m:sty m:val="p"/>
              </m:rPr>
              <m:t>−</m:t>
            </m:r>
            <m:r>
              <m:t>0.090</m:t>
            </m:r>
            <m:r>
              <m:rPr>
                <m:sty m:val="p"/>
              </m:rPr>
              <m:t>(</m:t>
            </m:r>
            <m:r>
              <m:rPr>
                <m:sty m:val="p"/>
              </m:rPr>
              <m:t>ln</m:t>
            </m:r>
            <m:sSub>
              <m:e>
                <m:r>
                  <m:t>S</m:t>
                </m:r>
              </m:e>
              <m:sub>
                <m:r>
                  <m:t>a</m:t>
                </m:r>
              </m:sub>
            </m:sSub>
            <m:sSup>
              <m:e>
                <m:r>
                  <m:rPr>
                    <m:sty m:val="p"/>
                  </m:rPr>
                  <m:t>)</m:t>
                </m:r>
              </m:e>
              <m:sup>
                <m:r>
                  <m:t>2</m:t>
                </m:r>
              </m:sup>
            </m:sSup>
            <m:r>
              <m:rPr>
                <m:sty m:val="p"/>
              </m:rPr>
              <m:t>,</m:t>
            </m:r>
          </m:e>
          <m:e>
            <m:sSub>
              <m:e>
                <m:r>
                  <m:t>a</m:t>
                </m:r>
              </m:e>
              <m:sub>
                <m:r>
                  <m:t>0</m:t>
                </m:r>
                <m:r>
                  <m:rPr>
                    <m:sty m:val="p"/>
                  </m:rPr>
                  <m:t>,</m:t>
                </m:r>
                <m:r>
                  <m:rPr>
                    <m:sty m:val="p"/>
                  </m:rPr>
                  <m:t>&lt;</m:t>
                </m:r>
              </m:sub>
            </m:sSub>
            <m:r>
              <m:rPr>
                <m:sty m:val="p"/>
              </m:rPr>
              <m:t>=</m:t>
            </m:r>
            <m:r>
              <m:t>​</m:t>
            </m:r>
            <m:r>
              <m:t>&amp;</m:t>
            </m:r>
            <m:r>
              <m:rPr>
                <m:sty m:val="p"/>
              </m:rPr>
              <m:t>−</m:t>
            </m:r>
            <m:r>
              <m:t>4.684</m:t>
            </m:r>
            <m:r>
              <m:rPr>
                <m:sty m:val="p"/>
              </m:rPr>
              <m:t>+</m:t>
            </m:r>
            <m:r>
              <m:t>0.603</m:t>
            </m:r>
            <m:sSub>
              <m:e>
                <m:r>
                  <m:t>M</m:t>
                </m:r>
              </m:e>
              <m:sub>
                <m:r>
                  <m:t>w</m:t>
                </m:r>
              </m:sub>
            </m:sSub>
            <m:r>
              <m:rPr>
                <m:sty m:val="p"/>
              </m:rPr>
              <m:t>−</m:t>
            </m:r>
            <m:r>
              <m:t>9.471</m:t>
            </m:r>
            <m:sSub>
              <m:e>
                <m:r>
                  <m:t>T</m:t>
                </m:r>
              </m:e>
              <m:sub>
                <m:r>
                  <m:t>s</m:t>
                </m:r>
              </m:sub>
            </m:sSub>
          </m:e>
          <m:e>
            <m:r>
              <m:t>&amp;</m:t>
            </m:r>
            <m:r>
              <m:rPr>
                <m:sty m:val="p"/>
              </m:rPr>
              <m:t>−</m:t>
            </m:r>
            <m:r>
              <m:t>2.482</m:t>
            </m:r>
            <m:r>
              <m:rPr>
                <m:sty m:val="p"/>
              </m:rPr>
              <m:t>ln</m:t>
            </m:r>
            <m:sSub>
              <m:e>
                <m:r>
                  <m:t>k</m:t>
                </m:r>
              </m:e>
              <m:sub>
                <m:r>
                  <m:t>y</m:t>
                </m:r>
              </m:sub>
            </m:sSub>
            <m:r>
              <m:rPr>
                <m:sty m:val="p"/>
              </m:rPr>
              <m:t>−</m:t>
            </m:r>
            <m:r>
              <m:t>0.244</m:t>
            </m:r>
            <m:r>
              <m:rPr>
                <m:sty m:val="p"/>
              </m:rPr>
              <m:t>(</m:t>
            </m:r>
            <m:r>
              <m:rPr>
                <m:sty m:val="p"/>
              </m:rPr>
              <m:t>ln</m:t>
            </m:r>
            <m:sSub>
              <m:e>
                <m:r>
                  <m:t>k</m:t>
                </m:r>
              </m:e>
              <m:sub>
                <m:r>
                  <m:t>y</m:t>
                </m:r>
              </m:sub>
            </m:sSub>
            <m:sSup>
              <m:e>
                <m:r>
                  <m:rPr>
                    <m:sty m:val="p"/>
                  </m:rPr>
                  <m:t>)</m:t>
                </m:r>
              </m:e>
              <m:sup>
                <m:r>
                  <m:t>2</m:t>
                </m:r>
              </m:sup>
            </m:sSup>
            <m:r>
              <m:rPr>
                <m:sty m:val="p"/>
              </m:rPr>
              <m:t>,</m:t>
            </m:r>
          </m:e>
          <m:e>
            <m:sSub>
              <m:e>
                <m:r>
                  <m:t>a</m:t>
                </m:r>
              </m:e>
              <m:sub>
                <m:r>
                  <m:t>0</m:t>
                </m:r>
                <m:r>
                  <m:rPr>
                    <m:sty m:val="p"/>
                  </m:rPr>
                  <m:t>,</m:t>
                </m:r>
                <m:r>
                  <m:rPr>
                    <m:sty m:val="p"/>
                  </m:rPr>
                  <m:t>≥</m:t>
                </m:r>
              </m:sub>
            </m:sSub>
            <m:r>
              <m:rPr>
                <m:sty m:val="p"/>
              </m:rPr>
              <m:t>=</m:t>
            </m:r>
            <m:r>
              <m:t>​</m:t>
            </m:r>
            <m:r>
              <m:t>&amp;</m:t>
            </m:r>
            <m:r>
              <m:rPr>
                <m:sty m:val="p"/>
              </m:rPr>
              <m:t>−</m:t>
            </m:r>
            <m:r>
              <m:t>5.981</m:t>
            </m:r>
            <m:r>
              <m:rPr>
                <m:sty m:val="p"/>
              </m:rPr>
              <m:t>+</m:t>
            </m:r>
            <m:r>
              <m:t>0.603</m:t>
            </m:r>
            <m:sSub>
              <m:e>
                <m:r>
                  <m:t>M</m:t>
                </m:r>
              </m:e>
              <m:sub>
                <m:r>
                  <m:t>w</m:t>
                </m:r>
              </m:sub>
            </m:sSub>
            <m:r>
              <m:rPr>
                <m:sty m:val="p"/>
              </m:rPr>
              <m:t>+</m:t>
            </m:r>
            <m:r>
              <m:t>3.223</m:t>
            </m:r>
            <m:sSub>
              <m:e>
                <m:r>
                  <m:t>T</m:t>
                </m:r>
              </m:e>
              <m:sub>
                <m:r>
                  <m:t>s</m:t>
                </m:r>
              </m:sub>
            </m:sSub>
            <m:r>
              <m:rPr>
                <m:sty m:val="p"/>
              </m:rPr>
              <m:t>−</m:t>
            </m:r>
            <m:r>
              <m:t>0.945</m:t>
            </m:r>
            <m:sSubSup>
              <m:e>
                <m:r>
                  <m:t>T</m:t>
                </m:r>
              </m:e>
              <m:sub>
                <m:r>
                  <m:t>s</m:t>
                </m:r>
              </m:sub>
              <m:sup>
                <m:r>
                  <m:t>2</m:t>
                </m:r>
              </m:sup>
            </m:sSubSup>
          </m:e>
          <m:e>
            <m:r>
              <m:t>&amp;</m:t>
            </m:r>
            <m:r>
              <m:rPr>
                <m:sty m:val="p"/>
              </m:rPr>
              <m:t>−</m:t>
            </m:r>
            <m:r>
              <m:t>2.482</m:t>
            </m:r>
            <m:r>
              <m:rPr>
                <m:sty m:val="p"/>
              </m:rPr>
              <m:t>ln</m:t>
            </m:r>
            <m:sSub>
              <m:e>
                <m:r>
                  <m:t>k</m:t>
                </m:r>
              </m:e>
              <m:sub>
                <m:r>
                  <m:t>y</m:t>
                </m:r>
              </m:sub>
            </m:sSub>
            <m:r>
              <m:rPr>
                <m:sty m:val="p"/>
              </m:rPr>
              <m:t>−</m:t>
            </m:r>
            <m:r>
              <m:t>0.244</m:t>
            </m:r>
            <m:r>
              <m:rPr>
                <m:sty m:val="p"/>
              </m:rPr>
              <m:t>(</m:t>
            </m:r>
            <m:r>
              <m:rPr>
                <m:sty m:val="p"/>
              </m:rPr>
              <m:t>ln</m:t>
            </m:r>
            <m:sSub>
              <m:e>
                <m:r>
                  <m:t>k</m:t>
                </m:r>
              </m:e>
              <m:sub>
                <m:r>
                  <m:t>y</m:t>
                </m:r>
              </m:sub>
            </m:sSub>
            <m:sSup>
              <m:e>
                <m:r>
                  <m:rPr>
                    <m:sty m:val="p"/>
                  </m:rPr>
                  <m:t>)</m:t>
                </m:r>
              </m:e>
              <m:sup>
                <m:r>
                  <m:t>2</m:t>
                </m:r>
              </m:sup>
            </m:sSup>
            <m:r>
              <m:rPr>
                <m:sty m:val="p"/>
              </m:rPr>
              <m:t>,</m:t>
            </m:r>
          </m:e>
          <m:e>
            <m:sSub>
              <m:e>
                <m:r>
                  <m:t>a</m:t>
                </m:r>
              </m:e>
              <m:sub>
                <m:r>
                  <m:t>0</m:t>
                </m:r>
              </m:sub>
            </m:sSub>
            <m:r>
              <m:t>&amp;</m:t>
            </m:r>
            <m:r>
              <m:rPr>
                <m:sty m:val="p"/>
              </m:rPr>
              <m:t>=</m:t>
            </m:r>
            <m:d>
              <m:dPr>
                <m:begChr m:val="{"/>
                <m:sepChr m:val=""/>
                <m:endChr m:val=""/>
                <m:grow/>
              </m:dPr>
              <m:e>
                <m:m>
                  <m:mPr>
                    <m:baseJc m:val="center"/>
                    <m:plcHide m:val="on"/>
                    <m:mcs>
                      <m:mc>
                        <m:mcPr>
                          <m:mcJc m:val="left"/>
                          <m:count m:val="1"/>
                        </m:mcPr>
                      </m:mc>
                      <m:mc>
                        <m:mcPr>
                          <m:mcJc m:val="left"/>
                          <m:count m:val="1"/>
                        </m:mcPr>
                      </m:mc>
                    </m:mcs>
                  </m:mPr>
                  <m:mr>
                    <m:e>
                      <m:sSub>
                        <m:e>
                          <m:r>
                            <m:t>a</m:t>
                          </m:r>
                        </m:e>
                        <m:sub>
                          <m:r>
                            <m:t>0</m:t>
                          </m:r>
                          <m:r>
                            <m:rPr>
                              <m:sty m:val="p"/>
                            </m:rPr>
                            <m:t>,</m:t>
                          </m:r>
                          <m:r>
                            <m:rPr>
                              <m:sty m:val="p"/>
                            </m:rPr>
                            <m:t>&lt;</m:t>
                          </m:r>
                        </m:sub>
                      </m:sSub>
                      <m:r>
                        <m:rPr>
                          <m:sty m:val="p"/>
                        </m:rPr>
                        <m:t>,</m:t>
                      </m:r>
                    </m:e>
                    <m:e>
                      <m:sSub>
                        <m:e>
                          <m:r>
                            <m:t>T</m:t>
                          </m:r>
                        </m:e>
                        <m:sub>
                          <m:r>
                            <m:t>s</m:t>
                          </m:r>
                        </m:sub>
                      </m:sSub>
                      <m:r>
                        <m:rPr>
                          <m:sty m:val="p"/>
                        </m:rPr>
                        <m:t>&lt;</m:t>
                      </m:r>
                      <m:r>
                        <m:t>0.1</m:t>
                      </m:r>
                      <m:r>
                        <m:t> </m:t>
                      </m:r>
                      <m:r>
                        <m:rPr>
                          <m:sty m:val="p"/>
                        </m:rPr>
                        <m:t>s</m:t>
                      </m:r>
                      <m:r>
                        <m:rPr>
                          <m:sty m:val="p"/>
                        </m:rPr>
                        <m:t>,</m:t>
                      </m:r>
                    </m:e>
                  </m:mr>
                  <m:mr>
                    <m:e>
                      <m:sSub>
                        <m:e>
                          <m:r>
                            <m:t>a</m:t>
                          </m:r>
                        </m:e>
                        <m:sub>
                          <m:r>
                            <m:t>0</m:t>
                          </m:r>
                          <m:r>
                            <m:rPr>
                              <m:sty m:val="p"/>
                            </m:rPr>
                            <m:t>,</m:t>
                          </m:r>
                          <m:r>
                            <m:rPr>
                              <m:sty m:val="p"/>
                            </m:rPr>
                            <m:t>≥</m:t>
                          </m:r>
                        </m:sub>
                      </m:sSub>
                      <m:r>
                        <m:rPr>
                          <m:sty m:val="p"/>
                        </m:rPr>
                        <m:t>,</m:t>
                      </m:r>
                    </m:e>
                    <m:e>
                      <m:sSub>
                        <m:e>
                          <m:r>
                            <m:t>T</m:t>
                          </m:r>
                        </m:e>
                        <m:sub>
                          <m:r>
                            <m:t>s</m:t>
                          </m:r>
                        </m:sub>
                      </m:sSub>
                      <m:r>
                        <m:rPr>
                          <m:sty m:val="p"/>
                        </m:rPr>
                        <m:t>≥</m:t>
                      </m:r>
                      <m:r>
                        <m:t>0.1</m:t>
                      </m:r>
                      <m:r>
                        <m:t> </m:t>
                      </m:r>
                      <m:r>
                        <m:rPr>
                          <m:sty m:val="p"/>
                        </m:rPr>
                        <m:t>s</m:t>
                      </m:r>
                      <m:r>
                        <m:rPr>
                          <m:sty m:val="p"/>
                        </m:rPr>
                        <m:t>,</m:t>
                      </m:r>
                    </m:e>
                  </m:mr>
                </m:m>
              </m:e>
            </m:d>
          </m:e>
          <m:e>
            <m:sSub>
              <m:e>
                <m:r>
                  <m:t>σ</m:t>
                </m:r>
              </m:e>
              <m:sub>
                <m:r>
                  <m:rPr>
                    <m:sty m:val="p"/>
                  </m:rPr>
                  <m:t>ln</m:t>
                </m:r>
                <m:r>
                  <m:t>D</m:t>
                </m:r>
              </m:sub>
            </m:sSub>
            <m:r>
              <m:t>&amp;</m:t>
            </m:r>
            <m:r>
              <m:rPr>
                <m:sty m:val="p"/>
              </m:rPr>
              <m:t>=</m:t>
            </m:r>
            <m:r>
              <m:t>0.72</m:t>
            </m:r>
            <m:r>
              <m:rPr>
                <m:sty m:val="p"/>
              </m:rPr>
              <m:t>.</m:t>
            </m:r>
          </m:e>
        </m:eqArr>
      </m:oMath>
      <w:r>
        <w:tab/>
      </w:r>
      <w:r>
        <w:t xml:space="preserve">(22)</w:t>
      </w:r>
      <w:bookmarkEnd w:id="101"/>
    </w:p>
    <w:bookmarkEnd w:id="102"/>
    <w:bookmarkStart w:id="103" w:name="sec-newmark-ensemble"/>
    <w:p>
      <w:pPr>
        <w:pStyle w:val="Heading2"/>
      </w:pPr>
      <w:r>
        <w:t xml:space="preserve">Ensamble</w:t>
      </w:r>
    </w:p>
    <w:p>
      <w:pPr>
        <w:pStyle w:val="FirstParagraph"/>
      </w:pPr>
      <w:r>
        <w:t xml:space="preserve">La configuración activa aplica cinco formulaciones:</w:t>
      </w:r>
      <w:r>
        <w:t xml:space="preserve"> </w:t>
      </w:r>
      <w:r>
        <w:rPr>
          <w:rStyle w:val="VerbatimChar"/>
        </w:rPr>
        <w:t xml:space="preserve">AM88</w:t>
      </w:r>
      <w:r>
        <w:t xml:space="preserve">,</w:t>
      </w:r>
      <w:r>
        <w:t xml:space="preserve"> </w:t>
      </w:r>
      <w:r>
        <w:rPr>
          <w:rStyle w:val="VerbatimChar"/>
        </w:rPr>
        <w:t xml:space="preserve">JB07</w:t>
      </w:r>
      <w:r>
        <w:t xml:space="preserve">,</w:t>
      </w:r>
      <w:r>
        <w:t xml:space="preserve"> </w:t>
      </w:r>
      <w:r>
        <w:rPr>
          <w:rStyle w:val="VerbatimChar"/>
        </w:rPr>
        <w:t xml:space="preserve">SR08</w:t>
      </w:r>
      <w:r>
        <w:t xml:space="preserve">,</w:t>
      </w:r>
      <w:r>
        <w:t xml:space="preserve"> </w:t>
      </w:r>
      <w:r>
        <w:rPr>
          <w:rStyle w:val="VerbatimChar"/>
        </w:rPr>
        <w:t xml:space="preserve">BT07</w:t>
      </w:r>
      <w:r>
        <w:t xml:space="preserve"> </w:t>
      </w:r>
      <w:r>
        <w:t xml:space="preserve">y una rama BM —</w:t>
      </w:r>
      <w:r>
        <w:t xml:space="preserve"> </w:t>
      </w:r>
      <w:r>
        <w:rPr>
          <w:rStyle w:val="VerbatimChar"/>
        </w:rPr>
        <w:t xml:space="preserve">BM17</w:t>
      </w:r>
      <w:r>
        <w:t xml:space="preserve"> </w:t>
      </w:r>
      <w:r>
        <w:t xml:space="preserve">cuando el proyecto declara control de subducción,</w:t>
      </w:r>
      <w:r>
        <w:t xml:space="preserve"> </w:t>
      </w:r>
      <w:r>
        <w:rPr>
          <w:rStyle w:val="VerbatimChar"/>
        </w:rPr>
        <w:t xml:space="preserve">BM19</w:t>
      </w:r>
      <w:r>
        <w:t xml:space="preserve"> </w:t>
      </w:r>
      <w:r>
        <w:t xml:space="preserve">cuando declara control cortical; cada evaluación aplica por lo tanto cinco formulaciones, nunca ambas ramas BM a la vez. Los predictores y las dispersiones se aplican con la forma publicada de cada modelo, y las cinco formulaciones se combinan con los pesos iguales y las familias rígida y flexible definidos en la Sección</w:t>
      </w:r>
      <w:r>
        <w:t xml:space="preserve"> </w:t>
      </w:r>
      <w:hyperlink w:anchor="sec-coefficients">
        <w:r>
          <w:rPr>
            <w:rStyle w:val="Hyperlink"/>
          </w:rPr>
          <w:t xml:space="preserve">1.3</w:t>
        </w:r>
      </w:hyperlink>
      <w:r>
        <w:t xml:space="preserve">.</w:t>
      </w:r>
    </w:p>
    <w:bookmarkEnd w:id="103"/>
    <w:bookmarkStart w:id="154" w:name="referencias"/>
    <w:p>
      <w:pPr>
        <w:pStyle w:val="Heading2"/>
      </w:pPr>
      <w:r>
        <w:t xml:space="preserve">Referencias</w:t>
      </w:r>
    </w:p>
    <w:bookmarkStart w:id="153" w:name="refs"/>
    <w:bookmarkStart w:id="104" w:name="ref-Aliberti2019"/>
    <w:p>
      <w:pPr>
        <w:pStyle w:val="Bibliography"/>
      </w:pPr>
      <w:r>
        <w:t xml:space="preserve">Aliberti, D., G. Biondi, E. Cascone, y S. Rampello. 2019.</w:t>
      </w:r>
      <w:r>
        <w:t xml:space="preserve"> </w:t>
      </w:r>
      <w:r>
        <w:t xml:space="preserve">«Performance</w:t>
      </w:r>
      <w:r>
        <w:t xml:space="preserve"> </w:t>
      </w:r>
      <w:r>
        <w:t xml:space="preserve">Indexes</w:t>
      </w:r>
      <w:r>
        <w:t xml:space="preserve"> </w:t>
      </w:r>
      <w:r>
        <w:t xml:space="preserve">for</w:t>
      </w:r>
      <w:r>
        <w:t xml:space="preserve"> </w:t>
      </w:r>
      <w:r>
        <w:t xml:space="preserve">Seismic</w:t>
      </w:r>
      <w:r>
        <w:t xml:space="preserve"> </w:t>
      </w:r>
      <w:r>
        <w:t xml:space="preserve">Analyses</w:t>
      </w:r>
      <w:r>
        <w:t xml:space="preserve"> </w:t>
      </w:r>
      <w:r>
        <w:t xml:space="preserve">of</w:t>
      </w:r>
      <w:r>
        <w:t xml:space="preserve"> </w:t>
      </w:r>
      <w:r>
        <w:t xml:space="preserve">Earth</w:t>
      </w:r>
      <w:r>
        <w:t xml:space="preserve"> </w:t>
      </w:r>
      <w:r>
        <w:t xml:space="preserve">Dams</w:t>
      </w:r>
      <w:r>
        <w:t xml:space="preserve">»</w:t>
      </w:r>
      <w:r>
        <w:t xml:space="preserve">. En</w:t>
      </w:r>
      <w:r>
        <w:t xml:space="preserve"> </w:t>
      </w:r>
      <w:r>
        <w:rPr>
          <w:i/>
          <w:iCs/>
        </w:rPr>
        <w:t xml:space="preserve">Earthquake Geotechnical Engineering for Protection and Development of Environment and Constructions</w:t>
      </w:r>
      <w:r>
        <w:t xml:space="preserve">, editado por F. Silvestri y N. Moraci. Associazione Geotecnica Italiana.</w:t>
      </w:r>
    </w:p>
    <w:bookmarkEnd w:id="104"/>
    <w:bookmarkStart w:id="106" w:name="ref-AmbraseysMenu1988"/>
    <w:p>
      <w:pPr>
        <w:pStyle w:val="Bibliography"/>
      </w:pPr>
      <w:r>
        <w:t xml:space="preserve">Ambraseys, N. N., y J. M. Menu. 1988.</w:t>
      </w:r>
      <w:r>
        <w:t xml:space="preserve"> </w:t>
      </w:r>
      <w:r>
        <w:t xml:space="preserve">«Earthquake-Induced</w:t>
      </w:r>
      <w:r>
        <w:t xml:space="preserve"> </w:t>
      </w:r>
      <w:r>
        <w:t xml:space="preserve">Ground</w:t>
      </w:r>
      <w:r>
        <w:t xml:space="preserve"> </w:t>
      </w:r>
      <w:r>
        <w:t xml:space="preserve">Displacements</w:t>
      </w:r>
      <w:r>
        <w:t xml:space="preserve">»</w:t>
      </w:r>
      <w:r>
        <w:t xml:space="preserve">.</w:t>
      </w:r>
      <w:r>
        <w:t xml:space="preserve"> </w:t>
      </w:r>
      <w:r>
        <w:rPr>
          <w:i/>
          <w:iCs/>
        </w:rPr>
        <w:t xml:space="preserve">Earthquake Engineering &amp; Structural Dynamics</w:t>
      </w:r>
      <w:r>
        <w:t xml:space="preserve"> </w:t>
      </w:r>
      <w:r>
        <w:t xml:space="preserve">16 (7): 985-1006.</w:t>
      </w:r>
      <w:r>
        <w:t xml:space="preserve"> </w:t>
      </w:r>
      <w:hyperlink r:id="rId105">
        <w:r>
          <w:rPr>
            <w:rStyle w:val="Hyperlink"/>
          </w:rPr>
          <w:t xml:space="preserve">https://doi.org/10.1002/eqe.4290160704</w:t>
        </w:r>
      </w:hyperlink>
      <w:r>
        <w:t xml:space="preserve">.</w:t>
      </w:r>
    </w:p>
    <w:bookmarkEnd w:id="106"/>
    <w:bookmarkStart w:id="108" w:name="ref-AndersonEtAl2008"/>
    <w:p>
      <w:pPr>
        <w:pStyle w:val="Bibliography"/>
      </w:pPr>
      <w:r>
        <w:t xml:space="preserve">Anderson, Donald G., Geoffrey R. Martin, I. P. Lam, y John N. Wang. 2008.</w:t>
      </w:r>
      <w:r>
        <w:t xml:space="preserve"> </w:t>
      </w:r>
      <w:r>
        <w:rPr>
          <w:i/>
          <w:iCs/>
        </w:rPr>
        <w:t xml:space="preserve">Seismic</w:t>
      </w:r>
      <w:r>
        <w:rPr>
          <w:i/>
          <w:iCs/>
        </w:rPr>
        <w:t xml:space="preserve"> </w:t>
      </w:r>
      <w:r>
        <w:rPr>
          <w:i/>
          <w:iCs/>
        </w:rPr>
        <w:t xml:space="preserve">Analysis</w:t>
      </w:r>
      <w:r>
        <w:rPr>
          <w:i/>
          <w:iCs/>
        </w:rPr>
        <w:t xml:space="preserve"> </w:t>
      </w:r>
      <w:r>
        <w:rPr>
          <w:i/>
          <w:iCs/>
        </w:rPr>
        <w:t xml:space="preserve">and</w:t>
      </w:r>
      <w:r>
        <w:rPr>
          <w:i/>
          <w:iCs/>
        </w:rPr>
        <w:t xml:space="preserve"> </w:t>
      </w:r>
      <w:r>
        <w:rPr>
          <w:i/>
          <w:iCs/>
        </w:rPr>
        <w:t xml:space="preserve">Design</w:t>
      </w:r>
      <w:r>
        <w:rPr>
          <w:i/>
          <w:iCs/>
        </w:rPr>
        <w:t xml:space="preserve"> </w:t>
      </w:r>
      <w:r>
        <w:rPr>
          <w:i/>
          <w:iCs/>
        </w:rPr>
        <w:t xml:space="preserve">of</w:t>
      </w:r>
      <w:r>
        <w:rPr>
          <w:i/>
          <w:iCs/>
        </w:rPr>
        <w:t xml:space="preserve"> </w:t>
      </w:r>
      <w:r>
        <w:rPr>
          <w:i/>
          <w:iCs/>
        </w:rPr>
        <w:t xml:space="preserve">Retaining</w:t>
      </w:r>
      <w:r>
        <w:rPr>
          <w:i/>
          <w:iCs/>
        </w:rPr>
        <w:t xml:space="preserve"> </w:t>
      </w:r>
      <w:r>
        <w:rPr>
          <w:i/>
          <w:iCs/>
        </w:rPr>
        <w:t xml:space="preserve">Walls</w:t>
      </w:r>
      <w:r>
        <w:rPr>
          <w:i/>
          <w:iCs/>
        </w:rPr>
        <w:t xml:space="preserve">,</w:t>
      </w:r>
      <w:r>
        <w:rPr>
          <w:i/>
          <w:iCs/>
        </w:rPr>
        <w:t xml:space="preserve"> </w:t>
      </w:r>
      <w:r>
        <w:rPr>
          <w:i/>
          <w:iCs/>
        </w:rPr>
        <w:t xml:space="preserve">Buried</w:t>
      </w:r>
      <w:r>
        <w:rPr>
          <w:i/>
          <w:iCs/>
        </w:rPr>
        <w:t xml:space="preserve"> </w:t>
      </w:r>
      <w:r>
        <w:rPr>
          <w:i/>
          <w:iCs/>
        </w:rPr>
        <w:t xml:space="preserve">Structures</w:t>
      </w:r>
      <w:r>
        <w:rPr>
          <w:i/>
          <w:iCs/>
        </w:rPr>
        <w:t xml:space="preserve">,</w:t>
      </w:r>
      <w:r>
        <w:rPr>
          <w:i/>
          <w:iCs/>
        </w:rPr>
        <w:t xml:space="preserve"> </w:t>
      </w:r>
      <w:r>
        <w:rPr>
          <w:i/>
          <w:iCs/>
        </w:rPr>
        <w:t xml:space="preserve">Slopes</w:t>
      </w:r>
      <w:r>
        <w:rPr>
          <w:i/>
          <w:iCs/>
        </w:rPr>
        <w:t xml:space="preserve">, and</w:t>
      </w:r>
      <w:r>
        <w:rPr>
          <w:i/>
          <w:iCs/>
        </w:rPr>
        <w:t xml:space="preserve"> </w:t>
      </w:r>
      <w:r>
        <w:rPr>
          <w:i/>
          <w:iCs/>
        </w:rPr>
        <w:t xml:space="preserve">Embankments</w:t>
      </w:r>
      <w:r>
        <w:t xml:space="preserve">. NCHRP Report No. 611. Transportation Research Board.</w:t>
      </w:r>
      <w:r>
        <w:t xml:space="preserve"> </w:t>
      </w:r>
      <w:hyperlink r:id="rId107">
        <w:r>
          <w:rPr>
            <w:rStyle w:val="Hyperlink"/>
          </w:rPr>
          <w:t xml:space="preserve">https://www.ce.memphis.edu/7137/PDFs/Seismic%20Manual/nchrp_rpt_611.pdf</w:t>
        </w:r>
      </w:hyperlink>
      <w:r>
        <w:t xml:space="preserve">.</w:t>
      </w:r>
    </w:p>
    <w:bookmarkEnd w:id="108"/>
    <w:bookmarkStart w:id="109" w:name="ref-ANCOLD2012"/>
    <w:p>
      <w:pPr>
        <w:pStyle w:val="Bibliography"/>
      </w:pPr>
      <w:r>
        <w:t xml:space="preserve">Australian National Committee on Large Dams. 2012.</w:t>
      </w:r>
      <w:r>
        <w:t xml:space="preserve"> </w:t>
      </w:r>
      <w:r>
        <w:rPr>
          <w:i/>
          <w:iCs/>
        </w:rPr>
        <w:t xml:space="preserve">Guidelines on</w:t>
      </w:r>
      <w:r>
        <w:rPr>
          <w:i/>
          <w:iCs/>
        </w:rPr>
        <w:t xml:space="preserve"> </w:t>
      </w:r>
      <w:r>
        <w:rPr>
          <w:i/>
          <w:iCs/>
        </w:rPr>
        <w:t xml:space="preserve">Tailings</w:t>
      </w:r>
      <w:r>
        <w:rPr>
          <w:i/>
          <w:iCs/>
        </w:rPr>
        <w:t xml:space="preserve"> </w:t>
      </w:r>
      <w:r>
        <w:rPr>
          <w:i/>
          <w:iCs/>
        </w:rPr>
        <w:t xml:space="preserve">Dams</w:t>
      </w:r>
      <w:r>
        <w:rPr>
          <w:i/>
          <w:iCs/>
        </w:rPr>
        <w:t xml:space="preserve">:</w:t>
      </w:r>
      <w:r>
        <w:rPr>
          <w:i/>
          <w:iCs/>
        </w:rPr>
        <w:t xml:space="preserve"> </w:t>
      </w:r>
      <w:r>
        <w:rPr>
          <w:i/>
          <w:iCs/>
        </w:rPr>
        <w:t xml:space="preserve">Planning</w:t>
      </w:r>
      <w:r>
        <w:rPr>
          <w:i/>
          <w:iCs/>
        </w:rPr>
        <w:t xml:space="preserve">,</w:t>
      </w:r>
      <w:r>
        <w:rPr>
          <w:i/>
          <w:iCs/>
        </w:rPr>
        <w:t xml:space="preserve"> </w:t>
      </w:r>
      <w:r>
        <w:rPr>
          <w:i/>
          <w:iCs/>
        </w:rPr>
        <w:t xml:space="preserve">Design</w:t>
      </w:r>
      <w:r>
        <w:rPr>
          <w:i/>
          <w:iCs/>
        </w:rPr>
        <w:t xml:space="preserve">,</w:t>
      </w:r>
      <w:r>
        <w:rPr>
          <w:i/>
          <w:iCs/>
        </w:rPr>
        <w:t xml:space="preserve"> </w:t>
      </w:r>
      <w:r>
        <w:rPr>
          <w:i/>
          <w:iCs/>
        </w:rPr>
        <w:t xml:space="preserve">Construction</w:t>
      </w:r>
      <w:r>
        <w:rPr>
          <w:i/>
          <w:iCs/>
        </w:rPr>
        <w:t xml:space="preserve">,</w:t>
      </w:r>
      <w:r>
        <w:rPr>
          <w:i/>
          <w:iCs/>
        </w:rPr>
        <w:t xml:space="preserve"> </w:t>
      </w:r>
      <w:r>
        <w:rPr>
          <w:i/>
          <w:iCs/>
        </w:rPr>
        <w:t xml:space="preserve">Operation</w:t>
      </w:r>
      <w:r>
        <w:rPr>
          <w:i/>
          <w:iCs/>
        </w:rPr>
        <w:t xml:space="preserve"> </w:t>
      </w:r>
      <w:r>
        <w:rPr>
          <w:i/>
          <w:iCs/>
        </w:rPr>
        <w:t xml:space="preserve">and</w:t>
      </w:r>
      <w:r>
        <w:rPr>
          <w:i/>
          <w:iCs/>
        </w:rPr>
        <w:t xml:space="preserve"> </w:t>
      </w:r>
      <w:r>
        <w:rPr>
          <w:i/>
          <w:iCs/>
        </w:rPr>
        <w:t xml:space="preserve">Closure</w:t>
      </w:r>
      <w:r>
        <w:t xml:space="preserve">. Australian National Committee on Large Dams.</w:t>
      </w:r>
    </w:p>
    <w:bookmarkEnd w:id="109"/>
    <w:bookmarkStart w:id="111" w:name="ref-BakerJayaram2008"/>
    <w:p>
      <w:pPr>
        <w:pStyle w:val="Bibliography"/>
      </w:pPr>
      <w:r>
        <w:t xml:space="preserve">Baker, Jack W., y Nirmal Jayaram. 2008.</w:t>
      </w:r>
      <w:r>
        <w:t xml:space="preserve"> </w:t>
      </w:r>
      <w:r>
        <w:t xml:space="preserve">«Correlation of</w:t>
      </w:r>
      <w:r>
        <w:t xml:space="preserve"> </w:t>
      </w:r>
      <w:r>
        <w:t xml:space="preserve">Spectral</w:t>
      </w:r>
      <w:r>
        <w:t xml:space="preserve"> </w:t>
      </w:r>
      <w:r>
        <w:t xml:space="preserve">Acceleration</w:t>
      </w:r>
      <w:r>
        <w:t xml:space="preserve"> </w:t>
      </w:r>
      <w:r>
        <w:t xml:space="preserve">Values</w:t>
      </w:r>
      <w:r>
        <w:t xml:space="preserve"> </w:t>
      </w:r>
      <w:r>
        <w:t xml:space="preserve">from</w:t>
      </w:r>
      <w:r>
        <w:t xml:space="preserve"> </w:t>
      </w:r>
      <w:r>
        <w:t xml:space="preserve">NGA</w:t>
      </w:r>
      <w:r>
        <w:t xml:space="preserve"> </w:t>
      </w:r>
      <w:r>
        <w:t xml:space="preserve">Ground</w:t>
      </w:r>
      <w:r>
        <w:t xml:space="preserve"> </w:t>
      </w:r>
      <w:r>
        <w:t xml:space="preserve">Motion</w:t>
      </w:r>
      <w:r>
        <w:t xml:space="preserve"> </w:t>
      </w:r>
      <w:r>
        <w:t xml:space="preserve">Models</w:t>
      </w:r>
      <w:r>
        <w:t xml:space="preserve">»</w:t>
      </w:r>
      <w:r>
        <w:t xml:space="preserve">.</w:t>
      </w:r>
      <w:r>
        <w:t xml:space="preserve"> </w:t>
      </w:r>
      <w:r>
        <w:rPr>
          <w:i/>
          <w:iCs/>
        </w:rPr>
        <w:t xml:space="preserve">Earthquake Spectra</w:t>
      </w:r>
      <w:r>
        <w:t xml:space="preserve"> </w:t>
      </w:r>
      <w:r>
        <w:t xml:space="preserve">24 (1): 299-317.</w:t>
      </w:r>
      <w:r>
        <w:t xml:space="preserve"> </w:t>
      </w:r>
      <w:hyperlink r:id="rId110">
        <w:r>
          <w:rPr>
            <w:rStyle w:val="Hyperlink"/>
          </w:rPr>
          <w:t xml:space="preserve">https://doi.org/10.1193/1.2857544</w:t>
        </w:r>
      </w:hyperlink>
      <w:r>
        <w:t xml:space="preserve">.</w:t>
      </w:r>
    </w:p>
    <w:bookmarkEnd w:id="111"/>
    <w:bookmarkStart w:id="113" w:name="ref-BrayTravasarou2007"/>
    <w:p>
      <w:pPr>
        <w:pStyle w:val="Bibliography"/>
      </w:pPr>
      <w:r>
        <w:t xml:space="preserve">Bray, J. D., y Thaleia Travasarou. 2007.</w:t>
      </w:r>
      <w:r>
        <w:t xml:space="preserve"> </w:t>
      </w:r>
      <w:r>
        <w:t xml:space="preserve">«Simplified</w:t>
      </w:r>
      <w:r>
        <w:t xml:space="preserve"> </w:t>
      </w:r>
      <w:r>
        <w:t xml:space="preserve">Procedure</w:t>
      </w:r>
      <w:r>
        <w:t xml:space="preserve"> </w:t>
      </w:r>
      <w:r>
        <w:t xml:space="preserve">for</w:t>
      </w:r>
      <w:r>
        <w:t xml:space="preserve"> </w:t>
      </w:r>
      <w:r>
        <w:t xml:space="preserve">Estimating</w:t>
      </w:r>
      <w:r>
        <w:t xml:space="preserve"> </w:t>
      </w:r>
      <w:r>
        <w:t xml:space="preserve">Earthquake-Induced</w:t>
      </w:r>
      <w:r>
        <w:t xml:space="preserve"> </w:t>
      </w:r>
      <w:r>
        <w:t xml:space="preserve">Deviatoric</w:t>
      </w:r>
      <w:r>
        <w:t xml:space="preserve"> </w:t>
      </w:r>
      <w:r>
        <w:t xml:space="preserve">Slope</w:t>
      </w:r>
      <w:r>
        <w:t xml:space="preserve"> </w:t>
      </w:r>
      <w:r>
        <w:t xml:space="preserve">Displacements</w:t>
      </w:r>
      <w:r>
        <w:t xml:space="preserve">»</w:t>
      </w:r>
      <w:r>
        <w:t xml:space="preserve">.</w:t>
      </w:r>
      <w:r>
        <w:t xml:space="preserve"> </w:t>
      </w:r>
      <w:r>
        <w:rPr>
          <w:i/>
          <w:iCs/>
        </w:rPr>
        <w:t xml:space="preserve">Journal of Geotechnical and Geoenvironmental Engineering</w:t>
      </w:r>
      <w:r>
        <w:t xml:space="preserve"> </w:t>
      </w:r>
      <w:r>
        <w:t xml:space="preserve">133 (4): 381-92.</w:t>
      </w:r>
      <w:r>
        <w:t xml:space="preserve"> </w:t>
      </w:r>
      <w:hyperlink r:id="rId112">
        <w:r>
          <w:rPr>
            <w:rStyle w:val="Hyperlink"/>
          </w:rPr>
          <w:t xml:space="preserve">https://doi.org/10.1061/(ASCE)1090-0241(2007)133:4(381)</w:t>
        </w:r>
      </w:hyperlink>
      <w:r>
        <w:t xml:space="preserve">.</w:t>
      </w:r>
    </w:p>
    <w:bookmarkEnd w:id="113"/>
    <w:bookmarkStart w:id="115" w:name="ref-BrayMacedo2019"/>
    <w:p>
      <w:pPr>
        <w:pStyle w:val="Bibliography"/>
      </w:pPr>
      <w:r>
        <w:t xml:space="preserve">Bray, Jonathan D., y Jorge Macedo. 2019.</w:t>
      </w:r>
      <w:r>
        <w:t xml:space="preserve"> </w:t>
      </w:r>
      <w:r>
        <w:t xml:space="preserve">«Procedure for</w:t>
      </w:r>
      <w:r>
        <w:t xml:space="preserve"> </w:t>
      </w:r>
      <w:r>
        <w:t xml:space="preserve">Estimating</w:t>
      </w:r>
      <w:r>
        <w:t xml:space="preserve"> </w:t>
      </w:r>
      <w:r>
        <w:t xml:space="preserve">Shear-Induced</w:t>
      </w:r>
      <w:r>
        <w:t xml:space="preserve"> </w:t>
      </w:r>
      <w:r>
        <w:t xml:space="preserve">Seismic</w:t>
      </w:r>
      <w:r>
        <w:t xml:space="preserve"> </w:t>
      </w:r>
      <w:r>
        <w:t xml:space="preserve">Slope</w:t>
      </w:r>
      <w:r>
        <w:t xml:space="preserve"> </w:t>
      </w:r>
      <w:r>
        <w:t xml:space="preserve">Displacement</w:t>
      </w:r>
      <w:r>
        <w:t xml:space="preserve"> </w:t>
      </w:r>
      <w:r>
        <w:t xml:space="preserve">for</w:t>
      </w:r>
      <w:r>
        <w:t xml:space="preserve"> </w:t>
      </w:r>
      <w:r>
        <w:t xml:space="preserve">Shallow</w:t>
      </w:r>
      <w:r>
        <w:t xml:space="preserve"> </w:t>
      </w:r>
      <w:r>
        <w:t xml:space="preserve">Crustal</w:t>
      </w:r>
      <w:r>
        <w:t xml:space="preserve"> </w:t>
      </w:r>
      <w:r>
        <w:t xml:space="preserve">Earthquakes</w:t>
      </w:r>
      <w:r>
        <w:t xml:space="preserve">»</w:t>
      </w:r>
      <w:r>
        <w:t xml:space="preserve">.</w:t>
      </w:r>
      <w:r>
        <w:t xml:space="preserve"> </w:t>
      </w:r>
      <w:r>
        <w:rPr>
          <w:i/>
          <w:iCs/>
        </w:rPr>
        <w:t xml:space="preserve">Journal of Geotechnical and Geoenvironmental Engineering</w:t>
      </w:r>
      <w:r>
        <w:t xml:space="preserve"> </w:t>
      </w:r>
      <w:r>
        <w:t xml:space="preserve">145 (12): 04019106.</w:t>
      </w:r>
      <w:r>
        <w:t xml:space="preserve"> </w:t>
      </w:r>
      <w:hyperlink r:id="rId114">
        <w:r>
          <w:rPr>
            <w:rStyle w:val="Hyperlink"/>
          </w:rPr>
          <w:t xml:space="preserve">https://doi.org/10.1061/(ASCE)GT.1943-5606.0002143</w:t>
        </w:r>
      </w:hyperlink>
      <w:r>
        <w:t xml:space="preserve">.</w:t>
      </w:r>
    </w:p>
    <w:bookmarkEnd w:id="115"/>
    <w:bookmarkStart w:id="117" w:name="ref-BrayEtAl2018"/>
    <w:p>
      <w:pPr>
        <w:pStyle w:val="Bibliography"/>
      </w:pPr>
      <w:r>
        <w:t xml:space="preserve">Bray, Jonathan D., Jorge Macedo, y Thaleia Travasarou. 2018.</w:t>
      </w:r>
      <w:r>
        <w:t xml:space="preserve"> </w:t>
      </w:r>
      <w:r>
        <w:t xml:space="preserve">«Simplified</w:t>
      </w:r>
      <w:r>
        <w:t xml:space="preserve"> </w:t>
      </w:r>
      <w:r>
        <w:t xml:space="preserve">Procedure</w:t>
      </w:r>
      <w:r>
        <w:t xml:space="preserve"> </w:t>
      </w:r>
      <w:r>
        <w:t xml:space="preserve">for</w:t>
      </w:r>
      <w:r>
        <w:t xml:space="preserve"> </w:t>
      </w:r>
      <w:r>
        <w:t xml:space="preserve">Estimating</w:t>
      </w:r>
      <w:r>
        <w:t xml:space="preserve"> </w:t>
      </w:r>
      <w:r>
        <w:t xml:space="preserve">Seismic</w:t>
      </w:r>
      <w:r>
        <w:t xml:space="preserve"> </w:t>
      </w:r>
      <w:r>
        <w:t xml:space="preserve">Slope</w:t>
      </w:r>
      <w:r>
        <w:t xml:space="preserve"> </w:t>
      </w:r>
      <w:r>
        <w:t xml:space="preserve">Displacements</w:t>
      </w:r>
      <w:r>
        <w:t xml:space="preserve"> </w:t>
      </w:r>
      <w:r>
        <w:t xml:space="preserve">for</w:t>
      </w:r>
      <w:r>
        <w:t xml:space="preserve"> </w:t>
      </w:r>
      <w:r>
        <w:t xml:space="preserve">Subduction</w:t>
      </w:r>
      <w:r>
        <w:t xml:space="preserve"> </w:t>
      </w:r>
      <w:r>
        <w:t xml:space="preserve">Zone</w:t>
      </w:r>
      <w:r>
        <w:t xml:space="preserve"> </w:t>
      </w:r>
      <w:r>
        <w:t xml:space="preserve">Earthquakes</w:t>
      </w:r>
      <w:r>
        <w:t xml:space="preserve">»</w:t>
      </w:r>
      <w:r>
        <w:t xml:space="preserve">.</w:t>
      </w:r>
      <w:r>
        <w:t xml:space="preserve"> </w:t>
      </w:r>
      <w:r>
        <w:rPr>
          <w:i/>
          <w:iCs/>
        </w:rPr>
        <w:t xml:space="preserve">Journal of Geotechnical and Geoenvironmental Engineering</w:t>
      </w:r>
      <w:r>
        <w:t xml:space="preserve"> </w:t>
      </w:r>
      <w:r>
        <w:t xml:space="preserve">144 (3): 04017124.</w:t>
      </w:r>
      <w:r>
        <w:t xml:space="preserve"> </w:t>
      </w:r>
      <w:hyperlink r:id="rId116">
        <w:r>
          <w:rPr>
            <w:rStyle w:val="Hyperlink"/>
          </w:rPr>
          <w:t xml:space="preserve">https://doi.org/10.1061/(ASCE)GT.1943-5606.0001833</w:t>
        </w:r>
      </w:hyperlink>
      <w:r>
        <w:t xml:space="preserve">.</w:t>
      </w:r>
    </w:p>
    <w:bookmarkEnd w:id="117"/>
    <w:bookmarkStart w:id="119" w:name="ref-BrayTravasarou2009"/>
    <w:p>
      <w:pPr>
        <w:pStyle w:val="Bibliography"/>
      </w:pPr>
      <w:r>
        <w:t xml:space="preserve">Bray, Jonathan D., y Thaleia Travasarou. 2009.</w:t>
      </w:r>
      <w:r>
        <w:t xml:space="preserve"> </w:t>
      </w:r>
      <w:r>
        <w:t xml:space="preserve">«Pseudostatic</w:t>
      </w:r>
      <w:r>
        <w:t xml:space="preserve"> </w:t>
      </w:r>
      <w:r>
        <w:t xml:space="preserve">Coefficient</w:t>
      </w:r>
      <w:r>
        <w:t xml:space="preserve"> </w:t>
      </w:r>
      <w:r>
        <w:t xml:space="preserve">for</w:t>
      </w:r>
      <w:r>
        <w:t xml:space="preserve"> </w:t>
      </w:r>
      <w:r>
        <w:t xml:space="preserve">Use</w:t>
      </w:r>
      <w:r>
        <w:t xml:space="preserve"> </w:t>
      </w:r>
      <w:r>
        <w:t xml:space="preserve">in</w:t>
      </w:r>
      <w:r>
        <w:t xml:space="preserve"> </w:t>
      </w:r>
      <w:r>
        <w:t xml:space="preserve">Simplified</w:t>
      </w:r>
      <w:r>
        <w:t xml:space="preserve"> </w:t>
      </w:r>
      <w:r>
        <w:t xml:space="preserve">Seismic</w:t>
      </w:r>
      <w:r>
        <w:t xml:space="preserve"> </w:t>
      </w:r>
      <w:r>
        <w:t xml:space="preserve">Slope</w:t>
      </w:r>
      <w:r>
        <w:t xml:space="preserve"> </w:t>
      </w:r>
      <w:r>
        <w:t xml:space="preserve">Stability</w:t>
      </w:r>
      <w:r>
        <w:t xml:space="preserve"> </w:t>
      </w:r>
      <w:r>
        <w:t xml:space="preserve">Evaluation</w:t>
      </w:r>
      <w:r>
        <w:t xml:space="preserve">»</w:t>
      </w:r>
      <w:r>
        <w:t xml:space="preserve">.</w:t>
      </w:r>
      <w:r>
        <w:t xml:space="preserve"> </w:t>
      </w:r>
      <w:r>
        <w:rPr>
          <w:i/>
          <w:iCs/>
        </w:rPr>
        <w:t xml:space="preserve">Journal of Geotechnical and Geoenvironmental Engineering</w:t>
      </w:r>
      <w:r>
        <w:t xml:space="preserve"> </w:t>
      </w:r>
      <w:r>
        <w:t xml:space="preserve">135 (9): 1336-40.</w:t>
      </w:r>
      <w:r>
        <w:t xml:space="preserve"> </w:t>
      </w:r>
      <w:hyperlink r:id="rId118">
        <w:r>
          <w:rPr>
            <w:rStyle w:val="Hyperlink"/>
          </w:rPr>
          <w:t xml:space="preserve">https://doi.org/10.1061/(ASCE)GT.1943-5606.0000012</w:t>
        </w:r>
      </w:hyperlink>
      <w:r>
        <w:t xml:space="preserve">.</w:t>
      </w:r>
    </w:p>
    <w:bookmarkEnd w:id="119"/>
    <w:bookmarkStart w:id="121" w:name="ref-DakoulasGazetas1985Inhomogeneous"/>
    <w:p>
      <w:pPr>
        <w:pStyle w:val="Bibliography"/>
      </w:pPr>
      <w:r>
        <w:t xml:space="preserve">Dakoulas, Panos, y George Gazetas. 1985.</w:t>
      </w:r>
      <w:r>
        <w:t xml:space="preserve"> </w:t>
      </w:r>
      <w:r>
        <w:t xml:space="preserve">«A</w:t>
      </w:r>
      <w:r>
        <w:t xml:space="preserve"> </w:t>
      </w:r>
      <w:r>
        <w:t xml:space="preserve">Class</w:t>
      </w:r>
      <w:r>
        <w:t xml:space="preserve"> </w:t>
      </w:r>
      <w:r>
        <w:t xml:space="preserve">of</w:t>
      </w:r>
      <w:r>
        <w:t xml:space="preserve"> </w:t>
      </w:r>
      <w:r>
        <w:t xml:space="preserve">Inhomogeneous</w:t>
      </w:r>
      <w:r>
        <w:t xml:space="preserve"> </w:t>
      </w:r>
      <w:r>
        <w:t xml:space="preserve">Shear</w:t>
      </w:r>
      <w:r>
        <w:t xml:space="preserve"> </w:t>
      </w:r>
      <w:r>
        <w:t xml:space="preserve">Models</w:t>
      </w:r>
      <w:r>
        <w:t xml:space="preserve"> </w:t>
      </w:r>
      <w:r>
        <w:t xml:space="preserve">for</w:t>
      </w:r>
      <w:r>
        <w:t xml:space="preserve"> </w:t>
      </w:r>
      <w:r>
        <w:t xml:space="preserve">Seismic</w:t>
      </w:r>
      <w:r>
        <w:t xml:space="preserve"> </w:t>
      </w:r>
      <w:r>
        <w:t xml:space="preserve">Response</w:t>
      </w:r>
      <w:r>
        <w:t xml:space="preserve"> </w:t>
      </w:r>
      <w:r>
        <w:t xml:space="preserve">of</w:t>
      </w:r>
      <w:r>
        <w:t xml:space="preserve"> </w:t>
      </w:r>
      <w:r>
        <w:t xml:space="preserve">Dams</w:t>
      </w:r>
      <w:r>
        <w:t xml:space="preserve"> </w:t>
      </w:r>
      <w:r>
        <w:t xml:space="preserve">and</w:t>
      </w:r>
      <w:r>
        <w:t xml:space="preserve"> </w:t>
      </w:r>
      <w:r>
        <w:t xml:space="preserve">Embankments</w:t>
      </w:r>
      <w:r>
        <w:t xml:space="preserve">»</w:t>
      </w:r>
      <w:r>
        <w:t xml:space="preserve">.</w:t>
      </w:r>
      <w:r>
        <w:t xml:space="preserve"> </w:t>
      </w:r>
      <w:r>
        <w:rPr>
          <w:i/>
          <w:iCs/>
        </w:rPr>
        <w:t xml:space="preserve">International Journal of Soil Dynamics and Earthquake Engineering</w:t>
      </w:r>
      <w:r>
        <w:t xml:space="preserve"> </w:t>
      </w:r>
      <w:r>
        <w:t xml:space="preserve">4 (4): 166-82.</w:t>
      </w:r>
      <w:r>
        <w:t xml:space="preserve"> </w:t>
      </w:r>
      <w:hyperlink r:id="rId120">
        <w:r>
          <w:rPr>
            <w:rStyle w:val="Hyperlink"/>
          </w:rPr>
          <w:t xml:space="preserve">https://doi.org/10.1016/0261-7277(85)90037-3</w:t>
        </w:r>
      </w:hyperlink>
      <w:r>
        <w:t xml:space="preserve">.</w:t>
      </w:r>
    </w:p>
    <w:bookmarkEnd w:id="121"/>
    <w:bookmarkStart w:id="122" w:name="ref-CEN2004"/>
    <w:p>
      <w:pPr>
        <w:pStyle w:val="Bibliography"/>
      </w:pPr>
      <w:r>
        <w:t xml:space="preserve">European Committee for Standardization. 2004.</w:t>
      </w:r>
      <w:r>
        <w:t xml:space="preserve"> </w:t>
      </w:r>
      <w:r>
        <w:rPr>
          <w:i/>
          <w:iCs/>
        </w:rPr>
        <w:t xml:space="preserve">Eurocode 8:</w:t>
      </w:r>
      <w:r>
        <w:rPr>
          <w:i/>
          <w:iCs/>
        </w:rPr>
        <w:t xml:space="preserve"> </w:t>
      </w:r>
      <w:r>
        <w:rPr>
          <w:i/>
          <w:iCs/>
        </w:rPr>
        <w:t xml:space="preserve">Design</w:t>
      </w:r>
      <w:r>
        <w:rPr>
          <w:i/>
          <w:iCs/>
        </w:rPr>
        <w:t xml:space="preserve"> </w:t>
      </w:r>
      <w:r>
        <w:rPr>
          <w:i/>
          <w:iCs/>
        </w:rPr>
        <w:t xml:space="preserve">of</w:t>
      </w:r>
      <w:r>
        <w:rPr>
          <w:i/>
          <w:iCs/>
        </w:rPr>
        <w:t xml:space="preserve"> </w:t>
      </w:r>
      <w:r>
        <w:rPr>
          <w:i/>
          <w:iCs/>
        </w:rPr>
        <w:t xml:space="preserve">Structures</w:t>
      </w:r>
      <w:r>
        <w:rPr>
          <w:i/>
          <w:iCs/>
        </w:rPr>
        <w:t xml:space="preserve"> </w:t>
      </w:r>
      <w:r>
        <w:rPr>
          <w:i/>
          <w:iCs/>
        </w:rPr>
        <w:t xml:space="preserve">for</w:t>
      </w:r>
      <w:r>
        <w:rPr>
          <w:i/>
          <w:iCs/>
        </w:rPr>
        <w:t xml:space="preserve"> </w:t>
      </w:r>
      <w:r>
        <w:rPr>
          <w:i/>
          <w:iCs/>
        </w:rPr>
        <w:t xml:space="preserve">Earthquake</w:t>
      </w:r>
      <w:r>
        <w:rPr>
          <w:i/>
          <w:iCs/>
        </w:rPr>
        <w:t xml:space="preserve"> </w:t>
      </w:r>
      <w:r>
        <w:rPr>
          <w:i/>
          <w:iCs/>
        </w:rPr>
        <w:t xml:space="preserve">Resistance</w:t>
      </w:r>
      <w:r>
        <w:rPr>
          <w:i/>
          <w:iCs/>
        </w:rPr>
        <w:t xml:space="preserve"> </w:t>
      </w:r>
      <w:r>
        <w:rPr>
          <w:i/>
          <w:iCs/>
        </w:rPr>
        <w:t xml:space="preserve">–</w:t>
      </w:r>
      <w:r>
        <w:rPr>
          <w:i/>
          <w:iCs/>
        </w:rPr>
        <w:t xml:space="preserve"> </w:t>
      </w:r>
      <w:r>
        <w:rPr>
          <w:i/>
          <w:iCs/>
        </w:rPr>
        <w:t xml:space="preserve">Part</w:t>
      </w:r>
      <w:r>
        <w:rPr>
          <w:i/>
          <w:iCs/>
        </w:rPr>
        <w:t xml:space="preserve"> </w:t>
      </w:r>
      <w:r>
        <w:rPr>
          <w:i/>
          <w:iCs/>
        </w:rPr>
        <w:t xml:space="preserve">5:</w:t>
      </w:r>
      <w:r>
        <w:rPr>
          <w:i/>
          <w:iCs/>
        </w:rPr>
        <w:t xml:space="preserve"> </w:t>
      </w:r>
      <w:r>
        <w:rPr>
          <w:i/>
          <w:iCs/>
        </w:rPr>
        <w:t xml:space="preserve">Foundations</w:t>
      </w:r>
      <w:r>
        <w:rPr>
          <w:i/>
          <w:iCs/>
        </w:rPr>
        <w:t xml:space="preserve">,</w:t>
      </w:r>
      <w:r>
        <w:rPr>
          <w:i/>
          <w:iCs/>
        </w:rPr>
        <w:t xml:space="preserve"> </w:t>
      </w:r>
      <w:r>
        <w:rPr>
          <w:i/>
          <w:iCs/>
        </w:rPr>
        <w:t xml:space="preserve">Retaining</w:t>
      </w:r>
      <w:r>
        <w:rPr>
          <w:i/>
          <w:iCs/>
        </w:rPr>
        <w:t xml:space="preserve"> </w:t>
      </w:r>
      <w:r>
        <w:rPr>
          <w:i/>
          <w:iCs/>
        </w:rPr>
        <w:t xml:space="preserve">Structures</w:t>
      </w:r>
      <w:r>
        <w:rPr>
          <w:i/>
          <w:iCs/>
        </w:rPr>
        <w:t xml:space="preserve"> </w:t>
      </w:r>
      <w:r>
        <w:rPr>
          <w:i/>
          <w:iCs/>
        </w:rPr>
        <w:t xml:space="preserve">and</w:t>
      </w:r>
      <w:r>
        <w:rPr>
          <w:i/>
          <w:iCs/>
        </w:rPr>
        <w:t xml:space="preserve"> </w:t>
      </w:r>
      <w:r>
        <w:rPr>
          <w:i/>
          <w:iCs/>
        </w:rPr>
        <w:t xml:space="preserve">Geotechnical</w:t>
      </w:r>
      <w:r>
        <w:rPr>
          <w:i/>
          <w:iCs/>
        </w:rPr>
        <w:t xml:space="preserve"> </w:t>
      </w:r>
      <w:r>
        <w:rPr>
          <w:i/>
          <w:iCs/>
        </w:rPr>
        <w:t xml:space="preserve">Aspects</w:t>
      </w:r>
      <w:r>
        <w:t xml:space="preserve">. European Standard EN 1998-5. European Committee for Standardization.</w:t>
      </w:r>
    </w:p>
    <w:bookmarkEnd w:id="122"/>
    <w:bookmarkStart w:id="123" w:name="ref-FEMA2005"/>
    <w:p>
      <w:pPr>
        <w:pStyle w:val="Bibliography"/>
      </w:pPr>
      <w:r>
        <w:t xml:space="preserve">Federal Emergency Management Agency. 2005.</w:t>
      </w:r>
      <w:r>
        <w:t xml:space="preserve"> </w:t>
      </w:r>
      <w:r>
        <w:rPr>
          <w:i/>
          <w:iCs/>
        </w:rPr>
        <w:t xml:space="preserve">Federal</w:t>
      </w:r>
      <w:r>
        <w:rPr>
          <w:i/>
          <w:iCs/>
        </w:rPr>
        <w:t xml:space="preserve"> </w:t>
      </w:r>
      <w:r>
        <w:rPr>
          <w:i/>
          <w:iCs/>
        </w:rPr>
        <w:t xml:space="preserve">Guidelines</w:t>
      </w:r>
      <w:r>
        <w:rPr>
          <w:i/>
          <w:iCs/>
        </w:rPr>
        <w:t xml:space="preserve"> </w:t>
      </w:r>
      <w:r>
        <w:rPr>
          <w:i/>
          <w:iCs/>
        </w:rPr>
        <w:t xml:space="preserve">for</w:t>
      </w:r>
      <w:r>
        <w:rPr>
          <w:i/>
          <w:iCs/>
        </w:rPr>
        <w:t xml:space="preserve"> </w:t>
      </w:r>
      <w:r>
        <w:rPr>
          <w:i/>
          <w:iCs/>
        </w:rPr>
        <w:t xml:space="preserve">Dam</w:t>
      </w:r>
      <w:r>
        <w:rPr>
          <w:i/>
          <w:iCs/>
        </w:rPr>
        <w:t xml:space="preserve"> </w:t>
      </w:r>
      <w:r>
        <w:rPr>
          <w:i/>
          <w:iCs/>
        </w:rPr>
        <w:t xml:space="preserve">Safety</w:t>
      </w:r>
      <w:r>
        <w:rPr>
          <w:i/>
          <w:iCs/>
        </w:rPr>
        <w:t xml:space="preserve">:</w:t>
      </w:r>
      <w:r>
        <w:rPr>
          <w:i/>
          <w:iCs/>
        </w:rPr>
        <w:t xml:space="preserve"> </w:t>
      </w:r>
      <w:r>
        <w:rPr>
          <w:i/>
          <w:iCs/>
        </w:rPr>
        <w:t xml:space="preserve">Earthquake</w:t>
      </w:r>
      <w:r>
        <w:rPr>
          <w:i/>
          <w:iCs/>
        </w:rPr>
        <w:t xml:space="preserve"> </w:t>
      </w:r>
      <w:r>
        <w:rPr>
          <w:i/>
          <w:iCs/>
        </w:rPr>
        <w:t xml:space="preserve">Analyses</w:t>
      </w:r>
      <w:r>
        <w:rPr>
          <w:i/>
          <w:iCs/>
        </w:rPr>
        <w:t xml:space="preserve"> </w:t>
      </w:r>
      <w:r>
        <w:rPr>
          <w:i/>
          <w:iCs/>
        </w:rPr>
        <w:t xml:space="preserve">and</w:t>
      </w:r>
      <w:r>
        <w:rPr>
          <w:i/>
          <w:iCs/>
        </w:rPr>
        <w:t xml:space="preserve"> </w:t>
      </w:r>
      <w:r>
        <w:rPr>
          <w:i/>
          <w:iCs/>
        </w:rPr>
        <w:t xml:space="preserve">Design</w:t>
      </w:r>
      <w:r>
        <w:rPr>
          <w:i/>
          <w:iCs/>
        </w:rPr>
        <w:t xml:space="preserve"> </w:t>
      </w:r>
      <w:r>
        <w:rPr>
          <w:i/>
          <w:iCs/>
        </w:rPr>
        <w:t xml:space="preserve">of</w:t>
      </w:r>
      <w:r>
        <w:rPr>
          <w:i/>
          <w:iCs/>
        </w:rPr>
        <w:t xml:space="preserve"> </w:t>
      </w:r>
      <w:r>
        <w:rPr>
          <w:i/>
          <w:iCs/>
        </w:rPr>
        <w:t xml:space="preserve">Dams</w:t>
      </w:r>
      <w:r>
        <w:t xml:space="preserve">. P-65. Federal Emergency Management Agency.</w:t>
      </w:r>
    </w:p>
    <w:bookmarkEnd w:id="123"/>
    <w:bookmarkStart w:id="125" w:name="ref-HardinBlack1968"/>
    <w:p>
      <w:pPr>
        <w:pStyle w:val="Bibliography"/>
      </w:pPr>
      <w:r>
        <w:t xml:space="preserve">Hardin, Bobby O., y William L. Black. 1968.</w:t>
      </w:r>
      <w:r>
        <w:t xml:space="preserve"> </w:t>
      </w:r>
      <w:r>
        <w:t xml:space="preserve">«Vibration</w:t>
      </w:r>
      <w:r>
        <w:t xml:space="preserve"> </w:t>
      </w:r>
      <w:r>
        <w:t xml:space="preserve">Modulus</w:t>
      </w:r>
      <w:r>
        <w:t xml:space="preserve"> </w:t>
      </w:r>
      <w:r>
        <w:t xml:space="preserve">of</w:t>
      </w:r>
      <w:r>
        <w:t xml:space="preserve"> </w:t>
      </w:r>
      <w:r>
        <w:t xml:space="preserve">Normally</w:t>
      </w:r>
      <w:r>
        <w:t xml:space="preserve"> </w:t>
      </w:r>
      <w:r>
        <w:t xml:space="preserve">Consolidated</w:t>
      </w:r>
      <w:r>
        <w:t xml:space="preserve"> </w:t>
      </w:r>
      <w:r>
        <w:t xml:space="preserve">Clay</w:t>
      </w:r>
      <w:r>
        <w:t xml:space="preserve">»</w:t>
      </w:r>
      <w:r>
        <w:t xml:space="preserve">.</w:t>
      </w:r>
      <w:r>
        <w:t xml:space="preserve"> </w:t>
      </w:r>
      <w:r>
        <w:rPr>
          <w:i/>
          <w:iCs/>
        </w:rPr>
        <w:t xml:space="preserve">Journal of the Soil Mechanics and Foundations Division</w:t>
      </w:r>
      <w:r>
        <w:t xml:space="preserve"> </w:t>
      </w:r>
      <w:r>
        <w:t xml:space="preserve">94 (2): 353-69.</w:t>
      </w:r>
      <w:r>
        <w:t xml:space="preserve"> </w:t>
      </w:r>
      <w:hyperlink r:id="rId124">
        <w:r>
          <w:rPr>
            <w:rStyle w:val="Hyperlink"/>
          </w:rPr>
          <w:t xml:space="preserve">https://doi.org/10.1061/JSFEAQ.0001100</w:t>
        </w:r>
      </w:hyperlink>
      <w:r>
        <w:t xml:space="preserve">.</w:t>
      </w:r>
    </w:p>
    <w:bookmarkEnd w:id="125"/>
    <w:bookmarkStart w:id="127" w:name="ref-HardinDrnevich1972"/>
    <w:p>
      <w:pPr>
        <w:pStyle w:val="Bibliography"/>
      </w:pPr>
      <w:r>
        <w:t xml:space="preserve">Hardin, Bobby O., y Vincent P. Drnevich. 1972.</w:t>
      </w:r>
      <w:r>
        <w:t xml:space="preserve"> </w:t>
      </w:r>
      <w:r>
        <w:t xml:space="preserve">«Shear</w:t>
      </w:r>
      <w:r>
        <w:t xml:space="preserve"> </w:t>
      </w:r>
      <w:r>
        <w:t xml:space="preserve">Modulus</w:t>
      </w:r>
      <w:r>
        <w:t xml:space="preserve"> </w:t>
      </w:r>
      <w:r>
        <w:t xml:space="preserve">and</w:t>
      </w:r>
      <w:r>
        <w:t xml:space="preserve"> </w:t>
      </w:r>
      <w:r>
        <w:t xml:space="preserve">Damping</w:t>
      </w:r>
      <w:r>
        <w:t xml:space="preserve"> </w:t>
      </w:r>
      <w:r>
        <w:t xml:space="preserve">in</w:t>
      </w:r>
      <w:r>
        <w:t xml:space="preserve"> </w:t>
      </w:r>
      <w:r>
        <w:t xml:space="preserve">Soils</w:t>
      </w:r>
      <w:r>
        <w:t xml:space="preserve">:</w:t>
      </w:r>
      <w:r>
        <w:t xml:space="preserve"> </w:t>
      </w:r>
      <w:r>
        <w:t xml:space="preserve">Measurement</w:t>
      </w:r>
      <w:r>
        <w:t xml:space="preserve"> </w:t>
      </w:r>
      <w:r>
        <w:t xml:space="preserve">and</w:t>
      </w:r>
      <w:r>
        <w:t xml:space="preserve"> </w:t>
      </w:r>
      <w:r>
        <w:t xml:space="preserve">Parameter</w:t>
      </w:r>
      <w:r>
        <w:t xml:space="preserve"> </w:t>
      </w:r>
      <w:r>
        <w:t xml:space="preserve">Effects</w:t>
      </w:r>
      <w:r>
        <w:t xml:space="preserve">»</w:t>
      </w:r>
      <w:r>
        <w:t xml:space="preserve">.</w:t>
      </w:r>
      <w:r>
        <w:t xml:space="preserve"> </w:t>
      </w:r>
      <w:r>
        <w:rPr>
          <w:i/>
          <w:iCs/>
        </w:rPr>
        <w:t xml:space="preserve">Journal of the Soil Mechanics and Foundations Division</w:t>
      </w:r>
      <w:r>
        <w:t xml:space="preserve"> </w:t>
      </w:r>
      <w:r>
        <w:t xml:space="preserve">98 (6): 603-24.</w:t>
      </w:r>
      <w:r>
        <w:t xml:space="preserve"> </w:t>
      </w:r>
      <w:hyperlink r:id="rId126">
        <w:r>
          <w:rPr>
            <w:rStyle w:val="Hyperlink"/>
          </w:rPr>
          <w:t xml:space="preserve">https://doi.org/10.1061/JSFEAQ.0001756</w:t>
        </w:r>
      </w:hyperlink>
      <w:r>
        <w:t xml:space="preserve">.</w:t>
      </w:r>
    </w:p>
    <w:bookmarkEnd w:id="127"/>
    <w:bookmarkStart w:id="129" w:name="ref-Hashash2020"/>
    <w:p>
      <w:pPr>
        <w:pStyle w:val="Bibliography"/>
      </w:pPr>
      <w:r>
        <w:t xml:space="preserve">Hashash, Youssef M. A., Okan Ilhan, Joseph A. Harmon, et al. 2020.</w:t>
      </w:r>
      <w:r>
        <w:t xml:space="preserve"> </w:t>
      </w:r>
      <w:r>
        <w:t xml:space="preserve">«Nonlinear</w:t>
      </w:r>
      <w:r>
        <w:t xml:space="preserve"> </w:t>
      </w:r>
      <w:r>
        <w:t xml:space="preserve">Site</w:t>
      </w:r>
      <w:r>
        <w:t xml:space="preserve"> </w:t>
      </w:r>
      <w:r>
        <w:t xml:space="preserve">Amplification</w:t>
      </w:r>
      <w:r>
        <w:t xml:space="preserve"> </w:t>
      </w:r>
      <w:r>
        <w:t xml:space="preserve">Model</w:t>
      </w:r>
      <w:r>
        <w:t xml:space="preserve"> </w:t>
      </w:r>
      <w:r>
        <w:t xml:space="preserve">for</w:t>
      </w:r>
      <w:r>
        <w:t xml:space="preserve"> </w:t>
      </w:r>
      <w:r>
        <w:t xml:space="preserve">Ergodic</w:t>
      </w:r>
      <w:r>
        <w:t xml:space="preserve"> </w:t>
      </w:r>
      <w:r>
        <w:t xml:space="preserve">Seismic</w:t>
      </w:r>
      <w:r>
        <w:t xml:space="preserve"> </w:t>
      </w:r>
      <w:r>
        <w:t xml:space="preserve">Hazard</w:t>
      </w:r>
      <w:r>
        <w:t xml:space="preserve"> </w:t>
      </w:r>
      <w:r>
        <w:t xml:space="preserve">Analysis</w:t>
      </w:r>
      <w:r>
        <w:t xml:space="preserve"> </w:t>
      </w:r>
      <w:r>
        <w:t xml:space="preserve">in</w:t>
      </w:r>
      <w:r>
        <w:t xml:space="preserve"> </w:t>
      </w:r>
      <w:r>
        <w:t xml:space="preserve">Central</w:t>
      </w:r>
      <w:r>
        <w:t xml:space="preserve"> </w:t>
      </w:r>
      <w:r>
        <w:t xml:space="preserve">and</w:t>
      </w:r>
      <w:r>
        <w:t xml:space="preserve"> </w:t>
      </w:r>
      <w:r>
        <w:t xml:space="preserve">Eastern</w:t>
      </w:r>
      <w:r>
        <w:t xml:space="preserve"> </w:t>
      </w:r>
      <w:r>
        <w:t xml:space="preserve">North</w:t>
      </w:r>
      <w:r>
        <w:t xml:space="preserve"> </w:t>
      </w:r>
      <w:r>
        <w:t xml:space="preserve">America</w:t>
      </w:r>
      <w:r>
        <w:t xml:space="preserve">»</w:t>
      </w:r>
      <w:r>
        <w:t xml:space="preserve">.</w:t>
      </w:r>
      <w:r>
        <w:t xml:space="preserve"> </w:t>
      </w:r>
      <w:r>
        <w:rPr>
          <w:i/>
          <w:iCs/>
        </w:rPr>
        <w:t xml:space="preserve">Earthquake Spectra</w:t>
      </w:r>
      <w:r>
        <w:t xml:space="preserve"> </w:t>
      </w:r>
      <w:r>
        <w:t xml:space="preserve">36 (1): 69-86.</w:t>
      </w:r>
      <w:r>
        <w:t xml:space="preserve"> </w:t>
      </w:r>
      <w:hyperlink r:id="rId128">
        <w:r>
          <w:rPr>
            <w:rStyle w:val="Hyperlink"/>
          </w:rPr>
          <w:t xml:space="preserve">https://doi.org/10.1177/8755293019878193</w:t>
        </w:r>
      </w:hyperlink>
      <w:r>
        <w:t xml:space="preserve">.</w:t>
      </w:r>
    </w:p>
    <w:bookmarkEnd w:id="129"/>
    <w:bookmarkStart w:id="130" w:name="ref-ICOLD2016"/>
    <w:p>
      <w:pPr>
        <w:pStyle w:val="Bibliography"/>
      </w:pPr>
      <w:r>
        <w:t xml:space="preserve">International Commission on Large Dams. 2016.</w:t>
      </w:r>
      <w:r>
        <w:t xml:space="preserve"> </w:t>
      </w:r>
      <w:r>
        <w:rPr>
          <w:i/>
          <w:iCs/>
        </w:rPr>
        <w:t xml:space="preserve">Selecting</w:t>
      </w:r>
      <w:r>
        <w:rPr>
          <w:i/>
          <w:iCs/>
        </w:rPr>
        <w:t xml:space="preserve"> </w:t>
      </w:r>
      <w:r>
        <w:rPr>
          <w:i/>
          <w:iCs/>
        </w:rPr>
        <w:t xml:space="preserve">Seismic</w:t>
      </w:r>
      <w:r>
        <w:rPr>
          <w:i/>
          <w:iCs/>
        </w:rPr>
        <w:t xml:space="preserve"> </w:t>
      </w:r>
      <w:r>
        <w:rPr>
          <w:i/>
          <w:iCs/>
        </w:rPr>
        <w:t xml:space="preserve">Parameters</w:t>
      </w:r>
      <w:r>
        <w:rPr>
          <w:i/>
          <w:iCs/>
        </w:rPr>
        <w:t xml:space="preserve"> </w:t>
      </w:r>
      <w:r>
        <w:rPr>
          <w:i/>
          <w:iCs/>
        </w:rPr>
        <w:t xml:space="preserve">for</w:t>
      </w:r>
      <w:r>
        <w:rPr>
          <w:i/>
          <w:iCs/>
        </w:rPr>
        <w:t xml:space="preserve"> </w:t>
      </w:r>
      <w:r>
        <w:rPr>
          <w:i/>
          <w:iCs/>
        </w:rPr>
        <w:t xml:space="preserve">Large</w:t>
      </w:r>
      <w:r>
        <w:rPr>
          <w:i/>
          <w:iCs/>
        </w:rPr>
        <w:t xml:space="preserve"> </w:t>
      </w:r>
      <w:r>
        <w:rPr>
          <w:i/>
          <w:iCs/>
        </w:rPr>
        <w:t xml:space="preserve">Dams</w:t>
      </w:r>
      <w:r>
        <w:rPr>
          <w:i/>
          <w:iCs/>
        </w:rPr>
        <w:t xml:space="preserve"> </w:t>
      </w:r>
      <w:r>
        <w:rPr>
          <w:i/>
          <w:iCs/>
        </w:rPr>
        <w:t xml:space="preserve">–</w:t>
      </w:r>
      <w:r>
        <w:rPr>
          <w:i/>
          <w:iCs/>
        </w:rPr>
        <w:t xml:space="preserve"> </w:t>
      </w:r>
      <w:r>
        <w:rPr>
          <w:i/>
          <w:iCs/>
        </w:rPr>
        <w:t xml:space="preserve">Guidelines</w:t>
      </w:r>
      <w:r>
        <w:t xml:space="preserve">. Bulletin No. 148. International Commission on Large Dams.</w:t>
      </w:r>
    </w:p>
    <w:bookmarkEnd w:id="130"/>
    <w:bookmarkStart w:id="132" w:name="ref-Ishihara1996"/>
    <w:p>
      <w:pPr>
        <w:pStyle w:val="Bibliography"/>
      </w:pPr>
      <w:r>
        <w:t xml:space="preserve">Ishihara, Kenji. 1996.</w:t>
      </w:r>
      <w:r>
        <w:t xml:space="preserve"> </w:t>
      </w:r>
      <w:r>
        <w:rPr>
          <w:i/>
          <w:iCs/>
        </w:rPr>
        <w:t xml:space="preserve">Soil</w:t>
      </w:r>
      <w:r>
        <w:rPr>
          <w:i/>
          <w:iCs/>
        </w:rPr>
        <w:t xml:space="preserve"> </w:t>
      </w:r>
      <w:r>
        <w:rPr>
          <w:i/>
          <w:iCs/>
        </w:rPr>
        <w:t xml:space="preserve">Behaviour</w:t>
      </w:r>
      <w:r>
        <w:rPr>
          <w:i/>
          <w:iCs/>
        </w:rPr>
        <w:t xml:space="preserve"> </w:t>
      </w:r>
      <w:r>
        <w:rPr>
          <w:i/>
          <w:iCs/>
        </w:rPr>
        <w:t xml:space="preserve">in</w:t>
      </w:r>
      <w:r>
        <w:rPr>
          <w:i/>
          <w:iCs/>
        </w:rPr>
        <w:t xml:space="preserve"> </w:t>
      </w:r>
      <w:r>
        <w:rPr>
          <w:i/>
          <w:iCs/>
        </w:rPr>
        <w:t xml:space="preserve">Earthquake</w:t>
      </w:r>
      <w:r>
        <w:rPr>
          <w:i/>
          <w:iCs/>
        </w:rPr>
        <w:t xml:space="preserve"> </w:t>
      </w:r>
      <w:r>
        <w:rPr>
          <w:i/>
          <w:iCs/>
        </w:rPr>
        <w:t xml:space="preserve">Geotechnics</w:t>
      </w:r>
      <w:r>
        <w:t xml:space="preserve">. Clarendon Press; Oxford University Press.</w:t>
      </w:r>
      <w:r>
        <w:t xml:space="preserve"> </w:t>
      </w:r>
      <w:hyperlink r:id="rId131">
        <w:r>
          <w:rPr>
            <w:rStyle w:val="Hyperlink"/>
          </w:rPr>
          <w:t xml:space="preserve">https://doi.org/10.1093/oso/9780198562245.001.0001</w:t>
        </w:r>
      </w:hyperlink>
      <w:r>
        <w:t xml:space="preserve">.</w:t>
      </w:r>
    </w:p>
    <w:bookmarkEnd w:id="132"/>
    <w:bookmarkStart w:id="134" w:name="ref-Jibson2007"/>
    <w:p>
      <w:pPr>
        <w:pStyle w:val="Bibliography"/>
      </w:pPr>
      <w:r>
        <w:t xml:space="preserve">Jibson, R. W. 2007.</w:t>
      </w:r>
      <w:r>
        <w:t xml:space="preserve"> </w:t>
      </w:r>
      <w:r>
        <w:t xml:space="preserve">«Regression</w:t>
      </w:r>
      <w:r>
        <w:t xml:space="preserve"> </w:t>
      </w:r>
      <w:r>
        <w:t xml:space="preserve">Models</w:t>
      </w:r>
      <w:r>
        <w:t xml:space="preserve"> </w:t>
      </w:r>
      <w:r>
        <w:t xml:space="preserve">for</w:t>
      </w:r>
      <w:r>
        <w:t xml:space="preserve"> </w:t>
      </w:r>
      <w:r>
        <w:t xml:space="preserve">Estimating</w:t>
      </w:r>
      <w:r>
        <w:t xml:space="preserve"> </w:t>
      </w:r>
      <w:r>
        <w:t xml:space="preserve">Coseismic</w:t>
      </w:r>
      <w:r>
        <w:t xml:space="preserve"> </w:t>
      </w:r>
      <w:r>
        <w:t xml:space="preserve">Landslide</w:t>
      </w:r>
      <w:r>
        <w:t xml:space="preserve"> </w:t>
      </w:r>
      <w:r>
        <w:t xml:space="preserve">Displacement</w:t>
      </w:r>
      <w:r>
        <w:t xml:space="preserve">»</w:t>
      </w:r>
      <w:r>
        <w:t xml:space="preserve">.</w:t>
      </w:r>
      <w:r>
        <w:t xml:space="preserve"> </w:t>
      </w:r>
      <w:r>
        <w:rPr>
          <w:i/>
          <w:iCs/>
        </w:rPr>
        <w:t xml:space="preserve">Engineering Geology</w:t>
      </w:r>
      <w:r>
        <w:t xml:space="preserve"> </w:t>
      </w:r>
      <w:r>
        <w:t xml:space="preserve">91 (2–4): 209-18.</w:t>
      </w:r>
      <w:r>
        <w:t xml:space="preserve"> </w:t>
      </w:r>
      <w:hyperlink r:id="rId133">
        <w:r>
          <w:rPr>
            <w:rStyle w:val="Hyperlink"/>
          </w:rPr>
          <w:t xml:space="preserve">https://doi.org/10.1016/j.enggeo.2007.01.013</w:t>
        </w:r>
      </w:hyperlink>
      <w:r>
        <w:t xml:space="preserve">.</w:t>
      </w:r>
    </w:p>
    <w:bookmarkEnd w:id="134"/>
    <w:bookmarkStart w:id="136" w:name="ref-MacedoEtAl2018"/>
    <w:p>
      <w:pPr>
        <w:pStyle w:val="Bibliography"/>
      </w:pPr>
      <w:r>
        <w:t xml:space="preserve">Macedo, Jorge, Jonathan D. Bray, Norman A. Abrahamson, y Thaleia Travasarou. 2018.</w:t>
      </w:r>
      <w:r>
        <w:t xml:space="preserve"> </w:t>
      </w:r>
      <w:r>
        <w:t xml:space="preserve">«Performance-Based</w:t>
      </w:r>
      <w:r>
        <w:t xml:space="preserve"> </w:t>
      </w:r>
      <w:r>
        <w:t xml:space="preserve">Probabilistic</w:t>
      </w:r>
      <w:r>
        <w:t xml:space="preserve"> </w:t>
      </w:r>
      <w:r>
        <w:t xml:space="preserve">Seismic</w:t>
      </w:r>
      <w:r>
        <w:t xml:space="preserve"> </w:t>
      </w:r>
      <w:r>
        <w:t xml:space="preserve">Slope</w:t>
      </w:r>
      <w:r>
        <w:t xml:space="preserve"> </w:t>
      </w:r>
      <w:r>
        <w:t xml:space="preserve">Displacement</w:t>
      </w:r>
      <w:r>
        <w:t xml:space="preserve"> </w:t>
      </w:r>
      <w:r>
        <w:t xml:space="preserve">Procedure</w:t>
      </w:r>
      <w:r>
        <w:t xml:space="preserve">»</w:t>
      </w:r>
      <w:r>
        <w:t xml:space="preserve">.</w:t>
      </w:r>
      <w:r>
        <w:t xml:space="preserve"> </w:t>
      </w:r>
      <w:r>
        <w:rPr>
          <w:i/>
          <w:iCs/>
        </w:rPr>
        <w:t xml:space="preserve">Earthquake Spectra</w:t>
      </w:r>
      <w:r>
        <w:t xml:space="preserve"> </w:t>
      </w:r>
      <w:r>
        <w:t xml:space="preserve">34 (2): 673-95.</w:t>
      </w:r>
      <w:r>
        <w:t xml:space="preserve"> </w:t>
      </w:r>
      <w:hyperlink r:id="rId135">
        <w:r>
          <w:rPr>
            <w:rStyle w:val="Hyperlink"/>
          </w:rPr>
          <w:t xml:space="preserve">https://doi.org/10.1193/122516EQS251M</w:t>
        </w:r>
      </w:hyperlink>
      <w:r>
        <w:t xml:space="preserve">.</w:t>
      </w:r>
    </w:p>
    <w:bookmarkEnd w:id="136"/>
    <w:bookmarkStart w:id="138" w:name="ref-MakdisiSeed1978"/>
    <w:p>
      <w:pPr>
        <w:pStyle w:val="Bibliography"/>
      </w:pPr>
      <w:r>
        <w:t xml:space="preserve">Makdisi, Faiz I., y H. Bolton Seed. 1978.</w:t>
      </w:r>
      <w:r>
        <w:t xml:space="preserve"> </w:t>
      </w:r>
      <w:r>
        <w:t xml:space="preserve">«Simplified</w:t>
      </w:r>
      <w:r>
        <w:t xml:space="preserve"> </w:t>
      </w:r>
      <w:r>
        <w:t xml:space="preserve">Procedure</w:t>
      </w:r>
      <w:r>
        <w:t xml:space="preserve"> </w:t>
      </w:r>
      <w:r>
        <w:t xml:space="preserve">for</w:t>
      </w:r>
      <w:r>
        <w:t xml:space="preserve"> </w:t>
      </w:r>
      <w:r>
        <w:t xml:space="preserve">Estimating</w:t>
      </w:r>
      <w:r>
        <w:t xml:space="preserve"> </w:t>
      </w:r>
      <w:r>
        <w:t xml:space="preserve">Dam</w:t>
      </w:r>
      <w:r>
        <w:t xml:space="preserve"> </w:t>
      </w:r>
      <w:r>
        <w:t xml:space="preserve">and</w:t>
      </w:r>
      <w:r>
        <w:t xml:space="preserve"> </w:t>
      </w:r>
      <w:r>
        <w:t xml:space="preserve">Embankment</w:t>
      </w:r>
      <w:r>
        <w:t xml:space="preserve"> </w:t>
      </w:r>
      <w:r>
        <w:t xml:space="preserve">Earthquake-Induced</w:t>
      </w:r>
      <w:r>
        <w:t xml:space="preserve"> </w:t>
      </w:r>
      <w:r>
        <w:t xml:space="preserve">Deformations</w:t>
      </w:r>
      <w:r>
        <w:t xml:space="preserve">»</w:t>
      </w:r>
      <w:r>
        <w:t xml:space="preserve">.</w:t>
      </w:r>
      <w:r>
        <w:t xml:space="preserve"> </w:t>
      </w:r>
      <w:r>
        <w:rPr>
          <w:i/>
          <w:iCs/>
        </w:rPr>
        <w:t xml:space="preserve">Journal of the Geotechnical Engineering Division</w:t>
      </w:r>
      <w:r>
        <w:t xml:space="preserve"> </w:t>
      </w:r>
      <w:r>
        <w:t xml:space="preserve">104 (GT7): 849-67.</w:t>
      </w:r>
      <w:r>
        <w:t xml:space="preserve"> </w:t>
      </w:r>
      <w:hyperlink r:id="rId137">
        <w:r>
          <w:rPr>
            <w:rStyle w:val="Hyperlink"/>
          </w:rPr>
          <w:t xml:space="preserve">https://doi.org/10.1061/AJGEB6.0000668</w:t>
        </w:r>
      </w:hyperlink>
      <w:r>
        <w:t xml:space="preserve">.</w:t>
      </w:r>
    </w:p>
    <w:bookmarkEnd w:id="138"/>
    <w:bookmarkStart w:id="140" w:name="ref-Newmark1965"/>
    <w:p>
      <w:pPr>
        <w:pStyle w:val="Bibliography"/>
      </w:pPr>
      <w:r>
        <w:t xml:space="preserve">Newmark, Nathan M. 1965.</w:t>
      </w:r>
      <w:r>
        <w:t xml:space="preserve"> </w:t>
      </w:r>
      <w:r>
        <w:t xml:space="preserve">«Effects of</w:t>
      </w:r>
      <w:r>
        <w:t xml:space="preserve"> </w:t>
      </w:r>
      <w:r>
        <w:t xml:space="preserve">Earthquakes</w:t>
      </w:r>
      <w:r>
        <w:t xml:space="preserve"> </w:t>
      </w:r>
      <w:r>
        <w:t xml:space="preserve">on</w:t>
      </w:r>
      <w:r>
        <w:t xml:space="preserve"> </w:t>
      </w:r>
      <w:r>
        <w:t xml:space="preserve">Dams</w:t>
      </w:r>
      <w:r>
        <w:t xml:space="preserve"> </w:t>
      </w:r>
      <w:r>
        <w:t xml:space="preserve">and</w:t>
      </w:r>
      <w:r>
        <w:t xml:space="preserve"> </w:t>
      </w:r>
      <w:r>
        <w:t xml:space="preserve">Embankments</w:t>
      </w:r>
      <w:r>
        <w:t xml:space="preserve">»</w:t>
      </w:r>
      <w:r>
        <w:t xml:space="preserve">.</w:t>
      </w:r>
      <w:r>
        <w:t xml:space="preserve"> </w:t>
      </w:r>
      <w:r>
        <w:rPr>
          <w:i/>
          <w:iCs/>
        </w:rPr>
        <w:t xml:space="preserve">Géotechnique</w:t>
      </w:r>
      <w:r>
        <w:t xml:space="preserve"> </w:t>
      </w:r>
      <w:r>
        <w:t xml:space="preserve">15 (2): 139-60.</w:t>
      </w:r>
      <w:r>
        <w:t xml:space="preserve"> </w:t>
      </w:r>
      <w:hyperlink r:id="rId139">
        <w:r>
          <w:rPr>
            <w:rStyle w:val="Hyperlink"/>
          </w:rPr>
          <w:t xml:space="preserve">https://doi.org/10.1680/geot.1965.15.2.139</w:t>
        </w:r>
      </w:hyperlink>
      <w:r>
        <w:t xml:space="preserve">.</w:t>
      </w:r>
    </w:p>
    <w:bookmarkEnd w:id="140"/>
    <w:bookmarkStart w:id="141" w:name="ref-SaygiliRathje2008"/>
    <w:p>
      <w:pPr>
        <w:pStyle w:val="Bibliography"/>
      </w:pPr>
      <w:r>
        <w:t xml:space="preserve">Saygili, G., y E. M. Rathje. 2008.</w:t>
      </w:r>
      <w:r>
        <w:t xml:space="preserve"> </w:t>
      </w:r>
      <w:r>
        <w:t xml:space="preserve">«Empirical</w:t>
      </w:r>
      <w:r>
        <w:t xml:space="preserve"> </w:t>
      </w:r>
      <w:r>
        <w:t xml:space="preserve">Predictive</w:t>
      </w:r>
      <w:r>
        <w:t xml:space="preserve"> </w:t>
      </w:r>
      <w:r>
        <w:t xml:space="preserve">Models</w:t>
      </w:r>
      <w:r>
        <w:t xml:space="preserve"> </w:t>
      </w:r>
      <w:r>
        <w:t xml:space="preserve">for</w:t>
      </w:r>
      <w:r>
        <w:t xml:space="preserve"> </w:t>
      </w:r>
      <w:r>
        <w:t xml:space="preserve">Earthquake-Induced</w:t>
      </w:r>
      <w:r>
        <w:t xml:space="preserve"> </w:t>
      </w:r>
      <w:r>
        <w:t xml:space="preserve">Sliding</w:t>
      </w:r>
      <w:r>
        <w:t xml:space="preserve"> </w:t>
      </w:r>
      <w:r>
        <w:t xml:space="preserve">Displacements</w:t>
      </w:r>
      <w:r>
        <w:t xml:space="preserve"> </w:t>
      </w:r>
      <w:r>
        <w:t xml:space="preserve">of</w:t>
      </w:r>
      <w:r>
        <w:t xml:space="preserve"> </w:t>
      </w:r>
      <w:r>
        <w:t xml:space="preserve">Slopes</w:t>
      </w:r>
      <w:r>
        <w:t xml:space="preserve">»</w:t>
      </w:r>
      <w:r>
        <w:t xml:space="preserve">.</w:t>
      </w:r>
      <w:r>
        <w:t xml:space="preserve"> </w:t>
      </w:r>
      <w:r>
        <w:rPr>
          <w:i/>
          <w:iCs/>
        </w:rPr>
        <w:t xml:space="preserve">Journal of Geotechnical and Geoenvironmental Engineering</w:t>
      </w:r>
      <w:r>
        <w:t xml:space="preserve"> </w:t>
      </w:r>
      <w:r>
        <w:t xml:space="preserve">134 (6): 790-803.</w:t>
      </w:r>
    </w:p>
    <w:bookmarkEnd w:id="141"/>
    <w:bookmarkStart w:id="143" w:name="ref-ShibataSoelarno1975"/>
    <w:p>
      <w:pPr>
        <w:pStyle w:val="Bibliography"/>
      </w:pPr>
      <w:r>
        <w:t xml:space="preserve">Shibata, Toru, y Dojoko S. Soelarno. 1975.</w:t>
      </w:r>
      <w:r>
        <w:t xml:space="preserve"> </w:t>
      </w:r>
      <w:r>
        <w:t xml:space="preserve">«Stress-Strain</w:t>
      </w:r>
      <w:r>
        <w:t xml:space="preserve"> </w:t>
      </w:r>
      <w:r>
        <w:t xml:space="preserve">Characteristics</w:t>
      </w:r>
      <w:r>
        <w:t xml:space="preserve"> </w:t>
      </w:r>
      <w:r>
        <w:t xml:space="preserve">of</w:t>
      </w:r>
      <w:r>
        <w:t xml:space="preserve"> </w:t>
      </w:r>
      <w:r>
        <w:t xml:space="preserve">Sands</w:t>
      </w:r>
      <w:r>
        <w:t xml:space="preserve"> </w:t>
      </w:r>
      <w:r>
        <w:t xml:space="preserve">Under</w:t>
      </w:r>
      <w:r>
        <w:t xml:space="preserve"> </w:t>
      </w:r>
      <w:r>
        <w:t xml:space="preserve">Cyclic</w:t>
      </w:r>
      <w:r>
        <w:t xml:space="preserve"> </w:t>
      </w:r>
      <w:r>
        <w:t xml:space="preserve">Loading</w:t>
      </w:r>
      <w:r>
        <w:t xml:space="preserve">»</w:t>
      </w:r>
      <w:r>
        <w:t xml:space="preserve">.</w:t>
      </w:r>
      <w:r>
        <w:t xml:space="preserve"> </w:t>
      </w:r>
      <w:r>
        <w:rPr>
          <w:i/>
          <w:iCs/>
        </w:rPr>
        <w:t xml:space="preserve">Proceedings of the Japan Society of Civil Engineers</w:t>
      </w:r>
      <w:r>
        <w:t xml:space="preserve"> </w:t>
      </w:r>
      <w:r>
        <w:t xml:space="preserve">1975 (239): 57-65.</w:t>
      </w:r>
      <w:r>
        <w:t xml:space="preserve"> </w:t>
      </w:r>
      <w:hyperlink r:id="rId142">
        <w:r>
          <w:rPr>
            <w:rStyle w:val="Hyperlink"/>
          </w:rPr>
          <w:t xml:space="preserve">https://doi.org/10.2208/jscej1969.1975.57</w:t>
        </w:r>
      </w:hyperlink>
      <w:r>
        <w:t xml:space="preserve">.</w:t>
      </w:r>
    </w:p>
    <w:bookmarkEnd w:id="143"/>
    <w:bookmarkStart w:id="145" w:name="ref-Stewart2020"/>
    <w:p>
      <w:pPr>
        <w:pStyle w:val="Bibliography"/>
      </w:pPr>
      <w:r>
        <w:t xml:space="preserve">Stewart, Jonathan P., Grace A. Parker, Gail M. Atkinson, David M. Boore, Youssef M. A. Hashash, y Walter J. Silva. 2020.</w:t>
      </w:r>
      <w:r>
        <w:t xml:space="preserve"> </w:t>
      </w:r>
      <w:r>
        <w:t xml:space="preserve">«Ergodic</w:t>
      </w:r>
      <w:r>
        <w:t xml:space="preserve"> </w:t>
      </w:r>
      <w:r>
        <w:t xml:space="preserve">Site</w:t>
      </w:r>
      <w:r>
        <w:t xml:space="preserve"> </w:t>
      </w:r>
      <w:r>
        <w:t xml:space="preserve">Amplification</w:t>
      </w:r>
      <w:r>
        <w:t xml:space="preserve"> </w:t>
      </w:r>
      <w:r>
        <w:t xml:space="preserve">Model</w:t>
      </w:r>
      <w:r>
        <w:t xml:space="preserve"> </w:t>
      </w:r>
      <w:r>
        <w:t xml:space="preserve">for</w:t>
      </w:r>
      <w:r>
        <w:t xml:space="preserve"> </w:t>
      </w:r>
      <w:r>
        <w:t xml:space="preserve">Central</w:t>
      </w:r>
      <w:r>
        <w:t xml:space="preserve"> </w:t>
      </w:r>
      <w:r>
        <w:t xml:space="preserve">and</w:t>
      </w:r>
      <w:r>
        <w:t xml:space="preserve"> </w:t>
      </w:r>
      <w:r>
        <w:t xml:space="preserve">Eastern</w:t>
      </w:r>
      <w:r>
        <w:t xml:space="preserve"> </w:t>
      </w:r>
      <w:r>
        <w:t xml:space="preserve">North</w:t>
      </w:r>
      <w:r>
        <w:t xml:space="preserve"> </w:t>
      </w:r>
      <w:r>
        <w:t xml:space="preserve">America</w:t>
      </w:r>
      <w:r>
        <w:t xml:space="preserve">»</w:t>
      </w:r>
      <w:r>
        <w:t xml:space="preserve">.</w:t>
      </w:r>
      <w:r>
        <w:t xml:space="preserve"> </w:t>
      </w:r>
      <w:r>
        <w:rPr>
          <w:i/>
          <w:iCs/>
        </w:rPr>
        <w:t xml:space="preserve">Earthquake Spectra</w:t>
      </w:r>
      <w:r>
        <w:t xml:space="preserve"> </w:t>
      </w:r>
      <w:r>
        <w:t xml:space="preserve">36 (1): 42-68.</w:t>
      </w:r>
      <w:r>
        <w:t xml:space="preserve"> </w:t>
      </w:r>
      <w:hyperlink r:id="rId144">
        <w:r>
          <w:rPr>
            <w:rStyle w:val="Hyperlink"/>
          </w:rPr>
          <w:t xml:space="preserve">https://doi.org/10.1177/8755293019878185</w:t>
        </w:r>
      </w:hyperlink>
      <w:r>
        <w:t xml:space="preserve">.</w:t>
      </w:r>
    </w:p>
    <w:bookmarkEnd w:id="145"/>
    <w:bookmarkStart w:id="147" w:name="ref-USACE1995"/>
    <w:p>
      <w:pPr>
        <w:pStyle w:val="Bibliography"/>
      </w:pPr>
      <w:r>
        <w:t xml:space="preserve">U.S. Army Corps of Engineers. 1995.</w:t>
      </w:r>
      <w:r>
        <w:t xml:space="preserve"> </w:t>
      </w:r>
      <w:r>
        <w:rPr>
          <w:i/>
          <w:iCs/>
        </w:rPr>
        <w:t xml:space="preserve">Earthquake</w:t>
      </w:r>
      <w:r>
        <w:rPr>
          <w:i/>
          <w:iCs/>
        </w:rPr>
        <w:t xml:space="preserve"> </w:t>
      </w:r>
      <w:r>
        <w:rPr>
          <w:i/>
          <w:iCs/>
        </w:rPr>
        <w:t xml:space="preserve">Design</w:t>
      </w:r>
      <w:r>
        <w:rPr>
          <w:i/>
          <w:iCs/>
        </w:rPr>
        <w:t xml:space="preserve"> </w:t>
      </w:r>
      <w:r>
        <w:rPr>
          <w:i/>
          <w:iCs/>
        </w:rPr>
        <w:t xml:space="preserve">and</w:t>
      </w:r>
      <w:r>
        <w:rPr>
          <w:i/>
          <w:iCs/>
        </w:rPr>
        <w:t xml:space="preserve"> </w:t>
      </w:r>
      <w:r>
        <w:rPr>
          <w:i/>
          <w:iCs/>
        </w:rPr>
        <w:t xml:space="preserve">Evaluation</w:t>
      </w:r>
      <w:r>
        <w:rPr>
          <w:i/>
          <w:iCs/>
        </w:rPr>
        <w:t xml:space="preserve"> </w:t>
      </w:r>
      <w:r>
        <w:rPr>
          <w:i/>
          <w:iCs/>
        </w:rPr>
        <w:t xml:space="preserve">for</w:t>
      </w:r>
      <w:r>
        <w:rPr>
          <w:i/>
          <w:iCs/>
        </w:rPr>
        <w:t xml:space="preserve"> </w:t>
      </w:r>
      <w:r>
        <w:rPr>
          <w:i/>
          <w:iCs/>
        </w:rPr>
        <w:t xml:space="preserve">Civil</w:t>
      </w:r>
      <w:r>
        <w:rPr>
          <w:i/>
          <w:iCs/>
        </w:rPr>
        <w:t xml:space="preserve"> </w:t>
      </w:r>
      <w:r>
        <w:rPr>
          <w:i/>
          <w:iCs/>
        </w:rPr>
        <w:t xml:space="preserve">Works</w:t>
      </w:r>
      <w:r>
        <w:rPr>
          <w:i/>
          <w:iCs/>
        </w:rPr>
        <w:t xml:space="preserve"> </w:t>
      </w:r>
      <w:r>
        <w:rPr>
          <w:i/>
          <w:iCs/>
        </w:rPr>
        <w:t xml:space="preserve">Projects</w:t>
      </w:r>
      <w:r>
        <w:t xml:space="preserve">. Engineer Regulation ER 1110-2-1806. U.S. Army Corps of Engineers.</w:t>
      </w:r>
      <w:r>
        <w:t xml:space="preserve"> </w:t>
      </w:r>
      <w:hyperlink r:id="rId146">
        <w:r>
          <w:rPr>
            <w:rStyle w:val="Hyperlink"/>
          </w:rPr>
          <w:t xml:space="preserve">https://www.publications.usace.army.mil/Portals/76/Publications/EngineerRegulations/ER_1110-2-1806.pdf</w:t>
        </w:r>
      </w:hyperlink>
      <w:r>
        <w:t xml:space="preserve">.</w:t>
      </w:r>
    </w:p>
    <w:bookmarkEnd w:id="147"/>
    <w:bookmarkStart w:id="149" w:name="ref-USACE2003"/>
    <w:p>
      <w:pPr>
        <w:pStyle w:val="Bibliography"/>
      </w:pPr>
      <w:r>
        <w:t xml:space="preserve">U.S. Army Corps of Engineers. 2003.</w:t>
      </w:r>
      <w:r>
        <w:t xml:space="preserve"> </w:t>
      </w:r>
      <w:r>
        <w:rPr>
          <w:i/>
          <w:iCs/>
        </w:rPr>
        <w:t xml:space="preserve">Slope</w:t>
      </w:r>
      <w:r>
        <w:rPr>
          <w:i/>
          <w:iCs/>
        </w:rPr>
        <w:t xml:space="preserve"> </w:t>
      </w:r>
      <w:r>
        <w:rPr>
          <w:i/>
          <w:iCs/>
        </w:rPr>
        <w:t xml:space="preserve">Stability</w:t>
      </w:r>
      <w:r>
        <w:t xml:space="preserve">. Engineer Manual EM 1110-2-1902. U.S. Army Corps of Engineers.</w:t>
      </w:r>
      <w:r>
        <w:t xml:space="preserve"> </w:t>
      </w:r>
      <w:hyperlink r:id="rId148">
        <w:r>
          <w:rPr>
            <w:rStyle w:val="Hyperlink"/>
          </w:rPr>
          <w:t xml:space="preserve">https://www.publications.usace.army.mil/Portals/76/Publications/EngineerManuals/EM_1110-2-1902.pdf</w:t>
        </w:r>
      </w:hyperlink>
      <w:r>
        <w:t xml:space="preserve">.</w:t>
      </w:r>
    </w:p>
    <w:bookmarkEnd w:id="149"/>
    <w:bookmarkStart w:id="151" w:name="ref-USACE2005"/>
    <w:p>
      <w:pPr>
        <w:pStyle w:val="Bibliography"/>
      </w:pPr>
      <w:r>
        <w:t xml:space="preserve">U.S. Army Corps of Engineers. 2005.</w:t>
      </w:r>
      <w:r>
        <w:t xml:space="preserve"> </w:t>
      </w:r>
      <w:r>
        <w:rPr>
          <w:i/>
          <w:iCs/>
        </w:rPr>
        <w:t xml:space="preserve">Stability of</w:t>
      </w:r>
      <w:r>
        <w:rPr>
          <w:i/>
          <w:iCs/>
        </w:rPr>
        <w:t xml:space="preserve"> </w:t>
      </w:r>
      <w:r>
        <w:rPr>
          <w:i/>
          <w:iCs/>
        </w:rPr>
        <w:t xml:space="preserve">Concrete</w:t>
      </w:r>
      <w:r>
        <w:rPr>
          <w:i/>
          <w:iCs/>
        </w:rPr>
        <w:t xml:space="preserve"> </w:t>
      </w:r>
      <w:r>
        <w:rPr>
          <w:i/>
          <w:iCs/>
        </w:rPr>
        <w:t xml:space="preserve">Structures</w:t>
      </w:r>
      <w:r>
        <w:t xml:space="preserve">. Engineer Manual EM 1110-2-2100. U.S. Army Corps of Engineers.</w:t>
      </w:r>
      <w:r>
        <w:t xml:space="preserve"> </w:t>
      </w:r>
      <w:hyperlink r:id="rId150">
        <w:r>
          <w:rPr>
            <w:rStyle w:val="Hyperlink"/>
          </w:rPr>
          <w:t xml:space="preserve">https://www.publications.usace.army.mil/portals/76/publications/engineermanuals/em_1110-2-2100.pdf</w:t>
        </w:r>
      </w:hyperlink>
      <w:r>
        <w:t xml:space="preserve">.</w:t>
      </w:r>
    </w:p>
    <w:bookmarkEnd w:id="151"/>
    <w:bookmarkStart w:id="152" w:name="ref-VerriKozlowski2026Newmark"/>
    <w:p>
      <w:pPr>
        <w:pStyle w:val="Bibliography"/>
      </w:pPr>
      <w:r>
        <w:t xml:space="preserve">Verri Kozlowski, Alejandro. 2026.</w:t>
      </w:r>
      <w:r>
        <w:t xml:space="preserve"> </w:t>
      </w:r>
      <w:r>
        <w:t xml:space="preserve">«Probabilistic</w:t>
      </w:r>
      <w:r>
        <w:t xml:space="preserve"> </w:t>
      </w:r>
      <w:r>
        <w:t xml:space="preserve">Estimation</w:t>
      </w:r>
      <w:r>
        <w:t xml:space="preserve"> </w:t>
      </w:r>
      <w:r>
        <w:t xml:space="preserve">of</w:t>
      </w:r>
      <w:r>
        <w:t xml:space="preserve"> </w:t>
      </w:r>
      <w:r>
        <w:t xml:space="preserve">Newmark</w:t>
      </w:r>
      <w:r>
        <w:t xml:space="preserve"> </w:t>
      </w:r>
      <w:r>
        <w:t xml:space="preserve">Displacements</w:t>
      </w:r>
      <w:r>
        <w:t xml:space="preserve"> </w:t>
      </w:r>
      <w:r>
        <w:t xml:space="preserve">and</w:t>
      </w:r>
      <w:r>
        <w:t xml:space="preserve"> </w:t>
      </w:r>
      <w:r>
        <w:t xml:space="preserve">Seismic</w:t>
      </w:r>
      <w:r>
        <w:t xml:space="preserve"> </w:t>
      </w:r>
      <w:r>
        <w:t xml:space="preserve">Coefficients</w:t>
      </w:r>
      <w:r>
        <w:t xml:space="preserve"> </w:t>
      </w:r>
      <w:r>
        <w:t xml:space="preserve">under</w:t>
      </w:r>
      <w:r>
        <w:t xml:space="preserve"> </w:t>
      </w:r>
      <w:r>
        <w:t xml:space="preserve">Hazard</w:t>
      </w:r>
      <w:r>
        <w:t xml:space="preserve"> </w:t>
      </w:r>
      <w:r>
        <w:t xml:space="preserve">Uncertainty</w:t>
      </w:r>
      <w:r>
        <w:t xml:space="preserve">»</w:t>
      </w:r>
      <w:r>
        <w:t xml:space="preserve">. Manuscript. En prensa.</w:t>
      </w:r>
    </w:p>
    <w:bookmarkEnd w:id="152"/>
    <w:bookmarkEnd w:id="153"/>
    <w:bookmarkEnd w:id="154"/>
    <w:bookmarkEnd w:id="155"/>
    <w:sectPr w:rsidR="00556780" w:rsidSect="008C0599">
      <w:headerReference r:id="srk1" w:type="default"/>
      <w:footerReference r:id="srk2" w:type="default"/>
      <w:headerReference r:id="srk1" w:type="first"/>
      <w:headerReference r:id="srk1" w:type="even"/>
      <w:footerReference r:id="srk2" w:type="first"/>
      <w:footerReference r:id="srk2" w:type="even"/>
      <w:type w:val="nextPage"/>
      <w:pgSz w:h="15840" w:w="12240"/>
      <w:pgMar w:bottom="1440" w:footer="720" w:gutter="0" w:header="720" w:left="1440" w:right="1440" w:top="1440"/>
      <w:pgNumType w:fmt="decimal" w:start="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CambriaMath">
    <w:altName w:val="Calibri"/>
    <w:panose1 w:val="020B0604020202020204"/>
    <w:charset w:val="A1"/>
    <w:family w:val="auto"/>
    <w:notTrueType/>
    <w:pitch w:val="default"/>
    <w:sig w:usb0="00000081" w:usb1="00000000" w:usb2="00000000" w:usb3="00000000" w:csb0="00000008"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2413B7" w:rsidRPr="00FB44C7" w:rsidRDefault="00000000" w:rsidP="000E7922">
    <w:pPr>
      <w:pStyle w:val="Footer"/>
      <w:pBdr>
        <w:top w:val="single" w:sz="4" w:space="1" w:color="auto"/>
      </w:pBdr>
      <w:tabs>
        <w:tab w:val="left" w:pos="8280"/>
      </w:tabs>
      <w:rPr>
        <w:lang w:val="en-US"/>
      </w:rPr>
    </w:pPr>
    <w:sdt>
      <w:sdtPr>
        <w:tag w:val="srk.project"/>
        <w:text/>
      </w:sdtPr>
      <w:sdtContent>
        <w:r>
          <w:t>AR-M2V4D</w:t>
        </w:r>
      </w:sdtContent>
    </w:sdt>
    <w:r>
      <w:tab/>
    </w:r>
    <w:r>
      <w:tab/>
    </w:r>
    <w:sdt>
      <w:sdtPr>
        <w:tag w:val="srk.date"/>
        <w:text/>
      </w:sdtPr>
      <w:sdtContent>
        <w:r>
          <w:t>15/10/2026</w:t>
        </w:r>
      </w:sdtContent>
    </w:sdt>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rPr>
          <w:rStyle w:val="VerbatimChar"/>
        </w:rPr>
        <w:t xml:space="preserve">IDm</w:t>
      </w:r>
      <w:r>
        <w:t xml:space="preserve"> </w:t>
      </w:r>
      <w:r>
        <w:t xml:space="preserve">identifica el escenario de material y</w:t>
      </w:r>
      <w:r>
        <w:t xml:space="preserve"> </w:t>
      </w:r>
      <w:r>
        <w:rPr>
          <w:rStyle w:val="VerbatimChar"/>
        </w:rPr>
        <w:t xml:space="preserve">USCS</w:t>
      </w:r>
      <w:r>
        <w:t xml:space="preserve"> </w:t>
      </w:r>
      <w:r>
        <w:t xml:space="preserve">la clasificación de los materiales del talud.</w:t>
      </w:r>
      <w:r>
        <w:t xml:space="preserve"> </w:t>
      </w:r>
      <m:oMath>
        <m:sSub>
          <m:e>
            <m:r>
              <m:t>H</m:t>
            </m:r>
          </m:e>
          <m:sub>
            <m:r>
              <m:t>s</m:t>
            </m:r>
          </m:sub>
        </m:sSub>
      </m:oMath>
      <w:r>
        <w:t xml:space="preserve"> </w:t>
      </w:r>
      <w:r>
        <w:t xml:space="preserve">es la altura del talud y</w:t>
      </w:r>
      <w:r>
        <w:t xml:space="preserve"> </w:t>
      </w:r>
      <m:oMath>
        <m:r>
          <m:t>b</m:t>
        </m:r>
      </m:oMath>
      <w:r>
        <w:t xml:space="preserve"> </w:t>
      </w:r>
      <w:r>
        <w:t xml:space="preserve">el ancho de berma, ambos en m;</w:t>
      </w:r>
      <w:r>
        <w:t xml:space="preserve"> </w:t>
      </w:r>
      <m:oMath>
        <m:r>
          <m:t>s</m:t>
        </m:r>
      </m:oMath>
      <w:r>
        <w:t xml:space="preserve"> </w:t>
      </w:r>
      <w:r>
        <w:t xml:space="preserve">es la relación de talud (</w:t>
      </w:r>
      <m:oMath>
        <m:r>
          <m:rPr>
            <m:sty m:val="p"/>
          </m:rPr>
          <m:t>tan</m:t>
        </m:r>
        <m:r>
          <m:t>β</m:t>
        </m:r>
        <m:r>
          <m:rPr>
            <m:sty m:val="p"/>
          </m:rPr>
          <m:t>=</m:t>
        </m:r>
        <m:r>
          <m:t>1</m:t>
        </m:r>
        <m:r>
          <m:rPr>
            <m:sty m:val="p"/>
          </m:rPr>
          <m:t>/</m:t>
        </m:r>
        <m:r>
          <m:t>s</m:t>
        </m:r>
      </m:oMath>
      <w:r>
        <w:t xml:space="preserve">) y</w:t>
      </w:r>
      <w:r>
        <w:t xml:space="preserve"> </w:t>
      </w:r>
      <m:oMath>
        <m:sSub>
          <m:e>
            <m:r>
              <m:t>λ</m:t>
            </m:r>
          </m:e>
          <m:sub>
            <m:r>
              <m:t>o</m:t>
            </m:r>
          </m:sub>
        </m:sSub>
      </m:oMath>
      <w:r>
        <w:t xml:space="preserve"> </w:t>
      </w:r>
      <w:r>
        <w:t xml:space="preserve">la razón de truncamiento, ambas adimensionales;</w:t>
      </w:r>
      <w:r>
        <w:t xml:space="preserve"> </w:t>
      </w:r>
      <m:oMath>
        <m:sSub>
          <m:e>
            <m:r>
              <m:t>G</m:t>
            </m:r>
          </m:e>
          <m:sub>
            <m:r>
              <m:t>o</m:t>
            </m:r>
          </m:sub>
        </m:sSub>
      </m:oMath>
      <w:r>
        <w:t xml:space="preserve"> </w:t>
      </w:r>
      <w:r>
        <w:t xml:space="preserve">es el módulo de corte del perfil en</w:t>
      </w:r>
      <w:r>
        <w:t xml:space="preserve"> </w:t>
      </w:r>
      <m:oMath>
        <m:r>
          <m:t>z</m:t>
        </m:r>
        <m:r>
          <m:rPr>
            <m:sty m:val="p"/>
          </m:rPr>
          <m:t>/</m:t>
        </m:r>
        <m:sSub>
          <m:e>
            <m:r>
              <m:t>H</m:t>
            </m:r>
          </m:e>
          <m:sub>
            <m:r>
              <m:t>s</m:t>
            </m:r>
          </m:sub>
        </m:sSub>
        <m:r>
          <m:rPr>
            <m:sty m:val="p"/>
          </m:rPr>
          <m:t>=</m:t>
        </m:r>
        <m:r>
          <m:t>1</m:t>
        </m:r>
      </m:oMath>
      <w:r>
        <w:t xml:space="preserve">, en MPa, y</w:t>
      </w:r>
      <w:r>
        <w:t xml:space="preserve"> </w:t>
      </w:r>
      <m:oMath>
        <m:sSub>
          <m:e>
            <m:r>
              <m:t>m</m:t>
            </m:r>
          </m:e>
          <m:sub>
            <m:r>
              <m:t>o</m:t>
            </m:r>
          </m:sub>
        </m:sSub>
      </m:oMath>
      <w:r>
        <w:t xml:space="preserve"> </w:t>
      </w:r>
      <w:r>
        <w:t xml:space="preserve">el exponente de su ley de potencia, adimensional;</w:t>
      </w:r>
      <w:r>
        <w:t xml:space="preserve"> </w:t>
      </w:r>
      <m:oMath>
        <m:sSub>
          <m:e>
            <m:r>
              <m:t>a</m:t>
            </m:r>
          </m:e>
          <m:sub>
            <m:r>
              <m:t>1</m:t>
            </m:r>
          </m:sub>
        </m:sSub>
      </m:oMath>
      <w:r>
        <w:t xml:space="preserve"> </w:t>
      </w:r>
      <w:r>
        <w:t xml:space="preserve">es la primera raíz modal, adimensional;</w:t>
      </w:r>
      <w:r>
        <w:t xml:space="preserve"> </w:t>
      </w:r>
      <m:oMath>
        <m:sSubSup>
          <m:e>
            <m:r>
              <m:t>V</m:t>
            </m:r>
          </m:e>
          <m:sub>
            <m:r>
              <m:t>S</m:t>
            </m:r>
          </m:sub>
          <m:sup>
            <m:r>
              <m:t>o</m:t>
            </m:r>
          </m:sup>
        </m:sSubSup>
      </m:oMath>
      <w:r>
        <w:t xml:space="preserve"> </w:t>
      </w:r>
      <w:r>
        <w:t xml:space="preserve">es la velocidad basal de onda de corte y</w:t>
      </w:r>
      <w:r>
        <w:t xml:space="preserve"> </w:t>
      </w:r>
      <m:oMath>
        <m:sSub>
          <m:e>
            <m:r>
              <m:t>V</m:t>
            </m:r>
          </m:e>
          <m:sub>
            <m:r>
              <m:t>S</m:t>
            </m:r>
            <m:r>
              <m:t>30</m:t>
            </m:r>
          </m:sub>
        </m:sSub>
      </m:oMath>
      <w:r>
        <w:t xml:space="preserve"> </w:t>
      </w:r>
      <w:r>
        <w:t xml:space="preserve">la velocidad de onda de corte promediada por tiempo de viaje en los primeros 30 m, ambas en m/s.</w:t>
      </w:r>
    </w:p>
  </w:footnote>
  <w:footnote w:id="33">
    <w:p>
      <w:pPr>
        <w:pStyle w:val="FootnoteText"/>
      </w:pPr>
      <w:r>
        <w:rPr>
          <w:rStyle w:val="FootnoteReference"/>
        </w:rPr>
        <w:footnoteRef/>
      </w:r>
      <w:r>
        <w:t xml:space="preserve"> </w:t>
      </w:r>
      <w:r>
        <w:t xml:space="preserve">El color identifica el escenario y el trazo identifica el conjunto: continuo para</w:t>
      </w:r>
      <w:r>
        <w:t xml:space="preserve"> </w:t>
      </w:r>
      <w:r>
        <w:rPr>
          <w:rStyle w:val="VerbatimChar"/>
        </w:rPr>
        <w:t xml:space="preserve">rigid</w:t>
      </w:r>
      <w:r>
        <w:t xml:space="preserve">, guiones cortos para</w:t>
      </w:r>
      <w:r>
        <w:t xml:space="preserve"> </w:t>
      </w:r>
      <w:r>
        <w:rPr>
          <w:rStyle w:val="VerbatimChar"/>
        </w:rPr>
        <w:t xml:space="preserve">ensemble</w:t>
      </w:r>
      <w:r>
        <w:t xml:space="preserve"> </w:t>
      </w:r>
      <w:r>
        <w:t xml:space="preserve">y guiones largos para</w:t>
      </w:r>
      <w:r>
        <w:t xml:space="preserve"> </w:t>
      </w:r>
      <w:r>
        <w:rPr>
          <w:rStyle w:val="VerbatimChar"/>
        </w:rPr>
        <w:t xml:space="preserve">flexible</w:t>
      </w:r>
      <w:r>
        <w:t xml:space="preserve">. Las franjas sombreadas se delimitan por los umbrales de daño</w:t>
      </w:r>
      <w:r>
        <w:t xml:space="preserve"> </w:t>
      </w:r>
      <m:oMath>
        <m:sSub>
          <m:e>
            <m:r>
              <m:t>D</m:t>
            </m:r>
          </m:e>
          <m:sub>
            <m:r>
              <m:t>a</m:t>
            </m:r>
          </m:sub>
        </m:sSub>
        <m:r>
          <m:rPr>
            <m:sty m:val="p"/>
          </m:rPr>
          <m:t>/</m:t>
        </m:r>
        <m:r>
          <m:t>H</m:t>
        </m:r>
        <m:r>
          <m:rPr>
            <m:sty m:val="p"/>
          </m:rPr>
          <m:t>=</m:t>
        </m:r>
        <m:r>
          <m:t>0.1</m:t>
        </m:r>
        <m:r>
          <m:rPr>
            <m:sty m:val="p"/>
          </m:rPr>
          <m:t>,</m:t>
        </m:r>
        <m:r>
          <m:t>0.4</m:t>
        </m:r>
        <m:r>
          <m:rPr>
            <m:sty m:val="p"/>
          </m:rPr>
          <m:t>,</m:t>
        </m:r>
        <m:r>
          <m:t>1.0</m:t>
        </m:r>
        <m:r>
          <m:rPr>
            <m:sty m:val="p"/>
          </m:rPr>
          <m:t>,</m:t>
        </m:r>
        <m:r>
          <m:t>2.5</m:t>
        </m:r>
      </m:oMath>
      <w:r>
        <w:t xml:space="preserve"> </w:t>
      </w:r>
      <w:r>
        <w:t xml:space="preserve">%.</w:t>
      </w:r>
    </w:p>
  </w:footnote>
  <w:footnote w:id="38">
    <w:p>
      <w:pPr>
        <w:pStyle w:val="FootnoteText"/>
      </w:pPr>
      <w:r>
        <w:rPr>
          <w:rStyle w:val="FootnoteReference"/>
        </w:rPr>
        <w:footnoteRef/>
      </w:r>
      <w:r>
        <w:t xml:space="preserve"> </w:t>
      </w:r>
      <w:r>
        <w:t xml:space="preserve">El color identifica el escenario y el trazo identifica el conjunto: continuo para</w:t>
      </w:r>
      <w:r>
        <w:t xml:space="preserve"> </w:t>
      </w:r>
      <w:r>
        <w:rPr>
          <w:rStyle w:val="VerbatimChar"/>
        </w:rPr>
        <w:t xml:space="preserve">rigid</w:t>
      </w:r>
      <w:r>
        <w:t xml:space="preserve">, guiones cortos para</w:t>
      </w:r>
      <w:r>
        <w:t xml:space="preserve"> </w:t>
      </w:r>
      <w:r>
        <w:rPr>
          <w:rStyle w:val="VerbatimChar"/>
        </w:rPr>
        <w:t xml:space="preserve">ensemble</w:t>
      </w:r>
      <w:r>
        <w:t xml:space="preserve"> </w:t>
      </w:r>
      <w:r>
        <w:t xml:space="preserve">y guiones largos para</w:t>
      </w:r>
      <w:r>
        <w:t xml:space="preserve"> </w:t>
      </w:r>
      <w:r>
        <w:rPr>
          <w:rStyle w:val="VerbatimChar"/>
        </w:rPr>
        <w:t xml:space="preserve">flexible</w:t>
      </w:r>
      <w:r>
        <w:t xml:space="preserve">. Las franjas sombreadas se delimitan por los umbrales de daño</w:t>
      </w:r>
      <w:r>
        <w:t xml:space="preserve"> </w:t>
      </w:r>
      <m:oMath>
        <m:sSub>
          <m:e>
            <m:r>
              <m:t>D</m:t>
            </m:r>
          </m:e>
          <m:sub>
            <m:r>
              <m:t>a</m:t>
            </m:r>
          </m:sub>
        </m:sSub>
        <m:r>
          <m:rPr>
            <m:sty m:val="p"/>
          </m:rPr>
          <m:t>/</m:t>
        </m:r>
        <m:r>
          <m:t>H</m:t>
        </m:r>
        <m:r>
          <m:rPr>
            <m:sty m:val="p"/>
          </m:rPr>
          <m:t>=</m:t>
        </m:r>
        <m:r>
          <m:t>0.1</m:t>
        </m:r>
        <m:r>
          <m:rPr>
            <m:sty m:val="p"/>
          </m:rPr>
          <m:t>,</m:t>
        </m:r>
        <m:r>
          <m:t>0.4</m:t>
        </m:r>
        <m:r>
          <m:rPr>
            <m:sty m:val="p"/>
          </m:rPr>
          <m:t>,</m:t>
        </m:r>
        <m:r>
          <m:t>1.0</m:t>
        </m:r>
        <m:r>
          <m:rPr>
            <m:sty m:val="p"/>
          </m:rPr>
          <m:t>,</m:t>
        </m:r>
        <m:r>
          <m:t>2.5</m:t>
        </m:r>
      </m:oMath>
      <w:r>
        <w:t xml:space="preserve"> </w:t>
      </w:r>
      <w:r>
        <w:t xml:space="preserve">%.</w:t>
      </w:r>
    </w:p>
  </w:footnote>
  <w:footnote w:id="43">
    <w:p>
      <w:pPr>
        <w:pStyle w:val="FootnoteText"/>
      </w:pPr>
      <w:r>
        <w:rPr>
          <w:rStyle w:val="FootnoteReference"/>
        </w:rPr>
        <w:footnoteRef/>
      </w:r>
      <w:r>
        <w:t xml:space="preserve"> </w:t>
      </w:r>
      <w:r>
        <w:t xml:space="preserve">El color identifica el escenario y el trazo identifica el conjunto: continuo para</w:t>
      </w:r>
      <w:r>
        <w:t xml:space="preserve"> </w:t>
      </w:r>
      <w:r>
        <w:rPr>
          <w:rStyle w:val="VerbatimChar"/>
        </w:rPr>
        <w:t xml:space="preserve">rigid</w:t>
      </w:r>
      <w:r>
        <w:t xml:space="preserve">, guiones cortos para</w:t>
      </w:r>
      <w:r>
        <w:t xml:space="preserve"> </w:t>
      </w:r>
      <w:r>
        <w:rPr>
          <w:rStyle w:val="VerbatimChar"/>
        </w:rPr>
        <w:t xml:space="preserve">ensemble</w:t>
      </w:r>
      <w:r>
        <w:t xml:space="preserve"> </w:t>
      </w:r>
      <w:r>
        <w:t xml:space="preserve">y guiones largos para</w:t>
      </w:r>
      <w:r>
        <w:t xml:space="preserve"> </w:t>
      </w:r>
      <w:r>
        <w:rPr>
          <w:rStyle w:val="VerbatimChar"/>
        </w:rPr>
        <w:t xml:space="preserve">flexible</w:t>
      </w:r>
      <w:r>
        <w:t xml:space="preserve">. Las franjas sombreadas se delimitan por los umbrales de daño</w:t>
      </w:r>
      <w:r>
        <w:t xml:space="preserve"> </w:t>
      </w:r>
      <m:oMath>
        <m:sSub>
          <m:e>
            <m:r>
              <m:t>D</m:t>
            </m:r>
          </m:e>
          <m:sub>
            <m:r>
              <m:t>a</m:t>
            </m:r>
          </m:sub>
        </m:sSub>
        <m:r>
          <m:rPr>
            <m:sty m:val="p"/>
          </m:rPr>
          <m:t>/</m:t>
        </m:r>
        <m:r>
          <m:t>H</m:t>
        </m:r>
        <m:r>
          <m:rPr>
            <m:sty m:val="p"/>
          </m:rPr>
          <m:t>=</m:t>
        </m:r>
        <m:r>
          <m:t>0.1</m:t>
        </m:r>
        <m:r>
          <m:rPr>
            <m:sty m:val="p"/>
          </m:rPr>
          <m:t>,</m:t>
        </m:r>
        <m:r>
          <m:t>0.4</m:t>
        </m:r>
        <m:r>
          <m:rPr>
            <m:sty m:val="p"/>
          </m:rPr>
          <m:t>,</m:t>
        </m:r>
        <m:r>
          <m:t>1.0</m:t>
        </m:r>
        <m:r>
          <m:rPr>
            <m:sty m:val="p"/>
          </m:rPr>
          <m:t>,</m:t>
        </m:r>
        <m:r>
          <m:t>2.5</m:t>
        </m:r>
      </m:oMath>
      <w:r>
        <w:t xml:space="preserve"> </w:t>
      </w:r>
      <w:r>
        <w:t xml:space="preserve">%.</w:t>
      </w:r>
    </w:p>
  </w:footnote>
  <w:footnote w:id="48">
    <w:p>
      <w:pPr>
        <w:pStyle w:val="FootnoteText"/>
      </w:pPr>
      <w:r>
        <w:rPr>
          <w:rStyle w:val="FootnoteReference"/>
        </w:rPr>
        <w:footnoteRef/>
      </w:r>
      <w:r>
        <w:t xml:space="preserve"> </w:t>
      </w:r>
      <w:r>
        <w:t xml:space="preserve">El color identifica el escenario y el trazo identifica el conjunto: continuo para</w:t>
      </w:r>
      <w:r>
        <w:t xml:space="preserve"> </w:t>
      </w:r>
      <w:r>
        <w:rPr>
          <w:rStyle w:val="VerbatimChar"/>
        </w:rPr>
        <w:t xml:space="preserve">rigid</w:t>
      </w:r>
      <w:r>
        <w:t xml:space="preserve">, guiones cortos para</w:t>
      </w:r>
      <w:r>
        <w:t xml:space="preserve"> </w:t>
      </w:r>
      <w:r>
        <w:rPr>
          <w:rStyle w:val="VerbatimChar"/>
        </w:rPr>
        <w:t xml:space="preserve">ensemble</w:t>
      </w:r>
      <w:r>
        <w:t xml:space="preserve"> </w:t>
      </w:r>
      <w:r>
        <w:t xml:space="preserve">y guiones largos para</w:t>
      </w:r>
      <w:r>
        <w:t xml:space="preserve"> </w:t>
      </w:r>
      <w:r>
        <w:rPr>
          <w:rStyle w:val="VerbatimChar"/>
        </w:rPr>
        <w:t xml:space="preserve">flexible</w:t>
      </w:r>
      <w:r>
        <w:t xml:space="preserve">. Las franjas sombreadas se delimitan por los umbrales de daño</w:t>
      </w:r>
      <w:r>
        <w:t xml:space="preserve"> </w:t>
      </w:r>
      <m:oMath>
        <m:sSub>
          <m:e>
            <m:r>
              <m:t>D</m:t>
            </m:r>
          </m:e>
          <m:sub>
            <m:r>
              <m:t>a</m:t>
            </m:r>
          </m:sub>
        </m:sSub>
        <m:r>
          <m:rPr>
            <m:sty m:val="p"/>
          </m:rPr>
          <m:t>/</m:t>
        </m:r>
        <m:r>
          <m:t>H</m:t>
        </m:r>
        <m:r>
          <m:rPr>
            <m:sty m:val="p"/>
          </m:rPr>
          <m:t>=</m:t>
        </m:r>
        <m:r>
          <m:t>0.1</m:t>
        </m:r>
        <m:r>
          <m:rPr>
            <m:sty m:val="p"/>
          </m:rPr>
          <m:t>,</m:t>
        </m:r>
        <m:r>
          <m:t>0.4</m:t>
        </m:r>
        <m:r>
          <m:rPr>
            <m:sty m:val="p"/>
          </m:rPr>
          <m:t>,</m:t>
        </m:r>
        <m:r>
          <m:t>1.0</m:t>
        </m:r>
        <m:r>
          <m:rPr>
            <m:sty m:val="p"/>
          </m:rPr>
          <m:t>,</m:t>
        </m:r>
        <m:r>
          <m:t>2.5</m:t>
        </m:r>
      </m:oMath>
      <w:r>
        <w:t xml:space="preserve"> </w:t>
      </w:r>
      <w:r>
        <w:t xml:space="preserve">%.</w:t>
      </w:r>
    </w:p>
  </w:footnote>
  <w:footnote w:id="50">
    <w:p>
      <w:pPr>
        <w:pStyle w:val="FootnoteText"/>
      </w:pPr>
      <w:r>
        <w:rPr>
          <w:rStyle w:val="FootnoteReference"/>
        </w:rPr>
        <w:footnoteRef/>
      </w:r>
      <w:r>
        <w:t xml:space="preserve"> </w:t>
      </w:r>
      <w:r>
        <w:rPr>
          <w:rStyle w:val="VerbatimChar"/>
        </w:rPr>
        <w:t xml:space="preserve">ID</w:t>
      </w:r>
      <w:r>
        <w:t xml:space="preserve"> </w:t>
      </w:r>
      <w:r>
        <w:t xml:space="preserve">identifica la demanda sísmica e</w:t>
      </w:r>
      <w:r>
        <w:t xml:space="preserve"> </w:t>
      </w:r>
      <w:r>
        <w:rPr>
          <w:rStyle w:val="VerbatimChar"/>
        </w:rPr>
        <w:t xml:space="preserve">IDn</w:t>
      </w:r>
      <w:r>
        <w:t xml:space="preserve"> </w:t>
      </w:r>
      <w:r>
        <w:t xml:space="preserve">el conjunto de modelos (</w:t>
      </w:r>
      <w:r>
        <w:rPr>
          <w:rStyle w:val="VerbatimChar"/>
        </w:rPr>
        <w:t xml:space="preserve">rigid</w:t>
      </w:r>
      <w:r>
        <w:t xml:space="preserve">,</w:t>
      </w:r>
      <w:r>
        <w:t xml:space="preserve"> </w:t>
      </w:r>
      <w:r>
        <w:rPr>
          <w:rStyle w:val="VerbatimChar"/>
        </w:rPr>
        <w:t xml:space="preserve">ensemble</w:t>
      </w:r>
      <w:r>
        <w:t xml:space="preserve"> </w:t>
      </w:r>
      <w:r>
        <w:t xml:space="preserve">o</w:t>
      </w:r>
      <w:r>
        <w:t xml:space="preserve"> </w:t>
      </w:r>
      <w:r>
        <w:rPr>
          <w:rStyle w:val="VerbatimChar"/>
        </w:rPr>
        <w:t xml:space="preserve">flexible</w:t>
      </w:r>
      <w:r>
        <w:t xml:space="preserve">).</w:t>
      </w:r>
      <w:r>
        <w:t xml:space="preserve"> </w:t>
      </w:r>
      <m:oMath>
        <m:sSub>
          <m:e>
            <m:r>
              <m:t>T</m:t>
            </m:r>
          </m:e>
          <m:sub>
            <m:r>
              <m:t>s</m:t>
            </m:r>
          </m:sub>
        </m:sSub>
      </m:oMath>
      <w:r>
        <w:t xml:space="preserve"> </w:t>
      </w:r>
      <w:r>
        <w:t xml:space="preserve">es el período fundamental del talud [s] y</w:t>
      </w:r>
      <w:r>
        <w:t xml:space="preserve"> </w:t>
      </w:r>
      <m:oMath>
        <m:sSub>
          <m:e>
            <m:r>
              <m:t>V</m:t>
            </m:r>
          </m:e>
          <m:sub>
            <m:r>
              <m:t>S</m:t>
            </m:r>
            <m:r>
              <m:t>30</m:t>
            </m:r>
          </m:sub>
        </m:sSub>
      </m:oMath>
      <w:r>
        <w:t xml:space="preserve"> </w:t>
      </w:r>
      <w:r>
        <w:t xml:space="preserve">la velocidad de onda de corte de la condición evaluada [m/s]. Las columnas del coeficiente reportan la media aritmética para cada desplazamiento permanente admisible relativo a la altura del talud,</w:t>
      </w:r>
      <w:r>
        <w:t xml:space="preserve"> </w:t>
      </w:r>
      <m:oMath>
        <m:sSub>
          <m:e>
            <m:r>
              <m:t>D</m:t>
            </m:r>
          </m:e>
          <m:sub>
            <m:r>
              <m:t>a</m:t>
            </m:r>
          </m:sub>
        </m:sSub>
        <m:r>
          <m:rPr>
            <m:sty m:val="p"/>
          </m:rPr>
          <m:t>/</m:t>
        </m:r>
        <m:r>
          <m:t>H</m:t>
        </m:r>
      </m:oMath>
      <w:r>
        <w:t xml:space="preserve"> </w:t>
      </w:r>
      <w:r>
        <w:t xml:space="preserve">[%]. Los fractiles asociados al objetivo de excedencia</w:t>
      </w:r>
      <w:r>
        <w:t xml:space="preserve"> </w:t>
      </w:r>
      <m:oMath>
        <m:sSub>
          <m:e>
            <m:r>
              <m:t>p</m:t>
            </m:r>
          </m:e>
          <m:sub>
            <m:r>
              <m:t>e</m:t>
            </m:r>
          </m:sub>
        </m:sSub>
      </m:oMath>
      <w:r>
        <w:t xml:space="preserve"> </w:t>
      </w:r>
      <w:r>
        <w:t xml:space="preserve">se definen en la sección de coeficientes sísmicos.</w:t>
      </w:r>
    </w:p>
  </w:footnote>
  <w:footnote w:id="52">
    <w:p>
      <w:pPr>
        <w:pStyle w:val="FootnoteText"/>
      </w:pPr>
      <w:r>
        <w:rPr>
          <w:rStyle w:val="FootnoteReference"/>
        </w:rPr>
        <w:footnoteRef/>
      </w:r>
      <w:r>
        <w:t xml:space="preserve"> </w:t>
      </w:r>
      <w:r>
        <w:rPr>
          <w:rStyle w:val="VerbatimChar"/>
        </w:rPr>
        <w:t xml:space="preserve">ID</w:t>
      </w:r>
      <w:r>
        <w:t xml:space="preserve"> </w:t>
      </w:r>
      <w:r>
        <w:t xml:space="preserve">identifica la demanda sísmica e</w:t>
      </w:r>
      <w:r>
        <w:t xml:space="preserve"> </w:t>
      </w:r>
      <w:r>
        <w:rPr>
          <w:rStyle w:val="VerbatimChar"/>
        </w:rPr>
        <w:t xml:space="preserve">IDn</w:t>
      </w:r>
      <w:r>
        <w:t xml:space="preserve"> </w:t>
      </w:r>
      <w:r>
        <w:t xml:space="preserve">el conjunto de modelos (</w:t>
      </w:r>
      <w:r>
        <w:rPr>
          <w:rStyle w:val="VerbatimChar"/>
        </w:rPr>
        <w:t xml:space="preserve">rigid</w:t>
      </w:r>
      <w:r>
        <w:t xml:space="preserve">,</w:t>
      </w:r>
      <w:r>
        <w:t xml:space="preserve"> </w:t>
      </w:r>
      <w:r>
        <w:rPr>
          <w:rStyle w:val="VerbatimChar"/>
        </w:rPr>
        <w:t xml:space="preserve">ensemble</w:t>
      </w:r>
      <w:r>
        <w:t xml:space="preserve"> </w:t>
      </w:r>
      <w:r>
        <w:t xml:space="preserve">o</w:t>
      </w:r>
      <w:r>
        <w:t xml:space="preserve"> </w:t>
      </w:r>
      <w:r>
        <w:rPr>
          <w:rStyle w:val="VerbatimChar"/>
        </w:rPr>
        <w:t xml:space="preserve">flexible</w:t>
      </w:r>
      <w:r>
        <w:t xml:space="preserve">).</w:t>
      </w:r>
      <w:r>
        <w:t xml:space="preserve"> </w:t>
      </w:r>
      <m:oMath>
        <m:sSub>
          <m:e>
            <m:r>
              <m:t>T</m:t>
            </m:r>
          </m:e>
          <m:sub>
            <m:r>
              <m:t>s</m:t>
            </m:r>
          </m:sub>
        </m:sSub>
      </m:oMath>
      <w:r>
        <w:t xml:space="preserve"> </w:t>
      </w:r>
      <w:r>
        <w:t xml:space="preserve">es el período fundamental del talud [s] y</w:t>
      </w:r>
      <w:r>
        <w:t xml:space="preserve"> </w:t>
      </w:r>
      <m:oMath>
        <m:sSub>
          <m:e>
            <m:r>
              <m:t>V</m:t>
            </m:r>
          </m:e>
          <m:sub>
            <m:r>
              <m:t>S</m:t>
            </m:r>
            <m:r>
              <m:t>30</m:t>
            </m:r>
          </m:sub>
        </m:sSub>
      </m:oMath>
      <w:r>
        <w:t xml:space="preserve"> </w:t>
      </w:r>
      <w:r>
        <w:t xml:space="preserve">la velocidad de onda de corte de la condición evaluada [m/s]. Las columnas del coeficiente reportan la media aritmética para cada desplazamiento permanente admisible relativo a la altura del talud,</w:t>
      </w:r>
      <w:r>
        <w:t xml:space="preserve"> </w:t>
      </w:r>
      <m:oMath>
        <m:sSub>
          <m:e>
            <m:r>
              <m:t>D</m:t>
            </m:r>
          </m:e>
          <m:sub>
            <m:r>
              <m:t>a</m:t>
            </m:r>
          </m:sub>
        </m:sSub>
        <m:r>
          <m:rPr>
            <m:sty m:val="p"/>
          </m:rPr>
          <m:t>/</m:t>
        </m:r>
        <m:r>
          <m:t>H</m:t>
        </m:r>
      </m:oMath>
      <w:r>
        <w:t xml:space="preserve"> </w:t>
      </w:r>
      <w:r>
        <w:t xml:space="preserve">[%]. Los fractiles asociados al objetivo de excedencia</w:t>
      </w:r>
      <w:r>
        <w:t xml:space="preserve"> </w:t>
      </w:r>
      <m:oMath>
        <m:sSub>
          <m:e>
            <m:r>
              <m:t>p</m:t>
            </m:r>
          </m:e>
          <m:sub>
            <m:r>
              <m:t>e</m:t>
            </m:r>
          </m:sub>
        </m:sSub>
      </m:oMath>
      <w:r>
        <w:t xml:space="preserve"> </w:t>
      </w:r>
      <w:r>
        <w:t xml:space="preserve">se definen en la sección de coeficientes sísmicos.</w:t>
      </w:r>
    </w:p>
  </w:footnote>
  <w:footnote w:id="54">
    <w:p>
      <w:pPr>
        <w:pStyle w:val="FootnoteText"/>
      </w:pPr>
      <w:r>
        <w:rPr>
          <w:rStyle w:val="FootnoteReference"/>
        </w:rPr>
        <w:footnoteRef/>
      </w:r>
      <w:r>
        <w:t xml:space="preserve"> </w:t>
      </w:r>
      <w:r>
        <w:rPr>
          <w:rStyle w:val="VerbatimChar"/>
        </w:rPr>
        <w:t xml:space="preserve">ID</w:t>
      </w:r>
      <w:r>
        <w:t xml:space="preserve"> </w:t>
      </w:r>
      <w:r>
        <w:t xml:space="preserve">identifica la demanda sísmica e</w:t>
      </w:r>
      <w:r>
        <w:t xml:space="preserve"> </w:t>
      </w:r>
      <w:r>
        <w:rPr>
          <w:rStyle w:val="VerbatimChar"/>
        </w:rPr>
        <w:t xml:space="preserve">IDn</w:t>
      </w:r>
      <w:r>
        <w:t xml:space="preserve"> </w:t>
      </w:r>
      <w:r>
        <w:t xml:space="preserve">el conjunto de modelos (</w:t>
      </w:r>
      <w:r>
        <w:rPr>
          <w:rStyle w:val="VerbatimChar"/>
        </w:rPr>
        <w:t xml:space="preserve">rigid</w:t>
      </w:r>
      <w:r>
        <w:t xml:space="preserve">,</w:t>
      </w:r>
      <w:r>
        <w:t xml:space="preserve"> </w:t>
      </w:r>
      <w:r>
        <w:rPr>
          <w:rStyle w:val="VerbatimChar"/>
        </w:rPr>
        <w:t xml:space="preserve">ensemble</w:t>
      </w:r>
      <w:r>
        <w:t xml:space="preserve"> </w:t>
      </w:r>
      <w:r>
        <w:t xml:space="preserve">o</w:t>
      </w:r>
      <w:r>
        <w:t xml:space="preserve"> </w:t>
      </w:r>
      <w:r>
        <w:rPr>
          <w:rStyle w:val="VerbatimChar"/>
        </w:rPr>
        <w:t xml:space="preserve">flexible</w:t>
      </w:r>
      <w:r>
        <w:t xml:space="preserve">).</w:t>
      </w:r>
      <w:r>
        <w:t xml:space="preserve"> </w:t>
      </w:r>
      <m:oMath>
        <m:sSub>
          <m:e>
            <m:r>
              <m:t>T</m:t>
            </m:r>
          </m:e>
          <m:sub>
            <m:r>
              <m:t>s</m:t>
            </m:r>
          </m:sub>
        </m:sSub>
      </m:oMath>
      <w:r>
        <w:t xml:space="preserve"> </w:t>
      </w:r>
      <w:r>
        <w:t xml:space="preserve">es el período fundamental del talud [s] y</w:t>
      </w:r>
      <w:r>
        <w:t xml:space="preserve"> </w:t>
      </w:r>
      <m:oMath>
        <m:sSub>
          <m:e>
            <m:r>
              <m:t>V</m:t>
            </m:r>
          </m:e>
          <m:sub>
            <m:r>
              <m:t>S</m:t>
            </m:r>
            <m:r>
              <m:t>30</m:t>
            </m:r>
          </m:sub>
        </m:sSub>
      </m:oMath>
      <w:r>
        <w:t xml:space="preserve"> </w:t>
      </w:r>
      <w:r>
        <w:t xml:space="preserve">la velocidad de onda de corte de la condición evaluada [m/s]. Las columnas del coeficiente reportan la media aritmética para cada desplazamiento permanente admisible relativo a la altura del talud,</w:t>
      </w:r>
      <w:r>
        <w:t xml:space="preserve"> </w:t>
      </w:r>
      <m:oMath>
        <m:sSub>
          <m:e>
            <m:r>
              <m:t>D</m:t>
            </m:r>
          </m:e>
          <m:sub>
            <m:r>
              <m:t>a</m:t>
            </m:r>
          </m:sub>
        </m:sSub>
        <m:r>
          <m:rPr>
            <m:sty m:val="p"/>
          </m:rPr>
          <m:t>/</m:t>
        </m:r>
        <m:r>
          <m:t>H</m:t>
        </m:r>
      </m:oMath>
      <w:r>
        <w:t xml:space="preserve"> </w:t>
      </w:r>
      <w:r>
        <w:t xml:space="preserve">[%]. Los fractiles asociados al objetivo de excedencia</w:t>
      </w:r>
      <w:r>
        <w:t xml:space="preserve"> </w:t>
      </w:r>
      <m:oMath>
        <m:sSub>
          <m:e>
            <m:r>
              <m:t>p</m:t>
            </m:r>
          </m:e>
          <m:sub>
            <m:r>
              <m:t>e</m:t>
            </m:r>
          </m:sub>
        </m:sSub>
      </m:oMath>
      <w:r>
        <w:t xml:space="preserve"> </w:t>
      </w:r>
      <w:r>
        <w:t xml:space="preserve">se definen en la sección de coeficientes sísmicos.</w:t>
      </w:r>
    </w:p>
  </w:footnote>
  <w:footnote w:id="56">
    <w:p>
      <w:pPr>
        <w:pStyle w:val="FootnoteText"/>
      </w:pPr>
      <w:r>
        <w:rPr>
          <w:rStyle w:val="FootnoteReference"/>
        </w:rPr>
        <w:footnoteRef/>
      </w:r>
      <w:r>
        <w:t xml:space="preserve"> </w:t>
      </w:r>
      <w:r>
        <w:rPr>
          <w:rStyle w:val="VerbatimChar"/>
        </w:rPr>
        <w:t xml:space="preserve">ID</w:t>
      </w:r>
      <w:r>
        <w:t xml:space="preserve"> </w:t>
      </w:r>
      <w:r>
        <w:t xml:space="preserve">identifica la demanda sísmica e</w:t>
      </w:r>
      <w:r>
        <w:t xml:space="preserve"> </w:t>
      </w:r>
      <w:r>
        <w:rPr>
          <w:rStyle w:val="VerbatimChar"/>
        </w:rPr>
        <w:t xml:space="preserve">IDn</w:t>
      </w:r>
      <w:r>
        <w:t xml:space="preserve"> </w:t>
      </w:r>
      <w:r>
        <w:t xml:space="preserve">el conjunto de modelos (</w:t>
      </w:r>
      <w:r>
        <w:rPr>
          <w:rStyle w:val="VerbatimChar"/>
        </w:rPr>
        <w:t xml:space="preserve">rigid</w:t>
      </w:r>
      <w:r>
        <w:t xml:space="preserve">,</w:t>
      </w:r>
      <w:r>
        <w:t xml:space="preserve"> </w:t>
      </w:r>
      <w:r>
        <w:rPr>
          <w:rStyle w:val="VerbatimChar"/>
        </w:rPr>
        <w:t xml:space="preserve">ensemble</w:t>
      </w:r>
      <w:r>
        <w:t xml:space="preserve"> </w:t>
      </w:r>
      <w:r>
        <w:t xml:space="preserve">o</w:t>
      </w:r>
      <w:r>
        <w:t xml:space="preserve"> </w:t>
      </w:r>
      <w:r>
        <w:rPr>
          <w:rStyle w:val="VerbatimChar"/>
        </w:rPr>
        <w:t xml:space="preserve">flexible</w:t>
      </w:r>
      <w:r>
        <w:t xml:space="preserve">).</w:t>
      </w:r>
      <w:r>
        <w:t xml:space="preserve"> </w:t>
      </w:r>
      <m:oMath>
        <m:sSub>
          <m:e>
            <m:r>
              <m:t>T</m:t>
            </m:r>
          </m:e>
          <m:sub>
            <m:r>
              <m:t>s</m:t>
            </m:r>
          </m:sub>
        </m:sSub>
      </m:oMath>
      <w:r>
        <w:t xml:space="preserve"> </w:t>
      </w:r>
      <w:r>
        <w:t xml:space="preserve">es el período fundamental del talud [s] y</w:t>
      </w:r>
      <w:r>
        <w:t xml:space="preserve"> </w:t>
      </w:r>
      <m:oMath>
        <m:sSub>
          <m:e>
            <m:r>
              <m:t>V</m:t>
            </m:r>
          </m:e>
          <m:sub>
            <m:r>
              <m:t>S</m:t>
            </m:r>
            <m:r>
              <m:t>30</m:t>
            </m:r>
          </m:sub>
        </m:sSub>
      </m:oMath>
      <w:r>
        <w:t xml:space="preserve"> </w:t>
      </w:r>
      <w:r>
        <w:t xml:space="preserve">la velocidad de onda de corte de la condición evaluada [m/s]. Las columnas del coeficiente reportan la media aritmética para cada desplazamiento permanente admisible relativo a la altura del talud,</w:t>
      </w:r>
      <w:r>
        <w:t xml:space="preserve"> </w:t>
      </w:r>
      <m:oMath>
        <m:sSub>
          <m:e>
            <m:r>
              <m:t>D</m:t>
            </m:r>
          </m:e>
          <m:sub>
            <m:r>
              <m:t>a</m:t>
            </m:r>
          </m:sub>
        </m:sSub>
        <m:r>
          <m:rPr>
            <m:sty m:val="p"/>
          </m:rPr>
          <m:t>/</m:t>
        </m:r>
        <m:r>
          <m:t>H</m:t>
        </m:r>
      </m:oMath>
      <w:r>
        <w:t xml:space="preserve"> </w:t>
      </w:r>
      <w:r>
        <w:t xml:space="preserve">[%]. Los fractiles asociados al objetivo de excedencia</w:t>
      </w:r>
      <w:r>
        <w:t xml:space="preserve"> </w:t>
      </w:r>
      <m:oMath>
        <m:sSub>
          <m:e>
            <m:r>
              <m:t>p</m:t>
            </m:r>
          </m:e>
          <m:sub>
            <m:r>
              <m:t>e</m:t>
            </m:r>
          </m:sub>
        </m:sSub>
      </m:oMath>
      <w:r>
        <w:t xml:space="preserve"> </w:t>
      </w:r>
      <w:r>
        <w:t xml:space="preserve">se definen en la sección de coeficientes sísmicos.</w:t>
      </w:r>
    </w:p>
  </w:footnote>
  <w:footnote w:id="58">
    <w:p>
      <w:pPr>
        <w:pStyle w:val="FootnoteText"/>
      </w:pPr>
      <w:r>
        <w:rPr>
          <w:rStyle w:val="FootnoteReference"/>
        </w:rPr>
        <w:footnoteRef/>
      </w:r>
      <w:r>
        <w:t xml:space="preserve"> </w:t>
      </w:r>
      <w:r>
        <w:rPr>
          <w:rStyle w:val="VerbatimChar"/>
        </w:rPr>
        <w:t xml:space="preserve">ID</w:t>
      </w:r>
      <w:r>
        <w:t xml:space="preserve"> </w:t>
      </w:r>
      <w:r>
        <w:t xml:space="preserve">identifica la demanda sísmica e</w:t>
      </w:r>
      <w:r>
        <w:t xml:space="preserve"> </w:t>
      </w:r>
      <w:r>
        <w:rPr>
          <w:rStyle w:val="VerbatimChar"/>
        </w:rPr>
        <w:t xml:space="preserve">IDn</w:t>
      </w:r>
      <w:r>
        <w:t xml:space="preserve"> </w:t>
      </w:r>
      <w:r>
        <w:t xml:space="preserve">el conjunto de modelos (</w:t>
      </w:r>
      <w:r>
        <w:rPr>
          <w:rStyle w:val="VerbatimChar"/>
        </w:rPr>
        <w:t xml:space="preserve">rigid</w:t>
      </w:r>
      <w:r>
        <w:t xml:space="preserve">,</w:t>
      </w:r>
      <w:r>
        <w:t xml:space="preserve"> </w:t>
      </w:r>
      <w:r>
        <w:rPr>
          <w:rStyle w:val="VerbatimChar"/>
        </w:rPr>
        <w:t xml:space="preserve">ensemble</w:t>
      </w:r>
      <w:r>
        <w:t xml:space="preserve"> </w:t>
      </w:r>
      <w:r>
        <w:t xml:space="preserve">o</w:t>
      </w:r>
      <w:r>
        <w:t xml:space="preserve"> </w:t>
      </w:r>
      <w:r>
        <w:rPr>
          <w:rStyle w:val="VerbatimChar"/>
        </w:rPr>
        <w:t xml:space="preserve">flexible</w:t>
      </w:r>
      <w:r>
        <w:t xml:space="preserve">).</w:t>
      </w:r>
      <w:r>
        <w:t xml:space="preserve"> </w:t>
      </w:r>
      <m:oMath>
        <m:sSub>
          <m:e>
            <m:r>
              <m:t>T</m:t>
            </m:r>
          </m:e>
          <m:sub>
            <m:r>
              <m:t>s</m:t>
            </m:r>
          </m:sub>
        </m:sSub>
      </m:oMath>
      <w:r>
        <w:t xml:space="preserve"> </w:t>
      </w:r>
      <w:r>
        <w:t xml:space="preserve">es el período fundamental del talud [s] y</w:t>
      </w:r>
      <w:r>
        <w:t xml:space="preserve"> </w:t>
      </w:r>
      <m:oMath>
        <m:sSub>
          <m:e>
            <m:r>
              <m:t>V</m:t>
            </m:r>
          </m:e>
          <m:sub>
            <m:r>
              <m:t>S</m:t>
            </m:r>
            <m:r>
              <m:t>30</m:t>
            </m:r>
          </m:sub>
        </m:sSub>
      </m:oMath>
      <w:r>
        <w:t xml:space="preserve"> </w:t>
      </w:r>
      <w:r>
        <w:t xml:space="preserve">la velocidad de onda de corte de la condición evaluada [m/s]. Las columnas del coeficiente reportan la media aritmética para cada desplazamiento permanente admisible relativo a la altura del talud,</w:t>
      </w:r>
      <w:r>
        <w:t xml:space="preserve"> </w:t>
      </w:r>
      <m:oMath>
        <m:sSub>
          <m:e>
            <m:r>
              <m:t>D</m:t>
            </m:r>
          </m:e>
          <m:sub>
            <m:r>
              <m:t>a</m:t>
            </m:r>
          </m:sub>
        </m:sSub>
        <m:r>
          <m:rPr>
            <m:sty m:val="p"/>
          </m:rPr>
          <m:t>/</m:t>
        </m:r>
        <m:r>
          <m:t>H</m:t>
        </m:r>
      </m:oMath>
      <w:r>
        <w:t xml:space="preserve"> </w:t>
      </w:r>
      <w:r>
        <w:t xml:space="preserve">[%]. Los fractiles asociados al objetivo de excedencia</w:t>
      </w:r>
      <w:r>
        <w:t xml:space="preserve"> </w:t>
      </w:r>
      <m:oMath>
        <m:sSub>
          <m:e>
            <m:r>
              <m:t>p</m:t>
            </m:r>
          </m:e>
          <m:sub>
            <m:r>
              <m:t>e</m:t>
            </m:r>
          </m:sub>
        </m:sSub>
      </m:oMath>
      <w:r>
        <w:t xml:space="preserve"> </w:t>
      </w:r>
      <w:r>
        <w:t xml:space="preserve">se definen en la sección de coeficientes sísmicos.</w:t>
      </w:r>
    </w:p>
  </w:footnote>
  <w:footnote w:id="64">
    <w:p>
      <w:pPr>
        <w:pStyle w:val="FootnoteText"/>
      </w:pPr>
      <w:r>
        <w:rPr>
          <w:rStyle w:val="FootnoteReference"/>
        </w:rPr>
        <w:footnoteRef/>
      </w:r>
      <w:r>
        <w:t xml:space="preserve"> </w:t>
      </w:r>
      <w:r>
        <w:t xml:space="preserve">El coeficiente se expresa como</w:t>
      </w:r>
      <w:r>
        <w:t xml:space="preserve"> </w:t>
      </w:r>
      <m:oMath>
        <m:r>
          <m:t>100</m:t>
        </m:r>
        <m:r>
          <m:t> </m:t>
        </m:r>
        <m:sSub>
          <m:e>
            <m:r>
              <m:t>k</m:t>
            </m:r>
          </m:e>
          <m:sub>
            <m:r>
              <m:rPr>
                <m:sty m:val="p"/>
              </m:rPr>
              <m:t>max</m:t>
            </m:r>
          </m:sub>
        </m:sSub>
        <m:r>
          <m:rPr>
            <m:sty m:val="p"/>
          </m:rPr>
          <m:t>/</m:t>
        </m:r>
        <m:r>
          <m:rPr>
            <m:sty m:val="p"/>
          </m:rPr>
          <m:t>P</m:t>
        </m:r>
        <m:r>
          <m:rPr>
            <m:sty m:val="p"/>
          </m:rPr>
          <m:t>G</m:t>
        </m:r>
        <m:r>
          <m:rPr>
            <m:sty m:val="p"/>
          </m:rPr>
          <m:t>A</m:t>
        </m:r>
        <m:r>
          <m:rPr>
            <m:sty m:val="p"/>
          </m:rPr>
          <m:t>(</m:t>
        </m:r>
        <m:sSub>
          <m:e>
            <m:r>
              <m:t>V</m:t>
            </m:r>
          </m:e>
          <m:sub>
            <m:r>
              <m:t>S</m:t>
            </m:r>
            <m:r>
              <m:t>30</m:t>
            </m:r>
          </m:sub>
        </m:sSub>
        <m:r>
          <m:rPr>
            <m:sty m:val="p"/>
          </m:rPr>
          <m:t>)</m:t>
        </m:r>
      </m:oMath>
      <w:r>
        <w:t xml:space="preserve">. El color identifica el escenario y el trazo identifica el conjunto: continuo para</w:t>
      </w:r>
      <w:r>
        <w:t xml:space="preserve"> </w:t>
      </w:r>
      <w:r>
        <w:rPr>
          <w:rStyle w:val="VerbatimChar"/>
        </w:rPr>
        <w:t xml:space="preserve">rigid</w:t>
      </w:r>
      <w:r>
        <w:t xml:space="preserve">, guiones cortos para</w:t>
      </w:r>
      <w:r>
        <w:t xml:space="preserve"> </w:t>
      </w:r>
      <w:r>
        <w:rPr>
          <w:rStyle w:val="VerbatimChar"/>
        </w:rPr>
        <w:t xml:space="preserve">ensemble</w:t>
      </w:r>
      <w:r>
        <w:t xml:space="preserve"> </w:t>
      </w:r>
      <w:r>
        <w:t xml:space="preserve">y guiones largos para</w:t>
      </w:r>
      <w:r>
        <w:t xml:space="preserve"> </w:t>
      </w:r>
      <w:r>
        <w:rPr>
          <w:rStyle w:val="VerbatimChar"/>
        </w:rPr>
        <w:t xml:space="preserve">flexible</w:t>
      </w:r>
      <w:r>
        <w:t xml:space="preserve">. Las franjas sombreadas se delimitan por los umbrales de daño</w:t>
      </w:r>
      <w:r>
        <w:t xml:space="preserve"> </w:t>
      </w:r>
      <m:oMath>
        <m:sSub>
          <m:e>
            <m:r>
              <m:t>D</m:t>
            </m:r>
          </m:e>
          <m:sub>
            <m:r>
              <m:t>a</m:t>
            </m:r>
          </m:sub>
        </m:sSub>
        <m:r>
          <m:rPr>
            <m:sty m:val="p"/>
          </m:rPr>
          <m:t>/</m:t>
        </m:r>
        <m:r>
          <m:t>H</m:t>
        </m:r>
        <m:r>
          <m:rPr>
            <m:sty m:val="p"/>
          </m:rPr>
          <m:t>=</m:t>
        </m:r>
        <m:r>
          <m:t>0.1</m:t>
        </m:r>
        <m:r>
          <m:rPr>
            <m:sty m:val="p"/>
          </m:rPr>
          <m:t>,</m:t>
        </m:r>
        <m:r>
          <m:t>0.4</m:t>
        </m:r>
        <m:r>
          <m:rPr>
            <m:sty m:val="p"/>
          </m:rPr>
          <m:t>,</m:t>
        </m:r>
        <m:r>
          <m:t>1.0</m:t>
        </m:r>
        <m:r>
          <m:rPr>
            <m:sty m:val="p"/>
          </m:rPr>
          <m:t>,</m:t>
        </m:r>
        <m:r>
          <m:t>2.5</m:t>
        </m:r>
      </m:oMath>
      <w:r>
        <w:t xml:space="preserve"> </w:t>
      </w:r>
      <w:r>
        <w:t xml:space="preserve">%.</w:t>
      </w:r>
    </w:p>
  </w:footnote>
  <w:footnote w:id="69">
    <w:p>
      <w:pPr>
        <w:pStyle w:val="FootnoteText"/>
      </w:pPr>
      <w:r>
        <w:rPr>
          <w:rStyle w:val="FootnoteReference"/>
        </w:rPr>
        <w:footnoteRef/>
      </w:r>
      <w:r>
        <w:t xml:space="preserve"> </w:t>
      </w:r>
      <w:r>
        <w:t xml:space="preserve">El coeficiente se expresa como</w:t>
      </w:r>
      <w:r>
        <w:t xml:space="preserve"> </w:t>
      </w:r>
      <m:oMath>
        <m:r>
          <m:t>100</m:t>
        </m:r>
        <m:r>
          <m:t> </m:t>
        </m:r>
        <m:sSub>
          <m:e>
            <m:r>
              <m:t>k</m:t>
            </m:r>
          </m:e>
          <m:sub>
            <m:r>
              <m:rPr>
                <m:sty m:val="p"/>
              </m:rPr>
              <m:t>max</m:t>
            </m:r>
          </m:sub>
        </m:sSub>
        <m:r>
          <m:rPr>
            <m:sty m:val="p"/>
          </m:rPr>
          <m:t>/</m:t>
        </m:r>
        <m:r>
          <m:rPr>
            <m:sty m:val="p"/>
          </m:rPr>
          <m:t>P</m:t>
        </m:r>
        <m:r>
          <m:rPr>
            <m:sty m:val="p"/>
          </m:rPr>
          <m:t>G</m:t>
        </m:r>
        <m:r>
          <m:rPr>
            <m:sty m:val="p"/>
          </m:rPr>
          <m:t>A</m:t>
        </m:r>
        <m:r>
          <m:rPr>
            <m:sty m:val="p"/>
          </m:rPr>
          <m:t>(</m:t>
        </m:r>
        <m:sSub>
          <m:e>
            <m:r>
              <m:t>V</m:t>
            </m:r>
          </m:e>
          <m:sub>
            <m:r>
              <m:t>S</m:t>
            </m:r>
            <m:r>
              <m:t>30</m:t>
            </m:r>
          </m:sub>
        </m:sSub>
        <m:r>
          <m:rPr>
            <m:sty m:val="p"/>
          </m:rPr>
          <m:t>)</m:t>
        </m:r>
      </m:oMath>
      <w:r>
        <w:t xml:space="preserve">. El color identifica el escenario y el trazo identifica el conjunto: continuo para</w:t>
      </w:r>
      <w:r>
        <w:t xml:space="preserve"> </w:t>
      </w:r>
      <w:r>
        <w:rPr>
          <w:rStyle w:val="VerbatimChar"/>
        </w:rPr>
        <w:t xml:space="preserve">rigid</w:t>
      </w:r>
      <w:r>
        <w:t xml:space="preserve">, guiones cortos para</w:t>
      </w:r>
      <w:r>
        <w:t xml:space="preserve"> </w:t>
      </w:r>
      <w:r>
        <w:rPr>
          <w:rStyle w:val="VerbatimChar"/>
        </w:rPr>
        <w:t xml:space="preserve">ensemble</w:t>
      </w:r>
      <w:r>
        <w:t xml:space="preserve"> </w:t>
      </w:r>
      <w:r>
        <w:t xml:space="preserve">y guiones largos para</w:t>
      </w:r>
      <w:r>
        <w:t xml:space="preserve"> </w:t>
      </w:r>
      <w:r>
        <w:rPr>
          <w:rStyle w:val="VerbatimChar"/>
        </w:rPr>
        <w:t xml:space="preserve">flexible</w:t>
      </w:r>
      <w:r>
        <w:t xml:space="preserve">. Las franjas sombreadas se delimitan por los umbrales de daño</w:t>
      </w:r>
      <w:r>
        <w:t xml:space="preserve"> </w:t>
      </w:r>
      <m:oMath>
        <m:sSub>
          <m:e>
            <m:r>
              <m:t>D</m:t>
            </m:r>
          </m:e>
          <m:sub>
            <m:r>
              <m:t>a</m:t>
            </m:r>
          </m:sub>
        </m:sSub>
        <m:r>
          <m:rPr>
            <m:sty m:val="p"/>
          </m:rPr>
          <m:t>/</m:t>
        </m:r>
        <m:r>
          <m:t>H</m:t>
        </m:r>
        <m:r>
          <m:rPr>
            <m:sty m:val="p"/>
          </m:rPr>
          <m:t>=</m:t>
        </m:r>
        <m:r>
          <m:t>0.1</m:t>
        </m:r>
        <m:r>
          <m:rPr>
            <m:sty m:val="p"/>
          </m:rPr>
          <m:t>,</m:t>
        </m:r>
        <m:r>
          <m:t>0.4</m:t>
        </m:r>
        <m:r>
          <m:rPr>
            <m:sty m:val="p"/>
          </m:rPr>
          <m:t>,</m:t>
        </m:r>
        <m:r>
          <m:t>1.0</m:t>
        </m:r>
        <m:r>
          <m:rPr>
            <m:sty m:val="p"/>
          </m:rPr>
          <m:t>,</m:t>
        </m:r>
        <m:r>
          <m:t>2.5</m:t>
        </m:r>
      </m:oMath>
      <w:r>
        <w:t xml:space="preserve"> </w:t>
      </w:r>
      <w:r>
        <w:t xml:space="preserve">%.</w:t>
      </w:r>
    </w:p>
  </w:footnote>
  <w:footnote w:id="74">
    <w:p>
      <w:pPr>
        <w:pStyle w:val="FootnoteText"/>
      </w:pPr>
      <w:r>
        <w:rPr>
          <w:rStyle w:val="FootnoteReference"/>
        </w:rPr>
        <w:footnoteRef/>
      </w:r>
      <w:r>
        <w:t xml:space="preserve"> </w:t>
      </w:r>
      <w:r>
        <w:t xml:space="preserve">El coeficiente se expresa como</w:t>
      </w:r>
      <w:r>
        <w:t xml:space="preserve"> </w:t>
      </w:r>
      <m:oMath>
        <m:r>
          <m:t>100</m:t>
        </m:r>
        <m:r>
          <m:t> </m:t>
        </m:r>
        <m:sSub>
          <m:e>
            <m:r>
              <m:t>k</m:t>
            </m:r>
          </m:e>
          <m:sub>
            <m:r>
              <m:rPr>
                <m:sty m:val="p"/>
              </m:rPr>
              <m:t>max</m:t>
            </m:r>
          </m:sub>
        </m:sSub>
        <m:r>
          <m:rPr>
            <m:sty m:val="p"/>
          </m:rPr>
          <m:t>/</m:t>
        </m:r>
        <m:r>
          <m:rPr>
            <m:sty m:val="p"/>
          </m:rPr>
          <m:t>P</m:t>
        </m:r>
        <m:r>
          <m:rPr>
            <m:sty m:val="p"/>
          </m:rPr>
          <m:t>G</m:t>
        </m:r>
        <m:r>
          <m:rPr>
            <m:sty m:val="p"/>
          </m:rPr>
          <m:t>A</m:t>
        </m:r>
        <m:r>
          <m:rPr>
            <m:sty m:val="p"/>
          </m:rPr>
          <m:t>(</m:t>
        </m:r>
        <m:sSub>
          <m:e>
            <m:r>
              <m:t>V</m:t>
            </m:r>
          </m:e>
          <m:sub>
            <m:r>
              <m:t>S</m:t>
            </m:r>
            <m:r>
              <m:t>30</m:t>
            </m:r>
          </m:sub>
        </m:sSub>
        <m:r>
          <m:rPr>
            <m:sty m:val="p"/>
          </m:rPr>
          <m:t>)</m:t>
        </m:r>
      </m:oMath>
      <w:r>
        <w:t xml:space="preserve">. El color identifica el escenario y el trazo identifica el conjunto: continuo para</w:t>
      </w:r>
      <w:r>
        <w:t xml:space="preserve"> </w:t>
      </w:r>
      <w:r>
        <w:rPr>
          <w:rStyle w:val="VerbatimChar"/>
        </w:rPr>
        <w:t xml:space="preserve">rigid</w:t>
      </w:r>
      <w:r>
        <w:t xml:space="preserve">, guiones cortos para</w:t>
      </w:r>
      <w:r>
        <w:t xml:space="preserve"> </w:t>
      </w:r>
      <w:r>
        <w:rPr>
          <w:rStyle w:val="VerbatimChar"/>
        </w:rPr>
        <w:t xml:space="preserve">ensemble</w:t>
      </w:r>
      <w:r>
        <w:t xml:space="preserve"> </w:t>
      </w:r>
      <w:r>
        <w:t xml:space="preserve">y guiones largos para</w:t>
      </w:r>
      <w:r>
        <w:t xml:space="preserve"> </w:t>
      </w:r>
      <w:r>
        <w:rPr>
          <w:rStyle w:val="VerbatimChar"/>
        </w:rPr>
        <w:t xml:space="preserve">flexible</w:t>
      </w:r>
      <w:r>
        <w:t xml:space="preserve">. Las franjas sombreadas se delimitan por los umbrales de daño</w:t>
      </w:r>
      <w:r>
        <w:t xml:space="preserve"> </w:t>
      </w:r>
      <m:oMath>
        <m:sSub>
          <m:e>
            <m:r>
              <m:t>D</m:t>
            </m:r>
          </m:e>
          <m:sub>
            <m:r>
              <m:t>a</m:t>
            </m:r>
          </m:sub>
        </m:sSub>
        <m:r>
          <m:rPr>
            <m:sty m:val="p"/>
          </m:rPr>
          <m:t>/</m:t>
        </m:r>
        <m:r>
          <m:t>H</m:t>
        </m:r>
        <m:r>
          <m:rPr>
            <m:sty m:val="p"/>
          </m:rPr>
          <m:t>=</m:t>
        </m:r>
        <m:r>
          <m:t>0.1</m:t>
        </m:r>
        <m:r>
          <m:rPr>
            <m:sty m:val="p"/>
          </m:rPr>
          <m:t>,</m:t>
        </m:r>
        <m:r>
          <m:t>0.4</m:t>
        </m:r>
        <m:r>
          <m:rPr>
            <m:sty m:val="p"/>
          </m:rPr>
          <m:t>,</m:t>
        </m:r>
        <m:r>
          <m:t>1.0</m:t>
        </m:r>
        <m:r>
          <m:rPr>
            <m:sty m:val="p"/>
          </m:rPr>
          <m:t>,</m:t>
        </m:r>
        <m:r>
          <m:t>2.5</m:t>
        </m:r>
      </m:oMath>
      <w:r>
        <w:t xml:space="preserve"> </w:t>
      </w:r>
      <w:r>
        <w:t xml:space="preserve">%.</w:t>
      </w:r>
    </w:p>
  </w:footnote>
  <w:footnote w:id="79">
    <w:p>
      <w:pPr>
        <w:pStyle w:val="FootnoteText"/>
      </w:pPr>
      <w:r>
        <w:rPr>
          <w:rStyle w:val="FootnoteReference"/>
        </w:rPr>
        <w:footnoteRef/>
      </w:r>
      <w:r>
        <w:t xml:space="preserve"> </w:t>
      </w:r>
      <w:r>
        <w:t xml:space="preserve">El coeficiente se expresa como</w:t>
      </w:r>
      <w:r>
        <w:t xml:space="preserve"> </w:t>
      </w:r>
      <m:oMath>
        <m:r>
          <m:t>100</m:t>
        </m:r>
        <m:r>
          <m:t> </m:t>
        </m:r>
        <m:sSub>
          <m:e>
            <m:r>
              <m:t>k</m:t>
            </m:r>
          </m:e>
          <m:sub>
            <m:r>
              <m:rPr>
                <m:sty m:val="p"/>
              </m:rPr>
              <m:t>max</m:t>
            </m:r>
          </m:sub>
        </m:sSub>
        <m:r>
          <m:rPr>
            <m:sty m:val="p"/>
          </m:rPr>
          <m:t>/</m:t>
        </m:r>
        <m:r>
          <m:rPr>
            <m:sty m:val="p"/>
          </m:rPr>
          <m:t>P</m:t>
        </m:r>
        <m:r>
          <m:rPr>
            <m:sty m:val="p"/>
          </m:rPr>
          <m:t>G</m:t>
        </m:r>
        <m:r>
          <m:rPr>
            <m:sty m:val="p"/>
          </m:rPr>
          <m:t>A</m:t>
        </m:r>
        <m:r>
          <m:rPr>
            <m:sty m:val="p"/>
          </m:rPr>
          <m:t>(</m:t>
        </m:r>
        <m:sSub>
          <m:e>
            <m:r>
              <m:t>V</m:t>
            </m:r>
          </m:e>
          <m:sub>
            <m:r>
              <m:t>S</m:t>
            </m:r>
            <m:r>
              <m:t>30</m:t>
            </m:r>
          </m:sub>
        </m:sSub>
        <m:r>
          <m:rPr>
            <m:sty m:val="p"/>
          </m:rPr>
          <m:t>)</m:t>
        </m:r>
      </m:oMath>
      <w:r>
        <w:t xml:space="preserve">. El color identifica el escenario y el trazo identifica el conjunto: continuo para</w:t>
      </w:r>
      <w:r>
        <w:t xml:space="preserve"> </w:t>
      </w:r>
      <w:r>
        <w:rPr>
          <w:rStyle w:val="VerbatimChar"/>
        </w:rPr>
        <w:t xml:space="preserve">rigid</w:t>
      </w:r>
      <w:r>
        <w:t xml:space="preserve">, guiones cortos para</w:t>
      </w:r>
      <w:r>
        <w:t xml:space="preserve"> </w:t>
      </w:r>
      <w:r>
        <w:rPr>
          <w:rStyle w:val="VerbatimChar"/>
        </w:rPr>
        <w:t xml:space="preserve">ensemble</w:t>
      </w:r>
      <w:r>
        <w:t xml:space="preserve"> </w:t>
      </w:r>
      <w:r>
        <w:t xml:space="preserve">y guiones largos para</w:t>
      </w:r>
      <w:r>
        <w:t xml:space="preserve"> </w:t>
      </w:r>
      <w:r>
        <w:rPr>
          <w:rStyle w:val="VerbatimChar"/>
        </w:rPr>
        <w:t xml:space="preserve">flexible</w:t>
      </w:r>
      <w:r>
        <w:t xml:space="preserve">. Las franjas sombreadas se delimitan por los umbrales de daño</w:t>
      </w:r>
      <w:r>
        <w:t xml:space="preserve"> </w:t>
      </w:r>
      <m:oMath>
        <m:sSub>
          <m:e>
            <m:r>
              <m:t>D</m:t>
            </m:r>
          </m:e>
          <m:sub>
            <m:r>
              <m:t>a</m:t>
            </m:r>
          </m:sub>
        </m:sSub>
        <m:r>
          <m:rPr>
            <m:sty m:val="p"/>
          </m:rPr>
          <m:t>/</m:t>
        </m:r>
        <m:r>
          <m:t>H</m:t>
        </m:r>
        <m:r>
          <m:rPr>
            <m:sty m:val="p"/>
          </m:rPr>
          <m:t>=</m:t>
        </m:r>
        <m:r>
          <m:t>0.1</m:t>
        </m:r>
        <m:r>
          <m:rPr>
            <m:sty m:val="p"/>
          </m:rPr>
          <m:t>,</m:t>
        </m:r>
        <m:r>
          <m:t>0.4</m:t>
        </m:r>
        <m:r>
          <m:rPr>
            <m:sty m:val="p"/>
          </m:rPr>
          <m:t>,</m:t>
        </m:r>
        <m:r>
          <m:t>1.0</m:t>
        </m:r>
        <m:r>
          <m:rPr>
            <m:sty m:val="p"/>
          </m:rPr>
          <m:t>,</m:t>
        </m:r>
        <m:r>
          <m:t>2.5</m:t>
        </m:r>
      </m:oMath>
      <w:r>
        <w:t xml:space="preserve"> </w:t>
      </w:r>
      <w:r>
        <w:t xml:space="preserve">%.</w:t>
      </w:r>
    </w:p>
  </w:footnote>
  <w:footnote w:id="81">
    <w:p>
      <w:pPr>
        <w:pStyle w:val="FootnoteText"/>
      </w:pPr>
      <w:r>
        <w:rPr>
          <w:rStyle w:val="FootnoteReference"/>
        </w:rPr>
        <w:footnoteRef/>
      </w:r>
      <w:r>
        <w:t xml:space="preserve"> </w:t>
      </w:r>
      <w:r>
        <w:rPr>
          <w:rStyle w:val="VerbatimChar"/>
        </w:rPr>
        <w:t xml:space="preserve">ID</w:t>
      </w:r>
      <w:r>
        <w:t xml:space="preserve"> </w:t>
      </w:r>
      <w:r>
        <w:t xml:space="preserve">identifica la demanda sísmica e</w:t>
      </w:r>
      <w:r>
        <w:t xml:space="preserve"> </w:t>
      </w:r>
      <w:r>
        <w:rPr>
          <w:rStyle w:val="VerbatimChar"/>
        </w:rPr>
        <w:t xml:space="preserve">IDn</w:t>
      </w:r>
      <w:r>
        <w:t xml:space="preserve"> </w:t>
      </w:r>
      <w:r>
        <w:t xml:space="preserve">el conjunto de modelos (</w:t>
      </w:r>
      <w:r>
        <w:rPr>
          <w:rStyle w:val="VerbatimChar"/>
        </w:rPr>
        <w:t xml:space="preserve">rigid</w:t>
      </w:r>
      <w:r>
        <w:t xml:space="preserve">,</w:t>
      </w:r>
      <w:r>
        <w:t xml:space="preserve"> </w:t>
      </w:r>
      <w:r>
        <w:rPr>
          <w:rStyle w:val="VerbatimChar"/>
        </w:rPr>
        <w:t xml:space="preserve">ensemble</w:t>
      </w:r>
      <w:r>
        <w:t xml:space="preserve"> </w:t>
      </w:r>
      <w:r>
        <w:t xml:space="preserve">o</w:t>
      </w:r>
      <w:r>
        <w:t xml:space="preserve"> </w:t>
      </w:r>
      <w:r>
        <w:rPr>
          <w:rStyle w:val="VerbatimChar"/>
        </w:rPr>
        <w:t xml:space="preserve">flexible</w:t>
      </w:r>
      <w:r>
        <w:t xml:space="preserve">).</w:t>
      </w:r>
      <w:r>
        <w:t xml:space="preserve"> </w:t>
      </w:r>
      <m:oMath>
        <m:sSub>
          <m:e>
            <m:r>
              <m:t>T</m:t>
            </m:r>
          </m:e>
          <m:sub>
            <m:r>
              <m:t>s</m:t>
            </m:r>
          </m:sub>
        </m:sSub>
      </m:oMath>
      <w:r>
        <w:t xml:space="preserve"> </w:t>
      </w:r>
      <w:r>
        <w:t xml:space="preserve">es el período fundamental del talud [s] y</w:t>
      </w:r>
      <w:r>
        <w:t xml:space="preserve"> </w:t>
      </w:r>
      <m:oMath>
        <m:sSub>
          <m:e>
            <m:r>
              <m:t>V</m:t>
            </m:r>
          </m:e>
          <m:sub>
            <m:r>
              <m:t>S</m:t>
            </m:r>
            <m:r>
              <m:t>30</m:t>
            </m:r>
          </m:sub>
        </m:sSub>
      </m:oMath>
      <w:r>
        <w:t xml:space="preserve"> </w:t>
      </w:r>
      <w:r>
        <w:t xml:space="preserve">la velocidad de onda de corte de la condición evaluada [m/s]. Las columnas del coeficiente reportan la estimación media para cada desplazamiento permanente admisible relativo a la altura del talud,</w:t>
      </w:r>
      <w:r>
        <w:t xml:space="preserve"> </w:t>
      </w:r>
      <m:oMath>
        <m:sSub>
          <m:e>
            <m:r>
              <m:t>D</m:t>
            </m:r>
          </m:e>
          <m:sub>
            <m:r>
              <m:t>a</m:t>
            </m:r>
          </m:sub>
        </m:sSub>
        <m:r>
          <m:rPr>
            <m:sty m:val="p"/>
          </m:rPr>
          <m:t>/</m:t>
        </m:r>
        <m:r>
          <m:t>H</m:t>
        </m:r>
      </m:oMath>
      <w:r>
        <w:t xml:space="preserve"> </w:t>
      </w:r>
      <w:r>
        <w:t xml:space="preserve">[%], expresada como</w:t>
      </w:r>
      <w:r>
        <w:t xml:space="preserve"> </w:t>
      </w:r>
      <m:oMath>
        <m:r>
          <m:t>100</m:t>
        </m:r>
        <m:r>
          <m:rPr>
            <m:sty m:val="p"/>
          </m:rPr>
          <m:t>,</m:t>
        </m:r>
        <m:sSub>
          <m:e>
            <m:r>
              <m:t>k</m:t>
            </m:r>
          </m:e>
          <m:sub>
            <m:r>
              <m:rPr>
                <m:sty m:val="p"/>
              </m:rPr>
              <m:t>max</m:t>
            </m:r>
          </m:sub>
        </m:sSub>
        <m:r>
          <m:rPr>
            <m:sty m:val="p"/>
          </m:rPr>
          <m:t>/</m:t>
        </m:r>
        <m:r>
          <m:rPr>
            <m:sty m:val="p"/>
          </m:rPr>
          <m:t>P</m:t>
        </m:r>
        <m:r>
          <m:rPr>
            <m:sty m:val="p"/>
          </m:rPr>
          <m:t>G</m:t>
        </m:r>
        <m:r>
          <m:rPr>
            <m:sty m:val="p"/>
          </m:rPr>
          <m:t>A</m:t>
        </m:r>
        <m:r>
          <m:rPr>
            <m:sty m:val="p"/>
          </m:rPr>
          <m:t>(</m:t>
        </m:r>
        <m:sSub>
          <m:e>
            <m:r>
              <m:t>V</m:t>
            </m:r>
          </m:e>
          <m:sub>
            <m:r>
              <m:t>S</m:t>
            </m:r>
            <m:r>
              <m:t>30</m:t>
            </m:r>
          </m:sub>
        </m:sSub>
        <m:r>
          <m:rPr>
            <m:sty m:val="p"/>
          </m:rPr>
          <m:t>)</m:t>
        </m:r>
      </m:oMath>
      <w:r>
        <w:t xml:space="preserve">.</w:t>
      </w:r>
    </w:p>
  </w:footnote>
  <w:footnote w:id="83">
    <w:p>
      <w:pPr>
        <w:pStyle w:val="FootnoteText"/>
      </w:pPr>
      <w:r>
        <w:rPr>
          <w:rStyle w:val="FootnoteReference"/>
        </w:rPr>
        <w:footnoteRef/>
      </w:r>
      <w:r>
        <w:t xml:space="preserve"> </w:t>
      </w:r>
      <w:r>
        <w:rPr>
          <w:rStyle w:val="VerbatimChar"/>
        </w:rPr>
        <w:t xml:space="preserve">ID</w:t>
      </w:r>
      <w:r>
        <w:t xml:space="preserve"> </w:t>
      </w:r>
      <w:r>
        <w:t xml:space="preserve">identifica la demanda sísmica e</w:t>
      </w:r>
      <w:r>
        <w:t xml:space="preserve"> </w:t>
      </w:r>
      <w:r>
        <w:rPr>
          <w:rStyle w:val="VerbatimChar"/>
        </w:rPr>
        <w:t xml:space="preserve">IDn</w:t>
      </w:r>
      <w:r>
        <w:t xml:space="preserve"> </w:t>
      </w:r>
      <w:r>
        <w:t xml:space="preserve">el conjunto de modelos (</w:t>
      </w:r>
      <w:r>
        <w:rPr>
          <w:rStyle w:val="VerbatimChar"/>
        </w:rPr>
        <w:t xml:space="preserve">rigid</w:t>
      </w:r>
      <w:r>
        <w:t xml:space="preserve">,</w:t>
      </w:r>
      <w:r>
        <w:t xml:space="preserve"> </w:t>
      </w:r>
      <w:r>
        <w:rPr>
          <w:rStyle w:val="VerbatimChar"/>
        </w:rPr>
        <w:t xml:space="preserve">ensemble</w:t>
      </w:r>
      <w:r>
        <w:t xml:space="preserve"> </w:t>
      </w:r>
      <w:r>
        <w:t xml:space="preserve">o</w:t>
      </w:r>
      <w:r>
        <w:t xml:space="preserve"> </w:t>
      </w:r>
      <w:r>
        <w:rPr>
          <w:rStyle w:val="VerbatimChar"/>
        </w:rPr>
        <w:t xml:space="preserve">flexible</w:t>
      </w:r>
      <w:r>
        <w:t xml:space="preserve">).</w:t>
      </w:r>
      <w:r>
        <w:t xml:space="preserve"> </w:t>
      </w:r>
      <m:oMath>
        <m:sSub>
          <m:e>
            <m:r>
              <m:t>T</m:t>
            </m:r>
          </m:e>
          <m:sub>
            <m:r>
              <m:t>s</m:t>
            </m:r>
          </m:sub>
        </m:sSub>
      </m:oMath>
      <w:r>
        <w:t xml:space="preserve"> </w:t>
      </w:r>
      <w:r>
        <w:t xml:space="preserve">es el período fundamental del talud [s] y</w:t>
      </w:r>
      <w:r>
        <w:t xml:space="preserve"> </w:t>
      </w:r>
      <m:oMath>
        <m:sSub>
          <m:e>
            <m:r>
              <m:t>V</m:t>
            </m:r>
          </m:e>
          <m:sub>
            <m:r>
              <m:t>S</m:t>
            </m:r>
            <m:r>
              <m:t>30</m:t>
            </m:r>
          </m:sub>
        </m:sSub>
      </m:oMath>
      <w:r>
        <w:t xml:space="preserve"> </w:t>
      </w:r>
      <w:r>
        <w:t xml:space="preserve">la velocidad de onda de corte de la condición evaluada [m/s]. Las columnas del coeficiente reportan la estimación media para cada desplazamiento permanente admisible relativo a la altura del talud,</w:t>
      </w:r>
      <w:r>
        <w:t xml:space="preserve"> </w:t>
      </w:r>
      <m:oMath>
        <m:sSub>
          <m:e>
            <m:r>
              <m:t>D</m:t>
            </m:r>
          </m:e>
          <m:sub>
            <m:r>
              <m:t>a</m:t>
            </m:r>
          </m:sub>
        </m:sSub>
        <m:r>
          <m:rPr>
            <m:sty m:val="p"/>
          </m:rPr>
          <m:t>/</m:t>
        </m:r>
        <m:r>
          <m:t>H</m:t>
        </m:r>
      </m:oMath>
      <w:r>
        <w:t xml:space="preserve"> </w:t>
      </w:r>
      <w:r>
        <w:t xml:space="preserve">[%], expresada como</w:t>
      </w:r>
      <w:r>
        <w:t xml:space="preserve"> </w:t>
      </w:r>
      <m:oMath>
        <m:r>
          <m:t>100</m:t>
        </m:r>
        <m:r>
          <m:rPr>
            <m:sty m:val="p"/>
          </m:rPr>
          <m:t>,</m:t>
        </m:r>
        <m:sSub>
          <m:e>
            <m:r>
              <m:t>k</m:t>
            </m:r>
          </m:e>
          <m:sub>
            <m:r>
              <m:rPr>
                <m:sty m:val="p"/>
              </m:rPr>
              <m:t>max</m:t>
            </m:r>
          </m:sub>
        </m:sSub>
        <m:r>
          <m:rPr>
            <m:sty m:val="p"/>
          </m:rPr>
          <m:t>/</m:t>
        </m:r>
        <m:r>
          <m:rPr>
            <m:sty m:val="p"/>
          </m:rPr>
          <m:t>P</m:t>
        </m:r>
        <m:r>
          <m:rPr>
            <m:sty m:val="p"/>
          </m:rPr>
          <m:t>G</m:t>
        </m:r>
        <m:r>
          <m:rPr>
            <m:sty m:val="p"/>
          </m:rPr>
          <m:t>A</m:t>
        </m:r>
        <m:r>
          <m:rPr>
            <m:sty m:val="p"/>
          </m:rPr>
          <m:t>(</m:t>
        </m:r>
        <m:sSub>
          <m:e>
            <m:r>
              <m:t>V</m:t>
            </m:r>
          </m:e>
          <m:sub>
            <m:r>
              <m:t>S</m:t>
            </m:r>
            <m:r>
              <m:t>30</m:t>
            </m:r>
          </m:sub>
        </m:sSub>
        <m:r>
          <m:rPr>
            <m:sty m:val="p"/>
          </m:rPr>
          <m:t>)</m:t>
        </m:r>
      </m:oMath>
      <w:r>
        <w:t xml:space="preserve">.</w:t>
      </w:r>
    </w:p>
  </w:footnote>
  <w:footnote w:id="85">
    <w:p>
      <w:pPr>
        <w:pStyle w:val="FootnoteText"/>
      </w:pPr>
      <w:r>
        <w:rPr>
          <w:rStyle w:val="FootnoteReference"/>
        </w:rPr>
        <w:footnoteRef/>
      </w:r>
      <w:r>
        <w:t xml:space="preserve"> </w:t>
      </w:r>
      <w:r>
        <w:rPr>
          <w:rStyle w:val="VerbatimChar"/>
        </w:rPr>
        <w:t xml:space="preserve">ID</w:t>
      </w:r>
      <w:r>
        <w:t xml:space="preserve"> </w:t>
      </w:r>
      <w:r>
        <w:t xml:space="preserve">identifica la demanda sísmica e</w:t>
      </w:r>
      <w:r>
        <w:t xml:space="preserve"> </w:t>
      </w:r>
      <w:r>
        <w:rPr>
          <w:rStyle w:val="VerbatimChar"/>
        </w:rPr>
        <w:t xml:space="preserve">IDn</w:t>
      </w:r>
      <w:r>
        <w:t xml:space="preserve"> </w:t>
      </w:r>
      <w:r>
        <w:t xml:space="preserve">el conjunto de modelos (</w:t>
      </w:r>
      <w:r>
        <w:rPr>
          <w:rStyle w:val="VerbatimChar"/>
        </w:rPr>
        <w:t xml:space="preserve">rigid</w:t>
      </w:r>
      <w:r>
        <w:t xml:space="preserve">,</w:t>
      </w:r>
      <w:r>
        <w:t xml:space="preserve"> </w:t>
      </w:r>
      <w:r>
        <w:rPr>
          <w:rStyle w:val="VerbatimChar"/>
        </w:rPr>
        <w:t xml:space="preserve">ensemble</w:t>
      </w:r>
      <w:r>
        <w:t xml:space="preserve"> </w:t>
      </w:r>
      <w:r>
        <w:t xml:space="preserve">o</w:t>
      </w:r>
      <w:r>
        <w:t xml:space="preserve"> </w:t>
      </w:r>
      <w:r>
        <w:rPr>
          <w:rStyle w:val="VerbatimChar"/>
        </w:rPr>
        <w:t xml:space="preserve">flexible</w:t>
      </w:r>
      <w:r>
        <w:t xml:space="preserve">).</w:t>
      </w:r>
      <w:r>
        <w:t xml:space="preserve"> </w:t>
      </w:r>
      <m:oMath>
        <m:sSub>
          <m:e>
            <m:r>
              <m:t>T</m:t>
            </m:r>
          </m:e>
          <m:sub>
            <m:r>
              <m:t>s</m:t>
            </m:r>
          </m:sub>
        </m:sSub>
      </m:oMath>
      <w:r>
        <w:t xml:space="preserve"> </w:t>
      </w:r>
      <w:r>
        <w:t xml:space="preserve">es el período fundamental del talud [s] y</w:t>
      </w:r>
      <w:r>
        <w:t xml:space="preserve"> </w:t>
      </w:r>
      <m:oMath>
        <m:sSub>
          <m:e>
            <m:r>
              <m:t>V</m:t>
            </m:r>
          </m:e>
          <m:sub>
            <m:r>
              <m:t>S</m:t>
            </m:r>
            <m:r>
              <m:t>30</m:t>
            </m:r>
          </m:sub>
        </m:sSub>
      </m:oMath>
      <w:r>
        <w:t xml:space="preserve"> </w:t>
      </w:r>
      <w:r>
        <w:t xml:space="preserve">la velocidad de onda de corte de la condición evaluada [m/s]. Las columnas del coeficiente reportan la estimación media para cada desplazamiento permanente admisible relativo a la altura del talud,</w:t>
      </w:r>
      <w:r>
        <w:t xml:space="preserve"> </w:t>
      </w:r>
      <m:oMath>
        <m:sSub>
          <m:e>
            <m:r>
              <m:t>D</m:t>
            </m:r>
          </m:e>
          <m:sub>
            <m:r>
              <m:t>a</m:t>
            </m:r>
          </m:sub>
        </m:sSub>
        <m:r>
          <m:rPr>
            <m:sty m:val="p"/>
          </m:rPr>
          <m:t>/</m:t>
        </m:r>
        <m:r>
          <m:t>H</m:t>
        </m:r>
      </m:oMath>
      <w:r>
        <w:t xml:space="preserve"> </w:t>
      </w:r>
      <w:r>
        <w:t xml:space="preserve">[%], expresada como</w:t>
      </w:r>
      <w:r>
        <w:t xml:space="preserve"> </w:t>
      </w:r>
      <m:oMath>
        <m:r>
          <m:t>100</m:t>
        </m:r>
        <m:r>
          <m:rPr>
            <m:sty m:val="p"/>
          </m:rPr>
          <m:t>,</m:t>
        </m:r>
        <m:sSub>
          <m:e>
            <m:r>
              <m:t>k</m:t>
            </m:r>
          </m:e>
          <m:sub>
            <m:r>
              <m:rPr>
                <m:sty m:val="p"/>
              </m:rPr>
              <m:t>max</m:t>
            </m:r>
          </m:sub>
        </m:sSub>
        <m:r>
          <m:rPr>
            <m:sty m:val="p"/>
          </m:rPr>
          <m:t>/</m:t>
        </m:r>
        <m:r>
          <m:rPr>
            <m:sty m:val="p"/>
          </m:rPr>
          <m:t>P</m:t>
        </m:r>
        <m:r>
          <m:rPr>
            <m:sty m:val="p"/>
          </m:rPr>
          <m:t>G</m:t>
        </m:r>
        <m:r>
          <m:rPr>
            <m:sty m:val="p"/>
          </m:rPr>
          <m:t>A</m:t>
        </m:r>
        <m:r>
          <m:rPr>
            <m:sty m:val="p"/>
          </m:rPr>
          <m:t>(</m:t>
        </m:r>
        <m:sSub>
          <m:e>
            <m:r>
              <m:t>V</m:t>
            </m:r>
          </m:e>
          <m:sub>
            <m:r>
              <m:t>S</m:t>
            </m:r>
            <m:r>
              <m:t>30</m:t>
            </m:r>
          </m:sub>
        </m:sSub>
        <m:r>
          <m:rPr>
            <m:sty m:val="p"/>
          </m:rPr>
          <m:t>)</m:t>
        </m:r>
      </m:oMath>
      <w:r>
        <w:t xml:space="preserve">.</w:t>
      </w:r>
    </w:p>
  </w:footnote>
  <w:footnote w:id="87">
    <w:p>
      <w:pPr>
        <w:pStyle w:val="FootnoteText"/>
      </w:pPr>
      <w:r>
        <w:rPr>
          <w:rStyle w:val="FootnoteReference"/>
        </w:rPr>
        <w:footnoteRef/>
      </w:r>
      <w:r>
        <w:t xml:space="preserve"> </w:t>
      </w:r>
      <w:r>
        <w:rPr>
          <w:rStyle w:val="VerbatimChar"/>
        </w:rPr>
        <w:t xml:space="preserve">ID</w:t>
      </w:r>
      <w:r>
        <w:t xml:space="preserve"> </w:t>
      </w:r>
      <w:r>
        <w:t xml:space="preserve">identifica la demanda sísmica e</w:t>
      </w:r>
      <w:r>
        <w:t xml:space="preserve"> </w:t>
      </w:r>
      <w:r>
        <w:rPr>
          <w:rStyle w:val="VerbatimChar"/>
        </w:rPr>
        <w:t xml:space="preserve">IDn</w:t>
      </w:r>
      <w:r>
        <w:t xml:space="preserve"> </w:t>
      </w:r>
      <w:r>
        <w:t xml:space="preserve">el conjunto de modelos (</w:t>
      </w:r>
      <w:r>
        <w:rPr>
          <w:rStyle w:val="VerbatimChar"/>
        </w:rPr>
        <w:t xml:space="preserve">rigid</w:t>
      </w:r>
      <w:r>
        <w:t xml:space="preserve">,</w:t>
      </w:r>
      <w:r>
        <w:t xml:space="preserve"> </w:t>
      </w:r>
      <w:r>
        <w:rPr>
          <w:rStyle w:val="VerbatimChar"/>
        </w:rPr>
        <w:t xml:space="preserve">ensemble</w:t>
      </w:r>
      <w:r>
        <w:t xml:space="preserve"> </w:t>
      </w:r>
      <w:r>
        <w:t xml:space="preserve">o</w:t>
      </w:r>
      <w:r>
        <w:t xml:space="preserve"> </w:t>
      </w:r>
      <w:r>
        <w:rPr>
          <w:rStyle w:val="VerbatimChar"/>
        </w:rPr>
        <w:t xml:space="preserve">flexible</w:t>
      </w:r>
      <w:r>
        <w:t xml:space="preserve">).</w:t>
      </w:r>
      <w:r>
        <w:t xml:space="preserve"> </w:t>
      </w:r>
      <m:oMath>
        <m:sSub>
          <m:e>
            <m:r>
              <m:t>T</m:t>
            </m:r>
          </m:e>
          <m:sub>
            <m:r>
              <m:t>s</m:t>
            </m:r>
          </m:sub>
        </m:sSub>
      </m:oMath>
      <w:r>
        <w:t xml:space="preserve"> </w:t>
      </w:r>
      <w:r>
        <w:t xml:space="preserve">es el período fundamental del talud [s] y</w:t>
      </w:r>
      <w:r>
        <w:t xml:space="preserve"> </w:t>
      </w:r>
      <m:oMath>
        <m:sSub>
          <m:e>
            <m:r>
              <m:t>V</m:t>
            </m:r>
          </m:e>
          <m:sub>
            <m:r>
              <m:t>S</m:t>
            </m:r>
            <m:r>
              <m:t>30</m:t>
            </m:r>
          </m:sub>
        </m:sSub>
      </m:oMath>
      <w:r>
        <w:t xml:space="preserve"> </w:t>
      </w:r>
      <w:r>
        <w:t xml:space="preserve">la velocidad de onda de corte de la condición evaluada [m/s]. Las columnas del coeficiente reportan la estimación media para cada desplazamiento permanente admisible relativo a la altura del talud,</w:t>
      </w:r>
      <w:r>
        <w:t xml:space="preserve"> </w:t>
      </w:r>
      <m:oMath>
        <m:sSub>
          <m:e>
            <m:r>
              <m:t>D</m:t>
            </m:r>
          </m:e>
          <m:sub>
            <m:r>
              <m:t>a</m:t>
            </m:r>
          </m:sub>
        </m:sSub>
        <m:r>
          <m:rPr>
            <m:sty m:val="p"/>
          </m:rPr>
          <m:t>/</m:t>
        </m:r>
        <m:r>
          <m:t>H</m:t>
        </m:r>
      </m:oMath>
      <w:r>
        <w:t xml:space="preserve"> </w:t>
      </w:r>
      <w:r>
        <w:t xml:space="preserve">[%], expresada como</w:t>
      </w:r>
      <w:r>
        <w:t xml:space="preserve"> </w:t>
      </w:r>
      <m:oMath>
        <m:r>
          <m:t>100</m:t>
        </m:r>
        <m:r>
          <m:rPr>
            <m:sty m:val="p"/>
          </m:rPr>
          <m:t>,</m:t>
        </m:r>
        <m:sSub>
          <m:e>
            <m:r>
              <m:t>k</m:t>
            </m:r>
          </m:e>
          <m:sub>
            <m:r>
              <m:rPr>
                <m:sty m:val="p"/>
              </m:rPr>
              <m:t>max</m:t>
            </m:r>
          </m:sub>
        </m:sSub>
        <m:r>
          <m:rPr>
            <m:sty m:val="p"/>
          </m:rPr>
          <m:t>/</m:t>
        </m:r>
        <m:r>
          <m:rPr>
            <m:sty m:val="p"/>
          </m:rPr>
          <m:t>P</m:t>
        </m:r>
        <m:r>
          <m:rPr>
            <m:sty m:val="p"/>
          </m:rPr>
          <m:t>G</m:t>
        </m:r>
        <m:r>
          <m:rPr>
            <m:sty m:val="p"/>
          </m:rPr>
          <m:t>A</m:t>
        </m:r>
        <m:r>
          <m:rPr>
            <m:sty m:val="p"/>
          </m:rPr>
          <m:t>(</m:t>
        </m:r>
        <m:sSub>
          <m:e>
            <m:r>
              <m:t>V</m:t>
            </m:r>
          </m:e>
          <m:sub>
            <m:r>
              <m:t>S</m:t>
            </m:r>
            <m:r>
              <m:t>30</m:t>
            </m:r>
          </m:sub>
        </m:sSub>
        <m:r>
          <m:rPr>
            <m:sty m:val="p"/>
          </m:rPr>
          <m:t>)</m:t>
        </m:r>
      </m:oMath>
      <w:r>
        <w:t xml:space="preserve">.</w:t>
      </w:r>
    </w:p>
  </w:footnote>
  <w:footnote w:id="89">
    <w:p>
      <w:pPr>
        <w:pStyle w:val="FootnoteText"/>
      </w:pPr>
      <w:r>
        <w:rPr>
          <w:rStyle w:val="FootnoteReference"/>
        </w:rPr>
        <w:footnoteRef/>
      </w:r>
      <w:r>
        <w:t xml:space="preserve"> </w:t>
      </w:r>
      <w:r>
        <w:rPr>
          <w:rStyle w:val="VerbatimChar"/>
        </w:rPr>
        <w:t xml:space="preserve">ID</w:t>
      </w:r>
      <w:r>
        <w:t xml:space="preserve"> </w:t>
      </w:r>
      <w:r>
        <w:t xml:space="preserve">identifica la demanda sísmica e</w:t>
      </w:r>
      <w:r>
        <w:t xml:space="preserve"> </w:t>
      </w:r>
      <w:r>
        <w:rPr>
          <w:rStyle w:val="VerbatimChar"/>
        </w:rPr>
        <w:t xml:space="preserve">IDn</w:t>
      </w:r>
      <w:r>
        <w:t xml:space="preserve"> </w:t>
      </w:r>
      <w:r>
        <w:t xml:space="preserve">el conjunto de modelos (</w:t>
      </w:r>
      <w:r>
        <w:rPr>
          <w:rStyle w:val="VerbatimChar"/>
        </w:rPr>
        <w:t xml:space="preserve">rigid</w:t>
      </w:r>
      <w:r>
        <w:t xml:space="preserve">,</w:t>
      </w:r>
      <w:r>
        <w:t xml:space="preserve"> </w:t>
      </w:r>
      <w:r>
        <w:rPr>
          <w:rStyle w:val="VerbatimChar"/>
        </w:rPr>
        <w:t xml:space="preserve">ensemble</w:t>
      </w:r>
      <w:r>
        <w:t xml:space="preserve"> </w:t>
      </w:r>
      <w:r>
        <w:t xml:space="preserve">o</w:t>
      </w:r>
      <w:r>
        <w:t xml:space="preserve"> </w:t>
      </w:r>
      <w:r>
        <w:rPr>
          <w:rStyle w:val="VerbatimChar"/>
        </w:rPr>
        <w:t xml:space="preserve">flexible</w:t>
      </w:r>
      <w:r>
        <w:t xml:space="preserve">).</w:t>
      </w:r>
      <w:r>
        <w:t xml:space="preserve"> </w:t>
      </w:r>
      <m:oMath>
        <m:sSub>
          <m:e>
            <m:r>
              <m:t>T</m:t>
            </m:r>
          </m:e>
          <m:sub>
            <m:r>
              <m:t>s</m:t>
            </m:r>
          </m:sub>
        </m:sSub>
      </m:oMath>
      <w:r>
        <w:t xml:space="preserve"> </w:t>
      </w:r>
      <w:r>
        <w:t xml:space="preserve">es el período fundamental del talud [s] y</w:t>
      </w:r>
      <w:r>
        <w:t xml:space="preserve"> </w:t>
      </w:r>
      <m:oMath>
        <m:sSub>
          <m:e>
            <m:r>
              <m:t>V</m:t>
            </m:r>
          </m:e>
          <m:sub>
            <m:r>
              <m:t>S</m:t>
            </m:r>
            <m:r>
              <m:t>30</m:t>
            </m:r>
          </m:sub>
        </m:sSub>
      </m:oMath>
      <w:r>
        <w:t xml:space="preserve"> </w:t>
      </w:r>
      <w:r>
        <w:t xml:space="preserve">la velocidad de onda de corte de la condición evaluada [m/s]. Las columnas del coeficiente reportan la estimación media para cada desplazamiento permanente admisible relativo a la altura del talud,</w:t>
      </w:r>
      <w:r>
        <w:t xml:space="preserve"> </w:t>
      </w:r>
      <m:oMath>
        <m:sSub>
          <m:e>
            <m:r>
              <m:t>D</m:t>
            </m:r>
          </m:e>
          <m:sub>
            <m:r>
              <m:t>a</m:t>
            </m:r>
          </m:sub>
        </m:sSub>
        <m:r>
          <m:rPr>
            <m:sty m:val="p"/>
          </m:rPr>
          <m:t>/</m:t>
        </m:r>
        <m:r>
          <m:t>H</m:t>
        </m:r>
      </m:oMath>
      <w:r>
        <w:t xml:space="preserve"> </w:t>
      </w:r>
      <w:r>
        <w:t xml:space="preserve">[%], expresada como</w:t>
      </w:r>
      <w:r>
        <w:t xml:space="preserve"> </w:t>
      </w:r>
      <m:oMath>
        <m:r>
          <m:t>100</m:t>
        </m:r>
        <m:r>
          <m:rPr>
            <m:sty m:val="p"/>
          </m:rPr>
          <m:t>,</m:t>
        </m:r>
        <m:sSub>
          <m:e>
            <m:r>
              <m:t>k</m:t>
            </m:r>
          </m:e>
          <m:sub>
            <m:r>
              <m:rPr>
                <m:sty m:val="p"/>
              </m:rPr>
              <m:t>max</m:t>
            </m:r>
          </m:sub>
        </m:sSub>
        <m:r>
          <m:rPr>
            <m:sty m:val="p"/>
          </m:rPr>
          <m:t>/</m:t>
        </m:r>
        <m:r>
          <m:rPr>
            <m:sty m:val="p"/>
          </m:rPr>
          <m:t>P</m:t>
        </m:r>
        <m:r>
          <m:rPr>
            <m:sty m:val="p"/>
          </m:rPr>
          <m:t>G</m:t>
        </m:r>
        <m:r>
          <m:rPr>
            <m:sty m:val="p"/>
          </m:rPr>
          <m:t>A</m:t>
        </m:r>
        <m:r>
          <m:rPr>
            <m:sty m:val="p"/>
          </m:rPr>
          <m:t>(</m:t>
        </m:r>
        <m:sSub>
          <m:e>
            <m:r>
              <m:t>V</m:t>
            </m:r>
          </m:e>
          <m:sub>
            <m:r>
              <m:t>S</m:t>
            </m:r>
            <m:r>
              <m:t>30</m:t>
            </m:r>
          </m:sub>
        </m:sSub>
        <m:r>
          <m:rPr>
            <m:sty m:val="p"/>
          </m:rPr>
          <m:t>)</m:t>
        </m:r>
      </m:oMath>
      <w:r>
        <w:t xml:space="preserve">.</w:t>
      </w:r>
    </w:p>
  </w:footnote>
  <w:footnote w:id="93">
    <w:p>
      <w:pPr>
        <w:pStyle w:val="FootnoteText"/>
      </w:pPr>
      <w:r>
        <w:rPr>
          <w:rStyle w:val="FootnoteReference"/>
        </w:rPr>
        <w:footnoteRef/>
      </w:r>
      <w:r>
        <w:t xml:space="preserve"> </w:t>
      </w:r>
      <w:r>
        <w:t xml:space="preserve">El soporte numérico de</w:t>
      </w:r>
      <w:r>
        <w:t xml:space="preserve"> </w:t>
      </w:r>
      <m:oMath>
        <m:sSub>
          <m:e>
            <m:r>
              <m:t>k</m:t>
            </m:r>
          </m:e>
          <m:sub>
            <m:r>
              <m:t>y</m:t>
            </m:r>
          </m:sub>
        </m:sSub>
      </m:oMath>
      <w:r>
        <w:t xml:space="preserve"> </w:t>
      </w:r>
      <w:r>
        <w:t xml:space="preserve">corresponde al intervalo definido en la Sección</w:t>
      </w:r>
      <w:r>
        <w:t xml:space="preserve"> </w:t>
      </w:r>
      <w:hyperlink w:anchor="sec-coefficients">
        <w:r>
          <w:rPr>
            <w:rStyle w:val="Hyperlink"/>
          </w:rPr>
          <w:t xml:space="preserve">1.3</w:t>
        </w:r>
      </w:hyperlink>
      <w:r>
        <w:t xml:space="preserve">; cuando una realización AM88 completa alcanza el límite</w:t>
      </w:r>
      <w:r>
        <w:t xml:space="preserve"> </w:t>
      </w:r>
      <m:oMath>
        <m:sSup>
          <m:e>
            <m:r>
              <m:t>r</m:t>
            </m:r>
          </m:e>
          <m:sup>
            <m:r>
              <m:rPr>
                <m:sty m:val="p"/>
              </m:rPr>
              <m:t>⋆</m:t>
            </m:r>
          </m:sup>
        </m:sSup>
        <m:r>
          <m:rPr>
            <m:sty m:val="p"/>
          </m:rPr>
          <m:t>=</m:t>
        </m:r>
        <m:r>
          <m:t>0.9999</m:t>
        </m:r>
      </m:oMath>
      <w:r>
        <w:t xml:space="preserve">, su inversión conserva la PGA muestreada y recupera la rama física según</w:t>
      </w:r>
      <w:r>
        <w:t xml:space="preserve"> </w:t>
      </w:r>
      <w:hyperlink w:anchor="eq-kmax-am88-limit">
        <w:r>
          <w:rPr>
            <w:rStyle w:val="Hyperlink"/>
          </w:rPr>
          <w:t xml:space="preserve">eq. 19</w:t>
        </w:r>
      </w:hyperlink>
      <w:r>
        <w:t xml:space="preser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2413B7" w:rsidRDefault="002413B7" w:rsidP="00B6691D">
    <w:pPr>
      <w:pStyle w:val="Header"/>
      <w:rPr>
        <w:lang w:val="en-US"/>
      </w:rPr>
    </w:pPr>
    <w:sdt>
      <w:sdtPr>
        <w:tag w:val="srk.company"/>
        <w:text/>
      </w:sdtPr>
      <w:sdtContent>
        <w:r>
          <w:t>SRK Consulting (Canada), Inc. and Paterson &amp; Cooke</w:t>
        </w:r>
      </w:sdtContent>
    </w:sdt>
  </w:p>
  <w:p w:rsidR="002413B7" w:rsidRPr="00B6691D" w:rsidRDefault="00000000" w:rsidP="00764A2E">
    <w:pPr>
      <w:pStyle w:val="Header"/>
      <w:pBdr>
        <w:bottom w:val="single" w:sz="4" w:space="1" w:color="auto"/>
      </w:pBdr>
      <w:tabs>
        <w:tab w:val="left" w:pos="8745"/>
      </w:tabs>
      <w:rPr>
        <w:lang w:val="en-US"/>
      </w:rPr>
    </w:pPr>
    <w:sdt>
      <w:sdtPr>
        <w:tag w:val="srk.title"/>
        <w:text/>
      </w:sdtPr>
      <w:sdtContent>
        <w:r>
          <w:t>Parámetros de Diseño Sísmico</w:t>
        </w:r>
      </w:sdtContent>
    </w:sdt>
    <w:r w:rsidR="002413B7">
      <w:rPr>
        <w:lang w:val="en-US"/>
      </w:rPr>
      <w:tab/>
    </w:r>
    <w:r w:rsidR="002413B7">
      <w:rPr>
        <w:lang w:val="en-US"/>
      </w:rPr>
      <w:tab/>
    </w:r>
    <w:r w:rsidR="00764A2E">
      <w:rPr>
        <w:lang w:val="en-US"/>
      </w:rPr>
      <w:tab/>
    </w:r>
    <w:r w:rsidR="002413B7">
      <w:rPr>
        <w:lang w:val="en-US"/>
      </w:rPr>
      <w:t xml:space="preserve">Page </w:t>
    </w:r>
    <w:r w:rsidR="002413B7" w:rsidRPr="00090F41">
      <w:rPr>
        <w:lang w:val="en-US"/>
      </w:rPr>
      <w:fldChar w:fldCharType="begin"/>
    </w:r>
    <w:r w:rsidR="002413B7" w:rsidRPr="00090F41">
      <w:rPr>
        <w:lang w:val="en-US"/>
      </w:rPr>
      <w:instrText xml:space="preserve"> PAGE   \* MERGEFORMAT </w:instrText>
    </w:r>
    <w:r w:rsidR="002413B7" w:rsidRPr="00090F41">
      <w:rPr>
        <w:lang w:val="en-US"/>
      </w:rPr>
      <w:fldChar w:fldCharType="separate"/>
    </w:r>
    <w:r w:rsidR="003F5B70">
      <w:rPr>
        <w:noProof/>
        <w:lang w:val="en-US"/>
      </w:rPr>
      <w:t>1</w:t>
    </w:r>
    <w:r w:rsidR="002413B7" w:rsidRPr="00090F41">
      <w:rPr>
        <w:noProof/>
        <w:lang w:val="en-US"/>
      </w:rPr>
      <w:fldChar w:fldCharType="end"/>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652AA1"/>
    <w:multiLevelType w:val="multilevel"/>
    <w:tmpl w:val="27044B44"/>
    <w:styleLink w:val="ListBullets"/>
    <w:lvl w:ilvl="0">
      <w:start w:val="1"/>
      <w:numFmt w:val="bullet"/>
      <w:lvlText w:val=""/>
      <w:lvlJc w:val="left"/>
      <w:pPr>
        <w:tabs>
          <w:tab w:pos="1080" w:val="num"/>
        </w:tabs>
        <w:ind w:hanging="360" w:left="1080"/>
      </w:pPr>
      <w:rPr>
        <w:rFonts w:ascii="Symbol" w:hAnsi="Symbol" w:hint="default"/>
      </w:rPr>
    </w:lvl>
    <w:lvl w:ilvl="1">
      <w:start w:val="1"/>
      <w:numFmt w:val="bullet"/>
      <w:lvlText w:val="–"/>
      <w:lvlJc w:val="left"/>
      <w:pPr>
        <w:tabs>
          <w:tab w:pos="1440" w:val="num"/>
        </w:tabs>
        <w:ind w:hanging="360" w:left="1440"/>
      </w:pPr>
      <w:rPr>
        <w:rFonts w:ascii="Arial" w:hAnsi="Arial" w:hint="default"/>
      </w:rPr>
    </w:lvl>
    <w:lvl w:ilvl="2">
      <w:start w:val="1"/>
      <w:numFmt w:val="bullet"/>
      <w:lvlText w:val=""/>
      <w:lvlJc w:val="left"/>
      <w:pPr>
        <w:tabs>
          <w:tab w:pos="1800" w:val="num"/>
        </w:tabs>
        <w:ind w:hanging="360" w:left="1800"/>
      </w:pPr>
      <w:rPr>
        <w:rFonts w:ascii="Symbol" w:hAnsi="Symbol" w:hint="default"/>
      </w:rPr>
    </w:lvl>
    <w:lvl w:ilvl="3">
      <w:start w:val="1"/>
      <w:numFmt w:val="bullet"/>
      <w:lvlText w:val="–"/>
      <w:lvlJc w:val="left"/>
      <w:pPr>
        <w:tabs>
          <w:tab w:pos="2160" w:val="num"/>
        </w:tabs>
        <w:ind w:hanging="360" w:left="2160"/>
      </w:pPr>
      <w:rPr>
        <w:rFonts w:ascii="Arial" w:hAnsi="Arial" w:hint="default"/>
      </w:rPr>
    </w:lvl>
    <w:lvl w:ilvl="4">
      <w:start w:val="1"/>
      <w:numFmt w:val="bullet"/>
      <w:lvlText w:val=""/>
      <w:lvlJc w:val="left"/>
      <w:pPr>
        <w:tabs>
          <w:tab w:pos="2520" w:val="num"/>
        </w:tabs>
        <w:ind w:hanging="360" w:left="2520"/>
      </w:pPr>
      <w:rPr>
        <w:rFonts w:ascii="Symbol" w:hAnsi="Symbol" w:hint="default"/>
      </w:rPr>
    </w:lvl>
    <w:lvl w:ilvl="5">
      <w:start w:val="1"/>
      <w:numFmt w:val="none"/>
      <w:lvlText w:val=""/>
      <w:lvlJc w:val="left"/>
      <w:pPr>
        <w:tabs>
          <w:tab w:pos="2880" w:val="num"/>
        </w:tabs>
        <w:ind w:hanging="360" w:left="2880"/>
      </w:pPr>
      <w:rPr>
        <w:rFonts w:hint="default"/>
      </w:rPr>
    </w:lvl>
    <w:lvl w:ilvl="6">
      <w:start w:val="1"/>
      <w:numFmt w:val="none"/>
      <w:lvlText w:val="%7"/>
      <w:lvlJc w:val="left"/>
      <w:pPr>
        <w:tabs>
          <w:tab w:pos="3240" w:val="num"/>
        </w:tabs>
        <w:ind w:hanging="360" w:left="3240"/>
      </w:pPr>
      <w:rPr>
        <w:rFonts w:hint="default"/>
      </w:rPr>
    </w:lvl>
    <w:lvl w:ilvl="7">
      <w:start w:val="1"/>
      <w:numFmt w:val="none"/>
      <w:lvlText w:val="%8"/>
      <w:lvlJc w:val="left"/>
      <w:pPr>
        <w:tabs>
          <w:tab w:pos="3600" w:val="num"/>
        </w:tabs>
        <w:ind w:hanging="360" w:left="3600"/>
      </w:pPr>
      <w:rPr>
        <w:rFonts w:hint="default"/>
      </w:rPr>
    </w:lvl>
    <w:lvl w:ilvl="8">
      <w:start w:val="1"/>
      <w:numFmt w:val="none"/>
      <w:lvlText w:val="%9"/>
      <w:lvlJc w:val="left"/>
      <w:pPr>
        <w:tabs>
          <w:tab w:pos="3960" w:val="num"/>
        </w:tabs>
        <w:ind w:hanging="360" w:left="3960"/>
      </w:pPr>
      <w:rPr>
        <w:rFonts w:hint="default"/>
      </w:rPr>
    </w:lvl>
  </w:abstractNum>
  <w:abstractNum w15:restartNumberingAfterBreak="0" w:abstractNumId="1">
    <w:nsid w:val="01BE1033"/>
    <w:multiLevelType w:val="multilevel"/>
    <w:tmpl w:val="0FC69186"/>
    <w:styleLink w:val="ListNumbers"/>
    <w:lvl w:ilvl="0">
      <w:start w:val="1"/>
      <w:numFmt w:val="decimal"/>
      <w:pStyle w:val="ListNumber"/>
      <w:lvlText w:val="%1."/>
      <w:lvlJc w:val="left"/>
      <w:pPr>
        <w:tabs>
          <w:tab w:pos="1080" w:val="num"/>
        </w:tabs>
        <w:ind w:hanging="360" w:left="1080"/>
      </w:pPr>
      <w:rPr>
        <w:rFonts w:asciiTheme="minorHAnsi" w:cstheme="minorBidi" w:hAnsiTheme="minorHAnsi" w:hint="default"/>
        <w:b w:val="0"/>
        <w:bCs w:val="0"/>
        <w:i w:val="0"/>
        <w:iCs w:val="0"/>
        <w:color w:themeColor="accent6" w:themeShade="BF" w:val="E36C0A"/>
        <w:spacing w:val="-1"/>
        <w:w w:val="100"/>
        <w:sz w:val="20"/>
        <w:szCs w:val="18"/>
        <w:vertAlign w:val="baseline"/>
      </w:rPr>
    </w:lvl>
    <w:lvl w:ilvl="1">
      <w:start w:val="1"/>
      <w:numFmt w:val="lowerLetter"/>
      <w:pStyle w:val="ListNumber2"/>
      <w:lvlText w:val="(%2)"/>
      <w:lvlJc w:val="left"/>
      <w:pPr>
        <w:tabs>
          <w:tab w:pos="1440" w:val="num"/>
        </w:tabs>
        <w:ind w:hanging="360" w:left="1440"/>
      </w:pPr>
      <w:rPr>
        <w:rFonts w:hint="default"/>
      </w:rPr>
    </w:lvl>
    <w:lvl w:ilvl="2">
      <w:start w:val="1"/>
      <w:numFmt w:val="decimal"/>
      <w:pStyle w:val="ListNumber3"/>
      <w:lvlText w:val="%3."/>
      <w:lvlJc w:val="left"/>
      <w:pPr>
        <w:tabs>
          <w:tab w:pos="1800" w:val="num"/>
        </w:tabs>
        <w:ind w:hanging="360" w:left="1800"/>
      </w:pPr>
      <w:rPr>
        <w:rFonts w:hint="default"/>
      </w:rPr>
    </w:lvl>
    <w:lvl w:ilvl="3">
      <w:start w:val="1"/>
      <w:numFmt w:val="lowerLetter"/>
      <w:pStyle w:val="ListNumber4"/>
      <w:lvlText w:val="(%4)"/>
      <w:lvlJc w:val="left"/>
      <w:pPr>
        <w:tabs>
          <w:tab w:pos="2160" w:val="num"/>
        </w:tabs>
        <w:ind w:hanging="360" w:left="2160"/>
      </w:pPr>
      <w:rPr>
        <w:rFonts w:hint="default"/>
      </w:rPr>
    </w:lvl>
    <w:lvl w:ilvl="4">
      <w:start w:val="1"/>
      <w:numFmt w:val="lowerRoman"/>
      <w:pStyle w:val="ListNumber5"/>
      <w:lvlText w:val="(%5)"/>
      <w:lvlJc w:val="left"/>
      <w:pPr>
        <w:tabs>
          <w:tab w:pos="2520" w:val="num"/>
        </w:tabs>
        <w:ind w:hanging="360" w:left="2520"/>
      </w:pPr>
      <w:rPr>
        <w:rFonts w:hint="default"/>
      </w:rPr>
    </w:lvl>
    <w:lvl w:ilvl="5">
      <w:start w:val="1"/>
      <w:numFmt w:val="none"/>
      <w:lvlText w:val=""/>
      <w:lvlJc w:val="left"/>
      <w:pPr>
        <w:tabs>
          <w:tab w:pos="2880" w:val="num"/>
        </w:tabs>
        <w:ind w:hanging="360" w:left="2880"/>
      </w:pPr>
      <w:rPr>
        <w:rFonts w:hint="default"/>
      </w:rPr>
    </w:lvl>
    <w:lvl w:ilvl="6">
      <w:start w:val="1"/>
      <w:numFmt w:val="none"/>
      <w:lvlText w:val=""/>
      <w:lvlJc w:val="left"/>
      <w:pPr>
        <w:tabs>
          <w:tab w:pos="3240" w:val="num"/>
        </w:tabs>
        <w:ind w:hanging="360" w:left="3240"/>
      </w:pPr>
      <w:rPr>
        <w:rFonts w:hint="default"/>
      </w:rPr>
    </w:lvl>
    <w:lvl w:ilvl="7">
      <w:start w:val="1"/>
      <w:numFmt w:val="none"/>
      <w:lvlText w:val=""/>
      <w:lvlJc w:val="left"/>
      <w:pPr>
        <w:tabs>
          <w:tab w:pos="2880" w:val="num"/>
        </w:tabs>
        <w:ind w:hanging="360" w:left="3600"/>
      </w:pPr>
      <w:rPr>
        <w:rFonts w:hint="default"/>
      </w:rPr>
    </w:lvl>
    <w:lvl w:ilvl="8">
      <w:start w:val="1"/>
      <w:numFmt w:val="none"/>
      <w:lvlText w:val=""/>
      <w:lvlJc w:val="left"/>
      <w:pPr>
        <w:tabs>
          <w:tab w:pos="3960" w:val="num"/>
        </w:tabs>
        <w:ind w:hanging="360" w:left="3960"/>
      </w:pPr>
      <w:rPr>
        <w:rFonts w:hint="default"/>
      </w:rPr>
    </w:lvl>
  </w:abstractNum>
  <w:abstractNum w15:restartNumberingAfterBreak="0" w:abstractNumId="2">
    <w:nsid w:val="030C00BB"/>
    <w:multiLevelType w:val="hybridMultilevel"/>
    <w:tmpl w:val="5B52AF98"/>
    <w:lvl w:ilvl="0" w:tplc="C42E8BD4">
      <w:start w:val="1"/>
      <w:numFmt w:val="lowerLetter"/>
      <w:lvlText w:val="%1."/>
      <w:lvlJc w:val="left"/>
      <w:pPr>
        <w:ind w:hanging="360" w:left="1498"/>
      </w:pPr>
      <w:rPr>
        <w:rFonts w:hint="default"/>
        <w:color w:themeColor="accent6" w:themeShade="BF" w:val="E36C0A"/>
      </w:rPr>
    </w:lvl>
    <w:lvl w:ilvl="1" w:tentative="1" w:tplc="04090019">
      <w:start w:val="1"/>
      <w:numFmt w:val="lowerLetter"/>
      <w:lvlText w:val="%2."/>
      <w:lvlJc w:val="left"/>
      <w:pPr>
        <w:ind w:hanging="360" w:left="2218"/>
      </w:pPr>
    </w:lvl>
    <w:lvl w:ilvl="2" w:tentative="1" w:tplc="0409001B">
      <w:start w:val="1"/>
      <w:numFmt w:val="lowerRoman"/>
      <w:lvlText w:val="%3."/>
      <w:lvlJc w:val="right"/>
      <w:pPr>
        <w:ind w:hanging="180" w:left="2938"/>
      </w:pPr>
    </w:lvl>
    <w:lvl w:ilvl="3" w:tentative="1" w:tplc="0409000F">
      <w:start w:val="1"/>
      <w:numFmt w:val="decimal"/>
      <w:lvlText w:val="%4."/>
      <w:lvlJc w:val="left"/>
      <w:pPr>
        <w:ind w:hanging="360" w:left="3658"/>
      </w:pPr>
    </w:lvl>
    <w:lvl w:ilvl="4" w:tentative="1" w:tplc="04090019">
      <w:start w:val="1"/>
      <w:numFmt w:val="lowerLetter"/>
      <w:lvlText w:val="%5."/>
      <w:lvlJc w:val="left"/>
      <w:pPr>
        <w:ind w:hanging="360" w:left="4378"/>
      </w:pPr>
    </w:lvl>
    <w:lvl w:ilvl="5" w:tentative="1" w:tplc="0409001B">
      <w:start w:val="1"/>
      <w:numFmt w:val="lowerRoman"/>
      <w:lvlText w:val="%6."/>
      <w:lvlJc w:val="right"/>
      <w:pPr>
        <w:ind w:hanging="180" w:left="5098"/>
      </w:pPr>
    </w:lvl>
    <w:lvl w:ilvl="6" w:tentative="1" w:tplc="0409000F">
      <w:start w:val="1"/>
      <w:numFmt w:val="decimal"/>
      <w:lvlText w:val="%7."/>
      <w:lvlJc w:val="left"/>
      <w:pPr>
        <w:ind w:hanging="360" w:left="5818"/>
      </w:pPr>
    </w:lvl>
    <w:lvl w:ilvl="7" w:tentative="1" w:tplc="04090019">
      <w:start w:val="1"/>
      <w:numFmt w:val="lowerLetter"/>
      <w:lvlText w:val="%8."/>
      <w:lvlJc w:val="left"/>
      <w:pPr>
        <w:ind w:hanging="360" w:left="6538"/>
      </w:pPr>
    </w:lvl>
    <w:lvl w:ilvl="8" w:tentative="1" w:tplc="0409001B">
      <w:start w:val="1"/>
      <w:numFmt w:val="lowerRoman"/>
      <w:lvlText w:val="%9."/>
      <w:lvlJc w:val="right"/>
      <w:pPr>
        <w:ind w:hanging="180" w:left="7258"/>
      </w:pPr>
    </w:lvl>
  </w:abstractNum>
  <w:abstractNum w15:restartNumberingAfterBreak="0" w:abstractNumId="3">
    <w:nsid w:val="049E49B6"/>
    <w:multiLevelType w:val="hybridMultilevel"/>
    <w:tmpl w:val="A9ACBD12"/>
    <w:lvl w:ilvl="0" w:tplc="4470DCEC">
      <w:start w:val="1"/>
      <w:numFmt w:val="bullet"/>
      <w:lvlText w:val=""/>
      <w:lvlJc w:val="left"/>
      <w:pPr>
        <w:ind w:hanging="360" w:left="720"/>
      </w:pPr>
      <w:rPr>
        <w:rFonts w:ascii="Wingdings" w:hAnsi="Wingdings" w:hint="default"/>
        <w:color w:themeColor="accent6" w:themeShade="BF" w:val="E36C0A"/>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4">
    <w:nsid w:val="06605324"/>
    <w:multiLevelType w:val="hybridMultilevel"/>
    <w:tmpl w:val="85F0D228"/>
    <w:lvl w:ilvl="0" w:tplc="4470DCEC">
      <w:start w:val="1"/>
      <w:numFmt w:val="bullet"/>
      <w:lvlText w:val=""/>
      <w:lvlJc w:val="left"/>
      <w:pPr>
        <w:ind w:hanging="360" w:left="1440"/>
      </w:pPr>
      <w:rPr>
        <w:rFonts w:ascii="Wingdings" w:hAnsi="Wingdings" w:hint="default"/>
        <w:color w:themeColor="accent6" w:themeShade="BF" w:val="E36C0A"/>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
    <w:nsid w:val="0BF3272C"/>
    <w:multiLevelType w:val="hybridMultilevel"/>
    <w:tmpl w:val="10A62FD2"/>
    <w:lvl w:ilvl="0" w:tplc="4470DCEC">
      <w:start w:val="1"/>
      <w:numFmt w:val="bullet"/>
      <w:lvlText w:val=""/>
      <w:lvlJc w:val="left"/>
      <w:pPr>
        <w:ind w:hanging="360" w:left="2160"/>
      </w:pPr>
      <w:rPr>
        <w:rFonts w:ascii="Wingdings" w:hAnsi="Wingdings" w:hint="default"/>
        <w:color w:themeColor="accent6" w:themeShade="BF" w:val="E36C0A"/>
      </w:rPr>
    </w:lvl>
    <w:lvl w:ilvl="1" w:tentative="1" w:tplc="04090003">
      <w:start w:val="1"/>
      <w:numFmt w:val="bullet"/>
      <w:lvlText w:val="o"/>
      <w:lvlJc w:val="left"/>
      <w:pPr>
        <w:ind w:hanging="360" w:left="2880"/>
      </w:pPr>
      <w:rPr>
        <w:rFonts w:ascii="Courier New" w:cs="Courier New" w:hAnsi="Courier New" w:hint="default"/>
      </w:rPr>
    </w:lvl>
    <w:lvl w:ilvl="2" w:tentative="1" w:tplc="04090005">
      <w:start w:val="1"/>
      <w:numFmt w:val="bullet"/>
      <w:lvlText w:val=""/>
      <w:lvlJc w:val="left"/>
      <w:pPr>
        <w:ind w:hanging="360" w:left="3600"/>
      </w:pPr>
      <w:rPr>
        <w:rFonts w:ascii="Wingdings" w:hAnsi="Wingdings" w:hint="default"/>
      </w:rPr>
    </w:lvl>
    <w:lvl w:ilvl="3" w:tentative="1" w:tplc="04090001">
      <w:start w:val="1"/>
      <w:numFmt w:val="bullet"/>
      <w:lvlText w:val=""/>
      <w:lvlJc w:val="left"/>
      <w:pPr>
        <w:ind w:hanging="360" w:left="4320"/>
      </w:pPr>
      <w:rPr>
        <w:rFonts w:ascii="Symbol" w:hAnsi="Symbol" w:hint="default"/>
      </w:rPr>
    </w:lvl>
    <w:lvl w:ilvl="4" w:tentative="1" w:tplc="04090003">
      <w:start w:val="1"/>
      <w:numFmt w:val="bullet"/>
      <w:lvlText w:val="o"/>
      <w:lvlJc w:val="left"/>
      <w:pPr>
        <w:ind w:hanging="360" w:left="5040"/>
      </w:pPr>
      <w:rPr>
        <w:rFonts w:ascii="Courier New" w:cs="Courier New" w:hAnsi="Courier New" w:hint="default"/>
      </w:rPr>
    </w:lvl>
    <w:lvl w:ilvl="5" w:tentative="1" w:tplc="04090005">
      <w:start w:val="1"/>
      <w:numFmt w:val="bullet"/>
      <w:lvlText w:val=""/>
      <w:lvlJc w:val="left"/>
      <w:pPr>
        <w:ind w:hanging="360" w:left="5760"/>
      </w:pPr>
      <w:rPr>
        <w:rFonts w:ascii="Wingdings" w:hAnsi="Wingdings" w:hint="default"/>
      </w:rPr>
    </w:lvl>
    <w:lvl w:ilvl="6" w:tentative="1" w:tplc="04090001">
      <w:start w:val="1"/>
      <w:numFmt w:val="bullet"/>
      <w:lvlText w:val=""/>
      <w:lvlJc w:val="left"/>
      <w:pPr>
        <w:ind w:hanging="360" w:left="6480"/>
      </w:pPr>
      <w:rPr>
        <w:rFonts w:ascii="Symbol" w:hAnsi="Symbol" w:hint="default"/>
      </w:rPr>
    </w:lvl>
    <w:lvl w:ilvl="7" w:tentative="1" w:tplc="04090003">
      <w:start w:val="1"/>
      <w:numFmt w:val="bullet"/>
      <w:lvlText w:val="o"/>
      <w:lvlJc w:val="left"/>
      <w:pPr>
        <w:ind w:hanging="360" w:left="7200"/>
      </w:pPr>
      <w:rPr>
        <w:rFonts w:ascii="Courier New" w:cs="Courier New" w:hAnsi="Courier New" w:hint="default"/>
      </w:rPr>
    </w:lvl>
    <w:lvl w:ilvl="8" w:tentative="1" w:tplc="04090005">
      <w:start w:val="1"/>
      <w:numFmt w:val="bullet"/>
      <w:lvlText w:val=""/>
      <w:lvlJc w:val="left"/>
      <w:pPr>
        <w:ind w:hanging="360" w:left="7920"/>
      </w:pPr>
      <w:rPr>
        <w:rFonts w:ascii="Wingdings" w:hAnsi="Wingdings" w:hint="default"/>
      </w:rPr>
    </w:lvl>
  </w:abstractNum>
  <w:abstractNum w15:restartNumberingAfterBreak="0" w:abstractNumId="6">
    <w:nsid w:val="1F99618B"/>
    <w:multiLevelType w:val="hybridMultilevel"/>
    <w:tmpl w:val="DE8E709E"/>
    <w:lvl w:ilvl="0" w:tplc="4470DCEC">
      <w:start w:val="1"/>
      <w:numFmt w:val="bullet"/>
      <w:lvlText w:val=""/>
      <w:lvlJc w:val="left"/>
      <w:pPr>
        <w:ind w:hanging="360" w:left="1440"/>
      </w:pPr>
      <w:rPr>
        <w:rFonts w:ascii="Wingdings" w:hAnsi="Wingdings" w:hint="default"/>
        <w:color w:themeColor="accent6" w:themeShade="BF" w:val="E36C0A"/>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7">
    <w:nsid w:val="22927EC2"/>
    <w:multiLevelType w:val="multilevel"/>
    <w:tmpl w:val="C87E2F2A"/>
    <w:numStyleLink w:val="Headings"/>
  </w:abstractNum>
  <w:abstractNum w15:restartNumberingAfterBreak="0" w:abstractNumId="8">
    <w:nsid w:val="3DCA405A"/>
    <w:multiLevelType w:val="hybridMultilevel"/>
    <w:tmpl w:val="1928771A"/>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48286D71"/>
    <w:multiLevelType w:val="multilevel"/>
    <w:tmpl w:val="C87E2F2A"/>
    <w:styleLink w:val="Headings"/>
    <w:lvl w:ilvl="0">
      <w:start w:val="1"/>
      <w:numFmt w:val="decimal"/>
      <w:lvlText w:val="%1"/>
      <w:lvlJc w:val="left"/>
      <w:pPr>
        <w:ind w:hanging="720" w:left="720"/>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none"/>
      <w:lvlText w:val=""/>
      <w:lvlJc w:val="left"/>
      <w:pPr>
        <w:ind w:hanging="720" w:left="720"/>
      </w:pPr>
      <w:rPr>
        <w:rFonts w:hint="default"/>
      </w:rPr>
    </w:lvl>
    <w:lvl w:ilvl="5">
      <w:start w:val="1"/>
      <w:numFmt w:val="none"/>
      <w:pStyle w:val="Heading6"/>
      <w:lvlText w:val=""/>
      <w:lvlJc w:val="left"/>
      <w:pPr>
        <w:ind w:hanging="720" w:left="720"/>
      </w:pPr>
      <w:rPr>
        <w:rFonts w:hint="default"/>
      </w:rPr>
    </w:lvl>
    <w:lvl w:ilvl="6">
      <w:start w:val="1"/>
      <w:numFmt w:val="none"/>
      <w:pStyle w:val="Heading7"/>
      <w:lvlText w:val=""/>
      <w:lvlJc w:val="left"/>
      <w:pPr>
        <w:ind w:hanging="720" w:left="720"/>
      </w:pPr>
      <w:rPr>
        <w:rFonts w:hint="default"/>
      </w:rPr>
    </w:lvl>
    <w:lvl w:ilvl="7">
      <w:start w:val="1"/>
      <w:numFmt w:val="upperLetter"/>
      <w:pStyle w:val="Heading8"/>
      <w:suff w:val="space"/>
      <w:lvlText w:val="Appendix %8"/>
      <w:lvlJc w:val="left"/>
      <w:pPr>
        <w:ind w:hanging="720" w:left="720"/>
      </w:pPr>
      <w:rPr>
        <w:rFonts w:hint="default"/>
      </w:rPr>
    </w:lvl>
    <w:lvl w:ilvl="8">
      <w:start w:val="1"/>
      <w:numFmt w:val="decimal"/>
      <w:pStyle w:val="Heading9"/>
      <w:suff w:val="space"/>
      <w:lvlText w:val="Appendix %8%9"/>
      <w:lvlJc w:val="left"/>
      <w:pPr>
        <w:ind w:hanging="720" w:left="720"/>
      </w:pPr>
      <w:rPr>
        <w:rFonts w:hint="default"/>
      </w:rPr>
    </w:lvl>
  </w:abstractNum>
  <w:abstractNum w15:restartNumberingAfterBreak="0" w:abstractNumId="10">
    <w:nsid w:val="4AE33946"/>
    <w:multiLevelType w:val="hybridMultilevel"/>
    <w:tmpl w:val="FA7858A2"/>
    <w:lvl w:ilvl="0" w:tplc="04090001">
      <w:start w:val="1"/>
      <w:numFmt w:val="bullet"/>
      <w:lvlText w:val=""/>
      <w:lvlJc w:val="left"/>
      <w:pPr>
        <w:ind w:hanging="360" w:left="2160"/>
      </w:pPr>
      <w:rPr>
        <w:rFonts w:ascii="Symbol" w:hAnsi="Symbol" w:hint="default"/>
      </w:rPr>
    </w:lvl>
    <w:lvl w:ilvl="1" w:tentative="1" w:tplc="04090003">
      <w:start w:val="1"/>
      <w:numFmt w:val="bullet"/>
      <w:lvlText w:val="o"/>
      <w:lvlJc w:val="left"/>
      <w:pPr>
        <w:ind w:hanging="360" w:left="2880"/>
      </w:pPr>
      <w:rPr>
        <w:rFonts w:ascii="Courier New" w:cs="Courier New" w:hAnsi="Courier New" w:hint="default"/>
      </w:rPr>
    </w:lvl>
    <w:lvl w:ilvl="2" w:tentative="1" w:tplc="04090005">
      <w:start w:val="1"/>
      <w:numFmt w:val="bullet"/>
      <w:lvlText w:val=""/>
      <w:lvlJc w:val="left"/>
      <w:pPr>
        <w:ind w:hanging="360" w:left="3600"/>
      </w:pPr>
      <w:rPr>
        <w:rFonts w:ascii="Wingdings" w:hAnsi="Wingdings" w:hint="default"/>
      </w:rPr>
    </w:lvl>
    <w:lvl w:ilvl="3" w:tentative="1" w:tplc="04090001">
      <w:start w:val="1"/>
      <w:numFmt w:val="bullet"/>
      <w:lvlText w:val=""/>
      <w:lvlJc w:val="left"/>
      <w:pPr>
        <w:ind w:hanging="360" w:left="4320"/>
      </w:pPr>
      <w:rPr>
        <w:rFonts w:ascii="Symbol" w:hAnsi="Symbol" w:hint="default"/>
      </w:rPr>
    </w:lvl>
    <w:lvl w:ilvl="4" w:tentative="1" w:tplc="04090003">
      <w:start w:val="1"/>
      <w:numFmt w:val="bullet"/>
      <w:lvlText w:val="o"/>
      <w:lvlJc w:val="left"/>
      <w:pPr>
        <w:ind w:hanging="360" w:left="5040"/>
      </w:pPr>
      <w:rPr>
        <w:rFonts w:ascii="Courier New" w:cs="Courier New" w:hAnsi="Courier New" w:hint="default"/>
      </w:rPr>
    </w:lvl>
    <w:lvl w:ilvl="5" w:tentative="1" w:tplc="04090005">
      <w:start w:val="1"/>
      <w:numFmt w:val="bullet"/>
      <w:lvlText w:val=""/>
      <w:lvlJc w:val="left"/>
      <w:pPr>
        <w:ind w:hanging="360" w:left="5760"/>
      </w:pPr>
      <w:rPr>
        <w:rFonts w:ascii="Wingdings" w:hAnsi="Wingdings" w:hint="default"/>
      </w:rPr>
    </w:lvl>
    <w:lvl w:ilvl="6" w:tentative="1" w:tplc="04090001">
      <w:start w:val="1"/>
      <w:numFmt w:val="bullet"/>
      <w:lvlText w:val=""/>
      <w:lvlJc w:val="left"/>
      <w:pPr>
        <w:ind w:hanging="360" w:left="6480"/>
      </w:pPr>
      <w:rPr>
        <w:rFonts w:ascii="Symbol" w:hAnsi="Symbol" w:hint="default"/>
      </w:rPr>
    </w:lvl>
    <w:lvl w:ilvl="7" w:tentative="1" w:tplc="04090003">
      <w:start w:val="1"/>
      <w:numFmt w:val="bullet"/>
      <w:lvlText w:val="o"/>
      <w:lvlJc w:val="left"/>
      <w:pPr>
        <w:ind w:hanging="360" w:left="7200"/>
      </w:pPr>
      <w:rPr>
        <w:rFonts w:ascii="Courier New" w:cs="Courier New" w:hAnsi="Courier New" w:hint="default"/>
      </w:rPr>
    </w:lvl>
    <w:lvl w:ilvl="8" w:tentative="1" w:tplc="04090005">
      <w:start w:val="1"/>
      <w:numFmt w:val="bullet"/>
      <w:lvlText w:val=""/>
      <w:lvlJc w:val="left"/>
      <w:pPr>
        <w:ind w:hanging="360" w:left="7920"/>
      </w:pPr>
      <w:rPr>
        <w:rFonts w:ascii="Wingdings" w:hAnsi="Wingdings" w:hint="default"/>
      </w:rPr>
    </w:lvl>
  </w:abstractNum>
  <w:abstractNum w15:restartNumberingAfterBreak="0" w:abstractNumId="11">
    <w:nsid w:val="4C8544A6"/>
    <w:multiLevelType w:val="hybridMultilevel"/>
    <w:tmpl w:val="1560582E"/>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12">
    <w:nsid w:val="4CBE6387"/>
    <w:multiLevelType w:val="multilevel"/>
    <w:tmpl w:val="D4D69764"/>
    <w:lvl w:ilvl="0">
      <w:start w:val="1"/>
      <w:numFmt w:val="bullet"/>
      <w:lvlText w:val=""/>
      <w:lvlJc w:val="left"/>
      <w:pPr>
        <w:tabs>
          <w:tab w:pos="1080" w:val="num"/>
        </w:tabs>
        <w:ind w:hanging="360" w:left="1080"/>
      </w:pPr>
      <w:rPr>
        <w:rFonts w:ascii="Wingdings" w:hAnsi="Wingdings" w:hint="default"/>
        <w:color w:themeColor="accent6" w:themeShade="BF" w:val="E36C0A"/>
      </w:rPr>
    </w:lvl>
    <w:lvl w:ilvl="1">
      <w:start w:val="1"/>
      <w:numFmt w:val="bullet"/>
      <w:lvlText w:val="–"/>
      <w:lvlJc w:val="left"/>
      <w:pPr>
        <w:tabs>
          <w:tab w:pos="1440" w:val="num"/>
        </w:tabs>
        <w:ind w:hanging="360" w:left="1440"/>
      </w:pPr>
      <w:rPr>
        <w:rFonts w:ascii="Arial" w:hAnsi="Arial" w:hint="default"/>
      </w:rPr>
    </w:lvl>
    <w:lvl w:ilvl="2">
      <w:start w:val="1"/>
      <w:numFmt w:val="bullet"/>
      <w:lvlText w:val=""/>
      <w:lvlJc w:val="left"/>
      <w:pPr>
        <w:tabs>
          <w:tab w:pos="1800" w:val="num"/>
        </w:tabs>
        <w:ind w:hanging="360" w:left="1800"/>
      </w:pPr>
      <w:rPr>
        <w:rFonts w:ascii="Symbol" w:hAnsi="Symbol" w:hint="default"/>
      </w:rPr>
    </w:lvl>
    <w:lvl w:ilvl="3">
      <w:start w:val="1"/>
      <w:numFmt w:val="bullet"/>
      <w:lvlText w:val="–"/>
      <w:lvlJc w:val="left"/>
      <w:pPr>
        <w:tabs>
          <w:tab w:pos="2160" w:val="num"/>
        </w:tabs>
        <w:ind w:hanging="360" w:left="2160"/>
      </w:pPr>
      <w:rPr>
        <w:rFonts w:ascii="Arial" w:hAnsi="Arial" w:hint="default"/>
      </w:rPr>
    </w:lvl>
    <w:lvl w:ilvl="4">
      <w:start w:val="1"/>
      <w:numFmt w:val="bullet"/>
      <w:lvlText w:val=""/>
      <w:lvlJc w:val="left"/>
      <w:pPr>
        <w:tabs>
          <w:tab w:pos="2520" w:val="num"/>
        </w:tabs>
        <w:ind w:hanging="360" w:left="2520"/>
      </w:pPr>
      <w:rPr>
        <w:rFonts w:ascii="Symbol" w:hAnsi="Symbol" w:hint="default"/>
      </w:rPr>
    </w:lvl>
    <w:lvl w:ilvl="5">
      <w:start w:val="1"/>
      <w:numFmt w:val="none"/>
      <w:lvlText w:val=""/>
      <w:lvlJc w:val="left"/>
      <w:pPr>
        <w:tabs>
          <w:tab w:pos="2880" w:val="num"/>
        </w:tabs>
        <w:ind w:hanging="360" w:left="2880"/>
      </w:pPr>
      <w:rPr>
        <w:rFonts w:hint="default"/>
      </w:rPr>
    </w:lvl>
    <w:lvl w:ilvl="6">
      <w:start w:val="1"/>
      <w:numFmt w:val="none"/>
      <w:lvlText w:val="%7"/>
      <w:lvlJc w:val="left"/>
      <w:pPr>
        <w:tabs>
          <w:tab w:pos="3240" w:val="num"/>
        </w:tabs>
        <w:ind w:hanging="360" w:left="3240"/>
      </w:pPr>
      <w:rPr>
        <w:rFonts w:hint="default"/>
      </w:rPr>
    </w:lvl>
    <w:lvl w:ilvl="7">
      <w:start w:val="1"/>
      <w:numFmt w:val="none"/>
      <w:lvlText w:val="%8"/>
      <w:lvlJc w:val="left"/>
      <w:pPr>
        <w:tabs>
          <w:tab w:pos="3600" w:val="num"/>
        </w:tabs>
        <w:ind w:hanging="360" w:left="3600"/>
      </w:pPr>
      <w:rPr>
        <w:rFonts w:hint="default"/>
      </w:rPr>
    </w:lvl>
    <w:lvl w:ilvl="8">
      <w:start w:val="1"/>
      <w:numFmt w:val="none"/>
      <w:lvlText w:val="%9"/>
      <w:lvlJc w:val="left"/>
      <w:pPr>
        <w:tabs>
          <w:tab w:pos="3960" w:val="num"/>
        </w:tabs>
        <w:ind w:hanging="360" w:left="3960"/>
      </w:pPr>
      <w:rPr>
        <w:rFonts w:hint="default"/>
      </w:rPr>
    </w:lvl>
  </w:abstractNum>
  <w:abstractNum w15:restartNumberingAfterBreak="0" w:abstractNumId="13">
    <w:nsid w:val="566B0801"/>
    <w:multiLevelType w:val="hybridMultilevel"/>
    <w:tmpl w:val="03FAE786"/>
    <w:lvl w:ilvl="0" w:tplc="C42E8BD4">
      <w:start w:val="1"/>
      <w:numFmt w:val="lowerLetter"/>
      <w:lvlText w:val="%1."/>
      <w:lvlJc w:val="left"/>
      <w:pPr>
        <w:ind w:hanging="360" w:left="1440"/>
      </w:pPr>
      <w:rPr>
        <w:rFonts w:hint="default"/>
        <w:color w:themeColor="accent6" w:themeShade="BF" w:val="E36C0A"/>
      </w:rPr>
    </w:lvl>
    <w:lvl w:ilvl="1" w:tentative="1" w:tplc="FFFFFFFF">
      <w:start w:val="1"/>
      <w:numFmt w:val="bullet"/>
      <w:lvlText w:val="o"/>
      <w:lvlJc w:val="left"/>
      <w:pPr>
        <w:ind w:hanging="360" w:left="2160"/>
      </w:pPr>
      <w:rPr>
        <w:rFonts w:ascii="Courier New" w:cs="Courier New" w:hAnsi="Courier New" w:hint="default"/>
      </w:rPr>
    </w:lvl>
    <w:lvl w:ilvl="2" w:tentative="1" w:tplc="FFFFFFFF">
      <w:start w:val="1"/>
      <w:numFmt w:val="bullet"/>
      <w:lvlText w:val=""/>
      <w:lvlJc w:val="left"/>
      <w:pPr>
        <w:ind w:hanging="360" w:left="2880"/>
      </w:pPr>
      <w:rPr>
        <w:rFonts w:ascii="Wingdings" w:hAnsi="Wingdings" w:hint="default"/>
      </w:rPr>
    </w:lvl>
    <w:lvl w:ilvl="3" w:tentative="1" w:tplc="FFFFFFFF">
      <w:start w:val="1"/>
      <w:numFmt w:val="bullet"/>
      <w:lvlText w:val=""/>
      <w:lvlJc w:val="left"/>
      <w:pPr>
        <w:ind w:hanging="360" w:left="3600"/>
      </w:pPr>
      <w:rPr>
        <w:rFonts w:ascii="Symbol" w:hAnsi="Symbol" w:hint="default"/>
      </w:rPr>
    </w:lvl>
    <w:lvl w:ilvl="4" w:tentative="1" w:tplc="FFFFFFFF">
      <w:start w:val="1"/>
      <w:numFmt w:val="bullet"/>
      <w:lvlText w:val="o"/>
      <w:lvlJc w:val="left"/>
      <w:pPr>
        <w:ind w:hanging="360" w:left="4320"/>
      </w:pPr>
      <w:rPr>
        <w:rFonts w:ascii="Courier New" w:cs="Courier New" w:hAnsi="Courier New" w:hint="default"/>
      </w:rPr>
    </w:lvl>
    <w:lvl w:ilvl="5" w:tentative="1" w:tplc="FFFFFFFF">
      <w:start w:val="1"/>
      <w:numFmt w:val="bullet"/>
      <w:lvlText w:val=""/>
      <w:lvlJc w:val="left"/>
      <w:pPr>
        <w:ind w:hanging="360" w:left="5040"/>
      </w:pPr>
      <w:rPr>
        <w:rFonts w:ascii="Wingdings" w:hAnsi="Wingdings" w:hint="default"/>
      </w:rPr>
    </w:lvl>
    <w:lvl w:ilvl="6" w:tentative="1" w:tplc="FFFFFFFF">
      <w:start w:val="1"/>
      <w:numFmt w:val="bullet"/>
      <w:lvlText w:val=""/>
      <w:lvlJc w:val="left"/>
      <w:pPr>
        <w:ind w:hanging="360" w:left="5760"/>
      </w:pPr>
      <w:rPr>
        <w:rFonts w:ascii="Symbol" w:hAnsi="Symbol" w:hint="default"/>
      </w:rPr>
    </w:lvl>
    <w:lvl w:ilvl="7" w:tentative="1" w:tplc="FFFFFFFF">
      <w:start w:val="1"/>
      <w:numFmt w:val="bullet"/>
      <w:lvlText w:val="o"/>
      <w:lvlJc w:val="left"/>
      <w:pPr>
        <w:ind w:hanging="360" w:left="6480"/>
      </w:pPr>
      <w:rPr>
        <w:rFonts w:ascii="Courier New" w:cs="Courier New" w:hAnsi="Courier New" w:hint="default"/>
      </w:rPr>
    </w:lvl>
    <w:lvl w:ilvl="8" w:tentative="1" w:tplc="FFFFFFFF">
      <w:start w:val="1"/>
      <w:numFmt w:val="bullet"/>
      <w:lvlText w:val=""/>
      <w:lvlJc w:val="left"/>
      <w:pPr>
        <w:ind w:hanging="360" w:left="7200"/>
      </w:pPr>
      <w:rPr>
        <w:rFonts w:ascii="Wingdings" w:hAnsi="Wingdings" w:hint="default"/>
      </w:rPr>
    </w:lvl>
  </w:abstractNum>
  <w:abstractNum w15:restartNumberingAfterBreak="0" w:abstractNumId="14">
    <w:nsid w:val="65343627"/>
    <w:multiLevelType w:val="hybridMultilevel"/>
    <w:tmpl w:val="4DC87BB6"/>
    <w:lvl w:ilvl="0" w:tplc="8BD4C846">
      <w:start w:val="1"/>
      <w:numFmt w:val="decimal"/>
      <w:lvlText w:val="%1."/>
      <w:lvlJc w:val="left"/>
      <w:pPr>
        <w:ind w:hanging="360" w:left="2160"/>
      </w:pPr>
      <w:rPr>
        <w:rFonts w:ascii="Arial" w:cs="Arial" w:hAnsi="Arial" w:hint="default"/>
        <w:b w:val="0"/>
        <w:bCs w:val="0"/>
        <w:i w:val="0"/>
        <w:iCs w:val="0"/>
        <w:color w:themeColor="accent6" w:themeShade="BF" w:val="E36C0A"/>
        <w:spacing w:val="-1"/>
        <w:w w:val="100"/>
        <w:sz w:val="20"/>
        <w:szCs w:val="18"/>
        <w:vertAlign w:val="baseline"/>
      </w:rPr>
    </w:lvl>
    <w:lvl w:ilvl="1" w:tentative="1" w:tplc="04090019">
      <w:start w:val="1"/>
      <w:numFmt w:val="lowerLetter"/>
      <w:lvlText w:val="%2."/>
      <w:lvlJc w:val="left"/>
      <w:pPr>
        <w:ind w:hanging="360" w:left="2880"/>
      </w:pPr>
    </w:lvl>
    <w:lvl w:ilvl="2" w:tentative="1" w:tplc="0409001B">
      <w:start w:val="1"/>
      <w:numFmt w:val="lowerRoman"/>
      <w:lvlText w:val="%3."/>
      <w:lvlJc w:val="right"/>
      <w:pPr>
        <w:ind w:hanging="180" w:left="3600"/>
      </w:pPr>
    </w:lvl>
    <w:lvl w:ilvl="3" w:tentative="1" w:tplc="0409000F">
      <w:start w:val="1"/>
      <w:numFmt w:val="decimal"/>
      <w:lvlText w:val="%4."/>
      <w:lvlJc w:val="left"/>
      <w:pPr>
        <w:ind w:hanging="360" w:left="4320"/>
      </w:pPr>
    </w:lvl>
    <w:lvl w:ilvl="4" w:tentative="1" w:tplc="04090019">
      <w:start w:val="1"/>
      <w:numFmt w:val="lowerLetter"/>
      <w:lvlText w:val="%5."/>
      <w:lvlJc w:val="left"/>
      <w:pPr>
        <w:ind w:hanging="360" w:left="5040"/>
      </w:pPr>
    </w:lvl>
    <w:lvl w:ilvl="5" w:tentative="1" w:tplc="0409001B">
      <w:start w:val="1"/>
      <w:numFmt w:val="lowerRoman"/>
      <w:lvlText w:val="%6."/>
      <w:lvlJc w:val="right"/>
      <w:pPr>
        <w:ind w:hanging="180" w:left="5760"/>
      </w:pPr>
    </w:lvl>
    <w:lvl w:ilvl="6" w:tentative="1" w:tplc="0409000F">
      <w:start w:val="1"/>
      <w:numFmt w:val="decimal"/>
      <w:lvlText w:val="%7."/>
      <w:lvlJc w:val="left"/>
      <w:pPr>
        <w:ind w:hanging="360" w:left="6480"/>
      </w:pPr>
    </w:lvl>
    <w:lvl w:ilvl="7" w:tentative="1" w:tplc="04090019">
      <w:start w:val="1"/>
      <w:numFmt w:val="lowerLetter"/>
      <w:lvlText w:val="%8."/>
      <w:lvlJc w:val="left"/>
      <w:pPr>
        <w:ind w:hanging="360" w:left="7200"/>
      </w:pPr>
    </w:lvl>
    <w:lvl w:ilvl="8" w:tentative="1" w:tplc="0409001B">
      <w:start w:val="1"/>
      <w:numFmt w:val="lowerRoman"/>
      <w:lvlText w:val="%9."/>
      <w:lvlJc w:val="right"/>
      <w:pPr>
        <w:ind w:hanging="180" w:left="7920"/>
      </w:pPr>
    </w:lvl>
  </w:abstractNum>
  <w:abstractNum w15:restartNumberingAfterBreak="0" w:abstractNumId="15">
    <w:nsid w:val="6E521A23"/>
    <w:multiLevelType w:val="hybridMultilevel"/>
    <w:tmpl w:val="E1C4A10E"/>
    <w:lvl w:ilvl="0" w:tplc="4470DCEC">
      <w:start w:val="1"/>
      <w:numFmt w:val="bullet"/>
      <w:lvlText w:val=""/>
      <w:lvlJc w:val="left"/>
      <w:pPr>
        <w:ind w:hanging="360" w:left="1494"/>
      </w:pPr>
      <w:rPr>
        <w:rFonts w:ascii="Wingdings" w:hAnsi="Wingdings" w:hint="default"/>
        <w:color w:themeColor="accent6" w:themeShade="BF" w:val="E36C0A"/>
      </w:rPr>
    </w:lvl>
    <w:lvl w:ilvl="1" w:tplc="04090017">
      <w:start w:val="1"/>
      <w:numFmt w:val="lowerLetter"/>
      <w:lvlText w:val="%2)"/>
      <w:lvlJc w:val="left"/>
      <w:pPr>
        <w:ind w:hanging="360" w:left="2214"/>
      </w:pPr>
    </w:lvl>
    <w:lvl w:ilvl="2" w:tentative="1" w:tplc="04090005">
      <w:start w:val="1"/>
      <w:numFmt w:val="bullet"/>
      <w:lvlText w:val=""/>
      <w:lvlJc w:val="left"/>
      <w:pPr>
        <w:ind w:hanging="360" w:left="2934"/>
      </w:pPr>
      <w:rPr>
        <w:rFonts w:ascii="Wingdings" w:hAnsi="Wingdings" w:hint="default"/>
      </w:rPr>
    </w:lvl>
    <w:lvl w:ilvl="3" w:tentative="1" w:tplc="04090001">
      <w:start w:val="1"/>
      <w:numFmt w:val="bullet"/>
      <w:lvlText w:val=""/>
      <w:lvlJc w:val="left"/>
      <w:pPr>
        <w:ind w:hanging="360" w:left="3654"/>
      </w:pPr>
      <w:rPr>
        <w:rFonts w:ascii="Symbol" w:hAnsi="Symbol" w:hint="default"/>
      </w:rPr>
    </w:lvl>
    <w:lvl w:ilvl="4" w:tentative="1" w:tplc="04090003">
      <w:start w:val="1"/>
      <w:numFmt w:val="bullet"/>
      <w:lvlText w:val="o"/>
      <w:lvlJc w:val="left"/>
      <w:pPr>
        <w:ind w:hanging="360" w:left="4374"/>
      </w:pPr>
      <w:rPr>
        <w:rFonts w:ascii="Courier New" w:cs="Courier New" w:hAnsi="Courier New" w:hint="default"/>
      </w:rPr>
    </w:lvl>
    <w:lvl w:ilvl="5" w:tentative="1" w:tplc="04090005">
      <w:start w:val="1"/>
      <w:numFmt w:val="bullet"/>
      <w:lvlText w:val=""/>
      <w:lvlJc w:val="left"/>
      <w:pPr>
        <w:ind w:hanging="360" w:left="5094"/>
      </w:pPr>
      <w:rPr>
        <w:rFonts w:ascii="Wingdings" w:hAnsi="Wingdings" w:hint="default"/>
      </w:rPr>
    </w:lvl>
    <w:lvl w:ilvl="6" w:tentative="1" w:tplc="04090001">
      <w:start w:val="1"/>
      <w:numFmt w:val="bullet"/>
      <w:lvlText w:val=""/>
      <w:lvlJc w:val="left"/>
      <w:pPr>
        <w:ind w:hanging="360" w:left="5814"/>
      </w:pPr>
      <w:rPr>
        <w:rFonts w:ascii="Symbol" w:hAnsi="Symbol" w:hint="default"/>
      </w:rPr>
    </w:lvl>
    <w:lvl w:ilvl="7" w:tentative="1" w:tplc="04090003">
      <w:start w:val="1"/>
      <w:numFmt w:val="bullet"/>
      <w:lvlText w:val="o"/>
      <w:lvlJc w:val="left"/>
      <w:pPr>
        <w:ind w:hanging="360" w:left="6534"/>
      </w:pPr>
      <w:rPr>
        <w:rFonts w:ascii="Courier New" w:cs="Courier New" w:hAnsi="Courier New" w:hint="default"/>
      </w:rPr>
    </w:lvl>
    <w:lvl w:ilvl="8" w:tentative="1" w:tplc="04090005">
      <w:start w:val="1"/>
      <w:numFmt w:val="bullet"/>
      <w:lvlText w:val=""/>
      <w:lvlJc w:val="left"/>
      <w:pPr>
        <w:ind w:hanging="360" w:left="7254"/>
      </w:pPr>
      <w:rPr>
        <w:rFonts w:ascii="Wingdings" w:hAnsi="Wingdings" w:hint="default"/>
      </w:rPr>
    </w:lvl>
  </w:abstractNum>
  <w:abstractNum w15:restartNumberingAfterBreak="0" w:abstractNumId="16">
    <w:nsid w:val="7CB0413F"/>
    <w:multiLevelType w:val="hybridMultilevel"/>
    <w:tmpl w:val="0D2A8512"/>
    <w:lvl w:ilvl="0" w:tplc="A2508538">
      <w:start w:val="1"/>
      <w:numFmt w:val="decimal"/>
      <w:lvlText w:val="%1."/>
      <w:lvlJc w:val="left"/>
      <w:pPr>
        <w:ind w:hanging="360" w:left="1498"/>
      </w:pPr>
      <w:rPr>
        <w:rFonts w:ascii="Arial" w:cs="Arial" w:hAnsi="Arial" w:hint="default"/>
        <w:b w:val="0"/>
        <w:bCs w:val="0"/>
        <w:i w:val="0"/>
        <w:iCs w:val="0"/>
        <w:color w:themeColor="accent6" w:themeShade="BF" w:val="E36C0A"/>
        <w:spacing w:val="-1"/>
        <w:w w:val="100"/>
        <w:sz w:val="20"/>
        <w:szCs w:val="18"/>
        <w:vertAlign w:val="baseline"/>
      </w:rPr>
    </w:lvl>
    <w:lvl w:ilvl="1" w:tentative="1" w:tplc="FFFFFFFF">
      <w:start w:val="1"/>
      <w:numFmt w:val="lowerLetter"/>
      <w:lvlText w:val="%2."/>
      <w:lvlJc w:val="left"/>
      <w:pPr>
        <w:ind w:hanging="360" w:left="2218"/>
      </w:pPr>
    </w:lvl>
    <w:lvl w:ilvl="2" w:tentative="1" w:tplc="FFFFFFFF">
      <w:start w:val="1"/>
      <w:numFmt w:val="lowerRoman"/>
      <w:lvlText w:val="%3."/>
      <w:lvlJc w:val="right"/>
      <w:pPr>
        <w:ind w:hanging="180" w:left="2938"/>
      </w:pPr>
    </w:lvl>
    <w:lvl w:ilvl="3" w:tentative="1" w:tplc="FFFFFFFF">
      <w:start w:val="1"/>
      <w:numFmt w:val="decimal"/>
      <w:lvlText w:val="%4."/>
      <w:lvlJc w:val="left"/>
      <w:pPr>
        <w:ind w:hanging="360" w:left="3658"/>
      </w:pPr>
    </w:lvl>
    <w:lvl w:ilvl="4" w:tentative="1" w:tplc="FFFFFFFF">
      <w:start w:val="1"/>
      <w:numFmt w:val="lowerLetter"/>
      <w:lvlText w:val="%5."/>
      <w:lvlJc w:val="left"/>
      <w:pPr>
        <w:ind w:hanging="360" w:left="4378"/>
      </w:pPr>
    </w:lvl>
    <w:lvl w:ilvl="5" w:tentative="1" w:tplc="FFFFFFFF">
      <w:start w:val="1"/>
      <w:numFmt w:val="lowerRoman"/>
      <w:lvlText w:val="%6."/>
      <w:lvlJc w:val="right"/>
      <w:pPr>
        <w:ind w:hanging="180" w:left="5098"/>
      </w:pPr>
    </w:lvl>
    <w:lvl w:ilvl="6" w:tentative="1" w:tplc="FFFFFFFF">
      <w:start w:val="1"/>
      <w:numFmt w:val="decimal"/>
      <w:lvlText w:val="%7."/>
      <w:lvlJc w:val="left"/>
      <w:pPr>
        <w:ind w:hanging="360" w:left="5818"/>
      </w:pPr>
    </w:lvl>
    <w:lvl w:ilvl="7" w:tentative="1" w:tplc="FFFFFFFF">
      <w:start w:val="1"/>
      <w:numFmt w:val="lowerLetter"/>
      <w:lvlText w:val="%8."/>
      <w:lvlJc w:val="left"/>
      <w:pPr>
        <w:ind w:hanging="360" w:left="6538"/>
      </w:pPr>
    </w:lvl>
    <w:lvl w:ilvl="8" w:tentative="1" w:tplc="FFFFFFFF">
      <w:start w:val="1"/>
      <w:numFmt w:val="lowerRoman"/>
      <w:lvlText w:val="%9."/>
      <w:lvlJc w:val="right"/>
      <w:pPr>
        <w:ind w:hanging="180" w:left="7258"/>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15:restartNumberingAfterBreak="0">
    <w:nsid w:val="1F344D6D"/>
    <w:multiLevelType w:val="multilevel"/>
    <w:tmpl w:val="C87E2F2A"/>
    <w:numStyleLink w:val="SRKHeadings"/>
  </w:abstractNum>
  <w:abstractNum w:abstractNumId="992" w15:restartNumberingAfterBreak="0">
    <w:nsid w:val="01D7AAF6"/>
    <w:multiLevelType w:val="multilevel"/>
    <w:tmpl w:val="C87E2F2A"/>
    <w:styleLink w:val="SRKHeadings"/>
    <w:lvl w:ilvl="0">
      <w:start w:val="1"/>
      <w:numFmt w:val="decimal"/>
      <w:pStyle w:val="SRKHeading1"/>
      <w:lvlText w:val="%1"/>
      <w:lvlJc w:val="left"/>
      <w:pPr>
        <w:ind w:left="720" w:hanging="720"/>
      </w:pPr>
      <w:rPr>
        <w:rFonts w:hint="default"/>
      </w:rPr>
    </w:lvl>
    <w:lvl w:ilvl="1">
      <w:start w:val="1"/>
      <w:numFmt w:val="decimal"/>
      <w:pStyle w:val="SRKHeading2"/>
      <w:lvlText w:val="%1.%2"/>
      <w:lvlJc w:val="left"/>
      <w:pPr>
        <w:ind w:left="720" w:hanging="720"/>
      </w:pPr>
      <w:rPr>
        <w:rFonts w:hint="default"/>
      </w:rPr>
    </w:lvl>
    <w:lvl w:ilvl="2">
      <w:start w:val="1"/>
      <w:numFmt w:val="decimal"/>
      <w:pStyle w:val="SRK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none"/>
      <w:lvlText w:val=""/>
      <w:lvlJc w:val="left"/>
      <w:pPr>
        <w:ind w:left="720" w:hanging="720"/>
      </w:pPr>
      <w:rPr>
        <w:rFonts w:hint="default"/>
      </w:rPr>
    </w:lvl>
    <w:lvl w:ilvl="5">
      <w:start w:val="1"/>
      <w:numFmt w:val="none"/>
      <w:pStyle w:val="SRKHeading6"/>
      <w:lvlText w:val=""/>
      <w:lvlJc w:val="left"/>
      <w:pPr>
        <w:ind w:left="720" w:hanging="720"/>
      </w:pPr>
      <w:rPr>
        <w:rFonts w:hint="default"/>
      </w:rPr>
    </w:lvl>
    <w:lvl w:ilvl="6">
      <w:start w:val="1"/>
      <w:numFmt w:val="none"/>
      <w:pStyle w:val="SRKHeading7"/>
      <w:lvlText w:val=""/>
      <w:lvlJc w:val="left"/>
      <w:pPr>
        <w:ind w:left="720" w:hanging="720"/>
      </w:pPr>
      <w:rPr>
        <w:rFonts w:hint="default"/>
      </w:rPr>
    </w:lvl>
    <w:lvl w:ilvl="7">
      <w:start w:val="1"/>
      <w:numFmt w:val="upperLetter"/>
      <w:pStyle w:val="SRKHeading8"/>
      <w:suff w:val="space"/>
      <w:lvlText w:val="Appendix %8"/>
      <w:lvlJc w:val="left"/>
      <w:pPr>
        <w:ind w:left="720" w:hanging="720"/>
      </w:pPr>
      <w:rPr>
        <w:rFonts w:hint="default"/>
      </w:rPr>
    </w:lvl>
    <w:lvl w:ilvl="8">
      <w:start w:val="1"/>
      <w:numFmt w:val="decimal"/>
      <w:pStyle w:val="SRKHeading9"/>
      <w:suff w:val="space"/>
      <w:lvlText w:val="Appendix %8%9"/>
      <w:lvlJc w:val="left"/>
      <w:pPr>
        <w:ind w:left="720" w:hanging="720"/>
      </w:pPr>
      <w:rPr>
        <w:rFonts w:hint="default"/>
      </w:rPr>
    </w:lvl>
  </w:abstractNum>
  <w:num w16cid:durableId="199904699" w:numId="1">
    <w:abstractNumId w:val="9"/>
  </w:num>
  <w:num w16cid:durableId="1117486440" w:numId="2">
    <w:abstractNumId w:val="0"/>
  </w:num>
  <w:num w16cid:durableId="1912503736" w:numId="3">
    <w:abstractNumId w:val="1"/>
    <w:lvlOverride w:ilvl="0">
      <w:lvl w:ilvl="0">
        <w:start w:val="1"/>
        <w:numFmt w:val="decimal"/>
        <w:pStyle w:val="ListNumber"/>
        <w:lvlText w:val="%1."/>
        <w:lvlJc w:val="left"/>
        <w:pPr>
          <w:tabs>
            <w:tab w:pos="1080" w:val="num"/>
          </w:tabs>
          <w:ind w:hanging="360" w:left="1080"/>
        </w:pPr>
        <w:rPr>
          <w:rFonts w:ascii="Arial" w:cs="Arial" w:hAnsi="Arial" w:hint="default"/>
          <w:b w:val="0"/>
          <w:bCs w:val="0"/>
          <w:i w:val="0"/>
          <w:iCs w:val="0"/>
          <w:color w:themeColor="accent6" w:themeShade="BF" w:val="E36C0A"/>
          <w:spacing w:val="-1"/>
          <w:w w:val="100"/>
          <w:sz w:val="20"/>
          <w:szCs w:val="18"/>
          <w:vertAlign w:val="baseline"/>
        </w:rPr>
      </w:lvl>
    </w:lvlOverride>
    <w:lvlOverride w:ilvl="1">
      <w:lvl w:ilvl="1">
        <w:start w:val="1"/>
        <w:numFmt w:val="lowerLetter"/>
        <w:pStyle w:val="ListNumber2"/>
        <w:lvlText w:val="(%2)"/>
        <w:lvlJc w:val="left"/>
        <w:pPr>
          <w:tabs>
            <w:tab w:pos="1440" w:val="num"/>
          </w:tabs>
          <w:ind w:hanging="360" w:left="1440"/>
        </w:pPr>
        <w:rPr>
          <w:rFonts w:hint="default"/>
        </w:rPr>
      </w:lvl>
    </w:lvlOverride>
    <w:lvlOverride w:ilvl="2">
      <w:lvl w:ilvl="2">
        <w:start w:val="1"/>
        <w:numFmt w:val="decimal"/>
        <w:pStyle w:val="ListNumber3"/>
        <w:lvlText w:val="%3."/>
        <w:lvlJc w:val="left"/>
        <w:pPr>
          <w:tabs>
            <w:tab w:pos="1800" w:val="num"/>
          </w:tabs>
          <w:ind w:hanging="360" w:left="1800"/>
        </w:pPr>
        <w:rPr>
          <w:rFonts w:hint="default"/>
        </w:rPr>
      </w:lvl>
    </w:lvlOverride>
    <w:lvlOverride w:ilvl="3">
      <w:lvl w:ilvl="3">
        <w:start w:val="1"/>
        <w:numFmt w:val="lowerLetter"/>
        <w:pStyle w:val="ListNumber4"/>
        <w:lvlText w:val="(%4)"/>
        <w:lvlJc w:val="left"/>
        <w:pPr>
          <w:tabs>
            <w:tab w:pos="2160" w:val="num"/>
          </w:tabs>
          <w:ind w:hanging="360" w:left="2160"/>
        </w:pPr>
        <w:rPr>
          <w:rFonts w:hint="default"/>
        </w:rPr>
      </w:lvl>
    </w:lvlOverride>
    <w:lvlOverride w:ilvl="4">
      <w:lvl w:ilvl="4">
        <w:start w:val="1"/>
        <w:numFmt w:val="lowerRoman"/>
        <w:pStyle w:val="ListNumber5"/>
        <w:lvlText w:val="(%5)"/>
        <w:lvlJc w:val="left"/>
        <w:pPr>
          <w:tabs>
            <w:tab w:pos="2520" w:val="num"/>
          </w:tabs>
          <w:ind w:hanging="360" w:left="2520"/>
        </w:pPr>
        <w:rPr>
          <w:rFonts w:hint="default"/>
        </w:rPr>
      </w:lvl>
    </w:lvlOverride>
    <w:lvlOverride w:ilvl="5">
      <w:lvl w:ilvl="5">
        <w:start w:val="1"/>
        <w:numFmt w:val="none"/>
        <w:lvlText w:val=""/>
        <w:lvlJc w:val="left"/>
        <w:pPr>
          <w:tabs>
            <w:tab w:pos="2880" w:val="num"/>
          </w:tabs>
          <w:ind w:hanging="360" w:left="2880"/>
        </w:pPr>
        <w:rPr>
          <w:rFonts w:hint="default"/>
        </w:rPr>
      </w:lvl>
    </w:lvlOverride>
    <w:lvlOverride w:ilvl="6">
      <w:lvl w:ilvl="6">
        <w:start w:val="1"/>
        <w:numFmt w:val="none"/>
        <w:lvlText w:val=""/>
        <w:lvlJc w:val="left"/>
        <w:pPr>
          <w:tabs>
            <w:tab w:pos="3240" w:val="num"/>
          </w:tabs>
          <w:ind w:hanging="360" w:left="3240"/>
        </w:pPr>
        <w:rPr>
          <w:rFonts w:hint="default"/>
        </w:rPr>
      </w:lvl>
    </w:lvlOverride>
    <w:lvlOverride w:ilvl="7">
      <w:lvl w:ilvl="7">
        <w:start w:val="1"/>
        <w:numFmt w:val="none"/>
        <w:lvlText w:val=""/>
        <w:lvlJc w:val="left"/>
        <w:pPr>
          <w:tabs>
            <w:tab w:pos="2880" w:val="num"/>
          </w:tabs>
          <w:ind w:hanging="360" w:left="3600"/>
        </w:pPr>
        <w:rPr>
          <w:rFonts w:hint="default"/>
        </w:rPr>
      </w:lvl>
    </w:lvlOverride>
    <w:lvlOverride w:ilvl="8">
      <w:lvl w:ilvl="8">
        <w:start w:val="1"/>
        <w:numFmt w:val="none"/>
        <w:lvlText w:val=""/>
        <w:lvlJc w:val="left"/>
        <w:pPr>
          <w:tabs>
            <w:tab w:pos="3960" w:val="num"/>
          </w:tabs>
          <w:ind w:hanging="360" w:left="3960"/>
        </w:pPr>
        <w:rPr>
          <w:rFonts w:hint="default"/>
        </w:rPr>
      </w:lvl>
    </w:lvlOverride>
  </w:num>
  <w:num w16cid:durableId="1852256892" w:numId="4">
    <w:abstractNumId w:val="12"/>
  </w:num>
  <w:num w16cid:durableId="857817665" w:numId="5">
    <w:abstractNumId w:val="2"/>
  </w:num>
  <w:num w16cid:durableId="926622198" w:numId="6">
    <w:abstractNumId w:val="7"/>
    <w:lvlOverride w:ilvl="0">
      <w:lvl w:ilvl="0">
        <w:start w:val="1"/>
        <w:numFmt w:val="decimal"/>
        <w:lvlText w:val="%1"/>
        <w:lvlJc w:val="left"/>
        <w:pPr>
          <w:ind w:hanging="720" w:left="720"/>
        </w:pPr>
        <w:rPr>
          <w:rFonts w:hint="default"/>
        </w:rPr>
      </w:lvl>
    </w:lvlOverride>
    <w:lvlOverride w:ilvl="1">
      <w:lvl w:ilvl="1">
        <w:start w:val="1"/>
        <w:numFmt w:val="decimal"/>
        <w:lvlText w:val="%1.%2"/>
        <w:lvlJc w:val="left"/>
        <w:pPr>
          <w:ind w:hanging="720" w:left="720"/>
        </w:pPr>
        <w:rPr>
          <w:rFonts w:hint="default"/>
        </w:rPr>
      </w:lvl>
    </w:lvlOverride>
    <w:lvlOverride w:ilvl="2">
      <w:lvl w:ilvl="2">
        <w:start w:val="1"/>
        <w:numFmt w:val="decimal"/>
        <w:lvlText w:val="%1.%2.%3"/>
        <w:lvlJc w:val="left"/>
        <w:pPr>
          <w:ind w:hanging="720" w:left="720"/>
        </w:pPr>
        <w:rPr>
          <w:rFonts w:hint="default"/>
        </w:rPr>
      </w:lvl>
    </w:lvlOverride>
    <w:lvlOverride w:ilvl="3">
      <w:lvl w:ilvl="3">
        <w:start w:val="1"/>
        <w:numFmt w:val="decimal"/>
        <w:lvlText w:val="%1.%2.%3.%4"/>
        <w:lvlJc w:val="left"/>
        <w:pPr>
          <w:ind w:hanging="720" w:left="720"/>
        </w:pPr>
        <w:rPr>
          <w:rFonts w:hint="default"/>
        </w:rPr>
      </w:lvl>
    </w:lvlOverride>
    <w:lvlOverride w:ilvl="4">
      <w:lvl w:ilvl="4">
        <w:start w:val="1"/>
        <w:numFmt w:val="none"/>
        <w:lvlText w:val=""/>
        <w:lvlJc w:val="left"/>
        <w:pPr>
          <w:ind w:hanging="720" w:left="720"/>
        </w:pPr>
        <w:rPr>
          <w:rFonts w:hint="default"/>
        </w:rPr>
      </w:lvl>
    </w:lvlOverride>
    <w:lvlOverride w:ilvl="5">
      <w:lvl w:ilvl="5">
        <w:start w:val="1"/>
        <w:numFmt w:val="none"/>
        <w:pStyle w:val="Heading6"/>
        <w:lvlText w:val=""/>
        <w:lvlJc w:val="left"/>
        <w:pPr>
          <w:ind w:hanging="720" w:left="720"/>
        </w:pPr>
        <w:rPr>
          <w:rFonts w:hint="default"/>
        </w:rPr>
      </w:lvl>
    </w:lvlOverride>
    <w:lvlOverride w:ilvl="6">
      <w:lvl w:ilvl="6">
        <w:start w:val="1"/>
        <w:numFmt w:val="none"/>
        <w:pStyle w:val="Heading7"/>
        <w:lvlText w:val=""/>
        <w:lvlJc w:val="left"/>
        <w:pPr>
          <w:ind w:hanging="720" w:left="720"/>
        </w:pPr>
        <w:rPr>
          <w:rFonts w:hint="default"/>
        </w:rPr>
      </w:lvl>
    </w:lvlOverride>
    <w:lvlOverride w:ilvl="7">
      <w:lvl w:ilvl="7">
        <w:start w:val="1"/>
        <w:numFmt w:val="upperLetter"/>
        <w:pStyle w:val="Heading8"/>
        <w:suff w:val="space"/>
        <w:lvlText w:val="Appendix %8"/>
        <w:lvlJc w:val="left"/>
        <w:pPr>
          <w:ind w:hanging="720" w:left="720"/>
        </w:pPr>
      </w:lvl>
    </w:lvlOverride>
    <w:lvlOverride w:ilvl="8">
      <w:lvl w:ilvl="8">
        <w:start w:val="1"/>
        <w:numFmt w:val="decimal"/>
        <w:pStyle w:val="Heading9"/>
        <w:suff w:val="space"/>
        <w:lvlText w:val="Appendix %8%9"/>
        <w:lvlJc w:val="left"/>
        <w:pPr>
          <w:ind w:hanging="720" w:left="5940"/>
        </w:pPr>
      </w:lvl>
    </w:lvlOverride>
  </w:num>
  <w:num w16cid:durableId="2098401627" w:numId="7">
    <w:abstractNumId w:val="5"/>
  </w:num>
  <w:num w16cid:durableId="208734112" w:numId="8">
    <w:abstractNumId w:val="7"/>
    <w:lvlOverride w:ilvl="0">
      <w:lvl w:ilvl="0">
        <w:start w:val="1"/>
        <w:numFmt w:val="decimal"/>
        <w:lvlText w:val="%1"/>
        <w:lvlJc w:val="left"/>
        <w:pPr>
          <w:ind w:hanging="720" w:left="720"/>
        </w:pPr>
        <w:rPr>
          <w:rFonts w:hint="default"/>
        </w:rPr>
      </w:lvl>
    </w:lvlOverride>
    <w:lvlOverride w:ilvl="1">
      <w:lvl w:ilvl="1">
        <w:start w:val="1"/>
        <w:numFmt w:val="decimal"/>
        <w:lvlText w:val="%1.%2"/>
        <w:lvlJc w:val="left"/>
        <w:pPr>
          <w:ind w:hanging="720" w:left="720"/>
        </w:pPr>
        <w:rPr>
          <w:rFonts w:hint="default"/>
        </w:rPr>
      </w:lvl>
    </w:lvlOverride>
    <w:lvlOverride w:ilvl="2">
      <w:lvl w:ilvl="2">
        <w:start w:val="1"/>
        <w:numFmt w:val="decimal"/>
        <w:lvlText w:val="%1.%2.%3"/>
        <w:lvlJc w:val="left"/>
        <w:pPr>
          <w:ind w:hanging="720" w:left="720"/>
        </w:pPr>
        <w:rPr>
          <w:rFonts w:hint="default"/>
        </w:rPr>
      </w:lvl>
    </w:lvlOverride>
    <w:lvlOverride w:ilvl="3">
      <w:lvl w:ilvl="3">
        <w:start w:val="1"/>
        <w:numFmt w:val="decimal"/>
        <w:lvlText w:val="%1.%2.%3.%4"/>
        <w:lvlJc w:val="left"/>
        <w:pPr>
          <w:ind w:hanging="720" w:left="720"/>
        </w:pPr>
        <w:rPr>
          <w:rFonts w:hint="default"/>
        </w:rPr>
      </w:lvl>
    </w:lvlOverride>
    <w:lvlOverride w:ilvl="4">
      <w:lvl w:ilvl="4">
        <w:start w:val="1"/>
        <w:numFmt w:val="none"/>
        <w:lvlText w:val=""/>
        <w:lvlJc w:val="left"/>
        <w:pPr>
          <w:ind w:hanging="720" w:left="720"/>
        </w:pPr>
        <w:rPr>
          <w:rFonts w:hint="default"/>
        </w:rPr>
      </w:lvl>
    </w:lvlOverride>
    <w:lvlOverride w:ilvl="5">
      <w:lvl w:ilvl="5">
        <w:start w:val="1"/>
        <w:numFmt w:val="none"/>
        <w:pStyle w:val="Heading6"/>
        <w:lvlText w:val=""/>
        <w:lvlJc w:val="left"/>
        <w:pPr>
          <w:ind w:hanging="720" w:left="720"/>
        </w:pPr>
        <w:rPr>
          <w:rFonts w:hint="default"/>
        </w:rPr>
      </w:lvl>
    </w:lvlOverride>
    <w:lvlOverride w:ilvl="6">
      <w:lvl w:ilvl="6">
        <w:start w:val="1"/>
        <w:numFmt w:val="none"/>
        <w:pStyle w:val="Heading7"/>
        <w:lvlText w:val=""/>
        <w:lvlJc w:val="left"/>
        <w:pPr>
          <w:ind w:hanging="720" w:left="720"/>
        </w:pPr>
        <w:rPr>
          <w:rFonts w:hint="default"/>
        </w:rPr>
      </w:lvl>
    </w:lvlOverride>
    <w:lvlOverride w:ilvl="7">
      <w:lvl w:ilvl="7">
        <w:start w:val="1"/>
        <w:numFmt w:val="upperLetter"/>
        <w:pStyle w:val="Heading8"/>
        <w:suff w:val="space"/>
        <w:lvlText w:val="Appendix %8"/>
        <w:lvlJc w:val="left"/>
        <w:pPr>
          <w:ind w:hanging="720" w:left="720"/>
        </w:pPr>
        <w:rPr>
          <w:rFonts w:hint="default"/>
        </w:rPr>
      </w:lvl>
    </w:lvlOverride>
    <w:lvlOverride w:ilvl="8">
      <w:lvl w:ilvl="8">
        <w:start w:val="1"/>
        <w:numFmt w:val="decimal"/>
        <w:pStyle w:val="Heading9"/>
        <w:suff w:val="space"/>
        <w:lvlText w:val="Appendix %8%9"/>
        <w:lvlJc w:val="left"/>
        <w:pPr>
          <w:ind w:hanging="720" w:left="720"/>
        </w:pPr>
        <w:rPr>
          <w:rFonts w:hint="default"/>
        </w:rPr>
      </w:lvl>
    </w:lvlOverride>
  </w:num>
  <w:num w16cid:durableId="1113132399" w:numId="9">
    <w:abstractNumId w:val="13"/>
  </w:num>
  <w:num w16cid:durableId="1207989204" w:numId="10">
    <w:abstractNumId w:val="14"/>
  </w:num>
  <w:num w16cid:durableId="247469269" w:numId="11">
    <w:abstractNumId w:val="3"/>
  </w:num>
  <w:num w16cid:durableId="239485984" w:numId="12">
    <w:abstractNumId w:val="10"/>
  </w:num>
  <w:num w16cid:durableId="805783271" w:numId="13">
    <w:abstractNumId w:val="8"/>
  </w:num>
  <w:num w16cid:durableId="932519347" w:numId="14">
    <w:abstractNumId w:val="4"/>
  </w:num>
  <w:num w16cid:durableId="652106454" w:numId="15">
    <w:abstractNumId w:val="6"/>
  </w:num>
  <w:num w16cid:durableId="1527713650" w:numId="16">
    <w:abstractNumId w:val="16"/>
  </w:num>
  <w:num w16cid:durableId="554509743" w:numId="17">
    <w:abstractNumId w:val="15"/>
  </w:num>
  <w:num w16cid:durableId="1022168768" w:numId="18">
    <w:abstractNumId w:val="7"/>
    <w:lvlOverride w:ilvl="0">
      <w:lvl w:ilvl="0">
        <w:start w:val="1"/>
        <w:numFmt w:val="decimal"/>
        <w:lvlText w:val="%1"/>
        <w:lvlJc w:val="left"/>
        <w:pPr>
          <w:ind w:hanging="720" w:left="720"/>
        </w:pPr>
        <w:rPr>
          <w:rFonts w:hint="default"/>
        </w:rPr>
      </w:lvl>
    </w:lvlOverride>
    <w:lvlOverride w:ilvl="1">
      <w:lvl w:ilvl="1">
        <w:start w:val="1"/>
        <w:numFmt w:val="decimal"/>
        <w:lvlText w:val="%1.%2"/>
        <w:lvlJc w:val="left"/>
        <w:pPr>
          <w:ind w:hanging="720" w:left="720"/>
        </w:pPr>
        <w:rPr>
          <w:rFonts w:hint="default"/>
        </w:rPr>
      </w:lvl>
    </w:lvlOverride>
    <w:lvlOverride w:ilvl="2">
      <w:lvl w:ilvl="2">
        <w:start w:val="1"/>
        <w:numFmt w:val="decimal"/>
        <w:lvlText w:val="%1.%2.%3"/>
        <w:lvlJc w:val="left"/>
        <w:pPr>
          <w:ind w:hanging="720" w:left="720"/>
        </w:pPr>
        <w:rPr>
          <w:rFonts w:hint="default"/>
        </w:rPr>
      </w:lvl>
    </w:lvlOverride>
    <w:lvlOverride w:ilvl="3">
      <w:lvl w:ilvl="3">
        <w:start w:val="1"/>
        <w:numFmt w:val="decimal"/>
        <w:lvlText w:val="%1.%2.%3.%4"/>
        <w:lvlJc w:val="left"/>
        <w:pPr>
          <w:ind w:hanging="720" w:left="720"/>
        </w:pPr>
        <w:rPr>
          <w:rFonts w:hint="default"/>
        </w:rPr>
      </w:lvl>
    </w:lvlOverride>
    <w:lvlOverride w:ilvl="4">
      <w:lvl w:ilvl="4">
        <w:start w:val="1"/>
        <w:numFmt w:val="none"/>
        <w:lvlText w:val=""/>
        <w:lvlJc w:val="left"/>
        <w:pPr>
          <w:ind w:hanging="720" w:left="720"/>
        </w:pPr>
        <w:rPr>
          <w:rFonts w:hint="default"/>
        </w:rPr>
      </w:lvl>
    </w:lvlOverride>
    <w:lvlOverride w:ilvl="5">
      <w:lvl w:ilvl="5">
        <w:start w:val="1"/>
        <w:numFmt w:val="none"/>
        <w:pStyle w:val="Heading6"/>
        <w:lvlText w:val=""/>
        <w:lvlJc w:val="left"/>
        <w:pPr>
          <w:ind w:hanging="720" w:left="720"/>
        </w:pPr>
        <w:rPr>
          <w:rFonts w:hint="default"/>
        </w:rPr>
      </w:lvl>
    </w:lvlOverride>
    <w:lvlOverride w:ilvl="6">
      <w:lvl w:ilvl="6">
        <w:start w:val="1"/>
        <w:numFmt w:val="none"/>
        <w:pStyle w:val="Heading7"/>
        <w:lvlText w:val=""/>
        <w:lvlJc w:val="left"/>
        <w:pPr>
          <w:ind w:hanging="720" w:left="720"/>
        </w:pPr>
        <w:rPr>
          <w:rFonts w:hint="default"/>
        </w:rPr>
      </w:lvl>
    </w:lvlOverride>
    <w:lvlOverride w:ilvl="7">
      <w:lvl w:ilvl="7">
        <w:start w:val="1"/>
        <w:numFmt w:val="upperLetter"/>
        <w:pStyle w:val="Heading8"/>
        <w:suff w:val="space"/>
        <w:lvlText w:val="Appendix %8"/>
        <w:lvlJc w:val="left"/>
        <w:pPr>
          <w:ind w:hanging="720" w:left="720"/>
        </w:pPr>
        <w:rPr>
          <w:rFonts w:hint="default"/>
        </w:rPr>
      </w:lvl>
    </w:lvlOverride>
    <w:lvlOverride w:ilvl="8">
      <w:lvl w:ilvl="8">
        <w:start w:val="1"/>
        <w:numFmt w:val="decimal"/>
        <w:pStyle w:val="Heading9"/>
        <w:suff w:val="space"/>
        <w:lvlText w:val="Appendix %8%9"/>
        <w:lvlJc w:val="left"/>
        <w:pPr>
          <w:ind w:hanging="720" w:left="720"/>
        </w:pPr>
        <w:rPr>
          <w:rFonts w:hint="default"/>
        </w:rPr>
      </w:lvl>
    </w:lvlOverride>
  </w:num>
  <w:num w16cid:durableId="443579039" w:numId="19">
    <w:abstractNumId w:val="7"/>
    <w:lvlOverride w:ilvl="0">
      <w:lvl w:ilvl="0">
        <w:start w:val="1"/>
        <w:numFmt w:val="decimal"/>
        <w:lvlText w:val="%1"/>
        <w:lvlJc w:val="left"/>
        <w:pPr>
          <w:ind w:hanging="720" w:left="720"/>
        </w:pPr>
        <w:rPr>
          <w:rFonts w:hint="default"/>
        </w:rPr>
      </w:lvl>
    </w:lvlOverride>
    <w:lvlOverride w:ilvl="1">
      <w:lvl w:ilvl="1">
        <w:start w:val="1"/>
        <w:numFmt w:val="decimal"/>
        <w:lvlText w:val="%1.%2"/>
        <w:lvlJc w:val="left"/>
        <w:pPr>
          <w:ind w:hanging="720" w:left="720"/>
        </w:pPr>
        <w:rPr>
          <w:rFonts w:hint="default"/>
        </w:rPr>
      </w:lvl>
    </w:lvlOverride>
    <w:lvlOverride w:ilvl="2">
      <w:lvl w:ilvl="2">
        <w:start w:val="1"/>
        <w:numFmt w:val="decimal"/>
        <w:lvlText w:val="%1.%2.%3"/>
        <w:lvlJc w:val="left"/>
        <w:pPr>
          <w:ind w:hanging="720" w:left="720"/>
        </w:pPr>
        <w:rPr>
          <w:rFonts w:hint="default"/>
        </w:rPr>
      </w:lvl>
    </w:lvlOverride>
    <w:lvlOverride w:ilvl="3">
      <w:lvl w:ilvl="3">
        <w:start w:val="1"/>
        <w:numFmt w:val="decimal"/>
        <w:lvlText w:val="%1.%2.%3.%4"/>
        <w:lvlJc w:val="left"/>
        <w:pPr>
          <w:ind w:hanging="720" w:left="720"/>
        </w:pPr>
        <w:rPr>
          <w:rFonts w:hint="default"/>
        </w:rPr>
      </w:lvl>
    </w:lvlOverride>
    <w:lvlOverride w:ilvl="4">
      <w:lvl w:ilvl="4">
        <w:start w:val="1"/>
        <w:numFmt w:val="none"/>
        <w:lvlText w:val=""/>
        <w:lvlJc w:val="left"/>
        <w:pPr>
          <w:ind w:hanging="720" w:left="720"/>
        </w:pPr>
        <w:rPr>
          <w:rFonts w:hint="default"/>
        </w:rPr>
      </w:lvl>
    </w:lvlOverride>
    <w:lvlOverride w:ilvl="5">
      <w:lvl w:ilvl="5">
        <w:start w:val="1"/>
        <w:numFmt w:val="none"/>
        <w:pStyle w:val="Heading6"/>
        <w:lvlText w:val=""/>
        <w:lvlJc w:val="left"/>
        <w:pPr>
          <w:ind w:hanging="720" w:left="720"/>
        </w:pPr>
        <w:rPr>
          <w:rFonts w:hint="default"/>
        </w:rPr>
      </w:lvl>
    </w:lvlOverride>
    <w:lvlOverride w:ilvl="6">
      <w:lvl w:ilvl="6">
        <w:start w:val="1"/>
        <w:numFmt w:val="none"/>
        <w:pStyle w:val="Heading7"/>
        <w:lvlText w:val=""/>
        <w:lvlJc w:val="left"/>
        <w:pPr>
          <w:ind w:hanging="720" w:left="720"/>
        </w:pPr>
        <w:rPr>
          <w:rFonts w:hint="default"/>
        </w:rPr>
      </w:lvl>
    </w:lvlOverride>
    <w:lvlOverride w:ilvl="7">
      <w:lvl w:ilvl="7">
        <w:start w:val="1"/>
        <w:numFmt w:val="upperLetter"/>
        <w:pStyle w:val="Heading8"/>
        <w:suff w:val="space"/>
        <w:lvlText w:val="Appendix %8"/>
        <w:lvlJc w:val="left"/>
        <w:pPr>
          <w:ind w:hanging="720" w:left="720"/>
        </w:pPr>
        <w:rPr>
          <w:rFonts w:hint="default"/>
        </w:rPr>
      </w:lvl>
    </w:lvlOverride>
    <w:lvlOverride w:ilvl="8">
      <w:lvl w:ilvl="8">
        <w:start w:val="1"/>
        <w:numFmt w:val="decimal"/>
        <w:pStyle w:val="Heading9"/>
        <w:suff w:val="space"/>
        <w:lvlText w:val="Appendix %8%9"/>
        <w:lvlJc w:val="left"/>
        <w:pPr>
          <w:ind w:hanging="720" w:left="720"/>
        </w:pPr>
        <w:rPr>
          <w:rFonts w:hint="default"/>
        </w:rPr>
      </w:lvl>
    </w:lvlOverride>
  </w:num>
  <w:num w16cid:durableId="146749121" w:numId="20">
    <w:abstractNumId w:val="11"/>
  </w:num>
  <w:num w16cid:durableId="553584100" w:numId="21">
    <w:abstractNumId w:val="7"/>
    <w:lvlOverride w:ilvl="0">
      <w:startOverride w:val="1"/>
      <w:lvl w:ilvl="0">
        <w:start w:val="1"/>
        <w:numFmt w:val="decimal"/>
        <w:lvlText w:val="%1"/>
        <w:lvlJc w:val="left"/>
        <w:pPr>
          <w:ind w:hanging="720" w:left="720"/>
        </w:pPr>
        <w:rPr>
          <w:rFonts w:hint="default"/>
        </w:rPr>
      </w:lvl>
    </w:lvlOverride>
    <w:lvlOverride w:ilvl="1">
      <w:startOverride w:val="1"/>
      <w:lvl w:ilvl="1">
        <w:start w:val="1"/>
        <w:numFmt w:val="decimal"/>
        <w:lvlText w:val="%1.%2"/>
        <w:lvlJc w:val="left"/>
        <w:pPr>
          <w:ind w:hanging="720" w:left="720"/>
        </w:pPr>
        <w:rPr>
          <w:rFonts w:hint="default"/>
        </w:rPr>
      </w:lvl>
    </w:lvlOverride>
    <w:lvlOverride w:ilvl="2">
      <w:startOverride w:val="1"/>
      <w:lvl w:ilvl="2">
        <w:start w:val="1"/>
        <w:numFmt w:val="decimal"/>
        <w:lvlText w:val="%1.%2.%3"/>
        <w:lvlJc w:val="left"/>
        <w:pPr>
          <w:ind w:hanging="720" w:left="720"/>
        </w:pPr>
        <w:rPr>
          <w:rFonts w:hint="default"/>
        </w:rPr>
      </w:lvl>
    </w:lvlOverride>
    <w:lvlOverride w:ilvl="3">
      <w:startOverride w:val="1"/>
      <w:lvl w:ilvl="3">
        <w:start w:val="1"/>
        <w:numFmt w:val="decimal"/>
        <w:lvlText w:val="%1.%2.%3.%4"/>
        <w:lvlJc w:val="left"/>
        <w:pPr>
          <w:ind w:hanging="720" w:left="720"/>
        </w:pPr>
        <w:rPr>
          <w:rFonts w:hint="default"/>
        </w:rPr>
      </w:lvl>
    </w:lvlOverride>
    <w:lvlOverride w:ilvl="4">
      <w:startOverride w:val="1"/>
      <w:lvl w:ilvl="4">
        <w:start w:val="1"/>
        <w:numFmt w:val="none"/>
        <w:lvlText w:val=""/>
        <w:lvlJc w:val="left"/>
        <w:pPr>
          <w:ind w:hanging="720" w:left="720"/>
        </w:pPr>
        <w:rPr>
          <w:rFonts w:hint="default"/>
        </w:rPr>
      </w:lvl>
    </w:lvlOverride>
    <w:lvlOverride w:ilvl="5">
      <w:startOverride w:val="1"/>
      <w:lvl w:ilvl="5">
        <w:start w:val="1"/>
        <w:numFmt w:val="none"/>
        <w:pStyle w:val="Heading6"/>
        <w:lvlText w:val=""/>
        <w:lvlJc w:val="left"/>
        <w:pPr>
          <w:ind w:hanging="720" w:left="720"/>
        </w:pPr>
        <w:rPr>
          <w:rFonts w:hint="default"/>
        </w:rPr>
      </w:lvl>
    </w:lvlOverride>
    <w:lvlOverride w:ilvl="6">
      <w:startOverride w:val="1"/>
      <w:lvl w:ilvl="6">
        <w:start w:val="1"/>
        <w:numFmt w:val="none"/>
        <w:pStyle w:val="Heading7"/>
        <w:lvlText w:val=""/>
        <w:lvlJc w:val="left"/>
        <w:pPr>
          <w:ind w:hanging="720" w:left="720"/>
        </w:pPr>
        <w:rPr>
          <w:rFonts w:hint="default"/>
        </w:rPr>
      </w:lvl>
    </w:lvlOverride>
    <w:lvlOverride w:ilvl="7">
      <w:startOverride w:val="1"/>
      <w:lvl w:ilvl="7">
        <w:start w:val="1"/>
        <w:numFmt w:val="upperLetter"/>
        <w:pStyle w:val="Heading8"/>
        <w:suff w:val="space"/>
        <w:lvlText w:val="Appendix %8"/>
        <w:lvlJc w:val="left"/>
        <w:pPr>
          <w:ind w:hanging="720" w:left="720"/>
        </w:pPr>
        <w:rPr>
          <w:rFonts w:hint="default"/>
        </w:rPr>
      </w:lvl>
    </w:lvlOverride>
    <w:lvlOverride w:ilvl="8">
      <w:startOverride w:val="1"/>
      <w:lvl w:ilvl="8">
        <w:start w:val="1"/>
        <w:numFmt w:val="decimal"/>
        <w:pStyle w:val="Heading9"/>
        <w:suff w:val="space"/>
        <w:lvlText w:val="Appendix %8%9"/>
        <w:lvlJc w:val="left"/>
        <w:pPr>
          <w:ind w:hanging="720" w:left="720"/>
        </w:pPr>
        <w:rPr>
          <w:rFonts w:hint="default"/>
        </w:rPr>
      </w:lvl>
    </w:lvlOverride>
  </w:num>
  <w:num w16cid:durableId="1046489821" w:numId="22">
    <w:abstractNumId w:val="1"/>
    <w:lvlOverride w:ilvl="0">
      <w:lvl w:ilvl="0">
        <w:start w:val="1"/>
        <w:numFmt w:val="decimal"/>
        <w:pStyle w:val="ListNumber"/>
        <w:lvlText w:val="%1."/>
        <w:lvlJc w:val="left"/>
        <w:pPr>
          <w:tabs>
            <w:tab w:pos="1080" w:val="num"/>
          </w:tabs>
          <w:ind w:hanging="360" w:left="1080"/>
        </w:pPr>
        <w:rPr>
          <w:rFonts w:ascii="Arial" w:cs="Arial" w:hAnsi="Arial" w:hint="default"/>
          <w:b w:val="0"/>
          <w:bCs w:val="0"/>
          <w:i w:val="0"/>
          <w:iCs w:val="0"/>
          <w:color w:themeColor="accent6" w:themeShade="BF" w:val="E36C0A"/>
          <w:spacing w:val="-1"/>
          <w:w w:val="100"/>
          <w:sz w:val="20"/>
          <w:szCs w:val="18"/>
          <w:vertAlign w:val="baseline"/>
        </w:rPr>
      </w:lvl>
    </w:lvlOverride>
    <w:lvlOverride w:ilvl="1">
      <w:lvl w:ilvl="1">
        <w:start w:val="1"/>
        <w:numFmt w:val="lowerLetter"/>
        <w:pStyle w:val="ListNumber2"/>
        <w:lvlText w:val="(%2)"/>
        <w:lvlJc w:val="left"/>
        <w:pPr>
          <w:tabs>
            <w:tab w:pos="1440" w:val="num"/>
          </w:tabs>
          <w:ind w:hanging="360" w:left="1440"/>
        </w:pPr>
        <w:rPr>
          <w:rFonts w:hint="default"/>
        </w:rPr>
      </w:lvl>
    </w:lvlOverride>
    <w:lvlOverride w:ilvl="2">
      <w:lvl w:ilvl="2">
        <w:start w:val="1"/>
        <w:numFmt w:val="decimal"/>
        <w:pStyle w:val="ListNumber3"/>
        <w:lvlText w:val="%3."/>
        <w:lvlJc w:val="left"/>
        <w:pPr>
          <w:tabs>
            <w:tab w:pos="1800" w:val="num"/>
          </w:tabs>
          <w:ind w:hanging="360" w:left="1800"/>
        </w:pPr>
        <w:rPr>
          <w:rFonts w:hint="default"/>
        </w:rPr>
      </w:lvl>
    </w:lvlOverride>
    <w:lvlOverride w:ilvl="3">
      <w:lvl w:ilvl="3">
        <w:start w:val="1"/>
        <w:numFmt w:val="lowerLetter"/>
        <w:pStyle w:val="ListNumber4"/>
        <w:lvlText w:val="(%4)"/>
        <w:lvlJc w:val="left"/>
        <w:pPr>
          <w:tabs>
            <w:tab w:pos="2160" w:val="num"/>
          </w:tabs>
          <w:ind w:hanging="360" w:left="2160"/>
        </w:pPr>
        <w:rPr>
          <w:rFonts w:hint="default"/>
        </w:rPr>
      </w:lvl>
    </w:lvlOverride>
    <w:lvlOverride w:ilvl="4">
      <w:lvl w:ilvl="4">
        <w:start w:val="1"/>
        <w:numFmt w:val="lowerRoman"/>
        <w:pStyle w:val="ListNumber5"/>
        <w:lvlText w:val="(%5)"/>
        <w:lvlJc w:val="left"/>
        <w:pPr>
          <w:tabs>
            <w:tab w:pos="2520" w:val="num"/>
          </w:tabs>
          <w:ind w:hanging="360" w:left="2520"/>
        </w:pPr>
        <w:rPr>
          <w:rFonts w:hint="default"/>
        </w:rPr>
      </w:lvl>
    </w:lvlOverride>
    <w:lvlOverride w:ilvl="5">
      <w:lvl w:ilvl="5">
        <w:start w:val="1"/>
        <w:numFmt w:val="none"/>
        <w:lvlText w:val=""/>
        <w:lvlJc w:val="left"/>
        <w:pPr>
          <w:tabs>
            <w:tab w:pos="2880" w:val="num"/>
          </w:tabs>
          <w:ind w:hanging="360" w:left="2880"/>
        </w:pPr>
        <w:rPr>
          <w:rFonts w:hint="default"/>
        </w:rPr>
      </w:lvl>
    </w:lvlOverride>
    <w:lvlOverride w:ilvl="6">
      <w:lvl w:ilvl="6">
        <w:start w:val="1"/>
        <w:numFmt w:val="none"/>
        <w:lvlText w:val=""/>
        <w:lvlJc w:val="left"/>
        <w:pPr>
          <w:tabs>
            <w:tab w:pos="3240" w:val="num"/>
          </w:tabs>
          <w:ind w:hanging="360" w:left="3240"/>
        </w:pPr>
        <w:rPr>
          <w:rFonts w:hint="default"/>
        </w:rPr>
      </w:lvl>
    </w:lvlOverride>
    <w:lvlOverride w:ilvl="7">
      <w:lvl w:ilvl="7">
        <w:start w:val="1"/>
        <w:numFmt w:val="none"/>
        <w:lvlText w:val=""/>
        <w:lvlJc w:val="left"/>
        <w:pPr>
          <w:tabs>
            <w:tab w:pos="2880" w:val="num"/>
          </w:tabs>
          <w:ind w:hanging="360" w:left="3600"/>
        </w:pPr>
        <w:rPr>
          <w:rFonts w:hint="default"/>
        </w:rPr>
      </w:lvl>
    </w:lvlOverride>
    <w:lvlOverride w:ilvl="8">
      <w:lvl w:ilvl="8">
        <w:start w:val="1"/>
        <w:numFmt w:val="none"/>
        <w:lvlText w:val=""/>
        <w:lvlJc w:val="left"/>
        <w:pPr>
          <w:tabs>
            <w:tab w:pos="3960" w:val="num"/>
          </w:tabs>
          <w:ind w:hanging="360" w:left="3960"/>
        </w:pPr>
        <w:rPr>
          <w:rFonts w:hint="default"/>
        </w:rPr>
      </w:lvl>
    </w:lvlOverride>
  </w:num>
  <w:num w16cid:durableId="1260522086" w:numId="23">
    <w:abstractNumId w:val="1"/>
    <w:lvlOverride w:ilvl="0">
      <w:startOverride w:val="1"/>
      <w:lvl w:ilvl="0">
        <w:start w:val="1"/>
        <w:numFmt w:val="decimal"/>
        <w:pStyle w:val="ListNumber"/>
        <w:lvlText w:val="%1."/>
        <w:lvlJc w:val="left"/>
        <w:pPr>
          <w:tabs>
            <w:tab w:pos="1080" w:val="num"/>
          </w:tabs>
          <w:ind w:hanging="360" w:left="1080"/>
        </w:pPr>
        <w:rPr>
          <w:rFonts w:ascii="Arial" w:cs="Arial" w:hAnsi="Arial" w:hint="default"/>
          <w:b w:val="0"/>
          <w:bCs w:val="0"/>
          <w:i w:val="0"/>
          <w:iCs w:val="0"/>
          <w:color w:themeColor="accent6" w:themeShade="BF" w:val="E36C0A"/>
          <w:spacing w:val="-1"/>
          <w:w w:val="100"/>
          <w:sz w:val="20"/>
          <w:szCs w:val="18"/>
          <w:vertAlign w:val="baseline"/>
        </w:rPr>
      </w:lvl>
    </w:lvlOverride>
    <w:lvlOverride w:ilvl="1">
      <w:startOverride w:val="1"/>
      <w:lvl w:ilvl="1">
        <w:start w:val="1"/>
        <w:numFmt w:val="lowerLetter"/>
        <w:pStyle w:val="ListNumber2"/>
        <w:lvlText w:val="(%2)"/>
        <w:lvlJc w:val="left"/>
        <w:pPr>
          <w:tabs>
            <w:tab w:pos="1440" w:val="num"/>
          </w:tabs>
          <w:ind w:hanging="360" w:left="1440"/>
        </w:pPr>
        <w:rPr>
          <w:rFonts w:hint="default"/>
        </w:rPr>
      </w:lvl>
    </w:lvlOverride>
    <w:lvlOverride w:ilvl="2">
      <w:startOverride w:val="1"/>
      <w:lvl w:ilvl="2">
        <w:start w:val="1"/>
        <w:numFmt w:val="decimal"/>
        <w:pStyle w:val="ListNumber3"/>
        <w:lvlText w:val="%3."/>
        <w:lvlJc w:val="left"/>
        <w:pPr>
          <w:tabs>
            <w:tab w:pos="1800" w:val="num"/>
          </w:tabs>
          <w:ind w:hanging="360" w:left="1800"/>
        </w:pPr>
        <w:rPr>
          <w:rFonts w:hint="default"/>
        </w:rPr>
      </w:lvl>
    </w:lvlOverride>
    <w:lvlOverride w:ilvl="3">
      <w:startOverride w:val="1"/>
      <w:lvl w:ilvl="3">
        <w:start w:val="1"/>
        <w:numFmt w:val="lowerLetter"/>
        <w:pStyle w:val="ListNumber4"/>
        <w:lvlText w:val="(%4)"/>
        <w:lvlJc w:val="left"/>
        <w:pPr>
          <w:tabs>
            <w:tab w:pos="2160" w:val="num"/>
          </w:tabs>
          <w:ind w:hanging="360" w:left="2160"/>
        </w:pPr>
        <w:rPr>
          <w:rFonts w:hint="default"/>
        </w:rPr>
      </w:lvl>
    </w:lvlOverride>
    <w:lvlOverride w:ilvl="4">
      <w:startOverride w:val="1"/>
      <w:lvl w:ilvl="4">
        <w:start w:val="1"/>
        <w:numFmt w:val="lowerRoman"/>
        <w:pStyle w:val="ListNumber5"/>
        <w:lvlText w:val="(%5)"/>
        <w:lvlJc w:val="left"/>
        <w:pPr>
          <w:tabs>
            <w:tab w:pos="2520" w:val="num"/>
          </w:tabs>
          <w:ind w:hanging="360" w:left="2520"/>
        </w:pPr>
        <w:rPr>
          <w:rFonts w:hint="default"/>
        </w:rPr>
      </w:lvl>
    </w:lvlOverride>
    <w:lvlOverride w:ilvl="5">
      <w:startOverride w:val="1"/>
      <w:lvl w:ilvl="5">
        <w:start w:val="1"/>
        <w:numFmt w:val="none"/>
        <w:lvlText w:val=""/>
        <w:lvlJc w:val="left"/>
        <w:pPr>
          <w:tabs>
            <w:tab w:pos="2880" w:val="num"/>
          </w:tabs>
          <w:ind w:hanging="360" w:left="2880"/>
        </w:pPr>
        <w:rPr>
          <w:rFonts w:hint="default"/>
        </w:rPr>
      </w:lvl>
    </w:lvlOverride>
    <w:lvlOverride w:ilvl="6">
      <w:startOverride w:val="1"/>
      <w:lvl w:ilvl="6">
        <w:start w:val="1"/>
        <w:numFmt w:val="none"/>
        <w:lvlText w:val=""/>
        <w:lvlJc w:val="left"/>
        <w:pPr>
          <w:tabs>
            <w:tab w:pos="3240" w:val="num"/>
          </w:tabs>
          <w:ind w:hanging="360" w:left="3240"/>
        </w:pPr>
        <w:rPr>
          <w:rFonts w:hint="default"/>
        </w:rPr>
      </w:lvl>
    </w:lvlOverride>
    <w:lvlOverride w:ilvl="7">
      <w:startOverride w:val="1"/>
      <w:lvl w:ilvl="7">
        <w:start w:val="1"/>
        <w:numFmt w:val="none"/>
        <w:lvlText w:val=""/>
        <w:lvlJc w:val="left"/>
        <w:pPr>
          <w:tabs>
            <w:tab w:pos="2880" w:val="num"/>
          </w:tabs>
          <w:ind w:hanging="360" w:left="3600"/>
        </w:pPr>
        <w:rPr>
          <w:rFonts w:hint="default"/>
        </w:rPr>
      </w:lvl>
    </w:lvlOverride>
    <w:lvlOverride w:ilvl="8">
      <w:startOverride w:val="1"/>
      <w:lvl w:ilvl="8">
        <w:start w:val="1"/>
        <w:numFmt w:val="none"/>
        <w:lvlText w:val=""/>
        <w:lvlJc w:val="left"/>
        <w:pPr>
          <w:tabs>
            <w:tab w:pos="3960" w:val="num"/>
          </w:tabs>
          <w:ind w:hanging="360" w:left="3960"/>
        </w:pPr>
        <w:rPr>
          <w:rFonts w:hint="default"/>
        </w:rPr>
      </w:lvl>
    </w:lvlOverride>
  </w:num>
  <w:num w16cid:durableId="1692023087" w:numId="24">
    <w:abstractNumId w:val="1"/>
  </w:num>
  <w:num w:numId="1000">
    <w:abstractNumId w:val="990"/>
  </w:num>
  <w:num w:numId="1001" w16cid:durableId="199904699">
    <w:abstractNumId w:val="992"/>
  </w:num>
  <w:num w:numId="1002" w16cid:durableId="926622198">
    <w:abstractNumId w:val="991"/>
    <w:lvlOverride w:ilvl="0">
      <w:lvl w:ilvl="0">
        <w:start w:val="1"/>
        <w:numFmt w:val="decimal"/>
        <w:pStyle w:val="SRKHeading1"/>
        <w:lvlText w:val="%1"/>
        <w:lvlJc w:val="left"/>
        <w:pPr>
          <w:ind w:left="720" w:hanging="720"/>
        </w:pPr>
        <w:rPr>
          <w:rFonts w:hint="default"/>
        </w:rPr>
      </w:lvl>
    </w:lvlOverride>
    <w:lvlOverride w:ilvl="1">
      <w:lvl w:ilvl="1">
        <w:start w:val="1"/>
        <w:numFmt w:val="decimal"/>
        <w:pStyle w:val="SRKHeading2"/>
        <w:lvlText w:val="%1.%2"/>
        <w:lvlJc w:val="left"/>
        <w:pPr>
          <w:ind w:left="720" w:hanging="720"/>
        </w:pPr>
        <w:rPr>
          <w:rFonts w:hint="default"/>
        </w:rPr>
      </w:lvl>
    </w:lvlOverride>
    <w:lvlOverride w:ilvl="2">
      <w:lvl w:ilvl="2">
        <w:start w:val="1"/>
        <w:numFmt w:val="decimal"/>
        <w:pStyle w:val="SRKHeading3"/>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none"/>
        <w:lvlText w:val=""/>
        <w:lvlJc w:val="left"/>
        <w:pPr>
          <w:ind w:left="720" w:hanging="720"/>
        </w:pPr>
        <w:rPr>
          <w:rFonts w:hint="default"/>
        </w:rPr>
      </w:lvl>
    </w:lvlOverride>
    <w:lvlOverride w:ilvl="5">
      <w:lvl w:ilvl="5">
        <w:start w:val="1"/>
        <w:numFmt w:val="none"/>
        <w:pStyle w:val="SRKHeading6"/>
        <w:lvlText w:val=""/>
        <w:lvlJc w:val="left"/>
        <w:pPr>
          <w:ind w:left="720" w:hanging="720"/>
        </w:pPr>
        <w:rPr>
          <w:rFonts w:hint="default"/>
        </w:rPr>
      </w:lvl>
    </w:lvlOverride>
    <w:lvlOverride w:ilvl="6">
      <w:lvl w:ilvl="6">
        <w:start w:val="1"/>
        <w:numFmt w:val="none"/>
        <w:pStyle w:val="SRKHeading7"/>
        <w:lvlText w:val=""/>
        <w:lvlJc w:val="left"/>
        <w:pPr>
          <w:ind w:left="720" w:hanging="720"/>
        </w:pPr>
        <w:rPr>
          <w:rFonts w:hint="default"/>
        </w:rPr>
      </w:lvl>
    </w:lvlOverride>
    <w:lvlOverride w:ilvl="7">
      <w:lvl w:ilvl="7">
        <w:start w:val="1"/>
        <w:numFmt w:val="upperLetter"/>
        <w:pStyle w:val="SRKHeading8"/>
        <w:suff w:val="space"/>
        <w:lvlText w:val="Appendix %8"/>
        <w:lvlJc w:val="left"/>
        <w:pPr>
          <w:ind w:left="720" w:hanging="720"/>
        </w:pPr>
      </w:lvl>
    </w:lvlOverride>
    <w:lvlOverride w:ilvl="8">
      <w:lvl w:ilvl="8">
        <w:start w:val="1"/>
        <w:numFmt w:val="decimal"/>
        <w:pStyle w:val="SRKHeading9"/>
        <w:suff w:val="space"/>
        <w:lvlText w:val="Appendix %8%9"/>
        <w:lvlJc w:val="left"/>
        <w:pPr>
          <w:ind w:left="5940" w:hanging="720"/>
        </w:pPr>
      </w:lvl>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4" w:val="fullPage"/>
  <w:embedSystemFonts/>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stylePaneSortMethod w:val="000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s>
  <w:themeFontLang w:bidi="ar-SA" w:eastAsia="ja-JP" w:val="en-CA"/>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rk-cover-footer.xml><?xml version="1.0" encoding="utf-8"?>
<w:ftr xmlns:w="http://schemas.openxmlformats.org/wordprocessingml/2006/main">
  <w:p/>
</w:ftr>
</file>

<file path=word/srk-empty-footer.xml><?xml version="1.0" encoding="utf-8"?>
<w:ftr xmlns:w="http://schemas.openxmlformats.org/wordprocessingml/2006/main">
  <w:p/>
</w:ftr>
</file>

<file path=word/srk-empty-header.xml><?xml version="1.0" encoding="utf-8"?>
<w:hdr xmlns:w="http://schemas.openxmlformats.org/wordprocessingml/2006/main">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s"/>
      </w:rPr>
    </w:rPrDefault>
    <w:pPrDefault>
      <w:pPr>
        <w:spacing w:after="200" w:line="276" w:lineRule="auto"/>
      </w:pPr>
    </w:pPrDefault>
  </w:docDefaults>
  <w:latentStyles w:count="376" w:defLockedState="0" w:defQFormat="0" w:defSemiHidden="0" w:defUIPriority="99" w:defUnhideWhenUsed="0">
    <w:lsdException w:name="Normal" w:uiPriority="0"/>
    <w:lsdException w:name="heading 1" w:qFormat="1" w:uiPriority="9"/>
    <w:lsdException w:name="heading 2" w:qFormat="1" w:semiHidden="1" w:uiPriority="0" w:unhideWhenUsed="1"/>
    <w:lsdException w:name="heading 3" w:qFormat="1" w:semiHidden="1" w:uiPriority="0"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semiHidden="1" w:unhideWhenUsed="1"/>
    <w:lsdException w:name="footer" w:qFormat="1" w:semiHidden="1" w:unhideWhenUsed="1"/>
    <w:lsdException w:name="index heading" w:semiHidden="1" w:unhideWhenUsed="1"/>
    <w:lsdException w:name="caption" w:qFormat="1" w:semiHidden="1" w:uiPriority="28"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qFormat="1"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qFormat="1" w:semiHidden="1" w:unhideWhenUsed="1"/>
    <w:lsdException w:name="List Number 3" w:qFormat="1" w:semiHidden="1" w:unhideWhenUsed="1"/>
    <w:lsdException w:name="List Number 4" w:qFormat="1" w:semiHidden="1" w:unhideWhenUsed="1"/>
    <w:lsdException w:name="List Number 5" w:qFormat="1"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semiHidden="1" w:unhideWhenUsed="1"/>
    <w:lsdException w:name="Body Text 3" w:qFormat="1"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uiPriority w:val="1"/>
    <w:rsid w:val="00A9285F"/>
    <w:pPr>
      <w:spacing w:after="0"/>
    </w:pPr>
    <w:rPr>
      <w:rFonts w:ascii="Arial" w:hAnsi="Arial"/>
      <w:sz w:val="20"/>
    </w:rPr>
  </w:style>
  <w:style w:styleId="Heading1" w:type="paragraph">
    <w:name w:val="heading 1"/>
    <w:next w:val="BodyText"/>
    <w:link w:val="Heading1Char"/>
    <w:uiPriority w:val="9"/>
    <w:qFormat/>
    <w:rsid w:val="00F93B17"/>
    <w:pPr>
      <w:keepNext/>
      <w:keepLines/>
      <w:tabs>
        <w:tab w:pos="720" w:val="left"/>
      </w:tabs>
      <w:spacing w:after="240" w:before="240" w:line="240" w:lineRule="auto"/>
      <w:ind w:hanging="720" w:left="720"/>
      <w:outlineLvl w:val="0"/>
    </w:pPr>
    <w:rPr>
      <w:rFonts w:ascii="Arial" w:cstheme="majorBidi" w:eastAsiaTheme="majorEastAsia" w:hAnsi="Arial"/>
      <w:b/>
      <w:bCs/>
      <w:sz w:val="32"/>
      <w:szCs w:val="28"/>
    </w:rPr>
  </w:style>
  <w:style w:styleId="Heading2" w:type="paragraph">
    <w:name w:val="heading 2"/>
    <w:next w:val="BodyText"/>
    <w:link w:val="Heading2Char"/>
    <w:qFormat/>
    <w:rsid w:val="00FE731A"/>
    <w:pPr>
      <w:keepNext/>
      <w:keepLines/>
      <w:tabs>
        <w:tab w:pos="720" w:val="left"/>
      </w:tabs>
      <w:spacing w:after="240" w:line="240" w:lineRule="auto"/>
      <w:ind w:hanging="720" w:left="720"/>
      <w:outlineLvl w:val="1"/>
    </w:pPr>
    <w:rPr>
      <w:rFonts w:ascii="Arial" w:cstheme="majorBidi" w:eastAsiaTheme="majorEastAsia" w:hAnsi="Arial"/>
      <w:b/>
      <w:bCs/>
      <w:sz w:val="24"/>
      <w:szCs w:val="26"/>
    </w:rPr>
  </w:style>
  <w:style w:styleId="Heading3" w:type="paragraph">
    <w:name w:val="heading 3"/>
    <w:next w:val="BodyText"/>
    <w:link w:val="Heading3Char"/>
    <w:qFormat/>
    <w:rsid w:val="00FE731A"/>
    <w:pPr>
      <w:keepNext/>
      <w:keepLines/>
      <w:tabs>
        <w:tab w:pos="720" w:val="left"/>
      </w:tabs>
      <w:spacing w:after="240" w:line="240" w:lineRule="auto"/>
      <w:ind w:hanging="720" w:left="720"/>
      <w:outlineLvl w:val="2"/>
    </w:pPr>
    <w:rPr>
      <w:rFonts w:ascii="Arial" w:cstheme="majorBidi" w:eastAsiaTheme="majorEastAsia" w:hAnsi="Arial"/>
      <w:b/>
      <w:bCs/>
      <w:sz w:val="20"/>
    </w:rPr>
  </w:style>
  <w:style w:styleId="Heading4" w:type="paragraph">
    <w:name w:val="heading 4"/>
    <w:next w:val="BodyText"/>
    <w:link w:val="Heading4Char"/>
    <w:qFormat/>
    <w:rsid w:val="00EE5D6C"/>
    <w:pPr>
      <w:keepNext/>
      <w:keepLines/>
      <w:spacing w:after="240" w:line="240" w:lineRule="auto"/>
      <w:ind w:left="720"/>
      <w:outlineLvl w:val="3"/>
    </w:pPr>
    <w:rPr>
      <w:rFonts w:ascii="Arial" w:cstheme="majorBidi" w:eastAsiaTheme="majorEastAsia" w:hAnsi="Arial"/>
      <w:b/>
      <w:bCs/>
      <w:iCs/>
      <w:sz w:val="20"/>
    </w:rPr>
  </w:style>
  <w:style w:styleId="Heading5" w:type="paragraph">
    <w:name w:val="heading 5"/>
    <w:next w:val="BodyText"/>
    <w:link w:val="Heading5Char"/>
    <w:uiPriority w:val="1"/>
    <w:qFormat/>
    <w:rsid w:val="009976EC"/>
    <w:pPr>
      <w:keepNext/>
      <w:keepLines/>
      <w:spacing w:after="240" w:line="240" w:lineRule="auto"/>
      <w:ind w:left="720"/>
      <w:outlineLvl w:val="4"/>
    </w:pPr>
    <w:rPr>
      <w:rFonts w:ascii="Arial" w:cstheme="majorBidi" w:eastAsiaTheme="majorEastAsia" w:hAnsi="Arial"/>
      <w:sz w:val="20"/>
    </w:rPr>
  </w:style>
  <w:style w:styleId="Heading6" w:type="paragraph">
    <w:name w:val="heading 6"/>
    <w:next w:val="BodyText"/>
    <w:link w:val="Heading6Char"/>
    <w:uiPriority w:val="1"/>
    <w:qFormat/>
    <w:rsid w:val="00FE731A"/>
    <w:pPr>
      <w:keepNext/>
      <w:keepLines/>
      <w:numPr>
        <w:ilvl w:val="5"/>
        <w:numId w:val="6"/>
      </w:numPr>
      <w:spacing w:after="240" w:line="240" w:lineRule="auto"/>
      <w:outlineLvl w:val="5"/>
    </w:pPr>
    <w:rPr>
      <w:rFonts w:ascii="Arial" w:cstheme="majorBidi" w:eastAsiaTheme="majorEastAsia" w:hAnsi="Arial"/>
      <w:i/>
      <w:iCs/>
      <w:sz w:val="20"/>
    </w:rPr>
  </w:style>
  <w:style w:styleId="Heading7" w:type="paragraph">
    <w:name w:val="heading 7"/>
    <w:next w:val="BodyText"/>
    <w:link w:val="Heading7Char"/>
    <w:uiPriority w:val="1"/>
    <w:qFormat/>
    <w:rsid w:val="00FE731A"/>
    <w:pPr>
      <w:keepNext/>
      <w:keepLines/>
      <w:numPr>
        <w:ilvl w:val="6"/>
        <w:numId w:val="6"/>
      </w:numPr>
      <w:spacing w:after="240" w:line="240" w:lineRule="auto"/>
      <w:outlineLvl w:val="6"/>
    </w:pPr>
    <w:rPr>
      <w:rFonts w:ascii="Arial" w:cstheme="majorBidi" w:eastAsiaTheme="majorEastAsia" w:hAnsi="Arial"/>
      <w:iCs/>
      <w:sz w:val="20"/>
      <w:u w:val="single"/>
    </w:rPr>
  </w:style>
  <w:style w:styleId="Heading8" w:type="paragraph">
    <w:name w:val="heading 8"/>
    <w:next w:val="BodyText"/>
    <w:link w:val="Heading8Char"/>
    <w:uiPriority w:val="1"/>
    <w:qFormat/>
    <w:rsid w:val="007F4D23"/>
    <w:pPr>
      <w:keepNext/>
      <w:keepLines/>
      <w:numPr>
        <w:ilvl w:val="7"/>
        <w:numId w:val="6"/>
      </w:numPr>
      <w:pBdr>
        <w:bottom w:color="auto" w:space="1" w:sz="4" w:val="single"/>
      </w:pBdr>
      <w:spacing w:after="0" w:line="240" w:lineRule="auto"/>
      <w:jc w:val="right"/>
      <w:outlineLvl w:val="7"/>
    </w:pPr>
    <w:rPr>
      <w:rFonts w:ascii="Arial" w:cstheme="majorBidi" w:eastAsiaTheme="majorEastAsia" w:hAnsi="Arial"/>
      <w:b/>
      <w:bCs/>
      <w:sz w:val="26"/>
      <w:szCs w:val="20"/>
    </w:rPr>
  </w:style>
  <w:style w:styleId="Heading9" w:type="paragraph">
    <w:name w:val="heading 9"/>
    <w:next w:val="BodyText"/>
    <w:link w:val="Heading9Char"/>
    <w:uiPriority w:val="1"/>
    <w:qFormat/>
    <w:rsid w:val="00A95C6D"/>
    <w:pPr>
      <w:keepNext/>
      <w:keepLines/>
      <w:numPr>
        <w:ilvl w:val="8"/>
        <w:numId w:val="6"/>
      </w:numPr>
      <w:pBdr>
        <w:bottom w:color="auto" w:space="1" w:sz="4" w:val="single"/>
      </w:pBdr>
      <w:spacing w:after="0" w:line="240" w:lineRule="auto"/>
      <w:jc w:val="right"/>
      <w:outlineLvl w:val="8"/>
    </w:pPr>
    <w:rPr>
      <w:rFonts w:ascii="Arial" w:cstheme="majorBidi" w:eastAsiaTheme="majorEastAsia" w:hAnsi="Arial"/>
      <w:b/>
      <w:iCs/>
      <w:sz w:val="26"/>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qFormat/>
    <w:rsid w:val="00090F41"/>
    <w:pPr>
      <w:tabs>
        <w:tab w:pos="4680" w:val="center"/>
        <w:tab w:pos="9360" w:val="right"/>
      </w:tabs>
      <w:spacing w:line="240" w:lineRule="auto"/>
    </w:pPr>
    <w:rPr>
      <w:sz w:val="16"/>
    </w:rPr>
  </w:style>
  <w:style w:customStyle="1" w:styleId="HeaderChar" w:type="character">
    <w:name w:val="Header Char"/>
    <w:basedOn w:val="DefaultParagraphFont"/>
    <w:link w:val="Header"/>
    <w:rsid w:val="00FB4F77"/>
    <w:rPr>
      <w:rFonts w:ascii="Arial" w:hAnsi="Arial"/>
      <w:sz w:val="16"/>
    </w:rPr>
  </w:style>
  <w:style w:styleId="Footer" w:type="paragraph">
    <w:name w:val="footer"/>
    <w:basedOn w:val="Normal"/>
    <w:link w:val="FooterChar"/>
    <w:qFormat/>
    <w:rsid w:val="00A612D0"/>
    <w:pPr>
      <w:tabs>
        <w:tab w:pos="4680" w:val="center"/>
        <w:tab w:pos="9360" w:val="right"/>
      </w:tabs>
      <w:spacing w:line="240" w:lineRule="auto"/>
    </w:pPr>
    <w:rPr>
      <w:sz w:val="12"/>
    </w:rPr>
  </w:style>
  <w:style w:customStyle="1" w:styleId="FooterChar" w:type="character">
    <w:name w:val="Footer Char"/>
    <w:basedOn w:val="DefaultParagraphFont"/>
    <w:link w:val="Footer"/>
    <w:rsid w:val="00A612D0"/>
    <w:rPr>
      <w:rFonts w:ascii="Arial" w:hAnsi="Arial"/>
      <w:sz w:val="12"/>
    </w:rPr>
  </w:style>
  <w:style w:styleId="TableGrid" w:type="table">
    <w:name w:val="Table Grid"/>
    <w:basedOn w:val="TableNormal"/>
    <w:rsid w:val="00B33DB6"/>
    <w:pPr>
      <w:spacing w:after="0" w:line="240" w:lineRule="auto"/>
    </w:pPr>
    <w:rPr>
      <w:rFonts w:ascii="Arial" w:hAnsi="Arial"/>
      <w:sz w:val="1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58"/>
        <w:left w:type="dxa" w:w="58"/>
        <w:bottom w:type="dxa" w:w="58"/>
        <w:right w:type="dxa" w:w="58"/>
      </w:tblCellMar>
    </w:tblPr>
  </w:style>
  <w:style w:styleId="NoSpacing" w:type="paragraph">
    <w:name w:val="No Spacing"/>
    <w:aliases w:val="±NoSpacing,±BaseStyle"/>
    <w:link w:val="NoSpacingChar"/>
    <w:qFormat/>
    <w:rsid w:val="00F51C8D"/>
    <w:pPr>
      <w:spacing w:after="0" w:line="240" w:lineRule="auto"/>
    </w:pPr>
    <w:rPr>
      <w:rFonts w:eastAsiaTheme="minorEastAsia"/>
      <w:lang w:eastAsia="ja-JP" w:val="es"/>
    </w:rPr>
  </w:style>
  <w:style w:customStyle="1" w:styleId="NoSpacingChar" w:type="character">
    <w:name w:val="No Spacing Char"/>
    <w:aliases w:val="±NoSpacing Char,±BaseStyle Char"/>
    <w:basedOn w:val="DefaultParagraphFont"/>
    <w:link w:val="NoSpacing"/>
    <w:rsid w:val="00DA0304"/>
    <w:rPr>
      <w:rFonts w:eastAsiaTheme="minorEastAsia"/>
      <w:lang w:eastAsia="ja-JP" w:val="es"/>
    </w:rPr>
  </w:style>
  <w:style w:styleId="BalloonText" w:type="paragraph">
    <w:name w:val="Balloon Text"/>
    <w:basedOn w:val="Normal"/>
    <w:link w:val="BalloonTextChar"/>
    <w:uiPriority w:val="99"/>
    <w:semiHidden/>
    <w:unhideWhenUsed/>
    <w:rsid w:val="00F51C8D"/>
    <w:pPr>
      <w:spacing w:line="240" w:lineRule="auto"/>
    </w:pPr>
    <w:rPr>
      <w:rFonts w:ascii="Tahoma" w:cs="Tahoma" w:hAnsi="Tahoma"/>
      <w:sz w:val="16"/>
      <w:szCs w:val="16"/>
    </w:rPr>
  </w:style>
  <w:style w:customStyle="1" w:styleId="BalloonTextChar" w:type="character">
    <w:name w:val="Balloon Text Char"/>
    <w:basedOn w:val="DefaultParagraphFont"/>
    <w:link w:val="BalloonText"/>
    <w:uiPriority w:val="99"/>
    <w:semiHidden/>
    <w:rsid w:val="00F51C8D"/>
    <w:rPr>
      <w:rFonts w:ascii="Tahoma" w:cs="Tahoma" w:hAnsi="Tahoma"/>
      <w:sz w:val="16"/>
      <w:szCs w:val="16"/>
    </w:rPr>
  </w:style>
  <w:style w:customStyle="1" w:styleId="Cover1" w:type="paragraph">
    <w:name w:val="Cover 1"/>
    <w:next w:val="Normal"/>
    <w:uiPriority w:val="1"/>
    <w:rsid w:val="00F34958"/>
    <w:pPr>
      <w:spacing w:after="0" w:line="240" w:lineRule="auto"/>
    </w:pPr>
    <w:rPr>
      <w:rFonts w:ascii="Arial" w:hAnsi="Arial"/>
      <w:sz w:val="48"/>
    </w:rPr>
  </w:style>
  <w:style w:styleId="PlaceholderText" w:type="character">
    <w:name w:val="Placeholder Text"/>
    <w:basedOn w:val="DefaultParagraphFont"/>
    <w:uiPriority w:val="99"/>
    <w:semiHidden/>
    <w:rsid w:val="00FC2730"/>
    <w:rPr>
      <w:color w:val="808080"/>
    </w:rPr>
  </w:style>
  <w:style w:styleId="Strong" w:type="character">
    <w:name w:val="Strong"/>
    <w:basedOn w:val="DefaultParagraphFont"/>
    <w:uiPriority w:val="22"/>
    <w:qFormat/>
    <w:rsid w:val="000B4AE4"/>
    <w:rPr>
      <w:b/>
      <w:bCs/>
    </w:rPr>
  </w:style>
  <w:style w:customStyle="1" w:styleId="Cover3" w:type="paragraph">
    <w:name w:val="Cover 3"/>
    <w:next w:val="Normal"/>
    <w:uiPriority w:val="1"/>
    <w:rsid w:val="00F34958"/>
    <w:pPr>
      <w:spacing w:after="0" w:line="240" w:lineRule="auto"/>
    </w:pPr>
    <w:rPr>
      <w:rFonts w:ascii="Arial" w:hAnsi="Arial"/>
      <w:sz w:val="36"/>
    </w:rPr>
  </w:style>
  <w:style w:customStyle="1" w:styleId="Cover2" w:type="paragraph">
    <w:name w:val="Cover 2"/>
    <w:next w:val="Normal"/>
    <w:uiPriority w:val="1"/>
    <w:rsid w:val="008048AE"/>
    <w:rPr>
      <w:rFonts w:ascii="Arial" w:hAnsi="Arial"/>
      <w:sz w:val="42"/>
    </w:rPr>
  </w:style>
  <w:style w:customStyle="1" w:styleId="Cover4" w:type="paragraph">
    <w:name w:val="Cover 4"/>
    <w:next w:val="Normal"/>
    <w:uiPriority w:val="1"/>
    <w:rsid w:val="006B1045"/>
    <w:rPr>
      <w:rFonts w:ascii="Arial" w:hAnsi="Arial"/>
      <w:sz w:val="30"/>
    </w:rPr>
  </w:style>
  <w:style w:styleId="BodyText" w:type="paragraph">
    <w:name w:val="Body Text"/>
    <w:link w:val="BodyTextChar"/>
    <w:qFormat/>
    <w:rsid w:val="007B7100"/>
    <w:pPr>
      <w:spacing w:after="240" w:line="300" w:lineRule="auto"/>
      <w:ind w:left="720"/>
    </w:pPr>
    <w:rPr>
      <w:rFonts w:ascii="Arial" w:hAnsi="Arial"/>
      <w:sz w:val="20"/>
    </w:rPr>
  </w:style>
  <w:style w:customStyle="1" w:styleId="BodyTextChar" w:type="character">
    <w:name w:val="Body Text Char"/>
    <w:basedOn w:val="DefaultParagraphFont"/>
    <w:link w:val="BodyText"/>
    <w:rsid w:val="00DA0304"/>
    <w:rPr>
      <w:rFonts w:ascii="Arial" w:hAnsi="Arial"/>
      <w:sz w:val="20"/>
    </w:rPr>
  </w:style>
  <w:style w:customStyle="1" w:styleId="Headings" w:type="numbering">
    <w:name w:val="Headings"/>
    <w:uiPriority w:val="99"/>
    <w:rsid w:val="00FE731A"/>
    <w:pPr>
      <w:numPr>
        <w:numId w:val="1"/>
      </w:numPr>
    </w:pPr>
  </w:style>
  <w:style w:customStyle="1" w:styleId="Heading1Char" w:type="character">
    <w:name w:val="Heading 1 Char"/>
    <w:basedOn w:val="DefaultParagraphFont"/>
    <w:link w:val="Heading1"/>
    <w:uiPriority w:val="9"/>
    <w:rsid w:val="00F93B17"/>
    <w:rPr>
      <w:rFonts w:ascii="Arial" w:cstheme="majorBidi" w:eastAsiaTheme="majorEastAsia" w:hAnsi="Arial"/>
      <w:b/>
      <w:bCs/>
      <w:sz w:val="32"/>
      <w:szCs w:val="28"/>
    </w:rPr>
  </w:style>
  <w:style w:customStyle="1" w:styleId="Heading2Char" w:type="character">
    <w:name w:val="Heading 2 Char"/>
    <w:basedOn w:val="DefaultParagraphFont"/>
    <w:link w:val="Heading2"/>
    <w:rsid w:val="00FE731A"/>
    <w:rPr>
      <w:rFonts w:ascii="Arial" w:cstheme="majorBidi" w:eastAsiaTheme="majorEastAsia" w:hAnsi="Arial"/>
      <w:b/>
      <w:bCs/>
      <w:sz w:val="24"/>
      <w:szCs w:val="26"/>
    </w:rPr>
  </w:style>
  <w:style w:customStyle="1" w:styleId="Heading3Char" w:type="character">
    <w:name w:val="Heading 3 Char"/>
    <w:basedOn w:val="DefaultParagraphFont"/>
    <w:link w:val="Heading3"/>
    <w:rsid w:val="00FE731A"/>
    <w:rPr>
      <w:rFonts w:ascii="Arial" w:cstheme="majorBidi" w:eastAsiaTheme="majorEastAsia" w:hAnsi="Arial"/>
      <w:b/>
      <w:bCs/>
      <w:sz w:val="20"/>
    </w:rPr>
  </w:style>
  <w:style w:customStyle="1" w:styleId="Heading4Char" w:type="character">
    <w:name w:val="Heading 4 Char"/>
    <w:basedOn w:val="DefaultParagraphFont"/>
    <w:link w:val="Heading4"/>
    <w:rsid w:val="00DA0304"/>
    <w:rPr>
      <w:rFonts w:ascii="Arial" w:cstheme="majorBidi" w:eastAsiaTheme="majorEastAsia" w:hAnsi="Arial"/>
      <w:b/>
      <w:bCs/>
      <w:iCs/>
      <w:sz w:val="20"/>
    </w:rPr>
  </w:style>
  <w:style w:customStyle="1" w:styleId="Heading5Char" w:type="character">
    <w:name w:val="Heading 5 Char"/>
    <w:basedOn w:val="DefaultParagraphFont"/>
    <w:link w:val="Heading5"/>
    <w:uiPriority w:val="1"/>
    <w:rsid w:val="009B6A67"/>
    <w:rPr>
      <w:rFonts w:ascii="Arial" w:cstheme="majorBidi" w:eastAsiaTheme="majorEastAsia" w:hAnsi="Arial"/>
      <w:sz w:val="20"/>
    </w:rPr>
  </w:style>
  <w:style w:customStyle="1" w:styleId="Heading6Char" w:type="character">
    <w:name w:val="Heading 6 Char"/>
    <w:basedOn w:val="DefaultParagraphFont"/>
    <w:link w:val="Heading6"/>
    <w:rsid w:val="00FE731A"/>
    <w:rPr>
      <w:rFonts w:ascii="Arial" w:cstheme="majorBidi" w:eastAsiaTheme="majorEastAsia" w:hAnsi="Arial"/>
      <w:i/>
      <w:iCs/>
      <w:sz w:val="20"/>
    </w:rPr>
  </w:style>
  <w:style w:customStyle="1" w:styleId="Heading7Char" w:type="character">
    <w:name w:val="Heading 7 Char"/>
    <w:basedOn w:val="DefaultParagraphFont"/>
    <w:link w:val="Heading7"/>
    <w:uiPriority w:val="1"/>
    <w:rsid w:val="00FE731A"/>
    <w:rPr>
      <w:rFonts w:ascii="Arial" w:cstheme="majorBidi" w:eastAsiaTheme="majorEastAsia" w:hAnsi="Arial"/>
      <w:iCs/>
      <w:sz w:val="20"/>
      <w:u w:val="single"/>
    </w:rPr>
  </w:style>
  <w:style w:customStyle="1" w:styleId="Heading8Char" w:type="character">
    <w:name w:val="Heading 8 Char"/>
    <w:basedOn w:val="DefaultParagraphFont"/>
    <w:link w:val="Heading8"/>
    <w:uiPriority w:val="1"/>
    <w:rsid w:val="007F4D23"/>
    <w:rPr>
      <w:rFonts w:ascii="Arial" w:cstheme="majorBidi" w:eastAsiaTheme="majorEastAsia" w:hAnsi="Arial"/>
      <w:b/>
      <w:bCs/>
      <w:sz w:val="26"/>
      <w:szCs w:val="20"/>
    </w:rPr>
  </w:style>
  <w:style w:customStyle="1" w:styleId="Heading9Char" w:type="character">
    <w:name w:val="Heading 9 Char"/>
    <w:basedOn w:val="DefaultParagraphFont"/>
    <w:link w:val="Heading9"/>
    <w:uiPriority w:val="1"/>
    <w:rsid w:val="00A95C6D"/>
    <w:rPr>
      <w:rFonts w:ascii="Arial" w:cstheme="majorBidi" w:eastAsiaTheme="majorEastAsia" w:hAnsi="Arial"/>
      <w:b/>
      <w:iCs/>
      <w:sz w:val="26"/>
      <w:szCs w:val="20"/>
    </w:rPr>
  </w:style>
  <w:style w:styleId="TOC2" w:type="paragraph">
    <w:name w:val="toc 2"/>
    <w:next w:val="Normal"/>
    <w:autoRedefine/>
    <w:uiPriority w:val="39"/>
    <w:unhideWhenUsed/>
    <w:rsid w:val="00795836"/>
    <w:pPr>
      <w:tabs>
        <w:tab w:pos="900" w:val="left"/>
        <w:tab w:leader="dot" w:pos="9350" w:val="right"/>
      </w:tabs>
      <w:spacing w:after="120" w:line="240" w:lineRule="auto"/>
      <w:ind w:hanging="864" w:left="1296"/>
    </w:pPr>
    <w:rPr>
      <w:rFonts w:ascii="Arial" w:hAnsi="Arial"/>
      <w:sz w:val="20"/>
    </w:rPr>
  </w:style>
  <w:style w:styleId="Hyperlink" w:type="character">
    <w:name w:val="Hyperlink"/>
    <w:basedOn w:val="DefaultParagraphFont"/>
    <w:uiPriority w:val="99"/>
    <w:unhideWhenUsed/>
    <w:rsid w:val="00A93B31"/>
    <w:rPr>
      <w:color w:themeColor="hyperlink" w:val="0000FF"/>
      <w:u w:val="single"/>
    </w:rPr>
  </w:style>
  <w:style w:styleId="TOCHeading" w:type="paragraph">
    <w:name w:val="TOC Heading"/>
    <w:basedOn w:val="Heading1"/>
    <w:next w:val="Normal"/>
    <w:uiPriority w:val="39"/>
    <w:unhideWhenUsed/>
    <w:qFormat/>
    <w:rsid w:val="00A93B31"/>
    <w:pPr>
      <w:numPr>
        <w:numId w:val="0"/>
      </w:numPr>
      <w:outlineLvl w:val="9"/>
    </w:pPr>
    <w:rPr>
      <w:lang w:eastAsia="ja-JP" w:val="es"/>
    </w:rPr>
  </w:style>
  <w:style w:styleId="TOC1" w:type="paragraph">
    <w:name w:val="toc 1"/>
    <w:next w:val="Normal"/>
    <w:autoRedefine/>
    <w:uiPriority w:val="39"/>
    <w:unhideWhenUsed/>
    <w:rsid w:val="00795836"/>
    <w:pPr>
      <w:tabs>
        <w:tab w:pos="720" w:val="left"/>
        <w:tab w:leader="dot" w:pos="9350" w:val="right"/>
      </w:tabs>
      <w:spacing w:after="120" w:line="240" w:lineRule="auto"/>
      <w:ind w:hanging="432" w:left="432"/>
    </w:pPr>
    <w:rPr>
      <w:rFonts w:ascii="Arial" w:eastAsiaTheme="minorEastAsia" w:hAnsi="Arial"/>
      <w:b/>
      <w:lang w:eastAsia="ja-JP" w:val="es"/>
    </w:rPr>
  </w:style>
  <w:style w:styleId="TOC3" w:type="paragraph">
    <w:name w:val="toc 3"/>
    <w:next w:val="Normal"/>
    <w:autoRedefine/>
    <w:uiPriority w:val="39"/>
    <w:unhideWhenUsed/>
    <w:rsid w:val="00795836"/>
    <w:pPr>
      <w:tabs>
        <w:tab w:pos="1440" w:val="left"/>
        <w:tab w:leader="dot" w:pos="9350" w:val="right"/>
      </w:tabs>
      <w:spacing w:after="120" w:line="240" w:lineRule="auto"/>
      <w:ind w:hanging="1296" w:left="2160"/>
    </w:pPr>
    <w:rPr>
      <w:rFonts w:ascii="Arial" w:eastAsiaTheme="minorEastAsia" w:hAnsi="Arial"/>
      <w:sz w:val="20"/>
      <w:lang w:eastAsia="ja-JP" w:val="es"/>
    </w:rPr>
  </w:style>
  <w:style w:styleId="TOC4" w:type="paragraph">
    <w:name w:val="toc 4"/>
    <w:basedOn w:val="Normal"/>
    <w:next w:val="Normal"/>
    <w:autoRedefine/>
    <w:uiPriority w:val="39"/>
    <w:semiHidden/>
    <w:unhideWhenUsed/>
    <w:rsid w:val="00795836"/>
    <w:pPr>
      <w:spacing w:after="120" w:line="240" w:lineRule="auto"/>
      <w:ind w:hanging="1728" w:left="3024"/>
    </w:pPr>
  </w:style>
  <w:style w:styleId="BodyText3" w:type="paragraph">
    <w:name w:val="Body Text 3"/>
    <w:basedOn w:val="BodyText"/>
    <w:link w:val="BodyText3Char"/>
    <w:qFormat/>
    <w:rsid w:val="00126AF9"/>
    <w:pPr>
      <w:spacing w:after="120" w:line="240" w:lineRule="auto"/>
      <w:jc w:val="both"/>
    </w:pPr>
    <w:rPr>
      <w:sz w:val="16"/>
      <w:szCs w:val="16"/>
    </w:rPr>
  </w:style>
  <w:style w:styleId="Caption" w:type="paragraph">
    <w:name w:val="caption"/>
    <w:aliases w:val="±Caption"/>
    <w:basedOn w:val="Normal"/>
    <w:next w:val="Normal"/>
    <w:link w:val="CaptionChar"/>
    <w:uiPriority w:val="28"/>
    <w:qFormat/>
    <w:rsid w:val="006B7D5A"/>
    <w:pPr>
      <w:tabs>
        <w:tab w:pos="1800" w:val="left"/>
      </w:tabs>
      <w:spacing w:after="240" w:before="120" w:line="240" w:lineRule="auto"/>
      <w:ind w:hanging="1080" w:left="1800"/>
    </w:pPr>
    <w:rPr>
      <w:b/>
      <w:bCs/>
      <w:sz w:val="18"/>
      <w:szCs w:val="18"/>
    </w:rPr>
  </w:style>
  <w:style w:styleId="NormalIndent" w:type="paragraph">
    <w:name w:val="Normal Indent"/>
    <w:basedOn w:val="Normal"/>
    <w:uiPriority w:val="99"/>
    <w:unhideWhenUsed/>
    <w:rsid w:val="00F60C4E"/>
    <w:pPr>
      <w:ind w:left="720"/>
    </w:pPr>
  </w:style>
  <w:style w:styleId="TableofFigures" w:type="paragraph">
    <w:name w:val="table of figures"/>
    <w:basedOn w:val="Normal"/>
    <w:next w:val="Normal"/>
    <w:uiPriority w:val="99"/>
    <w:unhideWhenUsed/>
    <w:rsid w:val="00D74A10"/>
    <w:pPr>
      <w:tabs>
        <w:tab w:pos="1080" w:val="left"/>
        <w:tab w:leader="dot" w:pos="9360" w:val="right"/>
      </w:tabs>
      <w:spacing w:after="120" w:line="300" w:lineRule="auto"/>
    </w:pPr>
  </w:style>
  <w:style w:styleId="BodyText2" w:type="paragraph">
    <w:name w:val="Body Text 2"/>
    <w:basedOn w:val="BodyText"/>
    <w:link w:val="BodyText2Char"/>
    <w:qFormat/>
    <w:rsid w:val="00791D22"/>
    <w:pPr>
      <w:spacing w:after="0" w:line="240" w:lineRule="auto"/>
      <w:jc w:val="both"/>
    </w:pPr>
  </w:style>
  <w:style w:customStyle="1" w:styleId="BodyText2Char" w:type="character">
    <w:name w:val="Body Text 2 Char"/>
    <w:basedOn w:val="DefaultParagraphFont"/>
    <w:link w:val="BodyText2"/>
    <w:rsid w:val="009B6A67"/>
    <w:rPr>
      <w:rFonts w:ascii="Arial" w:hAnsi="Arial"/>
      <w:sz w:val="20"/>
    </w:rPr>
  </w:style>
  <w:style w:styleId="FootnoteText" w:type="paragraph">
    <w:name w:val="footnote text"/>
    <w:basedOn w:val="Normal"/>
    <w:link w:val="FootnoteTextChar"/>
    <w:uiPriority w:val="99"/>
    <w:semiHidden/>
    <w:unhideWhenUsed/>
    <w:rsid w:val="00870EFD"/>
    <w:pPr>
      <w:spacing w:line="240" w:lineRule="auto"/>
    </w:pPr>
    <w:rPr>
      <w:sz w:val="16"/>
      <w:szCs w:val="20"/>
    </w:rPr>
  </w:style>
  <w:style w:customStyle="1" w:styleId="FootnoteTextChar" w:type="character">
    <w:name w:val="Footnote Text Char"/>
    <w:basedOn w:val="DefaultParagraphFont"/>
    <w:link w:val="FootnoteText"/>
    <w:uiPriority w:val="99"/>
    <w:semiHidden/>
    <w:rsid w:val="00870EFD"/>
    <w:rPr>
      <w:rFonts w:ascii="Arial" w:hAnsi="Arial"/>
      <w:sz w:val="16"/>
      <w:szCs w:val="20"/>
    </w:rPr>
  </w:style>
  <w:style w:customStyle="1" w:styleId="BodyText3Char" w:type="character">
    <w:name w:val="Body Text 3 Char"/>
    <w:basedOn w:val="DefaultParagraphFont"/>
    <w:link w:val="BodyText3"/>
    <w:rsid w:val="009B6A67"/>
    <w:rPr>
      <w:rFonts w:ascii="Arial" w:hAnsi="Arial"/>
      <w:sz w:val="16"/>
      <w:szCs w:val="16"/>
    </w:rPr>
  </w:style>
  <w:style w:customStyle="1" w:styleId="AddressblockBold" w:type="paragraph">
    <w:name w:val="Addressblock Bold"/>
    <w:basedOn w:val="Addressblock"/>
    <w:qFormat/>
    <w:rsid w:val="003F5B70"/>
    <w:rPr>
      <w:b/>
      <w:sz w:val="14"/>
      <w:szCs w:val="20"/>
    </w:rPr>
  </w:style>
  <w:style w:customStyle="1" w:styleId="Addressblock" w:type="paragraph">
    <w:name w:val="Addressblock"/>
    <w:basedOn w:val="BodyText"/>
    <w:qFormat/>
    <w:rsid w:val="003F5B70"/>
    <w:pPr>
      <w:spacing w:after="120" w:before="120" w:line="288" w:lineRule="auto"/>
      <w:ind w:left="0"/>
    </w:pPr>
    <w:rPr>
      <w:rFonts w:cs="Arial" w:eastAsia="Times New Roman"/>
      <w:color w:themeColor="text1" w:themeTint="80" w:val="7F7F7F"/>
      <w:sz w:val="13"/>
      <w:szCs w:val="12"/>
    </w:rPr>
  </w:style>
  <w:style w:customStyle="1" w:styleId="SourcePath" w:type="paragraph">
    <w:name w:val="Source Path"/>
    <w:next w:val="BodyText"/>
    <w:qFormat/>
    <w:rsid w:val="00ED020C"/>
    <w:pPr>
      <w:spacing w:after="240" w:before="60" w:line="240" w:lineRule="auto"/>
      <w:ind w:left="720"/>
    </w:pPr>
    <w:rPr>
      <w:rFonts w:ascii="Arial" w:hAnsi="Arial"/>
      <w:sz w:val="12"/>
    </w:rPr>
  </w:style>
  <w:style w:customStyle="1" w:styleId="NoteList" w:type="paragraph">
    <w:name w:val="Note List"/>
    <w:basedOn w:val="BodyText"/>
    <w:qFormat/>
    <w:rsid w:val="007E6C16"/>
    <w:pPr>
      <w:tabs>
        <w:tab w:pos="1080" w:val="left"/>
      </w:tabs>
      <w:spacing w:after="120" w:line="240" w:lineRule="auto"/>
      <w:ind w:hanging="360" w:left="1080"/>
    </w:pPr>
    <w:rPr>
      <w:sz w:val="16"/>
    </w:rPr>
  </w:style>
  <w:style w:customStyle="1" w:styleId="NoteListHeading" w:type="paragraph">
    <w:name w:val="Note List Heading"/>
    <w:qFormat/>
    <w:rsid w:val="00ED020C"/>
    <w:pPr>
      <w:spacing w:after="120" w:before="60" w:line="240" w:lineRule="auto"/>
      <w:ind w:left="720"/>
    </w:pPr>
    <w:rPr>
      <w:rFonts w:ascii="Arial" w:hAnsi="Arial"/>
      <w:b/>
      <w:sz w:val="16"/>
    </w:rPr>
  </w:style>
  <w:style w:customStyle="1" w:styleId="TableHeading" w:type="paragraph">
    <w:name w:val="Table Heading"/>
    <w:qFormat/>
    <w:rsid w:val="00B9334A"/>
    <w:pPr>
      <w:spacing w:after="0" w:line="240" w:lineRule="auto"/>
    </w:pPr>
    <w:rPr>
      <w:rFonts w:ascii="Arial" w:hAnsi="Arial"/>
      <w:b/>
      <w:sz w:val="18"/>
    </w:rPr>
  </w:style>
  <w:style w:customStyle="1" w:styleId="SRKTableText" w:type="paragraph">
    <w:name w:val="SRK Table Text"/>
    <w:qFormat/>
    <w:rsid w:val="00B9334A"/>
    <w:pPr>
      <w:spacing w:after="0" w:line="240" w:lineRule="auto"/>
    </w:pPr>
    <w:rPr>
      <w:rFonts w:ascii="Arial" w:hAnsi="Arial"/>
      <w:sz w:val="18"/>
    </w:rPr>
  </w:style>
  <w:style w:customStyle="1" w:styleId="ListBullets" w:type="numbering">
    <w:name w:val="ListBullets"/>
    <w:uiPriority w:val="99"/>
    <w:rsid w:val="00B05DA1"/>
    <w:pPr>
      <w:numPr>
        <w:numId w:val="2"/>
      </w:numPr>
    </w:pPr>
  </w:style>
  <w:style w:styleId="ListBullet" w:type="paragraph">
    <w:name w:val="List Bullet"/>
    <w:basedOn w:val="Normal"/>
    <w:qFormat/>
    <w:rsid w:val="008B380E"/>
    <w:pPr>
      <w:numPr>
        <w:ilvl w:val="0"/>
        <w:numId w:val="4"/>
      </w:numPr>
      <w:tabs>
        <w:tab w:pos="1080" w:val="num"/>
      </w:tabs>
      <w:spacing w:after="160" w:line="300" w:lineRule="auto"/>
      <w:ind w:hanging="360" w:left="1080"/>
    </w:pPr>
  </w:style>
  <w:style w:styleId="ListBullet2" w:type="paragraph">
    <w:name w:val="List Bullet 2"/>
    <w:qFormat/>
    <w:rsid w:val="008B380E"/>
    <w:pPr>
      <w:numPr>
        <w:ilvl w:val="1"/>
        <w:numId w:val="4"/>
      </w:numPr>
      <w:tabs>
        <w:tab w:pos="1440" w:val="num"/>
      </w:tabs>
      <w:spacing w:after="160" w:line="300" w:lineRule="auto"/>
      <w:ind w:hanging="360" w:left="1440"/>
    </w:pPr>
    <w:rPr>
      <w:rFonts w:ascii="Arial" w:hAnsi="Arial"/>
      <w:sz w:val="20"/>
    </w:rPr>
  </w:style>
  <w:style w:styleId="ListBullet3" w:type="paragraph">
    <w:name w:val="List Bullet 3"/>
    <w:qFormat/>
    <w:rsid w:val="005C1438"/>
    <w:pPr>
      <w:numPr>
        <w:ilvl w:val="2"/>
        <w:numId w:val="4"/>
      </w:numPr>
      <w:tabs>
        <w:tab w:pos="1800" w:val="num"/>
      </w:tabs>
      <w:spacing w:after="0" w:line="300" w:lineRule="auto"/>
      <w:ind w:hanging="360" w:left="1800"/>
    </w:pPr>
    <w:rPr>
      <w:rFonts w:ascii="Arial" w:hAnsi="Arial"/>
      <w:sz w:val="20"/>
    </w:rPr>
  </w:style>
  <w:style w:styleId="ListBullet4" w:type="paragraph">
    <w:name w:val="List Bullet 4"/>
    <w:qFormat/>
    <w:rsid w:val="008B380E"/>
    <w:pPr>
      <w:tabs>
        <w:tab w:pos="2160" w:val="num"/>
      </w:tabs>
      <w:spacing w:after="160" w:line="300" w:lineRule="auto"/>
      <w:ind w:hanging="360" w:left="2160"/>
    </w:pPr>
    <w:rPr>
      <w:rFonts w:ascii="Arial" w:hAnsi="Arial"/>
      <w:sz w:val="20"/>
    </w:rPr>
  </w:style>
  <w:style w:styleId="ListBullet5" w:type="paragraph">
    <w:name w:val="List Bullet 5"/>
    <w:qFormat/>
    <w:rsid w:val="008B380E"/>
    <w:pPr>
      <w:tabs>
        <w:tab w:pos="2520" w:val="num"/>
      </w:tabs>
      <w:spacing w:after="160" w:line="300" w:lineRule="auto"/>
      <w:ind w:hanging="360" w:left="2520"/>
    </w:pPr>
    <w:rPr>
      <w:rFonts w:ascii="Arial" w:hAnsi="Arial"/>
      <w:sz w:val="20"/>
    </w:rPr>
  </w:style>
  <w:style w:customStyle="1" w:styleId="References" w:type="paragraph">
    <w:name w:val="References"/>
    <w:qFormat/>
    <w:rsid w:val="00EB1BF4"/>
    <w:pPr>
      <w:spacing w:after="240" w:line="300" w:lineRule="auto"/>
      <w:ind w:hanging="720" w:left="1440"/>
    </w:pPr>
    <w:rPr>
      <w:rFonts w:ascii="Arial" w:hAnsi="Arial"/>
      <w:sz w:val="20"/>
    </w:rPr>
  </w:style>
  <w:style w:customStyle="1" w:styleId="ExecSumHeading1" w:type="paragraph">
    <w:name w:val="ExecSum Heading 1"/>
    <w:basedOn w:val="Heading1"/>
    <w:next w:val="BodyText"/>
    <w:qFormat/>
    <w:rsid w:val="00D13DE2"/>
    <w:pPr>
      <w:numPr>
        <w:numId w:val="0"/>
      </w:numPr>
      <w:ind w:left="720"/>
    </w:pPr>
  </w:style>
  <w:style w:customStyle="1" w:styleId="ExecSumHeading2" w:type="paragraph">
    <w:name w:val="ExecSum Heading 2"/>
    <w:basedOn w:val="Heading2"/>
    <w:next w:val="BodyText"/>
    <w:qFormat/>
    <w:rsid w:val="00D13DE2"/>
    <w:pPr>
      <w:numPr>
        <w:ilvl w:val="0"/>
        <w:numId w:val="0"/>
      </w:numPr>
      <w:ind w:left="720"/>
    </w:pPr>
  </w:style>
  <w:style w:customStyle="1" w:styleId="ExecSumHeading3" w:type="paragraph">
    <w:name w:val="ExecSum Heading 3"/>
    <w:basedOn w:val="Heading3"/>
    <w:next w:val="BodyText"/>
    <w:qFormat/>
    <w:rsid w:val="00AE6B7A"/>
    <w:pPr>
      <w:numPr>
        <w:ilvl w:val="0"/>
        <w:numId w:val="0"/>
      </w:numPr>
      <w:ind w:left="720"/>
    </w:pPr>
  </w:style>
  <w:style w:styleId="ListNumber" w:type="paragraph">
    <w:name w:val="List Number"/>
    <w:basedOn w:val="Normal"/>
    <w:qFormat/>
    <w:rsid w:val="0014192C"/>
    <w:pPr>
      <w:numPr>
        <w:numId w:val="22"/>
      </w:numPr>
      <w:tabs>
        <w:tab w:pos="1080" w:val="clear"/>
      </w:tabs>
      <w:spacing w:after="160" w:line="300" w:lineRule="auto"/>
      <w:ind w:left="1440"/>
    </w:pPr>
  </w:style>
  <w:style w:styleId="ListNumber2" w:type="paragraph">
    <w:name w:val="List Number 2"/>
    <w:basedOn w:val="Normal"/>
    <w:qFormat/>
    <w:rsid w:val="00FC0180"/>
    <w:pPr>
      <w:numPr>
        <w:ilvl w:val="1"/>
        <w:numId w:val="3"/>
      </w:numPr>
      <w:spacing w:after="160" w:line="300" w:lineRule="auto"/>
    </w:pPr>
  </w:style>
  <w:style w:styleId="ListNumber3" w:type="paragraph">
    <w:name w:val="List Number 3"/>
    <w:basedOn w:val="Normal"/>
    <w:qFormat/>
    <w:rsid w:val="00FC0180"/>
    <w:pPr>
      <w:numPr>
        <w:ilvl w:val="2"/>
        <w:numId w:val="3"/>
      </w:numPr>
      <w:spacing w:after="160" w:line="300" w:lineRule="auto"/>
    </w:pPr>
  </w:style>
  <w:style w:styleId="ListNumber4" w:type="paragraph">
    <w:name w:val="List Number 4"/>
    <w:basedOn w:val="Normal"/>
    <w:qFormat/>
    <w:rsid w:val="00FC0180"/>
    <w:pPr>
      <w:numPr>
        <w:ilvl w:val="3"/>
        <w:numId w:val="3"/>
      </w:numPr>
      <w:spacing w:after="160" w:line="300" w:lineRule="auto"/>
    </w:pPr>
  </w:style>
  <w:style w:styleId="ListNumber5" w:type="paragraph">
    <w:name w:val="List Number 5"/>
    <w:basedOn w:val="Normal"/>
    <w:qFormat/>
    <w:rsid w:val="00FC0180"/>
    <w:pPr>
      <w:numPr>
        <w:ilvl w:val="4"/>
        <w:numId w:val="3"/>
      </w:numPr>
      <w:spacing w:after="160" w:line="300" w:lineRule="auto"/>
    </w:pPr>
  </w:style>
  <w:style w:customStyle="1" w:styleId="ListNumbers" w:type="numbering">
    <w:name w:val="ListNumbers"/>
    <w:uiPriority w:val="99"/>
    <w:rsid w:val="00FC0180"/>
    <w:pPr>
      <w:numPr>
        <w:numId w:val="24"/>
      </w:numPr>
    </w:pPr>
  </w:style>
  <w:style w:customStyle="1" w:styleId="43-101guidelines" w:type="paragraph">
    <w:name w:val="43-101 guidelines"/>
    <w:basedOn w:val="Normal"/>
    <w:autoRedefine/>
    <w:rsid w:val="003F5B70"/>
    <w:pPr>
      <w:widowControl w:val="0"/>
      <w:autoSpaceDE w:val="0"/>
      <w:autoSpaceDN w:val="0"/>
      <w:adjustRightInd w:val="0"/>
      <w:spacing w:line="240" w:lineRule="auto"/>
      <w:ind w:left="720"/>
    </w:pPr>
    <w:rPr>
      <w:rFonts w:cs="Arial" w:eastAsia="SimSun"/>
      <w:color w:val="0000FF"/>
      <w:szCs w:val="20"/>
      <w:lang w:eastAsia="zh-CN"/>
    </w:rPr>
  </w:style>
  <w:style w:customStyle="1" w:styleId="TableText" w:type="paragraph">
    <w:name w:val="Table Text"/>
    <w:basedOn w:val="TableHeading"/>
    <w:qFormat/>
    <w:rsid w:val="002D1AAA"/>
    <w:pPr>
      <w:spacing w:after="20" w:before="20"/>
    </w:pPr>
    <w:rPr>
      <w:rFonts w:cs="Times New Roman" w:eastAsia="Times New Roman"/>
      <w:b w:val="0"/>
      <w:szCs w:val="20"/>
    </w:rPr>
  </w:style>
  <w:style w:customStyle="1" w:styleId="TableTextLeft" w:type="paragraph">
    <w:name w:val="±TableTextLeft"/>
    <w:basedOn w:val="Normal"/>
    <w:uiPriority w:val="31"/>
    <w:qFormat/>
    <w:rsid w:val="003643CA"/>
    <w:pPr>
      <w:spacing w:line="240" w:lineRule="auto"/>
    </w:pPr>
    <w:rPr>
      <w:rFonts w:asciiTheme="minorHAnsi" w:hAnsiTheme="minorHAnsi"/>
      <w:color w:themeColor="text1" w:val="000000"/>
      <w:szCs w:val="20"/>
      <w:lang w:val="es"/>
    </w:rPr>
  </w:style>
  <w:style w:customStyle="1" w:styleId="normaltextrun" w:type="character">
    <w:name w:val="normaltextrun"/>
    <w:basedOn w:val="DefaultParagraphFont"/>
    <w:rsid w:val="00DF6565"/>
  </w:style>
  <w:style w:customStyle="1" w:styleId="findhit" w:type="character">
    <w:name w:val="findhit"/>
    <w:basedOn w:val="DefaultParagraphFont"/>
    <w:rsid w:val="00DF6565"/>
  </w:style>
  <w:style w:customStyle="1" w:styleId="paragraph" w:type="paragraph">
    <w:name w:val="paragraph"/>
    <w:basedOn w:val="Normal"/>
    <w:rsid w:val="00111A7E"/>
    <w:pPr>
      <w:spacing w:after="100" w:afterAutospacing="1" w:before="100" w:beforeAutospacing="1" w:line="240" w:lineRule="auto"/>
    </w:pPr>
    <w:rPr>
      <w:rFonts w:ascii="Times New Roman" w:cs="Times New Roman" w:eastAsia="Times New Roman" w:hAnsi="Times New Roman"/>
      <w:sz w:val="24"/>
      <w:szCs w:val="24"/>
      <w:lang w:val="es"/>
    </w:rPr>
  </w:style>
  <w:style w:customStyle="1" w:styleId="eop" w:type="character">
    <w:name w:val="eop"/>
    <w:basedOn w:val="DefaultParagraphFont"/>
    <w:rsid w:val="00111A7E"/>
  </w:style>
  <w:style w:customStyle="1" w:styleId="outlineelement" w:type="paragraph">
    <w:name w:val="outlineelement"/>
    <w:basedOn w:val="Normal"/>
    <w:rsid w:val="00111A7E"/>
    <w:pPr>
      <w:spacing w:after="100" w:afterAutospacing="1" w:before="100" w:beforeAutospacing="1" w:line="240" w:lineRule="auto"/>
    </w:pPr>
    <w:rPr>
      <w:rFonts w:ascii="Times New Roman" w:cs="Times New Roman" w:eastAsia="Times New Roman" w:hAnsi="Times New Roman"/>
      <w:sz w:val="24"/>
      <w:szCs w:val="24"/>
      <w:lang w:val="es"/>
    </w:rPr>
  </w:style>
  <w:style w:customStyle="1" w:styleId="mathspan" w:type="character">
    <w:name w:val="mathspan"/>
    <w:basedOn w:val="DefaultParagraphFont"/>
    <w:rsid w:val="00111A7E"/>
  </w:style>
  <w:style w:customStyle="1" w:styleId="mi" w:type="character">
    <w:name w:val="mi"/>
    <w:basedOn w:val="DefaultParagraphFont"/>
    <w:rsid w:val="00111A7E"/>
  </w:style>
  <w:style w:customStyle="1" w:styleId="mn" w:type="character">
    <w:name w:val="mn"/>
    <w:basedOn w:val="DefaultParagraphFont"/>
    <w:rsid w:val="00111A7E"/>
  </w:style>
  <w:style w:customStyle="1" w:styleId="mjxassistivemathml" w:type="character">
    <w:name w:val="mjx_assistive_mathml"/>
    <w:basedOn w:val="DefaultParagraphFont"/>
    <w:rsid w:val="00111A7E"/>
  </w:style>
  <w:style w:styleId="UnresolvedMention" w:type="character">
    <w:name w:val="Unresolved Mention"/>
    <w:basedOn w:val="DefaultParagraphFont"/>
    <w:uiPriority w:val="99"/>
    <w:semiHidden/>
    <w:unhideWhenUsed/>
    <w:rsid w:val="00855C37"/>
    <w:rPr>
      <w:color w:val="605E5C"/>
      <w:shd w:color="auto" w:fill="E1DFDD" w:val="clear"/>
    </w:rPr>
  </w:style>
  <w:style w:styleId="FollowedHyperlink" w:type="character">
    <w:name w:val="FollowedHyperlink"/>
    <w:basedOn w:val="DefaultParagraphFont"/>
    <w:uiPriority w:val="99"/>
    <w:semiHidden/>
    <w:unhideWhenUsed/>
    <w:rsid w:val="001C6A30"/>
    <w:rPr>
      <w:color w:themeColor="followedHyperlink" w:val="800080"/>
      <w:u w:val="single"/>
    </w:rPr>
  </w:style>
  <w:style w:styleId="CommentReference" w:type="character">
    <w:name w:val="annotation reference"/>
    <w:basedOn w:val="DefaultParagraphFont"/>
    <w:uiPriority w:val="99"/>
    <w:semiHidden/>
    <w:unhideWhenUsed/>
    <w:rsid w:val="00CE7EB0"/>
    <w:rPr>
      <w:sz w:val="16"/>
      <w:szCs w:val="16"/>
    </w:rPr>
  </w:style>
  <w:style w:styleId="CommentText" w:type="paragraph">
    <w:name w:val="annotation text"/>
    <w:basedOn w:val="Normal"/>
    <w:link w:val="CommentTextChar"/>
    <w:uiPriority w:val="99"/>
    <w:unhideWhenUsed/>
    <w:rsid w:val="00CE7EB0"/>
    <w:pPr>
      <w:spacing w:line="240" w:lineRule="auto"/>
    </w:pPr>
    <w:rPr>
      <w:szCs w:val="20"/>
    </w:rPr>
  </w:style>
  <w:style w:customStyle="1" w:styleId="CommentTextChar" w:type="character">
    <w:name w:val="Comment Text Char"/>
    <w:basedOn w:val="DefaultParagraphFont"/>
    <w:link w:val="CommentText"/>
    <w:uiPriority w:val="99"/>
    <w:rsid w:val="00CE7EB0"/>
    <w:rPr>
      <w:rFonts w:ascii="Arial" w:hAnsi="Arial"/>
      <w:sz w:val="20"/>
      <w:szCs w:val="20"/>
    </w:rPr>
  </w:style>
  <w:style w:styleId="CommentSubject" w:type="paragraph">
    <w:name w:val="annotation subject"/>
    <w:basedOn w:val="CommentText"/>
    <w:next w:val="CommentText"/>
    <w:link w:val="CommentSubjectChar"/>
    <w:uiPriority w:val="99"/>
    <w:semiHidden/>
    <w:unhideWhenUsed/>
    <w:rsid w:val="00CE7EB0"/>
    <w:rPr>
      <w:b/>
      <w:bCs/>
    </w:rPr>
  </w:style>
  <w:style w:customStyle="1" w:styleId="CommentSubjectChar" w:type="character">
    <w:name w:val="Comment Subject Char"/>
    <w:basedOn w:val="CommentTextChar"/>
    <w:link w:val="CommentSubject"/>
    <w:uiPriority w:val="99"/>
    <w:semiHidden/>
    <w:rsid w:val="00CE7EB0"/>
    <w:rPr>
      <w:rFonts w:ascii="Arial" w:hAnsi="Arial"/>
      <w:b/>
      <w:bCs/>
      <w:sz w:val="20"/>
      <w:szCs w:val="20"/>
    </w:rPr>
  </w:style>
  <w:style w:styleId="Mention" w:type="character">
    <w:name w:val="Mention"/>
    <w:basedOn w:val="DefaultParagraphFont"/>
    <w:uiPriority w:val="99"/>
    <w:unhideWhenUsed/>
    <w:rsid w:val="00015C2E"/>
    <w:rPr>
      <w:color w:val="2B579A"/>
      <w:shd w:color="auto" w:fill="E1DFDD" w:val="clear"/>
    </w:rPr>
  </w:style>
  <w:style w:customStyle="1" w:styleId="msonormal0" w:type="paragraph">
    <w:name w:val="msonormal"/>
    <w:basedOn w:val="Normal"/>
    <w:rsid w:val="00477589"/>
    <w:pPr>
      <w:spacing w:after="100" w:afterAutospacing="1" w:before="100" w:beforeAutospacing="1" w:line="240" w:lineRule="auto"/>
    </w:pPr>
    <w:rPr>
      <w:rFonts w:ascii="Times New Roman" w:cs="Times New Roman" w:eastAsia="Times New Roman" w:hAnsi="Times New Roman"/>
      <w:sz w:val="24"/>
      <w:szCs w:val="24"/>
      <w:lang w:val="es"/>
    </w:rPr>
  </w:style>
  <w:style w:customStyle="1" w:styleId="xl16" w:type="paragraph">
    <w:name w:val="xl16"/>
    <w:basedOn w:val="Normal"/>
    <w:rsid w:val="00414E83"/>
    <w:pPr>
      <w:pBdr>
        <w:left w:color="auto" w:space="0" w:sz="4" w:val="single"/>
        <w:bottom w:color="auto" w:space="0" w:sz="4" w:val="single"/>
        <w:right w:color="auto" w:space="0" w:sz="4" w:val="single"/>
      </w:pBdr>
      <w:spacing w:after="100" w:afterAutospacing="1" w:before="100" w:beforeAutospacing="1" w:line="240" w:lineRule="auto"/>
      <w:jc w:val="center"/>
      <w:textAlignment w:val="top"/>
    </w:pPr>
    <w:rPr>
      <w:rFonts w:ascii="Times New Roman" w:cs="Times New Roman" w:eastAsia="Times New Roman" w:hAnsi="Times New Roman"/>
      <w:b/>
      <w:bCs/>
      <w:sz w:val="24"/>
      <w:szCs w:val="24"/>
      <w:lang w:val="es"/>
    </w:rPr>
  </w:style>
  <w:style w:customStyle="1" w:styleId="xl19" w:type="paragraph">
    <w:name w:val="xl19"/>
    <w:basedOn w:val="Normal"/>
    <w:rsid w:val="00414E83"/>
    <w:pPr>
      <w:pBdr>
        <w:left w:color="auto" w:space="0" w:sz="4" w:val="single"/>
        <w:bottom w:color="auto" w:space="0" w:sz="4" w:val="single"/>
        <w:right w:color="auto" w:space="0" w:sz="4" w:val="single"/>
      </w:pBdr>
      <w:spacing w:after="100" w:afterAutospacing="1" w:before="100" w:beforeAutospacing="1" w:line="240" w:lineRule="auto"/>
      <w:jc w:val="center"/>
      <w:textAlignment w:val="top"/>
    </w:pPr>
    <w:rPr>
      <w:rFonts w:ascii="Times New Roman" w:cs="Times New Roman" w:eastAsia="Times New Roman" w:hAnsi="Times New Roman"/>
      <w:b/>
      <w:bCs/>
      <w:sz w:val="24"/>
      <w:szCs w:val="24"/>
      <w:lang w:val="es"/>
    </w:rPr>
  </w:style>
  <w:style w:customStyle="1" w:styleId="xl22" w:type="paragraph">
    <w:name w:val="xl22"/>
    <w:basedOn w:val="Normal"/>
    <w:rsid w:val="00414E83"/>
    <w:pPr>
      <w:spacing w:after="100" w:afterAutospacing="1" w:before="100" w:beforeAutospacing="1" w:line="240" w:lineRule="auto"/>
      <w:jc w:val="center"/>
    </w:pPr>
    <w:rPr>
      <w:rFonts w:ascii="Times New Roman" w:cs="Times New Roman" w:eastAsia="Times New Roman" w:hAnsi="Times New Roman"/>
      <w:sz w:val="24"/>
      <w:szCs w:val="24"/>
      <w:lang w:val="es"/>
    </w:rPr>
  </w:style>
  <w:style w:customStyle="1" w:styleId="xl63" w:type="paragraph">
    <w:name w:val="xl63"/>
    <w:basedOn w:val="Normal"/>
    <w:rsid w:val="006F55BB"/>
    <w:pPr>
      <w:pBdr>
        <w:left w:color="auto" w:space="0" w:sz="4" w:val="single"/>
        <w:bottom w:color="auto" w:space="0" w:sz="4" w:val="single"/>
        <w:right w:color="auto" w:space="0" w:sz="4" w:val="single"/>
      </w:pBdr>
      <w:spacing w:after="100" w:afterAutospacing="1" w:before="100" w:beforeAutospacing="1" w:line="240" w:lineRule="auto"/>
      <w:jc w:val="center"/>
      <w:textAlignment w:val="top"/>
    </w:pPr>
    <w:rPr>
      <w:rFonts w:ascii="Times New Roman" w:cs="Times New Roman" w:eastAsia="Times New Roman" w:hAnsi="Times New Roman"/>
      <w:b/>
      <w:bCs/>
      <w:sz w:val="24"/>
      <w:szCs w:val="24"/>
      <w:lang w:val="es"/>
    </w:rPr>
  </w:style>
  <w:style w:customStyle="1" w:styleId="xl66" w:type="paragraph">
    <w:name w:val="xl66"/>
    <w:basedOn w:val="Normal"/>
    <w:rsid w:val="006F55BB"/>
    <w:pPr>
      <w:pBdr>
        <w:left w:color="auto" w:space="0" w:sz="4" w:val="single"/>
        <w:bottom w:color="auto" w:space="0" w:sz="4" w:val="single"/>
        <w:right w:color="auto" w:space="0" w:sz="4" w:val="single"/>
      </w:pBdr>
      <w:spacing w:after="100" w:afterAutospacing="1" w:before="100" w:beforeAutospacing="1" w:line="240" w:lineRule="auto"/>
      <w:jc w:val="center"/>
      <w:textAlignment w:val="top"/>
    </w:pPr>
    <w:rPr>
      <w:rFonts w:ascii="Times New Roman" w:cs="Times New Roman" w:eastAsia="Times New Roman" w:hAnsi="Times New Roman"/>
      <w:b/>
      <w:bCs/>
      <w:sz w:val="24"/>
      <w:szCs w:val="24"/>
      <w:lang w:val="es"/>
    </w:rPr>
  </w:style>
  <w:style w:customStyle="1" w:styleId="xl67" w:type="paragraph">
    <w:name w:val="xl67"/>
    <w:basedOn w:val="Normal"/>
    <w:rsid w:val="006F55BB"/>
    <w:pPr>
      <w:pBdr>
        <w:left w:color="auto" w:space="0" w:sz="4" w:val="single"/>
        <w:bottom w:color="auto" w:space="0" w:sz="4" w:val="single"/>
        <w:right w:color="auto" w:space="0" w:sz="4" w:val="single"/>
      </w:pBdr>
      <w:spacing w:after="100" w:afterAutospacing="1" w:before="100" w:beforeAutospacing="1" w:line="240" w:lineRule="auto"/>
      <w:jc w:val="center"/>
      <w:textAlignment w:val="top"/>
    </w:pPr>
    <w:rPr>
      <w:rFonts w:ascii="Times New Roman" w:cs="Times New Roman" w:eastAsia="Times New Roman" w:hAnsi="Times New Roman"/>
      <w:b/>
      <w:bCs/>
      <w:sz w:val="24"/>
      <w:szCs w:val="24"/>
      <w:lang w:val="es"/>
    </w:rPr>
  </w:style>
  <w:style w:customStyle="1" w:styleId="xl68" w:type="paragraph">
    <w:name w:val="xl68"/>
    <w:basedOn w:val="Normal"/>
    <w:rsid w:val="006F55BB"/>
    <w:pPr>
      <w:pBdr>
        <w:left w:color="auto" w:space="0" w:sz="4" w:val="single"/>
        <w:bottom w:color="auto" w:space="0" w:sz="4" w:val="single"/>
        <w:right w:color="auto" w:space="0" w:sz="4" w:val="single"/>
      </w:pBdr>
      <w:spacing w:after="100" w:afterAutospacing="1" w:before="100" w:beforeAutospacing="1" w:line="240" w:lineRule="auto"/>
      <w:jc w:val="center"/>
      <w:textAlignment w:val="top"/>
    </w:pPr>
    <w:rPr>
      <w:rFonts w:ascii="Times New Roman" w:cs="Times New Roman" w:eastAsia="Times New Roman" w:hAnsi="Times New Roman"/>
      <w:b/>
      <w:bCs/>
      <w:sz w:val="24"/>
      <w:szCs w:val="24"/>
      <w:lang w:val="es"/>
    </w:rPr>
  </w:style>
  <w:style w:customStyle="1" w:styleId="xl69" w:type="paragraph">
    <w:name w:val="xl69"/>
    <w:basedOn w:val="Normal"/>
    <w:rsid w:val="006F55BB"/>
    <w:pPr>
      <w:spacing w:after="100" w:afterAutospacing="1" w:before="100" w:beforeAutospacing="1" w:line="240" w:lineRule="auto"/>
      <w:jc w:val="center"/>
    </w:pPr>
    <w:rPr>
      <w:rFonts w:ascii="Times New Roman" w:cs="Times New Roman" w:eastAsia="Times New Roman" w:hAnsi="Times New Roman"/>
      <w:sz w:val="24"/>
      <w:szCs w:val="24"/>
      <w:lang w:val="es"/>
    </w:rPr>
  </w:style>
  <w:style w:customStyle="1" w:styleId="xl70" w:type="paragraph">
    <w:name w:val="xl70"/>
    <w:basedOn w:val="Normal"/>
    <w:rsid w:val="006F55BB"/>
    <w:pPr>
      <w:spacing w:after="100" w:afterAutospacing="1" w:before="100" w:beforeAutospacing="1" w:line="240" w:lineRule="auto"/>
      <w:jc w:val="center"/>
    </w:pPr>
    <w:rPr>
      <w:rFonts w:ascii="Times New Roman" w:cs="Times New Roman" w:eastAsia="Times New Roman" w:hAnsi="Times New Roman"/>
      <w:sz w:val="24"/>
      <w:szCs w:val="24"/>
      <w:lang w:val="es"/>
    </w:rPr>
  </w:style>
  <w:style w:customStyle="1" w:styleId="xl71" w:type="paragraph">
    <w:name w:val="xl71"/>
    <w:basedOn w:val="Normal"/>
    <w:rsid w:val="006F55BB"/>
    <w:pPr>
      <w:spacing w:after="100" w:afterAutospacing="1" w:before="100" w:beforeAutospacing="1" w:line="240" w:lineRule="auto"/>
      <w:jc w:val="center"/>
    </w:pPr>
    <w:rPr>
      <w:rFonts w:ascii="Times New Roman" w:cs="Times New Roman" w:eastAsia="Times New Roman" w:hAnsi="Times New Roman"/>
      <w:sz w:val="24"/>
      <w:szCs w:val="24"/>
      <w:lang w:val="es"/>
    </w:rPr>
  </w:style>
  <w:style w:customStyle="1" w:styleId="xl72" w:type="paragraph">
    <w:name w:val="xl72"/>
    <w:basedOn w:val="Normal"/>
    <w:rsid w:val="006F55BB"/>
    <w:pPr>
      <w:spacing w:after="100" w:afterAutospacing="1" w:before="100" w:beforeAutospacing="1" w:line="240" w:lineRule="auto"/>
      <w:jc w:val="center"/>
    </w:pPr>
    <w:rPr>
      <w:rFonts w:ascii="Times New Roman" w:cs="Times New Roman" w:eastAsia="Times New Roman" w:hAnsi="Times New Roman"/>
      <w:sz w:val="24"/>
      <w:szCs w:val="24"/>
      <w:lang w:val="es"/>
    </w:rPr>
  </w:style>
  <w:style w:styleId="GridTable1Light" w:type="table">
    <w:name w:val="Grid Table 1 Light"/>
    <w:basedOn w:val="TableNormal"/>
    <w:uiPriority w:val="46"/>
    <w:rsid w:val="001616F2"/>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ListParagraph" w:type="paragraph">
    <w:name w:val="List Paragraph"/>
    <w:basedOn w:val="Normal"/>
    <w:uiPriority w:val="34"/>
    <w:rsid w:val="00E37601"/>
    <w:pPr>
      <w:ind w:left="720"/>
      <w:contextualSpacing/>
    </w:pPr>
  </w:style>
  <w:style w:styleId="NormalWeb" w:type="paragraph">
    <w:name w:val="Normal (Web)"/>
    <w:basedOn w:val="Normal"/>
    <w:uiPriority w:val="99"/>
    <w:unhideWhenUsed/>
    <w:rsid w:val="00492E72"/>
    <w:pPr>
      <w:spacing w:after="100" w:afterAutospacing="1" w:before="100" w:beforeAutospacing="1" w:line="240" w:lineRule="auto"/>
    </w:pPr>
    <w:rPr>
      <w:rFonts w:ascii="Times New Roman" w:cs="Times New Roman" w:eastAsia="Times New Roman" w:hAnsi="Times New Roman"/>
      <w:sz w:val="24"/>
      <w:szCs w:val="24"/>
      <w:lang w:val="es"/>
    </w:rPr>
  </w:style>
  <w:style w:customStyle="1" w:styleId="katex-mathml" w:type="character">
    <w:name w:val="katex-mathml"/>
    <w:basedOn w:val="DefaultParagraphFont"/>
    <w:rsid w:val="009228F5"/>
  </w:style>
  <w:style w:customStyle="1" w:styleId="mord" w:type="character">
    <w:name w:val="mord"/>
    <w:basedOn w:val="DefaultParagraphFont"/>
    <w:rsid w:val="009228F5"/>
  </w:style>
  <w:style w:customStyle="1" w:styleId="mpunct" w:type="character">
    <w:name w:val="mpunct"/>
    <w:basedOn w:val="DefaultParagraphFont"/>
    <w:rsid w:val="009228F5"/>
  </w:style>
  <w:style w:customStyle="1" w:styleId="vlist-s" w:type="character">
    <w:name w:val="vlist-s"/>
    <w:basedOn w:val="DefaultParagraphFont"/>
    <w:rsid w:val="009228F5"/>
  </w:style>
  <w:style w:customStyle="1" w:styleId="CaptionChar" w:type="character">
    <w:name w:val="Caption Char"/>
    <w:aliases w:val="±Caption Char"/>
    <w:basedOn w:val="DefaultParagraphFont"/>
    <w:link w:val="Caption"/>
    <w:uiPriority w:val="28"/>
    <w:rsid w:val="00E9310D"/>
    <w:rPr>
      <w:rFonts w:ascii="Arial" w:hAnsi="Arial"/>
      <w:b/>
      <w:bCs/>
      <w:sz w:val="18"/>
      <w:szCs w:val="18"/>
    </w:rPr>
  </w:style>
  <w:style w:styleId="Bibliography" w:type="paragraph">
    <w:name w:val="Bibliography"/>
    <w:basedOn w:val="Normal"/>
    <w:next w:val="Normal"/>
    <w:uiPriority w:val="37"/>
    <w:unhideWhenUsed/>
    <w:rsid w:val="00CC74B3"/>
    <w:pPr>
      <w:ind w:hanging="720" w:left="720"/>
    </w:pPr>
  </w:style>
  <w:style w:customStyle="1" w:styleId="math" w:type="character">
    <w:name w:val="math"/>
    <w:basedOn w:val="DefaultParagraphFont"/>
    <w:rsid w:val="00ED03DE"/>
  </w:style>
  <w:style w:styleId="Revision" w:type="paragraph">
    <w:name w:val="Revision"/>
    <w:hidden/>
    <w:uiPriority w:val="99"/>
    <w:semiHidden/>
    <w:rsid w:val="009C3AAF"/>
    <w:pPr>
      <w:spacing w:after="0" w:line="240" w:lineRule="auto"/>
    </w:pPr>
    <w:rPr>
      <w:rFonts w:ascii="Arial" w:hAnsi="Arial"/>
      <w:sz w:val="20"/>
    </w:rPr>
  </w:style>
  <w:style w:styleId="TOC7" w:type="paragraph">
    <w:name w:val="toc 7"/>
    <w:basedOn w:val="Normal"/>
    <w:next w:val="Normal"/>
    <w:autoRedefine/>
    <w:uiPriority w:val="39"/>
    <w:unhideWhenUsed/>
    <w:rsid w:val="002666CD"/>
    <w:pPr>
      <w:tabs>
        <w:tab w:pos="1418" w:val="left"/>
      </w:tabs>
      <w:spacing w:after="100"/>
    </w:pPr>
  </w:style>
  <w:style w:customStyle="1" w:styleId="Spacer" w:type="paragraph">
    <w:name w:val="±Spacer"/>
    <w:basedOn w:val="NoSpacing"/>
    <w:semiHidden/>
    <w:rsid w:val="002666CD"/>
    <w:rPr>
      <w:rFonts w:ascii="Arial" w:cs="Arial" w:eastAsiaTheme="minorHAnsi" w:hAnsi="Arial"/>
      <w:color w:themeColor="text1" w:val="000000"/>
      <w:sz w:val="2"/>
      <w:szCs w:val="20"/>
      <w:lang w:eastAsia="en-US"/>
    </w:rPr>
  </w:style>
  <w:style w:customStyle="1" w:styleId="Head2NonTOC" w:type="paragraph">
    <w:name w:val="±Head2NonTOC"/>
    <w:basedOn w:val="Normal"/>
    <w:next w:val="Normal"/>
    <w:uiPriority w:val="3"/>
    <w:rsid w:val="002666CD"/>
    <w:pPr>
      <w:keepNext/>
      <w:spacing w:after="60" w:before="360" w:line="240" w:lineRule="auto"/>
      <w:outlineLvl w:val="1"/>
    </w:pPr>
    <w:rPr>
      <w:rFonts w:asciiTheme="majorHAnsi" w:cs="Arial" w:hAnsiTheme="majorHAnsi"/>
      <w:b/>
      <w:color w:themeColor="text1" w:val="000000"/>
      <w:sz w:val="28"/>
      <w:szCs w:val="20"/>
      <w:lang w:val="es"/>
    </w:rPr>
  </w:style>
  <w:style w:customStyle="1" w:styleId="AppHead1" w:type="paragraph">
    <w:name w:val="±AppHead1"/>
    <w:basedOn w:val="Normal"/>
    <w:next w:val="Normal"/>
    <w:uiPriority w:val="7"/>
    <w:qFormat/>
    <w:rsid w:val="00F23321"/>
    <w:pPr>
      <w:keepNext/>
      <w:pageBreakBefore/>
      <w:framePr w:hAnchor="text" w:w="10541" w:wrap="around" w:yAlign="top"/>
      <w:pBdr>
        <w:top w:color="1F497D" w:space="8" w:sz="24" w:themeColor="text2" w:val="single"/>
      </w:pBdr>
      <w:spacing w:after="60" w:before="3000" w:line="240" w:lineRule="auto"/>
      <w:outlineLvl w:val="0"/>
    </w:pPr>
    <w:rPr>
      <w:rFonts w:asciiTheme="majorHAnsi" w:cs="Arial" w:hAnsiTheme="majorHAnsi"/>
      <w:b/>
      <w:color w:themeColor="text1" w:val="000000"/>
      <w:sz w:val="36"/>
      <w:szCs w:val="20"/>
      <w:lang w:val="es"/>
    </w:rPr>
  </w:style>
  <w:style w:styleId="Table" w:type="table">
    <w:name w:val="Table"/>
    <w:uiPriority w:val="99"/>
    <w:semiHidden/>
    <w:unhideWhenUsed/>
    <w:tblPr>
      <w:tblInd w:type="dxa" w:w="0"/>
      <w:tblCellMar>
        <w:top w:type="dxa" w:w="0"/>
        <w:left w:type="dxa" w:w="108"/>
        <w:bottom w:type="dxa" w:w="0"/>
        <w:right w:type="dxa" w:w="108"/>
      </w:tblCellMar>
    </w:tblPr>
  </w:style>
  <w:style w:styleId="SRKDataTable" w:type="table">
    <w:name w:val="SRK Data Table"/>
    <w:uiPriority w:val="99"/>
    <w:semiHidden/>
    <w:unhideWhenUsed/>
    <w:tblPr>
      <w:tblBorders>
        <w:top w:color="auto" w:space="0" w:sz="12" w:val="single"/>
        <w:bottom w:color="auto" w:space="0" w:sz="4" w:val="single"/>
        <w:left w:val="nil"/>
        <w:right w:val="nil"/>
        <w:insideH w:val="nil"/>
        <w:insideV w:val="nil"/>
      </w:tblBorders>
      <w:tblCellMar>
        <w:left w:type="dxa" w:w="57"/>
        <w:right w:type="dxa" w:w="57"/>
      </w:tblCellMar>
    </w:tblPr>
    <w:tblStylePr w:type="firstRow">
      <w:tcPr>
        <w:tcBorders>
          <w:top w:color="auto" w:space="0" w:sz="12" w:val="single"/>
          <w:left w:val="nil"/>
          <w:bottom w:color="auto" w:space="0" w:sz="4" w:val="single"/>
          <w:right w:val="nil"/>
        </w:tcBorders>
      </w:tcPr>
    </w:tblStylePr>
  </w:style>
  <w:style w:styleId="FirstParagraph" w:type="paragraph">
    <w:name w:val="First Paragraph"/>
    <w:basedOn w:val="BodyText"/>
  </w:style>
  <w:style w:styleId="Compact" w:type="paragraph">
    <w:name w:val="Compact"/>
    <w:basedOn w:val="Normal"/>
  </w:style>
  <w:style w:styleId="TableCaption" w:type="paragraph">
    <w:name w:val="Table Caption"/>
    <w:basedOn w:val="Caption"/>
  </w:style>
  <w:style w:styleId="ImageCaption" w:type="paragraph">
    <w:name w:val="Image Caption"/>
    <w:basedOn w:val="Caption"/>
  </w:style>
  <w:style w:styleId="Figure" w:type="paragraph">
    <w:name w:val="Figure"/>
    <w:basedOn w:val="BodyText"/>
  </w:style>
  <w:style w:styleId="CaptionedFigure" w:type="paragraph">
    <w:name w:val="Captioned Figure"/>
    <w:basedOn w:val="BodyText"/>
  </w:style>
  <w:style w:styleId="FootnoteBlockText" w:type="paragraph">
    <w:name w:val="Footnote Block Text"/>
    <w:basedOn w:val="FootnoteText"/>
  </w:style>
  <w:style w:styleId="BlockText" w:type="paragraph">
    <w:name w:val="Block Text"/>
    <w:basedOn w:val="BodyText"/>
  </w:style>
  <w:style w:styleId="DefinitionTerm" w:type="paragraph">
    <w:name w:val="Definition Term"/>
    <w:basedOn w:val="BodyText"/>
  </w:style>
  <w:style w:styleId="Definition" w:type="paragraph">
    <w:name w:val="Definition"/>
    <w:basedOn w:val="BodyText"/>
  </w:style>
  <w:style w:styleId="Title" w:type="paragraph">
    <w:name w:val="Title"/>
    <w:basedOn w:val="Cover1"/>
  </w:style>
  <w:style w:styleId="Subtitle" w:type="paragraph">
    <w:name w:val="Subtitle"/>
    <w:basedOn w:val="Cover3"/>
  </w:style>
  <w:style w:styleId="Author" w:type="paragraph">
    <w:name w:val="Author"/>
    <w:basedOn w:val="Normal"/>
  </w:style>
  <w:style w:styleId="Date" w:type="paragraph">
    <w:name w:val="Date"/>
    <w:basedOn w:val="Normal"/>
  </w:style>
  <w:style w:styleId="Abstract" w:type="paragraph">
    <w:name w:val="Abstract"/>
    <w:basedOn w:val="BodyText"/>
  </w:style>
  <w:style w:styleId="AbstractTitle" w:type="paragraph">
    <w:name w:val="Abstract Title"/>
    <w:basedOn w:val="Heading1"/>
  </w:style>
  <w:style w:styleId="VerbatimChar" w:type="character">
    <w:name w:val="Verbatim Char"/>
    <w:basedOn w:val="DefaultParagraphFont"/>
  </w:style>
  <w:style w:styleId="FootnoteReference" w:type="character">
    <w:name w:val="Footnote Reference"/>
    <w:basedOn w:val="DefaultParagraphFont"/>
    <w:rPr>
      <w:vertAlign w:val="superscript"/>
    </w:rPr>
  </w:style>
  <w:style w:styleId="Equation" w:type="paragraph">
    <w:name w:val="Equation"/>
    <w:basedOn w:val="BodyText"/>
    <w:pPr>
      <w:tabs>
        <w:tab w:pos="4680" w:val="center"/>
        <w:tab w:pos="9360" w:val="right"/>
      </w:tabs>
      <w:ind w:firstLine="0" w:left="0"/>
      <w:jc w:val="left"/>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 w:type="paragraph" w:styleId="SRKBodyText">
    <w:name w:val="SRK Body Text"/>
    <w:link w:val="SRKBodyTextChar"/>
    <w:qFormat/>
    <w:rsid w:val="007B7100"/>
    <w:pPr>
      <w:spacing w:after="240" w:line="300" w:lineRule="auto" w:before="0"/>
      <w:ind w:left="720"/>
    </w:pPr>
    <w:rPr>
      <w:rFonts w:ascii="Arial" w:hAnsi="Arial"/>
      <w:sz w:val="20"/>
      <w:szCs w:val="22"/>
      <w:lang w:val="en-CA" w:eastAsia="en-US" w:bidi="ar-SA"/>
    </w:rPr>
  </w:style>
  <w:style w:type="character" w:customStyle="1" w:styleId="SRKBodyTextChar">
    <w:name w:val="SRK Body Text Char"/>
    <w:basedOn w:val="SRKDefaultParagraphFont"/>
    <w:link w:val="SRKBodyText"/>
    <w:rsid w:val="00DA0304"/>
    <w:rPr>
      <w:rFonts w:ascii="Arial" w:hAnsi="Arial"/>
      <w:sz w:val="20"/>
    </w:rPr>
  </w:style>
  <w:style w:type="paragraph" w:customStyle="1" w:styleId="SRKCover1">
    <w:name w:val="SRK Cover 1"/>
    <w:next w:val="SRKNormal"/>
    <w:uiPriority w:val="1"/>
    <w:rsid w:val="00F34958"/>
    <w:pPr>
      <w:spacing w:after="0" w:line="240" w:lineRule="auto" w:before="0"/>
    </w:pPr>
    <w:rPr>
      <w:rFonts w:ascii="Arial" w:hAnsi="Arial"/>
      <w:sz w:val="48"/>
      <w:szCs w:val="22"/>
      <w:lang w:val="en-CA" w:eastAsia="en-US" w:bidi="ar-SA"/>
    </w:rPr>
  </w:style>
  <w:style w:type="paragraph" w:customStyle="1" w:styleId="SRKCover2">
    <w:name w:val="SRK Cover 2"/>
    <w:next w:val="SRKNormal"/>
    <w:uiPriority w:val="1"/>
    <w:rsid w:val="008048AE"/>
    <w:rPr>
      <w:rFonts w:ascii="Arial" w:hAnsi="Arial"/>
      <w:sz w:val="42"/>
      <w:szCs w:val="22"/>
      <w:lang w:val="en-CA" w:eastAsia="en-US" w:bidi="ar-SA"/>
    </w:rPr>
    <w:pPr>
      <w:spacing w:after="200" w:line="276" w:lineRule="auto" w:before="0"/>
    </w:pPr>
  </w:style>
  <w:style w:type="paragraph" w:customStyle="1" w:styleId="SRKCover3">
    <w:name w:val="SRK Cover 3"/>
    <w:next w:val="SRKNormal"/>
    <w:uiPriority w:val="1"/>
    <w:rsid w:val="00F34958"/>
    <w:pPr>
      <w:spacing w:after="0" w:line="240" w:lineRule="auto" w:before="0"/>
    </w:pPr>
    <w:rPr>
      <w:rFonts w:ascii="Arial" w:hAnsi="Arial"/>
      <w:sz w:val="36"/>
      <w:szCs w:val="22"/>
      <w:lang w:val="en-CA" w:eastAsia="en-US" w:bidi="ar-SA"/>
    </w:rPr>
  </w:style>
  <w:style w:type="paragraph" w:customStyle="1" w:styleId="SRKCover4">
    <w:name w:val="SRK Cover 4"/>
    <w:next w:val="SRKNormal"/>
    <w:uiPriority w:val="1"/>
    <w:rsid w:val="006B1045"/>
    <w:rPr>
      <w:rFonts w:ascii="Arial" w:hAnsi="Arial"/>
      <w:sz w:val="30"/>
      <w:szCs w:val="22"/>
      <w:lang w:val="en-CA" w:eastAsia="en-US" w:bidi="ar-SA"/>
    </w:rPr>
    <w:pPr>
      <w:spacing w:after="200" w:line="276" w:lineRule="auto" w:before="0"/>
    </w:pPr>
  </w:style>
  <w:style w:type="character" w:styleId="SRKDefaultParagraphFont">
    <w:name w:val="SRK Default Paragraph Font"/>
    <w:uiPriority w:val="1"/>
    <w:semiHidden/>
    <w:unhideWhenUsed/>
  </w:style>
  <w:style w:type="paragraph" w:styleId="SRKHeading1">
    <w:name w:val="SRK heading 1"/>
    <w:next w:val="SRKBodyText"/>
    <w:link w:val="SRKHeading1Char"/>
    <w:uiPriority w:val="9"/>
    <w:qFormat/>
    <w:rsid w:val="00F93B17"/>
    <w:pPr>
      <w:keepNext/>
      <w:keepLines/>
      <w:numPr>
        <w:numId w:val="1002"/>
      </w:numPr>
      <w:spacing w:before="240" w:after="240" w:line="240" w:lineRule="auto"/>
      <w:outlineLvl w:val="0"/>
    </w:pPr>
    <w:rPr>
      <w:rFonts w:ascii="Arial" w:eastAsiaTheme="majorEastAsia" w:hAnsi="Arial" w:cstheme="majorBidi"/>
      <w:b/>
      <w:bCs/>
      <w:sz w:val="32"/>
      <w:szCs w:val="28"/>
      <w:lang w:val="en-CA" w:eastAsia="en-US" w:bidi="ar-SA"/>
    </w:rPr>
  </w:style>
  <w:style w:type="character" w:customStyle="1" w:styleId="SRKHeading1Char">
    <w:name w:val="SRK Heading 1 Char"/>
    <w:basedOn w:val="SRKDefaultParagraphFont"/>
    <w:link w:val="SRKHeading1"/>
    <w:uiPriority w:val="9"/>
    <w:rsid w:val="00F93B17"/>
    <w:rPr>
      <w:rFonts w:ascii="Arial" w:eastAsiaTheme="majorEastAsia" w:hAnsi="Arial" w:cstheme="majorBidi"/>
      <w:b/>
      <w:bCs/>
      <w:sz w:val="32"/>
      <w:szCs w:val="28"/>
    </w:rPr>
  </w:style>
  <w:style w:type="paragraph" w:styleId="SRKHeading2">
    <w:name w:val="SRK heading 2"/>
    <w:next w:val="SRKBodyText"/>
    <w:link w:val="SRKHeading2Char"/>
    <w:qFormat/>
    <w:rsid w:val="00FE731A"/>
    <w:pPr>
      <w:keepNext/>
      <w:keepLines/>
      <w:numPr>
        <w:ilvl w:val="1"/>
        <w:numId w:val="1002"/>
      </w:numPr>
      <w:spacing w:after="240" w:line="240" w:lineRule="auto" w:before="0"/>
      <w:outlineLvl w:val="1"/>
    </w:pPr>
    <w:rPr>
      <w:rFonts w:ascii="Arial" w:eastAsiaTheme="majorEastAsia" w:hAnsi="Arial" w:cstheme="majorBidi"/>
      <w:b/>
      <w:bCs/>
      <w:sz w:val="24"/>
      <w:szCs w:val="26"/>
      <w:lang w:val="en-CA" w:eastAsia="en-US" w:bidi="ar-SA"/>
    </w:rPr>
  </w:style>
  <w:style w:type="character" w:customStyle="1" w:styleId="SRKHeading2Char">
    <w:name w:val="SRK Heading 2 Char"/>
    <w:basedOn w:val="SRKDefaultParagraphFont"/>
    <w:link w:val="SRKHeading2"/>
    <w:rsid w:val="00FE731A"/>
    <w:rPr>
      <w:rFonts w:ascii="Arial" w:eastAsiaTheme="majorEastAsia" w:hAnsi="Arial" w:cstheme="majorBidi"/>
      <w:b/>
      <w:bCs/>
      <w:sz w:val="24"/>
      <w:szCs w:val="26"/>
    </w:rPr>
  </w:style>
  <w:style w:type="paragraph" w:styleId="SRKHeading3">
    <w:name w:val="SRK heading 3"/>
    <w:next w:val="SRKBodyText"/>
    <w:link w:val="SRKHeading3Char"/>
    <w:qFormat/>
    <w:rsid w:val="00FE731A"/>
    <w:pPr>
      <w:keepNext/>
      <w:keepLines/>
      <w:numPr>
        <w:ilvl w:val="2"/>
        <w:numId w:val="1002"/>
      </w:numPr>
      <w:spacing w:after="240" w:line="240" w:lineRule="auto" w:before="0"/>
      <w:outlineLvl w:val="2"/>
    </w:pPr>
    <w:rPr>
      <w:rFonts w:ascii="Arial" w:eastAsiaTheme="majorEastAsia" w:hAnsi="Arial" w:cstheme="majorBidi"/>
      <w:b/>
      <w:bCs/>
      <w:sz w:val="20"/>
      <w:szCs w:val="22"/>
      <w:lang w:val="en-CA" w:eastAsia="en-US" w:bidi="ar-SA"/>
    </w:rPr>
  </w:style>
  <w:style w:type="character" w:customStyle="1" w:styleId="SRKHeading3Char">
    <w:name w:val="SRK Heading 3 Char"/>
    <w:basedOn w:val="SRKDefaultParagraphFont"/>
    <w:link w:val="SRKHeading3"/>
    <w:rsid w:val="00FE731A"/>
    <w:rPr>
      <w:rFonts w:ascii="Arial" w:eastAsiaTheme="majorEastAsia" w:hAnsi="Arial" w:cstheme="majorBidi"/>
      <w:b/>
      <w:bCs/>
      <w:sz w:val="20"/>
    </w:rPr>
  </w:style>
  <w:style w:type="paragraph" w:styleId="SRKHeading6">
    <w:name w:val="SRK heading 6"/>
    <w:next w:val="SRKBodyText"/>
    <w:link w:val="SRKHeading6Char"/>
    <w:uiPriority w:val="1"/>
    <w:qFormat/>
    <w:rsid w:val="00FE731A"/>
    <w:pPr>
      <w:keepNext/>
      <w:keepLines/>
      <w:numPr>
        <w:ilvl w:val="5"/>
        <w:numId w:val="1002"/>
      </w:numPr>
      <w:spacing w:after="240" w:line="240" w:lineRule="auto" w:before="0"/>
      <w:outlineLvl w:val="5"/>
    </w:pPr>
    <w:rPr>
      <w:rFonts w:ascii="Arial" w:eastAsiaTheme="majorEastAsia" w:hAnsi="Arial" w:cstheme="majorBidi"/>
      <w:i/>
      <w:iCs/>
      <w:sz w:val="20"/>
      <w:szCs w:val="22"/>
      <w:lang w:val="en-CA" w:eastAsia="en-US" w:bidi="ar-SA"/>
    </w:rPr>
  </w:style>
  <w:style w:type="character" w:customStyle="1" w:styleId="SRKHeading6Char">
    <w:name w:val="SRK Heading 6 Char"/>
    <w:basedOn w:val="SRKDefaultParagraphFont"/>
    <w:link w:val="SRKHeading6"/>
    <w:rsid w:val="00FE731A"/>
    <w:rPr>
      <w:rFonts w:ascii="Arial" w:eastAsiaTheme="majorEastAsia" w:hAnsi="Arial" w:cstheme="majorBidi"/>
      <w:i/>
      <w:iCs/>
      <w:sz w:val="20"/>
    </w:rPr>
  </w:style>
  <w:style w:type="paragraph" w:styleId="SRKHeading7">
    <w:name w:val="SRK heading 7"/>
    <w:next w:val="SRKBodyText"/>
    <w:link w:val="SRKHeading7Char"/>
    <w:uiPriority w:val="1"/>
    <w:qFormat/>
    <w:rsid w:val="00FE731A"/>
    <w:pPr>
      <w:keepNext/>
      <w:keepLines/>
      <w:numPr>
        <w:ilvl w:val="6"/>
        <w:numId w:val="1002"/>
      </w:numPr>
      <w:spacing w:after="240" w:line="240" w:lineRule="auto" w:before="0"/>
      <w:outlineLvl w:val="6"/>
    </w:pPr>
    <w:rPr>
      <w:rFonts w:ascii="Arial" w:eastAsiaTheme="majorEastAsia" w:hAnsi="Arial" w:cstheme="majorBidi"/>
      <w:iCs/>
      <w:sz w:val="20"/>
      <w:u w:val="single"/>
      <w:szCs w:val="22"/>
      <w:lang w:val="en-CA" w:eastAsia="en-US" w:bidi="ar-SA"/>
    </w:rPr>
  </w:style>
  <w:style w:type="character" w:customStyle="1" w:styleId="SRKHeading7Char">
    <w:name w:val="SRK Heading 7 Char"/>
    <w:basedOn w:val="SRKDefaultParagraphFont"/>
    <w:link w:val="SRKHeading7"/>
    <w:uiPriority w:val="1"/>
    <w:rsid w:val="00FE731A"/>
    <w:rPr>
      <w:rFonts w:ascii="Arial" w:eastAsiaTheme="majorEastAsia" w:hAnsi="Arial" w:cstheme="majorBidi"/>
      <w:iCs/>
      <w:sz w:val="20"/>
      <w:u w:val="single"/>
    </w:rPr>
  </w:style>
  <w:style w:type="paragraph" w:styleId="SRKHeading8">
    <w:name w:val="SRK heading 8"/>
    <w:next w:val="SRKBodyText"/>
    <w:link w:val="SRKHeading8Char"/>
    <w:uiPriority w:val="1"/>
    <w:qFormat/>
    <w:rsid w:val="007F4D23"/>
    <w:pPr>
      <w:keepNext/>
      <w:keepLines/>
      <w:numPr>
        <w:ilvl w:val="7"/>
        <w:numId w:val="1002"/>
      </w:numPr>
      <w:pBdr>
        <w:bottom w:val="single" w:sz="4" w:space="1" w:color="auto"/>
      </w:pBdr>
      <w:spacing w:after="0" w:line="240" w:lineRule="auto" w:before="0"/>
      <w:jc w:val="right"/>
      <w:outlineLvl w:val="7"/>
    </w:pPr>
    <w:rPr>
      <w:rFonts w:ascii="Arial" w:eastAsiaTheme="majorEastAsia" w:hAnsi="Arial" w:cstheme="majorBidi"/>
      <w:b/>
      <w:bCs/>
      <w:sz w:val="26"/>
      <w:szCs w:val="20"/>
      <w:lang w:val="en-CA" w:eastAsia="en-US" w:bidi="ar-SA"/>
    </w:rPr>
  </w:style>
  <w:style w:type="character" w:customStyle="1" w:styleId="SRKHeading8Char">
    <w:name w:val="SRK Heading 8 Char"/>
    <w:basedOn w:val="SRKDefaultParagraphFont"/>
    <w:link w:val="SRKHeading8"/>
    <w:uiPriority w:val="1"/>
    <w:rsid w:val="007F4D23"/>
    <w:rPr>
      <w:rFonts w:ascii="Arial" w:eastAsiaTheme="majorEastAsia" w:hAnsi="Arial" w:cstheme="majorBidi"/>
      <w:b/>
      <w:bCs/>
      <w:sz w:val="26"/>
      <w:szCs w:val="20"/>
    </w:rPr>
  </w:style>
  <w:style w:type="paragraph" w:styleId="SRKHeading9">
    <w:name w:val="SRK heading 9"/>
    <w:next w:val="SRKBodyText"/>
    <w:link w:val="SRKHeading9Char"/>
    <w:uiPriority w:val="1"/>
    <w:qFormat/>
    <w:rsid w:val="00A95C6D"/>
    <w:pPr>
      <w:keepNext/>
      <w:keepLines/>
      <w:numPr>
        <w:ilvl w:val="8"/>
        <w:numId w:val="1002"/>
      </w:numPr>
      <w:pBdr>
        <w:bottom w:val="single" w:sz="4" w:space="1" w:color="auto"/>
      </w:pBdr>
      <w:spacing w:after="0" w:line="240" w:lineRule="auto" w:before="0"/>
      <w:jc w:val="right"/>
      <w:outlineLvl w:val="8"/>
    </w:pPr>
    <w:rPr>
      <w:rFonts w:ascii="Arial" w:eastAsiaTheme="majorEastAsia" w:hAnsi="Arial" w:cstheme="majorBidi"/>
      <w:b/>
      <w:iCs/>
      <w:sz w:val="26"/>
      <w:szCs w:val="20"/>
      <w:lang w:val="en-CA" w:eastAsia="en-US" w:bidi="ar-SA"/>
    </w:rPr>
  </w:style>
  <w:style w:type="character" w:customStyle="1" w:styleId="SRKHeading9Char">
    <w:name w:val="SRK Heading 9 Char"/>
    <w:basedOn w:val="SRKDefaultParagraphFont"/>
    <w:link w:val="SRKHeading9"/>
    <w:uiPriority w:val="1"/>
    <w:rsid w:val="00A95C6D"/>
    <w:rPr>
      <w:rFonts w:ascii="Arial" w:eastAsiaTheme="majorEastAsia" w:hAnsi="Arial" w:cstheme="majorBidi"/>
      <w:b/>
      <w:iCs/>
      <w:sz w:val="26"/>
      <w:szCs w:val="20"/>
    </w:rPr>
  </w:style>
  <w:style w:type="numbering" w:customStyle="1" w:styleId="SRKHeadings">
    <w:name w:val="SRK Headings"/>
    <w:uiPriority w:val="99"/>
    <w:rsid w:val="00FE731A"/>
    <w:pPr>
      <w:numPr>
        <w:numId w:val="1001"/>
      </w:numPr>
    </w:pPr>
  </w:style>
  <w:style w:type="paragraph" w:styleId="SRKNormal">
    <w:name w:val="SRK Normal"/>
    <w:uiPriority w:val="1"/>
    <w:rsid w:val="00A9285F"/>
    <w:pPr>
      <w:spacing w:after="0" w:before="0"/>
    </w:pPr>
    <w:rPr>
      <w:rFonts w:ascii="Arial" w:hAnsi="Arial"/>
      <w:sz w:val="20"/>
      <w:szCs w:val="22"/>
      <w:lang w:val="en-CA" w:eastAsia="en-US" w:bidi="ar-SA"/>
    </w:rPr>
  </w:style>
  <w:style w:type="character" w:styleId="SRKStrong">
    <w:name w:val="SRK Strong"/>
    <w:basedOn w:val="SRKDefaultParagraphFont"/>
    <w:uiPriority w:val="22"/>
    <w:qFormat/>
    <w:rsid w:val="000B4AE4"/>
    <w:rPr>
      <w:b/>
      <w:bCs/>
    </w:rPr>
  </w:style>
  <w:style w:type="table" w:styleId="SRKTableGrid">
    <w:name w:val="SRK Table Grid"/>
    <w:basedOn w:val="SRKTableNormal"/>
    <w:rsid w:val="00B33DB6"/>
    <w:pPr>
      <w:spacing w:after="0" w:line="240" w:lineRule="auto"/>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Pr>
  </w:style>
  <w:style w:type="table" w:styleId="SRKTableNormal">
    <w:name w:val="SRK 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390715">
      <w:bodyDiv w:val="1"/>
      <w:marLeft w:val="0"/>
      <w:marRight w:val="0"/>
      <w:marTop w:val="0"/>
      <w:marBottom w:val="0"/>
      <w:divBdr>
        <w:top w:val="none" w:sz="0" w:space="0" w:color="auto"/>
        <w:left w:val="none" w:sz="0" w:space="0" w:color="auto"/>
        <w:bottom w:val="none" w:sz="0" w:space="0" w:color="auto"/>
        <w:right w:val="none" w:sz="0" w:space="0" w:color="auto"/>
      </w:divBdr>
    </w:div>
    <w:div w:id="15159360">
      <w:bodyDiv w:val="1"/>
      <w:marLeft w:val="0"/>
      <w:marRight w:val="0"/>
      <w:marTop w:val="0"/>
      <w:marBottom w:val="0"/>
      <w:divBdr>
        <w:top w:val="none" w:sz="0" w:space="0" w:color="auto"/>
        <w:left w:val="none" w:sz="0" w:space="0" w:color="auto"/>
        <w:bottom w:val="none" w:sz="0" w:space="0" w:color="auto"/>
        <w:right w:val="none" w:sz="0" w:space="0" w:color="auto"/>
      </w:divBdr>
    </w:div>
    <w:div w:id="21127278">
      <w:bodyDiv w:val="1"/>
      <w:marLeft w:val="0"/>
      <w:marRight w:val="0"/>
      <w:marTop w:val="0"/>
      <w:marBottom w:val="0"/>
      <w:divBdr>
        <w:top w:val="none" w:sz="0" w:space="0" w:color="auto"/>
        <w:left w:val="none" w:sz="0" w:space="0" w:color="auto"/>
        <w:bottom w:val="none" w:sz="0" w:space="0" w:color="auto"/>
        <w:right w:val="none" w:sz="0" w:space="0" w:color="auto"/>
      </w:divBdr>
    </w:div>
    <w:div w:id="23292855">
      <w:bodyDiv w:val="1"/>
      <w:marLeft w:val="0"/>
      <w:marRight w:val="0"/>
      <w:marTop w:val="0"/>
      <w:marBottom w:val="0"/>
      <w:divBdr>
        <w:top w:val="none" w:sz="0" w:space="0" w:color="auto"/>
        <w:left w:val="none" w:sz="0" w:space="0" w:color="auto"/>
        <w:bottom w:val="none" w:sz="0" w:space="0" w:color="auto"/>
        <w:right w:val="none" w:sz="0" w:space="0" w:color="auto"/>
      </w:divBdr>
    </w:div>
    <w:div w:id="28991031">
      <w:bodyDiv w:val="1"/>
      <w:marLeft w:val="0"/>
      <w:marRight w:val="0"/>
      <w:marTop w:val="0"/>
      <w:marBottom w:val="0"/>
      <w:divBdr>
        <w:top w:val="none" w:sz="0" w:space="0" w:color="auto"/>
        <w:left w:val="none" w:sz="0" w:space="0" w:color="auto"/>
        <w:bottom w:val="none" w:sz="0" w:space="0" w:color="auto"/>
        <w:right w:val="none" w:sz="0" w:space="0" w:color="auto"/>
      </w:divBdr>
    </w:div>
    <w:div w:id="35200988">
      <w:bodyDiv w:val="1"/>
      <w:marLeft w:val="0"/>
      <w:marRight w:val="0"/>
      <w:marTop w:val="0"/>
      <w:marBottom w:val="0"/>
      <w:divBdr>
        <w:top w:val="none" w:sz="0" w:space="0" w:color="auto"/>
        <w:left w:val="none" w:sz="0" w:space="0" w:color="auto"/>
        <w:bottom w:val="none" w:sz="0" w:space="0" w:color="auto"/>
        <w:right w:val="none" w:sz="0" w:space="0" w:color="auto"/>
      </w:divBdr>
    </w:div>
    <w:div w:id="36245308">
      <w:bodyDiv w:val="1"/>
      <w:marLeft w:val="0"/>
      <w:marRight w:val="0"/>
      <w:marTop w:val="0"/>
      <w:marBottom w:val="0"/>
      <w:divBdr>
        <w:top w:val="none" w:sz="0" w:space="0" w:color="auto"/>
        <w:left w:val="none" w:sz="0" w:space="0" w:color="auto"/>
        <w:bottom w:val="none" w:sz="0" w:space="0" w:color="auto"/>
        <w:right w:val="none" w:sz="0" w:space="0" w:color="auto"/>
      </w:divBdr>
    </w:div>
    <w:div w:id="61101393">
      <w:bodyDiv w:val="1"/>
      <w:marLeft w:val="0"/>
      <w:marRight w:val="0"/>
      <w:marTop w:val="0"/>
      <w:marBottom w:val="0"/>
      <w:divBdr>
        <w:top w:val="none" w:sz="0" w:space="0" w:color="auto"/>
        <w:left w:val="none" w:sz="0" w:space="0" w:color="auto"/>
        <w:bottom w:val="none" w:sz="0" w:space="0" w:color="auto"/>
        <w:right w:val="none" w:sz="0" w:space="0" w:color="auto"/>
      </w:divBdr>
    </w:div>
    <w:div w:id="72163652">
      <w:bodyDiv w:val="1"/>
      <w:marLeft w:val="0"/>
      <w:marRight w:val="0"/>
      <w:marTop w:val="0"/>
      <w:marBottom w:val="0"/>
      <w:divBdr>
        <w:top w:val="none" w:sz="0" w:space="0" w:color="auto"/>
        <w:left w:val="none" w:sz="0" w:space="0" w:color="auto"/>
        <w:bottom w:val="none" w:sz="0" w:space="0" w:color="auto"/>
        <w:right w:val="none" w:sz="0" w:space="0" w:color="auto"/>
      </w:divBdr>
    </w:div>
    <w:div w:id="84763813">
      <w:bodyDiv w:val="1"/>
      <w:marLeft w:val="0"/>
      <w:marRight w:val="0"/>
      <w:marTop w:val="0"/>
      <w:marBottom w:val="0"/>
      <w:divBdr>
        <w:top w:val="none" w:sz="0" w:space="0" w:color="auto"/>
        <w:left w:val="none" w:sz="0" w:space="0" w:color="auto"/>
        <w:bottom w:val="none" w:sz="0" w:space="0" w:color="auto"/>
        <w:right w:val="none" w:sz="0" w:space="0" w:color="auto"/>
      </w:divBdr>
    </w:div>
    <w:div w:id="88544529">
      <w:bodyDiv w:val="1"/>
      <w:marLeft w:val="0"/>
      <w:marRight w:val="0"/>
      <w:marTop w:val="0"/>
      <w:marBottom w:val="0"/>
      <w:divBdr>
        <w:top w:val="none" w:sz="0" w:space="0" w:color="auto"/>
        <w:left w:val="none" w:sz="0" w:space="0" w:color="auto"/>
        <w:bottom w:val="none" w:sz="0" w:space="0" w:color="auto"/>
        <w:right w:val="none" w:sz="0" w:space="0" w:color="auto"/>
      </w:divBdr>
    </w:div>
    <w:div w:id="88551257">
      <w:bodyDiv w:val="1"/>
      <w:marLeft w:val="0"/>
      <w:marRight w:val="0"/>
      <w:marTop w:val="0"/>
      <w:marBottom w:val="0"/>
      <w:divBdr>
        <w:top w:val="none" w:sz="0" w:space="0" w:color="auto"/>
        <w:left w:val="none" w:sz="0" w:space="0" w:color="auto"/>
        <w:bottom w:val="none" w:sz="0" w:space="0" w:color="auto"/>
        <w:right w:val="none" w:sz="0" w:space="0" w:color="auto"/>
      </w:divBdr>
    </w:div>
    <w:div w:id="93018444">
      <w:bodyDiv w:val="1"/>
      <w:marLeft w:val="0"/>
      <w:marRight w:val="0"/>
      <w:marTop w:val="0"/>
      <w:marBottom w:val="0"/>
      <w:divBdr>
        <w:top w:val="none" w:sz="0" w:space="0" w:color="auto"/>
        <w:left w:val="none" w:sz="0" w:space="0" w:color="auto"/>
        <w:bottom w:val="none" w:sz="0" w:space="0" w:color="auto"/>
        <w:right w:val="none" w:sz="0" w:space="0" w:color="auto"/>
      </w:divBdr>
    </w:div>
    <w:div w:id="94056943">
      <w:bodyDiv w:val="1"/>
      <w:marLeft w:val="0"/>
      <w:marRight w:val="0"/>
      <w:marTop w:val="0"/>
      <w:marBottom w:val="0"/>
      <w:divBdr>
        <w:top w:val="none" w:sz="0" w:space="0" w:color="auto"/>
        <w:left w:val="none" w:sz="0" w:space="0" w:color="auto"/>
        <w:bottom w:val="none" w:sz="0" w:space="0" w:color="auto"/>
        <w:right w:val="none" w:sz="0" w:space="0" w:color="auto"/>
      </w:divBdr>
    </w:div>
    <w:div w:id="121777629">
      <w:bodyDiv w:val="1"/>
      <w:marLeft w:val="0"/>
      <w:marRight w:val="0"/>
      <w:marTop w:val="0"/>
      <w:marBottom w:val="0"/>
      <w:divBdr>
        <w:top w:val="none" w:sz="0" w:space="0" w:color="auto"/>
        <w:left w:val="none" w:sz="0" w:space="0" w:color="auto"/>
        <w:bottom w:val="none" w:sz="0" w:space="0" w:color="auto"/>
        <w:right w:val="none" w:sz="0" w:space="0" w:color="auto"/>
      </w:divBdr>
    </w:div>
    <w:div w:id="124811083">
      <w:bodyDiv w:val="1"/>
      <w:marLeft w:val="0"/>
      <w:marRight w:val="0"/>
      <w:marTop w:val="0"/>
      <w:marBottom w:val="0"/>
      <w:divBdr>
        <w:top w:val="none" w:sz="0" w:space="0" w:color="auto"/>
        <w:left w:val="none" w:sz="0" w:space="0" w:color="auto"/>
        <w:bottom w:val="none" w:sz="0" w:space="0" w:color="auto"/>
        <w:right w:val="none" w:sz="0" w:space="0" w:color="auto"/>
      </w:divBdr>
    </w:div>
    <w:div w:id="131213644">
      <w:bodyDiv w:val="1"/>
      <w:marLeft w:val="0"/>
      <w:marRight w:val="0"/>
      <w:marTop w:val="0"/>
      <w:marBottom w:val="0"/>
      <w:divBdr>
        <w:top w:val="none" w:sz="0" w:space="0" w:color="auto"/>
        <w:left w:val="none" w:sz="0" w:space="0" w:color="auto"/>
        <w:bottom w:val="none" w:sz="0" w:space="0" w:color="auto"/>
        <w:right w:val="none" w:sz="0" w:space="0" w:color="auto"/>
      </w:divBdr>
    </w:div>
    <w:div w:id="154761970">
      <w:bodyDiv w:val="1"/>
      <w:marLeft w:val="0"/>
      <w:marRight w:val="0"/>
      <w:marTop w:val="0"/>
      <w:marBottom w:val="0"/>
      <w:divBdr>
        <w:top w:val="none" w:sz="0" w:space="0" w:color="auto"/>
        <w:left w:val="none" w:sz="0" w:space="0" w:color="auto"/>
        <w:bottom w:val="none" w:sz="0" w:space="0" w:color="auto"/>
        <w:right w:val="none" w:sz="0" w:space="0" w:color="auto"/>
      </w:divBdr>
    </w:div>
    <w:div w:id="158621420">
      <w:bodyDiv w:val="1"/>
      <w:marLeft w:val="0"/>
      <w:marRight w:val="0"/>
      <w:marTop w:val="0"/>
      <w:marBottom w:val="0"/>
      <w:divBdr>
        <w:top w:val="none" w:sz="0" w:space="0" w:color="auto"/>
        <w:left w:val="none" w:sz="0" w:space="0" w:color="auto"/>
        <w:bottom w:val="none" w:sz="0" w:space="0" w:color="auto"/>
        <w:right w:val="none" w:sz="0" w:space="0" w:color="auto"/>
      </w:divBdr>
    </w:div>
    <w:div w:id="163594272">
      <w:bodyDiv w:val="1"/>
      <w:marLeft w:val="0"/>
      <w:marRight w:val="0"/>
      <w:marTop w:val="0"/>
      <w:marBottom w:val="0"/>
      <w:divBdr>
        <w:top w:val="none" w:sz="0" w:space="0" w:color="auto"/>
        <w:left w:val="none" w:sz="0" w:space="0" w:color="auto"/>
        <w:bottom w:val="none" w:sz="0" w:space="0" w:color="auto"/>
        <w:right w:val="none" w:sz="0" w:space="0" w:color="auto"/>
      </w:divBdr>
    </w:div>
    <w:div w:id="165555342">
      <w:bodyDiv w:val="1"/>
      <w:marLeft w:val="0"/>
      <w:marRight w:val="0"/>
      <w:marTop w:val="0"/>
      <w:marBottom w:val="0"/>
      <w:divBdr>
        <w:top w:val="none" w:sz="0" w:space="0" w:color="auto"/>
        <w:left w:val="none" w:sz="0" w:space="0" w:color="auto"/>
        <w:bottom w:val="none" w:sz="0" w:space="0" w:color="auto"/>
        <w:right w:val="none" w:sz="0" w:space="0" w:color="auto"/>
      </w:divBdr>
    </w:div>
    <w:div w:id="168251720">
      <w:bodyDiv w:val="1"/>
      <w:marLeft w:val="0"/>
      <w:marRight w:val="0"/>
      <w:marTop w:val="0"/>
      <w:marBottom w:val="0"/>
      <w:divBdr>
        <w:top w:val="none" w:sz="0" w:space="0" w:color="auto"/>
        <w:left w:val="none" w:sz="0" w:space="0" w:color="auto"/>
        <w:bottom w:val="none" w:sz="0" w:space="0" w:color="auto"/>
        <w:right w:val="none" w:sz="0" w:space="0" w:color="auto"/>
      </w:divBdr>
    </w:div>
    <w:div w:id="171068936">
      <w:bodyDiv w:val="1"/>
      <w:marLeft w:val="0"/>
      <w:marRight w:val="0"/>
      <w:marTop w:val="0"/>
      <w:marBottom w:val="0"/>
      <w:divBdr>
        <w:top w:val="none" w:sz="0" w:space="0" w:color="auto"/>
        <w:left w:val="none" w:sz="0" w:space="0" w:color="auto"/>
        <w:bottom w:val="none" w:sz="0" w:space="0" w:color="auto"/>
        <w:right w:val="none" w:sz="0" w:space="0" w:color="auto"/>
      </w:divBdr>
    </w:div>
    <w:div w:id="171846731">
      <w:bodyDiv w:val="1"/>
      <w:marLeft w:val="0"/>
      <w:marRight w:val="0"/>
      <w:marTop w:val="0"/>
      <w:marBottom w:val="0"/>
      <w:divBdr>
        <w:top w:val="none" w:sz="0" w:space="0" w:color="auto"/>
        <w:left w:val="none" w:sz="0" w:space="0" w:color="auto"/>
        <w:bottom w:val="none" w:sz="0" w:space="0" w:color="auto"/>
        <w:right w:val="none" w:sz="0" w:space="0" w:color="auto"/>
      </w:divBdr>
    </w:div>
    <w:div w:id="173036957">
      <w:bodyDiv w:val="1"/>
      <w:marLeft w:val="0"/>
      <w:marRight w:val="0"/>
      <w:marTop w:val="0"/>
      <w:marBottom w:val="0"/>
      <w:divBdr>
        <w:top w:val="none" w:sz="0" w:space="0" w:color="auto"/>
        <w:left w:val="none" w:sz="0" w:space="0" w:color="auto"/>
        <w:bottom w:val="none" w:sz="0" w:space="0" w:color="auto"/>
        <w:right w:val="none" w:sz="0" w:space="0" w:color="auto"/>
      </w:divBdr>
    </w:div>
    <w:div w:id="181286200">
      <w:bodyDiv w:val="1"/>
      <w:marLeft w:val="0"/>
      <w:marRight w:val="0"/>
      <w:marTop w:val="0"/>
      <w:marBottom w:val="0"/>
      <w:divBdr>
        <w:top w:val="none" w:sz="0" w:space="0" w:color="auto"/>
        <w:left w:val="none" w:sz="0" w:space="0" w:color="auto"/>
        <w:bottom w:val="none" w:sz="0" w:space="0" w:color="auto"/>
        <w:right w:val="none" w:sz="0" w:space="0" w:color="auto"/>
      </w:divBdr>
    </w:div>
    <w:div w:id="182666717">
      <w:bodyDiv w:val="1"/>
      <w:marLeft w:val="0"/>
      <w:marRight w:val="0"/>
      <w:marTop w:val="0"/>
      <w:marBottom w:val="0"/>
      <w:divBdr>
        <w:top w:val="none" w:sz="0" w:space="0" w:color="auto"/>
        <w:left w:val="none" w:sz="0" w:space="0" w:color="auto"/>
        <w:bottom w:val="none" w:sz="0" w:space="0" w:color="auto"/>
        <w:right w:val="none" w:sz="0" w:space="0" w:color="auto"/>
      </w:divBdr>
    </w:div>
    <w:div w:id="183902519">
      <w:bodyDiv w:val="1"/>
      <w:marLeft w:val="0"/>
      <w:marRight w:val="0"/>
      <w:marTop w:val="0"/>
      <w:marBottom w:val="0"/>
      <w:divBdr>
        <w:top w:val="none" w:sz="0" w:space="0" w:color="auto"/>
        <w:left w:val="none" w:sz="0" w:space="0" w:color="auto"/>
        <w:bottom w:val="none" w:sz="0" w:space="0" w:color="auto"/>
        <w:right w:val="none" w:sz="0" w:space="0" w:color="auto"/>
      </w:divBdr>
    </w:div>
    <w:div w:id="190807197">
      <w:bodyDiv w:val="1"/>
      <w:marLeft w:val="0"/>
      <w:marRight w:val="0"/>
      <w:marTop w:val="0"/>
      <w:marBottom w:val="0"/>
      <w:divBdr>
        <w:top w:val="none" w:sz="0" w:space="0" w:color="auto"/>
        <w:left w:val="none" w:sz="0" w:space="0" w:color="auto"/>
        <w:bottom w:val="none" w:sz="0" w:space="0" w:color="auto"/>
        <w:right w:val="none" w:sz="0" w:space="0" w:color="auto"/>
      </w:divBdr>
    </w:div>
    <w:div w:id="199557566">
      <w:bodyDiv w:val="1"/>
      <w:marLeft w:val="0"/>
      <w:marRight w:val="0"/>
      <w:marTop w:val="0"/>
      <w:marBottom w:val="0"/>
      <w:divBdr>
        <w:top w:val="none" w:sz="0" w:space="0" w:color="auto"/>
        <w:left w:val="none" w:sz="0" w:space="0" w:color="auto"/>
        <w:bottom w:val="none" w:sz="0" w:space="0" w:color="auto"/>
        <w:right w:val="none" w:sz="0" w:space="0" w:color="auto"/>
      </w:divBdr>
    </w:div>
    <w:div w:id="200486423">
      <w:bodyDiv w:val="1"/>
      <w:marLeft w:val="0"/>
      <w:marRight w:val="0"/>
      <w:marTop w:val="0"/>
      <w:marBottom w:val="0"/>
      <w:divBdr>
        <w:top w:val="none" w:sz="0" w:space="0" w:color="auto"/>
        <w:left w:val="none" w:sz="0" w:space="0" w:color="auto"/>
        <w:bottom w:val="none" w:sz="0" w:space="0" w:color="auto"/>
        <w:right w:val="none" w:sz="0" w:space="0" w:color="auto"/>
      </w:divBdr>
    </w:div>
    <w:div w:id="201477593">
      <w:bodyDiv w:val="1"/>
      <w:marLeft w:val="0"/>
      <w:marRight w:val="0"/>
      <w:marTop w:val="0"/>
      <w:marBottom w:val="0"/>
      <w:divBdr>
        <w:top w:val="none" w:sz="0" w:space="0" w:color="auto"/>
        <w:left w:val="none" w:sz="0" w:space="0" w:color="auto"/>
        <w:bottom w:val="none" w:sz="0" w:space="0" w:color="auto"/>
        <w:right w:val="none" w:sz="0" w:space="0" w:color="auto"/>
      </w:divBdr>
    </w:div>
    <w:div w:id="203175602">
      <w:bodyDiv w:val="1"/>
      <w:marLeft w:val="0"/>
      <w:marRight w:val="0"/>
      <w:marTop w:val="0"/>
      <w:marBottom w:val="0"/>
      <w:divBdr>
        <w:top w:val="none" w:sz="0" w:space="0" w:color="auto"/>
        <w:left w:val="none" w:sz="0" w:space="0" w:color="auto"/>
        <w:bottom w:val="none" w:sz="0" w:space="0" w:color="auto"/>
        <w:right w:val="none" w:sz="0" w:space="0" w:color="auto"/>
      </w:divBdr>
    </w:div>
    <w:div w:id="205526059">
      <w:bodyDiv w:val="1"/>
      <w:marLeft w:val="0"/>
      <w:marRight w:val="0"/>
      <w:marTop w:val="0"/>
      <w:marBottom w:val="0"/>
      <w:divBdr>
        <w:top w:val="none" w:sz="0" w:space="0" w:color="auto"/>
        <w:left w:val="none" w:sz="0" w:space="0" w:color="auto"/>
        <w:bottom w:val="none" w:sz="0" w:space="0" w:color="auto"/>
        <w:right w:val="none" w:sz="0" w:space="0" w:color="auto"/>
      </w:divBdr>
    </w:div>
    <w:div w:id="205798083">
      <w:bodyDiv w:val="1"/>
      <w:marLeft w:val="0"/>
      <w:marRight w:val="0"/>
      <w:marTop w:val="0"/>
      <w:marBottom w:val="0"/>
      <w:divBdr>
        <w:top w:val="none" w:sz="0" w:space="0" w:color="auto"/>
        <w:left w:val="none" w:sz="0" w:space="0" w:color="auto"/>
        <w:bottom w:val="none" w:sz="0" w:space="0" w:color="auto"/>
        <w:right w:val="none" w:sz="0" w:space="0" w:color="auto"/>
      </w:divBdr>
    </w:div>
    <w:div w:id="211160440">
      <w:bodyDiv w:val="1"/>
      <w:marLeft w:val="0"/>
      <w:marRight w:val="0"/>
      <w:marTop w:val="0"/>
      <w:marBottom w:val="0"/>
      <w:divBdr>
        <w:top w:val="none" w:sz="0" w:space="0" w:color="auto"/>
        <w:left w:val="none" w:sz="0" w:space="0" w:color="auto"/>
        <w:bottom w:val="none" w:sz="0" w:space="0" w:color="auto"/>
        <w:right w:val="none" w:sz="0" w:space="0" w:color="auto"/>
      </w:divBdr>
    </w:div>
    <w:div w:id="212161204">
      <w:bodyDiv w:val="1"/>
      <w:marLeft w:val="0"/>
      <w:marRight w:val="0"/>
      <w:marTop w:val="0"/>
      <w:marBottom w:val="0"/>
      <w:divBdr>
        <w:top w:val="none" w:sz="0" w:space="0" w:color="auto"/>
        <w:left w:val="none" w:sz="0" w:space="0" w:color="auto"/>
        <w:bottom w:val="none" w:sz="0" w:space="0" w:color="auto"/>
        <w:right w:val="none" w:sz="0" w:space="0" w:color="auto"/>
      </w:divBdr>
    </w:div>
    <w:div w:id="216212392">
      <w:bodyDiv w:val="1"/>
      <w:marLeft w:val="0"/>
      <w:marRight w:val="0"/>
      <w:marTop w:val="0"/>
      <w:marBottom w:val="0"/>
      <w:divBdr>
        <w:top w:val="none" w:sz="0" w:space="0" w:color="auto"/>
        <w:left w:val="none" w:sz="0" w:space="0" w:color="auto"/>
        <w:bottom w:val="none" w:sz="0" w:space="0" w:color="auto"/>
        <w:right w:val="none" w:sz="0" w:space="0" w:color="auto"/>
      </w:divBdr>
    </w:div>
    <w:div w:id="224067701">
      <w:bodyDiv w:val="1"/>
      <w:marLeft w:val="0"/>
      <w:marRight w:val="0"/>
      <w:marTop w:val="0"/>
      <w:marBottom w:val="0"/>
      <w:divBdr>
        <w:top w:val="none" w:sz="0" w:space="0" w:color="auto"/>
        <w:left w:val="none" w:sz="0" w:space="0" w:color="auto"/>
        <w:bottom w:val="none" w:sz="0" w:space="0" w:color="auto"/>
        <w:right w:val="none" w:sz="0" w:space="0" w:color="auto"/>
      </w:divBdr>
    </w:div>
    <w:div w:id="228853015">
      <w:bodyDiv w:val="1"/>
      <w:marLeft w:val="0"/>
      <w:marRight w:val="0"/>
      <w:marTop w:val="0"/>
      <w:marBottom w:val="0"/>
      <w:divBdr>
        <w:top w:val="none" w:sz="0" w:space="0" w:color="auto"/>
        <w:left w:val="none" w:sz="0" w:space="0" w:color="auto"/>
        <w:bottom w:val="none" w:sz="0" w:space="0" w:color="auto"/>
        <w:right w:val="none" w:sz="0" w:space="0" w:color="auto"/>
      </w:divBdr>
    </w:div>
    <w:div w:id="234171908">
      <w:bodyDiv w:val="1"/>
      <w:marLeft w:val="0"/>
      <w:marRight w:val="0"/>
      <w:marTop w:val="0"/>
      <w:marBottom w:val="0"/>
      <w:divBdr>
        <w:top w:val="none" w:sz="0" w:space="0" w:color="auto"/>
        <w:left w:val="none" w:sz="0" w:space="0" w:color="auto"/>
        <w:bottom w:val="none" w:sz="0" w:space="0" w:color="auto"/>
        <w:right w:val="none" w:sz="0" w:space="0" w:color="auto"/>
      </w:divBdr>
    </w:div>
    <w:div w:id="249580485">
      <w:bodyDiv w:val="1"/>
      <w:marLeft w:val="0"/>
      <w:marRight w:val="0"/>
      <w:marTop w:val="0"/>
      <w:marBottom w:val="0"/>
      <w:divBdr>
        <w:top w:val="none" w:sz="0" w:space="0" w:color="auto"/>
        <w:left w:val="none" w:sz="0" w:space="0" w:color="auto"/>
        <w:bottom w:val="none" w:sz="0" w:space="0" w:color="auto"/>
        <w:right w:val="none" w:sz="0" w:space="0" w:color="auto"/>
      </w:divBdr>
    </w:div>
    <w:div w:id="253129443">
      <w:bodyDiv w:val="1"/>
      <w:marLeft w:val="0"/>
      <w:marRight w:val="0"/>
      <w:marTop w:val="0"/>
      <w:marBottom w:val="0"/>
      <w:divBdr>
        <w:top w:val="none" w:sz="0" w:space="0" w:color="auto"/>
        <w:left w:val="none" w:sz="0" w:space="0" w:color="auto"/>
        <w:bottom w:val="none" w:sz="0" w:space="0" w:color="auto"/>
        <w:right w:val="none" w:sz="0" w:space="0" w:color="auto"/>
      </w:divBdr>
    </w:div>
    <w:div w:id="263075531">
      <w:bodyDiv w:val="1"/>
      <w:marLeft w:val="0"/>
      <w:marRight w:val="0"/>
      <w:marTop w:val="0"/>
      <w:marBottom w:val="0"/>
      <w:divBdr>
        <w:top w:val="none" w:sz="0" w:space="0" w:color="auto"/>
        <w:left w:val="none" w:sz="0" w:space="0" w:color="auto"/>
        <w:bottom w:val="none" w:sz="0" w:space="0" w:color="auto"/>
        <w:right w:val="none" w:sz="0" w:space="0" w:color="auto"/>
      </w:divBdr>
    </w:div>
    <w:div w:id="265619645">
      <w:bodyDiv w:val="1"/>
      <w:marLeft w:val="0"/>
      <w:marRight w:val="0"/>
      <w:marTop w:val="0"/>
      <w:marBottom w:val="0"/>
      <w:divBdr>
        <w:top w:val="none" w:sz="0" w:space="0" w:color="auto"/>
        <w:left w:val="none" w:sz="0" w:space="0" w:color="auto"/>
        <w:bottom w:val="none" w:sz="0" w:space="0" w:color="auto"/>
        <w:right w:val="none" w:sz="0" w:space="0" w:color="auto"/>
      </w:divBdr>
    </w:div>
    <w:div w:id="279384545">
      <w:bodyDiv w:val="1"/>
      <w:marLeft w:val="0"/>
      <w:marRight w:val="0"/>
      <w:marTop w:val="0"/>
      <w:marBottom w:val="0"/>
      <w:divBdr>
        <w:top w:val="none" w:sz="0" w:space="0" w:color="auto"/>
        <w:left w:val="none" w:sz="0" w:space="0" w:color="auto"/>
        <w:bottom w:val="none" w:sz="0" w:space="0" w:color="auto"/>
        <w:right w:val="none" w:sz="0" w:space="0" w:color="auto"/>
      </w:divBdr>
    </w:div>
    <w:div w:id="291012259">
      <w:bodyDiv w:val="1"/>
      <w:marLeft w:val="0"/>
      <w:marRight w:val="0"/>
      <w:marTop w:val="0"/>
      <w:marBottom w:val="0"/>
      <w:divBdr>
        <w:top w:val="none" w:sz="0" w:space="0" w:color="auto"/>
        <w:left w:val="none" w:sz="0" w:space="0" w:color="auto"/>
        <w:bottom w:val="none" w:sz="0" w:space="0" w:color="auto"/>
        <w:right w:val="none" w:sz="0" w:space="0" w:color="auto"/>
      </w:divBdr>
    </w:div>
    <w:div w:id="293365617">
      <w:bodyDiv w:val="1"/>
      <w:marLeft w:val="0"/>
      <w:marRight w:val="0"/>
      <w:marTop w:val="0"/>
      <w:marBottom w:val="0"/>
      <w:divBdr>
        <w:top w:val="none" w:sz="0" w:space="0" w:color="auto"/>
        <w:left w:val="none" w:sz="0" w:space="0" w:color="auto"/>
        <w:bottom w:val="none" w:sz="0" w:space="0" w:color="auto"/>
        <w:right w:val="none" w:sz="0" w:space="0" w:color="auto"/>
      </w:divBdr>
    </w:div>
    <w:div w:id="306714702">
      <w:bodyDiv w:val="1"/>
      <w:marLeft w:val="0"/>
      <w:marRight w:val="0"/>
      <w:marTop w:val="0"/>
      <w:marBottom w:val="0"/>
      <w:divBdr>
        <w:top w:val="none" w:sz="0" w:space="0" w:color="auto"/>
        <w:left w:val="none" w:sz="0" w:space="0" w:color="auto"/>
        <w:bottom w:val="none" w:sz="0" w:space="0" w:color="auto"/>
        <w:right w:val="none" w:sz="0" w:space="0" w:color="auto"/>
      </w:divBdr>
    </w:div>
    <w:div w:id="310603502">
      <w:bodyDiv w:val="1"/>
      <w:marLeft w:val="0"/>
      <w:marRight w:val="0"/>
      <w:marTop w:val="0"/>
      <w:marBottom w:val="0"/>
      <w:divBdr>
        <w:top w:val="none" w:sz="0" w:space="0" w:color="auto"/>
        <w:left w:val="none" w:sz="0" w:space="0" w:color="auto"/>
        <w:bottom w:val="none" w:sz="0" w:space="0" w:color="auto"/>
        <w:right w:val="none" w:sz="0" w:space="0" w:color="auto"/>
      </w:divBdr>
    </w:div>
    <w:div w:id="315037345">
      <w:bodyDiv w:val="1"/>
      <w:marLeft w:val="0"/>
      <w:marRight w:val="0"/>
      <w:marTop w:val="0"/>
      <w:marBottom w:val="0"/>
      <w:divBdr>
        <w:top w:val="none" w:sz="0" w:space="0" w:color="auto"/>
        <w:left w:val="none" w:sz="0" w:space="0" w:color="auto"/>
        <w:bottom w:val="none" w:sz="0" w:space="0" w:color="auto"/>
        <w:right w:val="none" w:sz="0" w:space="0" w:color="auto"/>
      </w:divBdr>
    </w:div>
    <w:div w:id="317809245">
      <w:bodyDiv w:val="1"/>
      <w:marLeft w:val="0"/>
      <w:marRight w:val="0"/>
      <w:marTop w:val="0"/>
      <w:marBottom w:val="0"/>
      <w:divBdr>
        <w:top w:val="none" w:sz="0" w:space="0" w:color="auto"/>
        <w:left w:val="none" w:sz="0" w:space="0" w:color="auto"/>
        <w:bottom w:val="none" w:sz="0" w:space="0" w:color="auto"/>
        <w:right w:val="none" w:sz="0" w:space="0" w:color="auto"/>
      </w:divBdr>
    </w:div>
    <w:div w:id="317812249">
      <w:bodyDiv w:val="1"/>
      <w:marLeft w:val="0"/>
      <w:marRight w:val="0"/>
      <w:marTop w:val="0"/>
      <w:marBottom w:val="0"/>
      <w:divBdr>
        <w:top w:val="none" w:sz="0" w:space="0" w:color="auto"/>
        <w:left w:val="none" w:sz="0" w:space="0" w:color="auto"/>
        <w:bottom w:val="none" w:sz="0" w:space="0" w:color="auto"/>
        <w:right w:val="none" w:sz="0" w:space="0" w:color="auto"/>
      </w:divBdr>
    </w:div>
    <w:div w:id="319191751">
      <w:bodyDiv w:val="1"/>
      <w:marLeft w:val="0"/>
      <w:marRight w:val="0"/>
      <w:marTop w:val="0"/>
      <w:marBottom w:val="0"/>
      <w:divBdr>
        <w:top w:val="none" w:sz="0" w:space="0" w:color="auto"/>
        <w:left w:val="none" w:sz="0" w:space="0" w:color="auto"/>
        <w:bottom w:val="none" w:sz="0" w:space="0" w:color="auto"/>
        <w:right w:val="none" w:sz="0" w:space="0" w:color="auto"/>
      </w:divBdr>
    </w:div>
    <w:div w:id="320933768">
      <w:bodyDiv w:val="1"/>
      <w:marLeft w:val="0"/>
      <w:marRight w:val="0"/>
      <w:marTop w:val="0"/>
      <w:marBottom w:val="0"/>
      <w:divBdr>
        <w:top w:val="none" w:sz="0" w:space="0" w:color="auto"/>
        <w:left w:val="none" w:sz="0" w:space="0" w:color="auto"/>
        <w:bottom w:val="none" w:sz="0" w:space="0" w:color="auto"/>
        <w:right w:val="none" w:sz="0" w:space="0" w:color="auto"/>
      </w:divBdr>
    </w:div>
    <w:div w:id="324280048">
      <w:bodyDiv w:val="1"/>
      <w:marLeft w:val="0"/>
      <w:marRight w:val="0"/>
      <w:marTop w:val="0"/>
      <w:marBottom w:val="0"/>
      <w:divBdr>
        <w:top w:val="none" w:sz="0" w:space="0" w:color="auto"/>
        <w:left w:val="none" w:sz="0" w:space="0" w:color="auto"/>
        <w:bottom w:val="none" w:sz="0" w:space="0" w:color="auto"/>
        <w:right w:val="none" w:sz="0" w:space="0" w:color="auto"/>
      </w:divBdr>
    </w:div>
    <w:div w:id="324477333">
      <w:bodyDiv w:val="1"/>
      <w:marLeft w:val="0"/>
      <w:marRight w:val="0"/>
      <w:marTop w:val="0"/>
      <w:marBottom w:val="0"/>
      <w:divBdr>
        <w:top w:val="none" w:sz="0" w:space="0" w:color="auto"/>
        <w:left w:val="none" w:sz="0" w:space="0" w:color="auto"/>
        <w:bottom w:val="none" w:sz="0" w:space="0" w:color="auto"/>
        <w:right w:val="none" w:sz="0" w:space="0" w:color="auto"/>
      </w:divBdr>
    </w:div>
    <w:div w:id="325673498">
      <w:bodyDiv w:val="1"/>
      <w:marLeft w:val="0"/>
      <w:marRight w:val="0"/>
      <w:marTop w:val="0"/>
      <w:marBottom w:val="0"/>
      <w:divBdr>
        <w:top w:val="none" w:sz="0" w:space="0" w:color="auto"/>
        <w:left w:val="none" w:sz="0" w:space="0" w:color="auto"/>
        <w:bottom w:val="none" w:sz="0" w:space="0" w:color="auto"/>
        <w:right w:val="none" w:sz="0" w:space="0" w:color="auto"/>
      </w:divBdr>
    </w:div>
    <w:div w:id="330566100">
      <w:bodyDiv w:val="1"/>
      <w:marLeft w:val="0"/>
      <w:marRight w:val="0"/>
      <w:marTop w:val="0"/>
      <w:marBottom w:val="0"/>
      <w:divBdr>
        <w:top w:val="none" w:sz="0" w:space="0" w:color="auto"/>
        <w:left w:val="none" w:sz="0" w:space="0" w:color="auto"/>
        <w:bottom w:val="none" w:sz="0" w:space="0" w:color="auto"/>
        <w:right w:val="none" w:sz="0" w:space="0" w:color="auto"/>
      </w:divBdr>
    </w:div>
    <w:div w:id="336814654">
      <w:bodyDiv w:val="1"/>
      <w:marLeft w:val="0"/>
      <w:marRight w:val="0"/>
      <w:marTop w:val="0"/>
      <w:marBottom w:val="0"/>
      <w:divBdr>
        <w:top w:val="none" w:sz="0" w:space="0" w:color="auto"/>
        <w:left w:val="none" w:sz="0" w:space="0" w:color="auto"/>
        <w:bottom w:val="none" w:sz="0" w:space="0" w:color="auto"/>
        <w:right w:val="none" w:sz="0" w:space="0" w:color="auto"/>
      </w:divBdr>
    </w:div>
    <w:div w:id="341317983">
      <w:bodyDiv w:val="1"/>
      <w:marLeft w:val="0"/>
      <w:marRight w:val="0"/>
      <w:marTop w:val="0"/>
      <w:marBottom w:val="0"/>
      <w:divBdr>
        <w:top w:val="none" w:sz="0" w:space="0" w:color="auto"/>
        <w:left w:val="none" w:sz="0" w:space="0" w:color="auto"/>
        <w:bottom w:val="none" w:sz="0" w:space="0" w:color="auto"/>
        <w:right w:val="none" w:sz="0" w:space="0" w:color="auto"/>
      </w:divBdr>
    </w:div>
    <w:div w:id="348483193">
      <w:bodyDiv w:val="1"/>
      <w:marLeft w:val="0"/>
      <w:marRight w:val="0"/>
      <w:marTop w:val="0"/>
      <w:marBottom w:val="0"/>
      <w:divBdr>
        <w:top w:val="none" w:sz="0" w:space="0" w:color="auto"/>
        <w:left w:val="none" w:sz="0" w:space="0" w:color="auto"/>
        <w:bottom w:val="none" w:sz="0" w:space="0" w:color="auto"/>
        <w:right w:val="none" w:sz="0" w:space="0" w:color="auto"/>
      </w:divBdr>
    </w:div>
    <w:div w:id="373165827">
      <w:bodyDiv w:val="1"/>
      <w:marLeft w:val="0"/>
      <w:marRight w:val="0"/>
      <w:marTop w:val="0"/>
      <w:marBottom w:val="0"/>
      <w:divBdr>
        <w:top w:val="none" w:sz="0" w:space="0" w:color="auto"/>
        <w:left w:val="none" w:sz="0" w:space="0" w:color="auto"/>
        <w:bottom w:val="none" w:sz="0" w:space="0" w:color="auto"/>
        <w:right w:val="none" w:sz="0" w:space="0" w:color="auto"/>
      </w:divBdr>
    </w:div>
    <w:div w:id="375397572">
      <w:bodyDiv w:val="1"/>
      <w:marLeft w:val="0"/>
      <w:marRight w:val="0"/>
      <w:marTop w:val="0"/>
      <w:marBottom w:val="0"/>
      <w:divBdr>
        <w:top w:val="none" w:sz="0" w:space="0" w:color="auto"/>
        <w:left w:val="none" w:sz="0" w:space="0" w:color="auto"/>
        <w:bottom w:val="none" w:sz="0" w:space="0" w:color="auto"/>
        <w:right w:val="none" w:sz="0" w:space="0" w:color="auto"/>
      </w:divBdr>
    </w:div>
    <w:div w:id="389572785">
      <w:bodyDiv w:val="1"/>
      <w:marLeft w:val="0"/>
      <w:marRight w:val="0"/>
      <w:marTop w:val="0"/>
      <w:marBottom w:val="0"/>
      <w:divBdr>
        <w:top w:val="none" w:sz="0" w:space="0" w:color="auto"/>
        <w:left w:val="none" w:sz="0" w:space="0" w:color="auto"/>
        <w:bottom w:val="none" w:sz="0" w:space="0" w:color="auto"/>
        <w:right w:val="none" w:sz="0" w:space="0" w:color="auto"/>
      </w:divBdr>
    </w:div>
    <w:div w:id="389698116">
      <w:bodyDiv w:val="1"/>
      <w:marLeft w:val="0"/>
      <w:marRight w:val="0"/>
      <w:marTop w:val="0"/>
      <w:marBottom w:val="0"/>
      <w:divBdr>
        <w:top w:val="none" w:sz="0" w:space="0" w:color="auto"/>
        <w:left w:val="none" w:sz="0" w:space="0" w:color="auto"/>
        <w:bottom w:val="none" w:sz="0" w:space="0" w:color="auto"/>
        <w:right w:val="none" w:sz="0" w:space="0" w:color="auto"/>
      </w:divBdr>
    </w:div>
    <w:div w:id="404376789">
      <w:bodyDiv w:val="1"/>
      <w:marLeft w:val="0"/>
      <w:marRight w:val="0"/>
      <w:marTop w:val="0"/>
      <w:marBottom w:val="0"/>
      <w:divBdr>
        <w:top w:val="none" w:sz="0" w:space="0" w:color="auto"/>
        <w:left w:val="none" w:sz="0" w:space="0" w:color="auto"/>
        <w:bottom w:val="none" w:sz="0" w:space="0" w:color="auto"/>
        <w:right w:val="none" w:sz="0" w:space="0" w:color="auto"/>
      </w:divBdr>
    </w:div>
    <w:div w:id="407075390">
      <w:bodyDiv w:val="1"/>
      <w:marLeft w:val="0"/>
      <w:marRight w:val="0"/>
      <w:marTop w:val="0"/>
      <w:marBottom w:val="0"/>
      <w:divBdr>
        <w:top w:val="none" w:sz="0" w:space="0" w:color="auto"/>
        <w:left w:val="none" w:sz="0" w:space="0" w:color="auto"/>
        <w:bottom w:val="none" w:sz="0" w:space="0" w:color="auto"/>
        <w:right w:val="none" w:sz="0" w:space="0" w:color="auto"/>
      </w:divBdr>
    </w:div>
    <w:div w:id="413091811">
      <w:bodyDiv w:val="1"/>
      <w:marLeft w:val="0"/>
      <w:marRight w:val="0"/>
      <w:marTop w:val="0"/>
      <w:marBottom w:val="0"/>
      <w:divBdr>
        <w:top w:val="none" w:sz="0" w:space="0" w:color="auto"/>
        <w:left w:val="none" w:sz="0" w:space="0" w:color="auto"/>
        <w:bottom w:val="none" w:sz="0" w:space="0" w:color="auto"/>
        <w:right w:val="none" w:sz="0" w:space="0" w:color="auto"/>
      </w:divBdr>
    </w:div>
    <w:div w:id="426078009">
      <w:bodyDiv w:val="1"/>
      <w:marLeft w:val="0"/>
      <w:marRight w:val="0"/>
      <w:marTop w:val="0"/>
      <w:marBottom w:val="0"/>
      <w:divBdr>
        <w:top w:val="none" w:sz="0" w:space="0" w:color="auto"/>
        <w:left w:val="none" w:sz="0" w:space="0" w:color="auto"/>
        <w:bottom w:val="none" w:sz="0" w:space="0" w:color="auto"/>
        <w:right w:val="none" w:sz="0" w:space="0" w:color="auto"/>
      </w:divBdr>
    </w:div>
    <w:div w:id="431240187">
      <w:bodyDiv w:val="1"/>
      <w:marLeft w:val="0"/>
      <w:marRight w:val="0"/>
      <w:marTop w:val="0"/>
      <w:marBottom w:val="0"/>
      <w:divBdr>
        <w:top w:val="none" w:sz="0" w:space="0" w:color="auto"/>
        <w:left w:val="none" w:sz="0" w:space="0" w:color="auto"/>
        <w:bottom w:val="none" w:sz="0" w:space="0" w:color="auto"/>
        <w:right w:val="none" w:sz="0" w:space="0" w:color="auto"/>
      </w:divBdr>
    </w:div>
    <w:div w:id="435103427">
      <w:bodyDiv w:val="1"/>
      <w:marLeft w:val="0"/>
      <w:marRight w:val="0"/>
      <w:marTop w:val="0"/>
      <w:marBottom w:val="0"/>
      <w:divBdr>
        <w:top w:val="none" w:sz="0" w:space="0" w:color="auto"/>
        <w:left w:val="none" w:sz="0" w:space="0" w:color="auto"/>
        <w:bottom w:val="none" w:sz="0" w:space="0" w:color="auto"/>
        <w:right w:val="none" w:sz="0" w:space="0" w:color="auto"/>
      </w:divBdr>
    </w:div>
    <w:div w:id="447312745">
      <w:bodyDiv w:val="1"/>
      <w:marLeft w:val="0"/>
      <w:marRight w:val="0"/>
      <w:marTop w:val="0"/>
      <w:marBottom w:val="0"/>
      <w:divBdr>
        <w:top w:val="none" w:sz="0" w:space="0" w:color="auto"/>
        <w:left w:val="none" w:sz="0" w:space="0" w:color="auto"/>
        <w:bottom w:val="none" w:sz="0" w:space="0" w:color="auto"/>
        <w:right w:val="none" w:sz="0" w:space="0" w:color="auto"/>
      </w:divBdr>
    </w:div>
    <w:div w:id="447897403">
      <w:bodyDiv w:val="1"/>
      <w:marLeft w:val="0"/>
      <w:marRight w:val="0"/>
      <w:marTop w:val="0"/>
      <w:marBottom w:val="0"/>
      <w:divBdr>
        <w:top w:val="none" w:sz="0" w:space="0" w:color="auto"/>
        <w:left w:val="none" w:sz="0" w:space="0" w:color="auto"/>
        <w:bottom w:val="none" w:sz="0" w:space="0" w:color="auto"/>
        <w:right w:val="none" w:sz="0" w:space="0" w:color="auto"/>
      </w:divBdr>
    </w:div>
    <w:div w:id="451170748">
      <w:bodyDiv w:val="1"/>
      <w:marLeft w:val="0"/>
      <w:marRight w:val="0"/>
      <w:marTop w:val="0"/>
      <w:marBottom w:val="0"/>
      <w:divBdr>
        <w:top w:val="none" w:sz="0" w:space="0" w:color="auto"/>
        <w:left w:val="none" w:sz="0" w:space="0" w:color="auto"/>
        <w:bottom w:val="none" w:sz="0" w:space="0" w:color="auto"/>
        <w:right w:val="none" w:sz="0" w:space="0" w:color="auto"/>
      </w:divBdr>
    </w:div>
    <w:div w:id="480775101">
      <w:bodyDiv w:val="1"/>
      <w:marLeft w:val="0"/>
      <w:marRight w:val="0"/>
      <w:marTop w:val="0"/>
      <w:marBottom w:val="0"/>
      <w:divBdr>
        <w:top w:val="none" w:sz="0" w:space="0" w:color="auto"/>
        <w:left w:val="none" w:sz="0" w:space="0" w:color="auto"/>
        <w:bottom w:val="none" w:sz="0" w:space="0" w:color="auto"/>
        <w:right w:val="none" w:sz="0" w:space="0" w:color="auto"/>
      </w:divBdr>
    </w:div>
    <w:div w:id="483544506">
      <w:bodyDiv w:val="1"/>
      <w:marLeft w:val="0"/>
      <w:marRight w:val="0"/>
      <w:marTop w:val="0"/>
      <w:marBottom w:val="0"/>
      <w:divBdr>
        <w:top w:val="none" w:sz="0" w:space="0" w:color="auto"/>
        <w:left w:val="none" w:sz="0" w:space="0" w:color="auto"/>
        <w:bottom w:val="none" w:sz="0" w:space="0" w:color="auto"/>
        <w:right w:val="none" w:sz="0" w:space="0" w:color="auto"/>
      </w:divBdr>
    </w:div>
    <w:div w:id="484710555">
      <w:bodyDiv w:val="1"/>
      <w:marLeft w:val="0"/>
      <w:marRight w:val="0"/>
      <w:marTop w:val="0"/>
      <w:marBottom w:val="0"/>
      <w:divBdr>
        <w:top w:val="none" w:sz="0" w:space="0" w:color="auto"/>
        <w:left w:val="none" w:sz="0" w:space="0" w:color="auto"/>
        <w:bottom w:val="none" w:sz="0" w:space="0" w:color="auto"/>
        <w:right w:val="none" w:sz="0" w:space="0" w:color="auto"/>
      </w:divBdr>
    </w:div>
    <w:div w:id="491877643">
      <w:bodyDiv w:val="1"/>
      <w:marLeft w:val="0"/>
      <w:marRight w:val="0"/>
      <w:marTop w:val="0"/>
      <w:marBottom w:val="0"/>
      <w:divBdr>
        <w:top w:val="none" w:sz="0" w:space="0" w:color="auto"/>
        <w:left w:val="none" w:sz="0" w:space="0" w:color="auto"/>
        <w:bottom w:val="none" w:sz="0" w:space="0" w:color="auto"/>
        <w:right w:val="none" w:sz="0" w:space="0" w:color="auto"/>
      </w:divBdr>
    </w:div>
    <w:div w:id="494953507">
      <w:bodyDiv w:val="1"/>
      <w:marLeft w:val="0"/>
      <w:marRight w:val="0"/>
      <w:marTop w:val="0"/>
      <w:marBottom w:val="0"/>
      <w:divBdr>
        <w:top w:val="none" w:sz="0" w:space="0" w:color="auto"/>
        <w:left w:val="none" w:sz="0" w:space="0" w:color="auto"/>
        <w:bottom w:val="none" w:sz="0" w:space="0" w:color="auto"/>
        <w:right w:val="none" w:sz="0" w:space="0" w:color="auto"/>
      </w:divBdr>
    </w:div>
    <w:div w:id="501355643">
      <w:bodyDiv w:val="1"/>
      <w:marLeft w:val="0"/>
      <w:marRight w:val="0"/>
      <w:marTop w:val="0"/>
      <w:marBottom w:val="0"/>
      <w:divBdr>
        <w:top w:val="none" w:sz="0" w:space="0" w:color="auto"/>
        <w:left w:val="none" w:sz="0" w:space="0" w:color="auto"/>
        <w:bottom w:val="none" w:sz="0" w:space="0" w:color="auto"/>
        <w:right w:val="none" w:sz="0" w:space="0" w:color="auto"/>
      </w:divBdr>
    </w:div>
    <w:div w:id="503865395">
      <w:bodyDiv w:val="1"/>
      <w:marLeft w:val="0"/>
      <w:marRight w:val="0"/>
      <w:marTop w:val="0"/>
      <w:marBottom w:val="0"/>
      <w:divBdr>
        <w:top w:val="none" w:sz="0" w:space="0" w:color="auto"/>
        <w:left w:val="none" w:sz="0" w:space="0" w:color="auto"/>
        <w:bottom w:val="none" w:sz="0" w:space="0" w:color="auto"/>
        <w:right w:val="none" w:sz="0" w:space="0" w:color="auto"/>
      </w:divBdr>
    </w:div>
    <w:div w:id="507065402">
      <w:bodyDiv w:val="1"/>
      <w:marLeft w:val="0"/>
      <w:marRight w:val="0"/>
      <w:marTop w:val="0"/>
      <w:marBottom w:val="0"/>
      <w:divBdr>
        <w:top w:val="none" w:sz="0" w:space="0" w:color="auto"/>
        <w:left w:val="none" w:sz="0" w:space="0" w:color="auto"/>
        <w:bottom w:val="none" w:sz="0" w:space="0" w:color="auto"/>
        <w:right w:val="none" w:sz="0" w:space="0" w:color="auto"/>
      </w:divBdr>
    </w:div>
    <w:div w:id="510340990">
      <w:bodyDiv w:val="1"/>
      <w:marLeft w:val="0"/>
      <w:marRight w:val="0"/>
      <w:marTop w:val="0"/>
      <w:marBottom w:val="0"/>
      <w:divBdr>
        <w:top w:val="none" w:sz="0" w:space="0" w:color="auto"/>
        <w:left w:val="none" w:sz="0" w:space="0" w:color="auto"/>
        <w:bottom w:val="none" w:sz="0" w:space="0" w:color="auto"/>
        <w:right w:val="none" w:sz="0" w:space="0" w:color="auto"/>
      </w:divBdr>
    </w:div>
    <w:div w:id="519591510">
      <w:bodyDiv w:val="1"/>
      <w:marLeft w:val="0"/>
      <w:marRight w:val="0"/>
      <w:marTop w:val="0"/>
      <w:marBottom w:val="0"/>
      <w:divBdr>
        <w:top w:val="none" w:sz="0" w:space="0" w:color="auto"/>
        <w:left w:val="none" w:sz="0" w:space="0" w:color="auto"/>
        <w:bottom w:val="none" w:sz="0" w:space="0" w:color="auto"/>
        <w:right w:val="none" w:sz="0" w:space="0" w:color="auto"/>
      </w:divBdr>
    </w:div>
    <w:div w:id="529614627">
      <w:bodyDiv w:val="1"/>
      <w:marLeft w:val="0"/>
      <w:marRight w:val="0"/>
      <w:marTop w:val="0"/>
      <w:marBottom w:val="0"/>
      <w:divBdr>
        <w:top w:val="none" w:sz="0" w:space="0" w:color="auto"/>
        <w:left w:val="none" w:sz="0" w:space="0" w:color="auto"/>
        <w:bottom w:val="none" w:sz="0" w:space="0" w:color="auto"/>
        <w:right w:val="none" w:sz="0" w:space="0" w:color="auto"/>
      </w:divBdr>
    </w:div>
    <w:div w:id="533734454">
      <w:bodyDiv w:val="1"/>
      <w:marLeft w:val="0"/>
      <w:marRight w:val="0"/>
      <w:marTop w:val="0"/>
      <w:marBottom w:val="0"/>
      <w:divBdr>
        <w:top w:val="none" w:sz="0" w:space="0" w:color="auto"/>
        <w:left w:val="none" w:sz="0" w:space="0" w:color="auto"/>
        <w:bottom w:val="none" w:sz="0" w:space="0" w:color="auto"/>
        <w:right w:val="none" w:sz="0" w:space="0" w:color="auto"/>
      </w:divBdr>
    </w:div>
    <w:div w:id="534125760">
      <w:bodyDiv w:val="1"/>
      <w:marLeft w:val="0"/>
      <w:marRight w:val="0"/>
      <w:marTop w:val="0"/>
      <w:marBottom w:val="0"/>
      <w:divBdr>
        <w:top w:val="none" w:sz="0" w:space="0" w:color="auto"/>
        <w:left w:val="none" w:sz="0" w:space="0" w:color="auto"/>
        <w:bottom w:val="none" w:sz="0" w:space="0" w:color="auto"/>
        <w:right w:val="none" w:sz="0" w:space="0" w:color="auto"/>
      </w:divBdr>
    </w:div>
    <w:div w:id="537283301">
      <w:bodyDiv w:val="1"/>
      <w:marLeft w:val="0"/>
      <w:marRight w:val="0"/>
      <w:marTop w:val="0"/>
      <w:marBottom w:val="0"/>
      <w:divBdr>
        <w:top w:val="none" w:sz="0" w:space="0" w:color="auto"/>
        <w:left w:val="none" w:sz="0" w:space="0" w:color="auto"/>
        <w:bottom w:val="none" w:sz="0" w:space="0" w:color="auto"/>
        <w:right w:val="none" w:sz="0" w:space="0" w:color="auto"/>
      </w:divBdr>
    </w:div>
    <w:div w:id="540440329">
      <w:bodyDiv w:val="1"/>
      <w:marLeft w:val="0"/>
      <w:marRight w:val="0"/>
      <w:marTop w:val="0"/>
      <w:marBottom w:val="0"/>
      <w:divBdr>
        <w:top w:val="none" w:sz="0" w:space="0" w:color="auto"/>
        <w:left w:val="none" w:sz="0" w:space="0" w:color="auto"/>
        <w:bottom w:val="none" w:sz="0" w:space="0" w:color="auto"/>
        <w:right w:val="none" w:sz="0" w:space="0" w:color="auto"/>
      </w:divBdr>
    </w:div>
    <w:div w:id="552231449">
      <w:bodyDiv w:val="1"/>
      <w:marLeft w:val="0"/>
      <w:marRight w:val="0"/>
      <w:marTop w:val="0"/>
      <w:marBottom w:val="0"/>
      <w:divBdr>
        <w:top w:val="none" w:sz="0" w:space="0" w:color="auto"/>
        <w:left w:val="none" w:sz="0" w:space="0" w:color="auto"/>
        <w:bottom w:val="none" w:sz="0" w:space="0" w:color="auto"/>
        <w:right w:val="none" w:sz="0" w:space="0" w:color="auto"/>
      </w:divBdr>
    </w:div>
    <w:div w:id="554852099">
      <w:bodyDiv w:val="1"/>
      <w:marLeft w:val="0"/>
      <w:marRight w:val="0"/>
      <w:marTop w:val="0"/>
      <w:marBottom w:val="0"/>
      <w:divBdr>
        <w:top w:val="none" w:sz="0" w:space="0" w:color="auto"/>
        <w:left w:val="none" w:sz="0" w:space="0" w:color="auto"/>
        <w:bottom w:val="none" w:sz="0" w:space="0" w:color="auto"/>
        <w:right w:val="none" w:sz="0" w:space="0" w:color="auto"/>
      </w:divBdr>
    </w:div>
    <w:div w:id="567347784">
      <w:bodyDiv w:val="1"/>
      <w:marLeft w:val="0"/>
      <w:marRight w:val="0"/>
      <w:marTop w:val="0"/>
      <w:marBottom w:val="0"/>
      <w:divBdr>
        <w:top w:val="none" w:sz="0" w:space="0" w:color="auto"/>
        <w:left w:val="none" w:sz="0" w:space="0" w:color="auto"/>
        <w:bottom w:val="none" w:sz="0" w:space="0" w:color="auto"/>
        <w:right w:val="none" w:sz="0" w:space="0" w:color="auto"/>
      </w:divBdr>
    </w:div>
    <w:div w:id="569536117">
      <w:bodyDiv w:val="1"/>
      <w:marLeft w:val="0"/>
      <w:marRight w:val="0"/>
      <w:marTop w:val="0"/>
      <w:marBottom w:val="0"/>
      <w:divBdr>
        <w:top w:val="none" w:sz="0" w:space="0" w:color="auto"/>
        <w:left w:val="none" w:sz="0" w:space="0" w:color="auto"/>
        <w:bottom w:val="none" w:sz="0" w:space="0" w:color="auto"/>
        <w:right w:val="none" w:sz="0" w:space="0" w:color="auto"/>
      </w:divBdr>
    </w:div>
    <w:div w:id="575287835">
      <w:bodyDiv w:val="1"/>
      <w:marLeft w:val="0"/>
      <w:marRight w:val="0"/>
      <w:marTop w:val="0"/>
      <w:marBottom w:val="0"/>
      <w:divBdr>
        <w:top w:val="none" w:sz="0" w:space="0" w:color="auto"/>
        <w:left w:val="none" w:sz="0" w:space="0" w:color="auto"/>
        <w:bottom w:val="none" w:sz="0" w:space="0" w:color="auto"/>
        <w:right w:val="none" w:sz="0" w:space="0" w:color="auto"/>
      </w:divBdr>
    </w:div>
    <w:div w:id="577788081">
      <w:bodyDiv w:val="1"/>
      <w:marLeft w:val="0"/>
      <w:marRight w:val="0"/>
      <w:marTop w:val="0"/>
      <w:marBottom w:val="0"/>
      <w:divBdr>
        <w:top w:val="none" w:sz="0" w:space="0" w:color="auto"/>
        <w:left w:val="none" w:sz="0" w:space="0" w:color="auto"/>
        <w:bottom w:val="none" w:sz="0" w:space="0" w:color="auto"/>
        <w:right w:val="none" w:sz="0" w:space="0" w:color="auto"/>
      </w:divBdr>
    </w:div>
    <w:div w:id="581791792">
      <w:bodyDiv w:val="1"/>
      <w:marLeft w:val="0"/>
      <w:marRight w:val="0"/>
      <w:marTop w:val="0"/>
      <w:marBottom w:val="0"/>
      <w:divBdr>
        <w:top w:val="none" w:sz="0" w:space="0" w:color="auto"/>
        <w:left w:val="none" w:sz="0" w:space="0" w:color="auto"/>
        <w:bottom w:val="none" w:sz="0" w:space="0" w:color="auto"/>
        <w:right w:val="none" w:sz="0" w:space="0" w:color="auto"/>
      </w:divBdr>
    </w:div>
    <w:div w:id="586035934">
      <w:bodyDiv w:val="1"/>
      <w:marLeft w:val="0"/>
      <w:marRight w:val="0"/>
      <w:marTop w:val="0"/>
      <w:marBottom w:val="0"/>
      <w:divBdr>
        <w:top w:val="none" w:sz="0" w:space="0" w:color="auto"/>
        <w:left w:val="none" w:sz="0" w:space="0" w:color="auto"/>
        <w:bottom w:val="none" w:sz="0" w:space="0" w:color="auto"/>
        <w:right w:val="none" w:sz="0" w:space="0" w:color="auto"/>
      </w:divBdr>
    </w:div>
    <w:div w:id="592475760">
      <w:bodyDiv w:val="1"/>
      <w:marLeft w:val="0"/>
      <w:marRight w:val="0"/>
      <w:marTop w:val="0"/>
      <w:marBottom w:val="0"/>
      <w:divBdr>
        <w:top w:val="none" w:sz="0" w:space="0" w:color="auto"/>
        <w:left w:val="none" w:sz="0" w:space="0" w:color="auto"/>
        <w:bottom w:val="none" w:sz="0" w:space="0" w:color="auto"/>
        <w:right w:val="none" w:sz="0" w:space="0" w:color="auto"/>
      </w:divBdr>
    </w:div>
    <w:div w:id="598832890">
      <w:bodyDiv w:val="1"/>
      <w:marLeft w:val="0"/>
      <w:marRight w:val="0"/>
      <w:marTop w:val="0"/>
      <w:marBottom w:val="0"/>
      <w:divBdr>
        <w:top w:val="none" w:sz="0" w:space="0" w:color="auto"/>
        <w:left w:val="none" w:sz="0" w:space="0" w:color="auto"/>
        <w:bottom w:val="none" w:sz="0" w:space="0" w:color="auto"/>
        <w:right w:val="none" w:sz="0" w:space="0" w:color="auto"/>
      </w:divBdr>
    </w:div>
    <w:div w:id="605163056">
      <w:bodyDiv w:val="1"/>
      <w:marLeft w:val="0"/>
      <w:marRight w:val="0"/>
      <w:marTop w:val="0"/>
      <w:marBottom w:val="0"/>
      <w:divBdr>
        <w:top w:val="none" w:sz="0" w:space="0" w:color="auto"/>
        <w:left w:val="none" w:sz="0" w:space="0" w:color="auto"/>
        <w:bottom w:val="none" w:sz="0" w:space="0" w:color="auto"/>
        <w:right w:val="none" w:sz="0" w:space="0" w:color="auto"/>
      </w:divBdr>
    </w:div>
    <w:div w:id="605695230">
      <w:bodyDiv w:val="1"/>
      <w:marLeft w:val="0"/>
      <w:marRight w:val="0"/>
      <w:marTop w:val="0"/>
      <w:marBottom w:val="0"/>
      <w:divBdr>
        <w:top w:val="none" w:sz="0" w:space="0" w:color="auto"/>
        <w:left w:val="none" w:sz="0" w:space="0" w:color="auto"/>
        <w:bottom w:val="none" w:sz="0" w:space="0" w:color="auto"/>
        <w:right w:val="none" w:sz="0" w:space="0" w:color="auto"/>
      </w:divBdr>
    </w:div>
    <w:div w:id="610363049">
      <w:bodyDiv w:val="1"/>
      <w:marLeft w:val="0"/>
      <w:marRight w:val="0"/>
      <w:marTop w:val="0"/>
      <w:marBottom w:val="0"/>
      <w:divBdr>
        <w:top w:val="none" w:sz="0" w:space="0" w:color="auto"/>
        <w:left w:val="none" w:sz="0" w:space="0" w:color="auto"/>
        <w:bottom w:val="none" w:sz="0" w:space="0" w:color="auto"/>
        <w:right w:val="none" w:sz="0" w:space="0" w:color="auto"/>
      </w:divBdr>
    </w:div>
    <w:div w:id="612639243">
      <w:bodyDiv w:val="1"/>
      <w:marLeft w:val="0"/>
      <w:marRight w:val="0"/>
      <w:marTop w:val="0"/>
      <w:marBottom w:val="0"/>
      <w:divBdr>
        <w:top w:val="none" w:sz="0" w:space="0" w:color="auto"/>
        <w:left w:val="none" w:sz="0" w:space="0" w:color="auto"/>
        <w:bottom w:val="none" w:sz="0" w:space="0" w:color="auto"/>
        <w:right w:val="none" w:sz="0" w:space="0" w:color="auto"/>
      </w:divBdr>
    </w:div>
    <w:div w:id="621501342">
      <w:bodyDiv w:val="1"/>
      <w:marLeft w:val="0"/>
      <w:marRight w:val="0"/>
      <w:marTop w:val="0"/>
      <w:marBottom w:val="0"/>
      <w:divBdr>
        <w:top w:val="none" w:sz="0" w:space="0" w:color="auto"/>
        <w:left w:val="none" w:sz="0" w:space="0" w:color="auto"/>
        <w:bottom w:val="none" w:sz="0" w:space="0" w:color="auto"/>
        <w:right w:val="none" w:sz="0" w:space="0" w:color="auto"/>
      </w:divBdr>
    </w:div>
    <w:div w:id="627245548">
      <w:bodyDiv w:val="1"/>
      <w:marLeft w:val="0"/>
      <w:marRight w:val="0"/>
      <w:marTop w:val="0"/>
      <w:marBottom w:val="0"/>
      <w:divBdr>
        <w:top w:val="none" w:sz="0" w:space="0" w:color="auto"/>
        <w:left w:val="none" w:sz="0" w:space="0" w:color="auto"/>
        <w:bottom w:val="none" w:sz="0" w:space="0" w:color="auto"/>
        <w:right w:val="none" w:sz="0" w:space="0" w:color="auto"/>
      </w:divBdr>
    </w:div>
    <w:div w:id="632713552">
      <w:bodyDiv w:val="1"/>
      <w:marLeft w:val="0"/>
      <w:marRight w:val="0"/>
      <w:marTop w:val="0"/>
      <w:marBottom w:val="0"/>
      <w:divBdr>
        <w:top w:val="none" w:sz="0" w:space="0" w:color="auto"/>
        <w:left w:val="none" w:sz="0" w:space="0" w:color="auto"/>
        <w:bottom w:val="none" w:sz="0" w:space="0" w:color="auto"/>
        <w:right w:val="none" w:sz="0" w:space="0" w:color="auto"/>
      </w:divBdr>
    </w:div>
    <w:div w:id="643966249">
      <w:bodyDiv w:val="1"/>
      <w:marLeft w:val="0"/>
      <w:marRight w:val="0"/>
      <w:marTop w:val="0"/>
      <w:marBottom w:val="0"/>
      <w:divBdr>
        <w:top w:val="none" w:sz="0" w:space="0" w:color="auto"/>
        <w:left w:val="none" w:sz="0" w:space="0" w:color="auto"/>
        <w:bottom w:val="none" w:sz="0" w:space="0" w:color="auto"/>
        <w:right w:val="none" w:sz="0" w:space="0" w:color="auto"/>
      </w:divBdr>
    </w:div>
    <w:div w:id="647055183">
      <w:bodyDiv w:val="1"/>
      <w:marLeft w:val="0"/>
      <w:marRight w:val="0"/>
      <w:marTop w:val="0"/>
      <w:marBottom w:val="0"/>
      <w:divBdr>
        <w:top w:val="none" w:sz="0" w:space="0" w:color="auto"/>
        <w:left w:val="none" w:sz="0" w:space="0" w:color="auto"/>
        <w:bottom w:val="none" w:sz="0" w:space="0" w:color="auto"/>
        <w:right w:val="none" w:sz="0" w:space="0" w:color="auto"/>
      </w:divBdr>
    </w:div>
    <w:div w:id="647200408">
      <w:bodyDiv w:val="1"/>
      <w:marLeft w:val="0"/>
      <w:marRight w:val="0"/>
      <w:marTop w:val="0"/>
      <w:marBottom w:val="0"/>
      <w:divBdr>
        <w:top w:val="none" w:sz="0" w:space="0" w:color="auto"/>
        <w:left w:val="none" w:sz="0" w:space="0" w:color="auto"/>
        <w:bottom w:val="none" w:sz="0" w:space="0" w:color="auto"/>
        <w:right w:val="none" w:sz="0" w:space="0" w:color="auto"/>
      </w:divBdr>
    </w:div>
    <w:div w:id="650062565">
      <w:bodyDiv w:val="1"/>
      <w:marLeft w:val="0"/>
      <w:marRight w:val="0"/>
      <w:marTop w:val="0"/>
      <w:marBottom w:val="0"/>
      <w:divBdr>
        <w:top w:val="none" w:sz="0" w:space="0" w:color="auto"/>
        <w:left w:val="none" w:sz="0" w:space="0" w:color="auto"/>
        <w:bottom w:val="none" w:sz="0" w:space="0" w:color="auto"/>
        <w:right w:val="none" w:sz="0" w:space="0" w:color="auto"/>
      </w:divBdr>
    </w:div>
    <w:div w:id="650064116">
      <w:bodyDiv w:val="1"/>
      <w:marLeft w:val="0"/>
      <w:marRight w:val="0"/>
      <w:marTop w:val="0"/>
      <w:marBottom w:val="0"/>
      <w:divBdr>
        <w:top w:val="none" w:sz="0" w:space="0" w:color="auto"/>
        <w:left w:val="none" w:sz="0" w:space="0" w:color="auto"/>
        <w:bottom w:val="none" w:sz="0" w:space="0" w:color="auto"/>
        <w:right w:val="none" w:sz="0" w:space="0" w:color="auto"/>
      </w:divBdr>
    </w:div>
    <w:div w:id="653342184">
      <w:bodyDiv w:val="1"/>
      <w:marLeft w:val="0"/>
      <w:marRight w:val="0"/>
      <w:marTop w:val="0"/>
      <w:marBottom w:val="0"/>
      <w:divBdr>
        <w:top w:val="none" w:sz="0" w:space="0" w:color="auto"/>
        <w:left w:val="none" w:sz="0" w:space="0" w:color="auto"/>
        <w:bottom w:val="none" w:sz="0" w:space="0" w:color="auto"/>
        <w:right w:val="none" w:sz="0" w:space="0" w:color="auto"/>
      </w:divBdr>
    </w:div>
    <w:div w:id="654838346">
      <w:bodyDiv w:val="1"/>
      <w:marLeft w:val="0"/>
      <w:marRight w:val="0"/>
      <w:marTop w:val="0"/>
      <w:marBottom w:val="0"/>
      <w:divBdr>
        <w:top w:val="none" w:sz="0" w:space="0" w:color="auto"/>
        <w:left w:val="none" w:sz="0" w:space="0" w:color="auto"/>
        <w:bottom w:val="none" w:sz="0" w:space="0" w:color="auto"/>
        <w:right w:val="none" w:sz="0" w:space="0" w:color="auto"/>
      </w:divBdr>
    </w:div>
    <w:div w:id="665208773">
      <w:bodyDiv w:val="1"/>
      <w:marLeft w:val="0"/>
      <w:marRight w:val="0"/>
      <w:marTop w:val="0"/>
      <w:marBottom w:val="0"/>
      <w:divBdr>
        <w:top w:val="none" w:sz="0" w:space="0" w:color="auto"/>
        <w:left w:val="none" w:sz="0" w:space="0" w:color="auto"/>
        <w:bottom w:val="none" w:sz="0" w:space="0" w:color="auto"/>
        <w:right w:val="none" w:sz="0" w:space="0" w:color="auto"/>
      </w:divBdr>
    </w:div>
    <w:div w:id="670304276">
      <w:bodyDiv w:val="1"/>
      <w:marLeft w:val="0"/>
      <w:marRight w:val="0"/>
      <w:marTop w:val="0"/>
      <w:marBottom w:val="0"/>
      <w:divBdr>
        <w:top w:val="none" w:sz="0" w:space="0" w:color="auto"/>
        <w:left w:val="none" w:sz="0" w:space="0" w:color="auto"/>
        <w:bottom w:val="none" w:sz="0" w:space="0" w:color="auto"/>
        <w:right w:val="none" w:sz="0" w:space="0" w:color="auto"/>
      </w:divBdr>
    </w:div>
    <w:div w:id="673531425">
      <w:bodyDiv w:val="1"/>
      <w:marLeft w:val="0"/>
      <w:marRight w:val="0"/>
      <w:marTop w:val="0"/>
      <w:marBottom w:val="0"/>
      <w:divBdr>
        <w:top w:val="none" w:sz="0" w:space="0" w:color="auto"/>
        <w:left w:val="none" w:sz="0" w:space="0" w:color="auto"/>
        <w:bottom w:val="none" w:sz="0" w:space="0" w:color="auto"/>
        <w:right w:val="none" w:sz="0" w:space="0" w:color="auto"/>
      </w:divBdr>
    </w:div>
    <w:div w:id="685642877">
      <w:bodyDiv w:val="1"/>
      <w:marLeft w:val="0"/>
      <w:marRight w:val="0"/>
      <w:marTop w:val="0"/>
      <w:marBottom w:val="0"/>
      <w:divBdr>
        <w:top w:val="none" w:sz="0" w:space="0" w:color="auto"/>
        <w:left w:val="none" w:sz="0" w:space="0" w:color="auto"/>
        <w:bottom w:val="none" w:sz="0" w:space="0" w:color="auto"/>
        <w:right w:val="none" w:sz="0" w:space="0" w:color="auto"/>
      </w:divBdr>
    </w:div>
    <w:div w:id="690422269">
      <w:bodyDiv w:val="1"/>
      <w:marLeft w:val="0"/>
      <w:marRight w:val="0"/>
      <w:marTop w:val="0"/>
      <w:marBottom w:val="0"/>
      <w:divBdr>
        <w:top w:val="none" w:sz="0" w:space="0" w:color="auto"/>
        <w:left w:val="none" w:sz="0" w:space="0" w:color="auto"/>
        <w:bottom w:val="none" w:sz="0" w:space="0" w:color="auto"/>
        <w:right w:val="none" w:sz="0" w:space="0" w:color="auto"/>
      </w:divBdr>
    </w:div>
    <w:div w:id="702826293">
      <w:bodyDiv w:val="1"/>
      <w:marLeft w:val="0"/>
      <w:marRight w:val="0"/>
      <w:marTop w:val="0"/>
      <w:marBottom w:val="0"/>
      <w:divBdr>
        <w:top w:val="none" w:sz="0" w:space="0" w:color="auto"/>
        <w:left w:val="none" w:sz="0" w:space="0" w:color="auto"/>
        <w:bottom w:val="none" w:sz="0" w:space="0" w:color="auto"/>
        <w:right w:val="none" w:sz="0" w:space="0" w:color="auto"/>
      </w:divBdr>
    </w:div>
    <w:div w:id="714701470">
      <w:bodyDiv w:val="1"/>
      <w:marLeft w:val="0"/>
      <w:marRight w:val="0"/>
      <w:marTop w:val="0"/>
      <w:marBottom w:val="0"/>
      <w:divBdr>
        <w:top w:val="none" w:sz="0" w:space="0" w:color="auto"/>
        <w:left w:val="none" w:sz="0" w:space="0" w:color="auto"/>
        <w:bottom w:val="none" w:sz="0" w:space="0" w:color="auto"/>
        <w:right w:val="none" w:sz="0" w:space="0" w:color="auto"/>
      </w:divBdr>
    </w:div>
    <w:div w:id="714817124">
      <w:bodyDiv w:val="1"/>
      <w:marLeft w:val="0"/>
      <w:marRight w:val="0"/>
      <w:marTop w:val="0"/>
      <w:marBottom w:val="0"/>
      <w:divBdr>
        <w:top w:val="none" w:sz="0" w:space="0" w:color="auto"/>
        <w:left w:val="none" w:sz="0" w:space="0" w:color="auto"/>
        <w:bottom w:val="none" w:sz="0" w:space="0" w:color="auto"/>
        <w:right w:val="none" w:sz="0" w:space="0" w:color="auto"/>
      </w:divBdr>
    </w:div>
    <w:div w:id="715668107">
      <w:bodyDiv w:val="1"/>
      <w:marLeft w:val="0"/>
      <w:marRight w:val="0"/>
      <w:marTop w:val="0"/>
      <w:marBottom w:val="0"/>
      <w:divBdr>
        <w:top w:val="none" w:sz="0" w:space="0" w:color="auto"/>
        <w:left w:val="none" w:sz="0" w:space="0" w:color="auto"/>
        <w:bottom w:val="none" w:sz="0" w:space="0" w:color="auto"/>
        <w:right w:val="none" w:sz="0" w:space="0" w:color="auto"/>
      </w:divBdr>
    </w:div>
    <w:div w:id="725184958">
      <w:bodyDiv w:val="1"/>
      <w:marLeft w:val="0"/>
      <w:marRight w:val="0"/>
      <w:marTop w:val="0"/>
      <w:marBottom w:val="0"/>
      <w:divBdr>
        <w:top w:val="none" w:sz="0" w:space="0" w:color="auto"/>
        <w:left w:val="none" w:sz="0" w:space="0" w:color="auto"/>
        <w:bottom w:val="none" w:sz="0" w:space="0" w:color="auto"/>
        <w:right w:val="none" w:sz="0" w:space="0" w:color="auto"/>
      </w:divBdr>
    </w:div>
    <w:div w:id="725764349">
      <w:bodyDiv w:val="1"/>
      <w:marLeft w:val="0"/>
      <w:marRight w:val="0"/>
      <w:marTop w:val="0"/>
      <w:marBottom w:val="0"/>
      <w:divBdr>
        <w:top w:val="none" w:sz="0" w:space="0" w:color="auto"/>
        <w:left w:val="none" w:sz="0" w:space="0" w:color="auto"/>
        <w:bottom w:val="none" w:sz="0" w:space="0" w:color="auto"/>
        <w:right w:val="none" w:sz="0" w:space="0" w:color="auto"/>
      </w:divBdr>
    </w:div>
    <w:div w:id="727457727">
      <w:bodyDiv w:val="1"/>
      <w:marLeft w:val="0"/>
      <w:marRight w:val="0"/>
      <w:marTop w:val="0"/>
      <w:marBottom w:val="0"/>
      <w:divBdr>
        <w:top w:val="none" w:sz="0" w:space="0" w:color="auto"/>
        <w:left w:val="none" w:sz="0" w:space="0" w:color="auto"/>
        <w:bottom w:val="none" w:sz="0" w:space="0" w:color="auto"/>
        <w:right w:val="none" w:sz="0" w:space="0" w:color="auto"/>
      </w:divBdr>
    </w:div>
    <w:div w:id="731737570">
      <w:bodyDiv w:val="1"/>
      <w:marLeft w:val="0"/>
      <w:marRight w:val="0"/>
      <w:marTop w:val="0"/>
      <w:marBottom w:val="0"/>
      <w:divBdr>
        <w:top w:val="none" w:sz="0" w:space="0" w:color="auto"/>
        <w:left w:val="none" w:sz="0" w:space="0" w:color="auto"/>
        <w:bottom w:val="none" w:sz="0" w:space="0" w:color="auto"/>
        <w:right w:val="none" w:sz="0" w:space="0" w:color="auto"/>
      </w:divBdr>
    </w:div>
    <w:div w:id="739447168">
      <w:bodyDiv w:val="1"/>
      <w:marLeft w:val="0"/>
      <w:marRight w:val="0"/>
      <w:marTop w:val="0"/>
      <w:marBottom w:val="0"/>
      <w:divBdr>
        <w:top w:val="none" w:sz="0" w:space="0" w:color="auto"/>
        <w:left w:val="none" w:sz="0" w:space="0" w:color="auto"/>
        <w:bottom w:val="none" w:sz="0" w:space="0" w:color="auto"/>
        <w:right w:val="none" w:sz="0" w:space="0" w:color="auto"/>
      </w:divBdr>
    </w:div>
    <w:div w:id="742292718">
      <w:bodyDiv w:val="1"/>
      <w:marLeft w:val="0"/>
      <w:marRight w:val="0"/>
      <w:marTop w:val="0"/>
      <w:marBottom w:val="0"/>
      <w:divBdr>
        <w:top w:val="none" w:sz="0" w:space="0" w:color="auto"/>
        <w:left w:val="none" w:sz="0" w:space="0" w:color="auto"/>
        <w:bottom w:val="none" w:sz="0" w:space="0" w:color="auto"/>
        <w:right w:val="none" w:sz="0" w:space="0" w:color="auto"/>
      </w:divBdr>
    </w:div>
    <w:div w:id="755521794">
      <w:bodyDiv w:val="1"/>
      <w:marLeft w:val="0"/>
      <w:marRight w:val="0"/>
      <w:marTop w:val="0"/>
      <w:marBottom w:val="0"/>
      <w:divBdr>
        <w:top w:val="none" w:sz="0" w:space="0" w:color="auto"/>
        <w:left w:val="none" w:sz="0" w:space="0" w:color="auto"/>
        <w:bottom w:val="none" w:sz="0" w:space="0" w:color="auto"/>
        <w:right w:val="none" w:sz="0" w:space="0" w:color="auto"/>
      </w:divBdr>
    </w:div>
    <w:div w:id="756756638">
      <w:bodyDiv w:val="1"/>
      <w:marLeft w:val="0"/>
      <w:marRight w:val="0"/>
      <w:marTop w:val="0"/>
      <w:marBottom w:val="0"/>
      <w:divBdr>
        <w:top w:val="none" w:sz="0" w:space="0" w:color="auto"/>
        <w:left w:val="none" w:sz="0" w:space="0" w:color="auto"/>
        <w:bottom w:val="none" w:sz="0" w:space="0" w:color="auto"/>
        <w:right w:val="none" w:sz="0" w:space="0" w:color="auto"/>
      </w:divBdr>
    </w:div>
    <w:div w:id="763108347">
      <w:bodyDiv w:val="1"/>
      <w:marLeft w:val="0"/>
      <w:marRight w:val="0"/>
      <w:marTop w:val="0"/>
      <w:marBottom w:val="0"/>
      <w:divBdr>
        <w:top w:val="none" w:sz="0" w:space="0" w:color="auto"/>
        <w:left w:val="none" w:sz="0" w:space="0" w:color="auto"/>
        <w:bottom w:val="none" w:sz="0" w:space="0" w:color="auto"/>
        <w:right w:val="none" w:sz="0" w:space="0" w:color="auto"/>
      </w:divBdr>
    </w:div>
    <w:div w:id="779179390">
      <w:bodyDiv w:val="1"/>
      <w:marLeft w:val="0"/>
      <w:marRight w:val="0"/>
      <w:marTop w:val="0"/>
      <w:marBottom w:val="0"/>
      <w:divBdr>
        <w:top w:val="none" w:sz="0" w:space="0" w:color="auto"/>
        <w:left w:val="none" w:sz="0" w:space="0" w:color="auto"/>
        <w:bottom w:val="none" w:sz="0" w:space="0" w:color="auto"/>
        <w:right w:val="none" w:sz="0" w:space="0" w:color="auto"/>
      </w:divBdr>
    </w:div>
    <w:div w:id="788889494">
      <w:bodyDiv w:val="1"/>
      <w:marLeft w:val="0"/>
      <w:marRight w:val="0"/>
      <w:marTop w:val="0"/>
      <w:marBottom w:val="0"/>
      <w:divBdr>
        <w:top w:val="none" w:sz="0" w:space="0" w:color="auto"/>
        <w:left w:val="none" w:sz="0" w:space="0" w:color="auto"/>
        <w:bottom w:val="none" w:sz="0" w:space="0" w:color="auto"/>
        <w:right w:val="none" w:sz="0" w:space="0" w:color="auto"/>
      </w:divBdr>
    </w:div>
    <w:div w:id="789592701">
      <w:bodyDiv w:val="1"/>
      <w:marLeft w:val="0"/>
      <w:marRight w:val="0"/>
      <w:marTop w:val="0"/>
      <w:marBottom w:val="0"/>
      <w:divBdr>
        <w:top w:val="none" w:sz="0" w:space="0" w:color="auto"/>
        <w:left w:val="none" w:sz="0" w:space="0" w:color="auto"/>
        <w:bottom w:val="none" w:sz="0" w:space="0" w:color="auto"/>
        <w:right w:val="none" w:sz="0" w:space="0" w:color="auto"/>
      </w:divBdr>
    </w:div>
    <w:div w:id="793909885">
      <w:bodyDiv w:val="1"/>
      <w:marLeft w:val="0"/>
      <w:marRight w:val="0"/>
      <w:marTop w:val="0"/>
      <w:marBottom w:val="0"/>
      <w:divBdr>
        <w:top w:val="none" w:sz="0" w:space="0" w:color="auto"/>
        <w:left w:val="none" w:sz="0" w:space="0" w:color="auto"/>
        <w:bottom w:val="none" w:sz="0" w:space="0" w:color="auto"/>
        <w:right w:val="none" w:sz="0" w:space="0" w:color="auto"/>
      </w:divBdr>
    </w:div>
    <w:div w:id="794249941">
      <w:bodyDiv w:val="1"/>
      <w:marLeft w:val="0"/>
      <w:marRight w:val="0"/>
      <w:marTop w:val="0"/>
      <w:marBottom w:val="0"/>
      <w:divBdr>
        <w:top w:val="none" w:sz="0" w:space="0" w:color="auto"/>
        <w:left w:val="none" w:sz="0" w:space="0" w:color="auto"/>
        <w:bottom w:val="none" w:sz="0" w:space="0" w:color="auto"/>
        <w:right w:val="none" w:sz="0" w:space="0" w:color="auto"/>
      </w:divBdr>
    </w:div>
    <w:div w:id="797913347">
      <w:bodyDiv w:val="1"/>
      <w:marLeft w:val="0"/>
      <w:marRight w:val="0"/>
      <w:marTop w:val="0"/>
      <w:marBottom w:val="0"/>
      <w:divBdr>
        <w:top w:val="none" w:sz="0" w:space="0" w:color="auto"/>
        <w:left w:val="none" w:sz="0" w:space="0" w:color="auto"/>
        <w:bottom w:val="none" w:sz="0" w:space="0" w:color="auto"/>
        <w:right w:val="none" w:sz="0" w:space="0" w:color="auto"/>
      </w:divBdr>
    </w:div>
    <w:div w:id="798959094">
      <w:bodyDiv w:val="1"/>
      <w:marLeft w:val="0"/>
      <w:marRight w:val="0"/>
      <w:marTop w:val="0"/>
      <w:marBottom w:val="0"/>
      <w:divBdr>
        <w:top w:val="none" w:sz="0" w:space="0" w:color="auto"/>
        <w:left w:val="none" w:sz="0" w:space="0" w:color="auto"/>
        <w:bottom w:val="none" w:sz="0" w:space="0" w:color="auto"/>
        <w:right w:val="none" w:sz="0" w:space="0" w:color="auto"/>
      </w:divBdr>
    </w:div>
    <w:div w:id="802187794">
      <w:bodyDiv w:val="1"/>
      <w:marLeft w:val="0"/>
      <w:marRight w:val="0"/>
      <w:marTop w:val="0"/>
      <w:marBottom w:val="0"/>
      <w:divBdr>
        <w:top w:val="none" w:sz="0" w:space="0" w:color="auto"/>
        <w:left w:val="none" w:sz="0" w:space="0" w:color="auto"/>
        <w:bottom w:val="none" w:sz="0" w:space="0" w:color="auto"/>
        <w:right w:val="none" w:sz="0" w:space="0" w:color="auto"/>
      </w:divBdr>
    </w:div>
    <w:div w:id="803811966">
      <w:bodyDiv w:val="1"/>
      <w:marLeft w:val="0"/>
      <w:marRight w:val="0"/>
      <w:marTop w:val="0"/>
      <w:marBottom w:val="0"/>
      <w:divBdr>
        <w:top w:val="none" w:sz="0" w:space="0" w:color="auto"/>
        <w:left w:val="none" w:sz="0" w:space="0" w:color="auto"/>
        <w:bottom w:val="none" w:sz="0" w:space="0" w:color="auto"/>
        <w:right w:val="none" w:sz="0" w:space="0" w:color="auto"/>
      </w:divBdr>
    </w:div>
    <w:div w:id="807086274">
      <w:bodyDiv w:val="1"/>
      <w:marLeft w:val="0"/>
      <w:marRight w:val="0"/>
      <w:marTop w:val="0"/>
      <w:marBottom w:val="0"/>
      <w:divBdr>
        <w:top w:val="none" w:sz="0" w:space="0" w:color="auto"/>
        <w:left w:val="none" w:sz="0" w:space="0" w:color="auto"/>
        <w:bottom w:val="none" w:sz="0" w:space="0" w:color="auto"/>
        <w:right w:val="none" w:sz="0" w:space="0" w:color="auto"/>
      </w:divBdr>
    </w:div>
    <w:div w:id="808521299">
      <w:bodyDiv w:val="1"/>
      <w:marLeft w:val="0"/>
      <w:marRight w:val="0"/>
      <w:marTop w:val="0"/>
      <w:marBottom w:val="0"/>
      <w:divBdr>
        <w:top w:val="none" w:sz="0" w:space="0" w:color="auto"/>
        <w:left w:val="none" w:sz="0" w:space="0" w:color="auto"/>
        <w:bottom w:val="none" w:sz="0" w:space="0" w:color="auto"/>
        <w:right w:val="none" w:sz="0" w:space="0" w:color="auto"/>
      </w:divBdr>
    </w:div>
    <w:div w:id="811411508">
      <w:bodyDiv w:val="1"/>
      <w:marLeft w:val="0"/>
      <w:marRight w:val="0"/>
      <w:marTop w:val="0"/>
      <w:marBottom w:val="0"/>
      <w:divBdr>
        <w:top w:val="none" w:sz="0" w:space="0" w:color="auto"/>
        <w:left w:val="none" w:sz="0" w:space="0" w:color="auto"/>
        <w:bottom w:val="none" w:sz="0" w:space="0" w:color="auto"/>
        <w:right w:val="none" w:sz="0" w:space="0" w:color="auto"/>
      </w:divBdr>
    </w:div>
    <w:div w:id="817577786">
      <w:bodyDiv w:val="1"/>
      <w:marLeft w:val="0"/>
      <w:marRight w:val="0"/>
      <w:marTop w:val="0"/>
      <w:marBottom w:val="0"/>
      <w:divBdr>
        <w:top w:val="none" w:sz="0" w:space="0" w:color="auto"/>
        <w:left w:val="none" w:sz="0" w:space="0" w:color="auto"/>
        <w:bottom w:val="none" w:sz="0" w:space="0" w:color="auto"/>
        <w:right w:val="none" w:sz="0" w:space="0" w:color="auto"/>
      </w:divBdr>
    </w:div>
    <w:div w:id="817956651">
      <w:bodyDiv w:val="1"/>
      <w:marLeft w:val="0"/>
      <w:marRight w:val="0"/>
      <w:marTop w:val="0"/>
      <w:marBottom w:val="0"/>
      <w:divBdr>
        <w:top w:val="none" w:sz="0" w:space="0" w:color="auto"/>
        <w:left w:val="none" w:sz="0" w:space="0" w:color="auto"/>
        <w:bottom w:val="none" w:sz="0" w:space="0" w:color="auto"/>
        <w:right w:val="none" w:sz="0" w:space="0" w:color="auto"/>
      </w:divBdr>
    </w:div>
    <w:div w:id="826479225">
      <w:bodyDiv w:val="1"/>
      <w:marLeft w:val="0"/>
      <w:marRight w:val="0"/>
      <w:marTop w:val="0"/>
      <w:marBottom w:val="0"/>
      <w:divBdr>
        <w:top w:val="none" w:sz="0" w:space="0" w:color="auto"/>
        <w:left w:val="none" w:sz="0" w:space="0" w:color="auto"/>
        <w:bottom w:val="none" w:sz="0" w:space="0" w:color="auto"/>
        <w:right w:val="none" w:sz="0" w:space="0" w:color="auto"/>
      </w:divBdr>
    </w:div>
    <w:div w:id="827789423">
      <w:bodyDiv w:val="1"/>
      <w:marLeft w:val="0"/>
      <w:marRight w:val="0"/>
      <w:marTop w:val="0"/>
      <w:marBottom w:val="0"/>
      <w:divBdr>
        <w:top w:val="none" w:sz="0" w:space="0" w:color="auto"/>
        <w:left w:val="none" w:sz="0" w:space="0" w:color="auto"/>
        <w:bottom w:val="none" w:sz="0" w:space="0" w:color="auto"/>
        <w:right w:val="none" w:sz="0" w:space="0" w:color="auto"/>
      </w:divBdr>
    </w:div>
    <w:div w:id="828907122">
      <w:bodyDiv w:val="1"/>
      <w:marLeft w:val="0"/>
      <w:marRight w:val="0"/>
      <w:marTop w:val="0"/>
      <w:marBottom w:val="0"/>
      <w:divBdr>
        <w:top w:val="none" w:sz="0" w:space="0" w:color="auto"/>
        <w:left w:val="none" w:sz="0" w:space="0" w:color="auto"/>
        <w:bottom w:val="none" w:sz="0" w:space="0" w:color="auto"/>
        <w:right w:val="none" w:sz="0" w:space="0" w:color="auto"/>
      </w:divBdr>
    </w:div>
    <w:div w:id="830944435">
      <w:bodyDiv w:val="1"/>
      <w:marLeft w:val="0"/>
      <w:marRight w:val="0"/>
      <w:marTop w:val="0"/>
      <w:marBottom w:val="0"/>
      <w:divBdr>
        <w:top w:val="none" w:sz="0" w:space="0" w:color="auto"/>
        <w:left w:val="none" w:sz="0" w:space="0" w:color="auto"/>
        <w:bottom w:val="none" w:sz="0" w:space="0" w:color="auto"/>
        <w:right w:val="none" w:sz="0" w:space="0" w:color="auto"/>
      </w:divBdr>
    </w:div>
    <w:div w:id="834496542">
      <w:bodyDiv w:val="1"/>
      <w:marLeft w:val="0"/>
      <w:marRight w:val="0"/>
      <w:marTop w:val="0"/>
      <w:marBottom w:val="0"/>
      <w:divBdr>
        <w:top w:val="none" w:sz="0" w:space="0" w:color="auto"/>
        <w:left w:val="none" w:sz="0" w:space="0" w:color="auto"/>
        <w:bottom w:val="none" w:sz="0" w:space="0" w:color="auto"/>
        <w:right w:val="none" w:sz="0" w:space="0" w:color="auto"/>
      </w:divBdr>
    </w:div>
    <w:div w:id="846752512">
      <w:bodyDiv w:val="1"/>
      <w:marLeft w:val="0"/>
      <w:marRight w:val="0"/>
      <w:marTop w:val="0"/>
      <w:marBottom w:val="0"/>
      <w:divBdr>
        <w:top w:val="none" w:sz="0" w:space="0" w:color="auto"/>
        <w:left w:val="none" w:sz="0" w:space="0" w:color="auto"/>
        <w:bottom w:val="none" w:sz="0" w:space="0" w:color="auto"/>
        <w:right w:val="none" w:sz="0" w:space="0" w:color="auto"/>
      </w:divBdr>
    </w:div>
    <w:div w:id="847795241">
      <w:bodyDiv w:val="1"/>
      <w:marLeft w:val="0"/>
      <w:marRight w:val="0"/>
      <w:marTop w:val="0"/>
      <w:marBottom w:val="0"/>
      <w:divBdr>
        <w:top w:val="none" w:sz="0" w:space="0" w:color="auto"/>
        <w:left w:val="none" w:sz="0" w:space="0" w:color="auto"/>
        <w:bottom w:val="none" w:sz="0" w:space="0" w:color="auto"/>
        <w:right w:val="none" w:sz="0" w:space="0" w:color="auto"/>
      </w:divBdr>
    </w:div>
    <w:div w:id="859010792">
      <w:bodyDiv w:val="1"/>
      <w:marLeft w:val="0"/>
      <w:marRight w:val="0"/>
      <w:marTop w:val="0"/>
      <w:marBottom w:val="0"/>
      <w:divBdr>
        <w:top w:val="none" w:sz="0" w:space="0" w:color="auto"/>
        <w:left w:val="none" w:sz="0" w:space="0" w:color="auto"/>
        <w:bottom w:val="none" w:sz="0" w:space="0" w:color="auto"/>
        <w:right w:val="none" w:sz="0" w:space="0" w:color="auto"/>
      </w:divBdr>
    </w:div>
    <w:div w:id="868951430">
      <w:bodyDiv w:val="1"/>
      <w:marLeft w:val="0"/>
      <w:marRight w:val="0"/>
      <w:marTop w:val="0"/>
      <w:marBottom w:val="0"/>
      <w:divBdr>
        <w:top w:val="none" w:sz="0" w:space="0" w:color="auto"/>
        <w:left w:val="none" w:sz="0" w:space="0" w:color="auto"/>
        <w:bottom w:val="none" w:sz="0" w:space="0" w:color="auto"/>
        <w:right w:val="none" w:sz="0" w:space="0" w:color="auto"/>
      </w:divBdr>
    </w:div>
    <w:div w:id="871302474">
      <w:bodyDiv w:val="1"/>
      <w:marLeft w:val="0"/>
      <w:marRight w:val="0"/>
      <w:marTop w:val="0"/>
      <w:marBottom w:val="0"/>
      <w:divBdr>
        <w:top w:val="none" w:sz="0" w:space="0" w:color="auto"/>
        <w:left w:val="none" w:sz="0" w:space="0" w:color="auto"/>
        <w:bottom w:val="none" w:sz="0" w:space="0" w:color="auto"/>
        <w:right w:val="none" w:sz="0" w:space="0" w:color="auto"/>
      </w:divBdr>
    </w:div>
    <w:div w:id="872693525">
      <w:bodyDiv w:val="1"/>
      <w:marLeft w:val="0"/>
      <w:marRight w:val="0"/>
      <w:marTop w:val="0"/>
      <w:marBottom w:val="0"/>
      <w:divBdr>
        <w:top w:val="none" w:sz="0" w:space="0" w:color="auto"/>
        <w:left w:val="none" w:sz="0" w:space="0" w:color="auto"/>
        <w:bottom w:val="none" w:sz="0" w:space="0" w:color="auto"/>
        <w:right w:val="none" w:sz="0" w:space="0" w:color="auto"/>
      </w:divBdr>
    </w:div>
    <w:div w:id="875701928">
      <w:bodyDiv w:val="1"/>
      <w:marLeft w:val="0"/>
      <w:marRight w:val="0"/>
      <w:marTop w:val="0"/>
      <w:marBottom w:val="0"/>
      <w:divBdr>
        <w:top w:val="none" w:sz="0" w:space="0" w:color="auto"/>
        <w:left w:val="none" w:sz="0" w:space="0" w:color="auto"/>
        <w:bottom w:val="none" w:sz="0" w:space="0" w:color="auto"/>
        <w:right w:val="none" w:sz="0" w:space="0" w:color="auto"/>
      </w:divBdr>
    </w:div>
    <w:div w:id="880048813">
      <w:bodyDiv w:val="1"/>
      <w:marLeft w:val="0"/>
      <w:marRight w:val="0"/>
      <w:marTop w:val="0"/>
      <w:marBottom w:val="0"/>
      <w:divBdr>
        <w:top w:val="none" w:sz="0" w:space="0" w:color="auto"/>
        <w:left w:val="none" w:sz="0" w:space="0" w:color="auto"/>
        <w:bottom w:val="none" w:sz="0" w:space="0" w:color="auto"/>
        <w:right w:val="none" w:sz="0" w:space="0" w:color="auto"/>
      </w:divBdr>
    </w:div>
    <w:div w:id="885797319">
      <w:bodyDiv w:val="1"/>
      <w:marLeft w:val="0"/>
      <w:marRight w:val="0"/>
      <w:marTop w:val="0"/>
      <w:marBottom w:val="0"/>
      <w:divBdr>
        <w:top w:val="none" w:sz="0" w:space="0" w:color="auto"/>
        <w:left w:val="none" w:sz="0" w:space="0" w:color="auto"/>
        <w:bottom w:val="none" w:sz="0" w:space="0" w:color="auto"/>
        <w:right w:val="none" w:sz="0" w:space="0" w:color="auto"/>
      </w:divBdr>
    </w:div>
    <w:div w:id="899943499">
      <w:bodyDiv w:val="1"/>
      <w:marLeft w:val="0"/>
      <w:marRight w:val="0"/>
      <w:marTop w:val="0"/>
      <w:marBottom w:val="0"/>
      <w:divBdr>
        <w:top w:val="none" w:sz="0" w:space="0" w:color="auto"/>
        <w:left w:val="none" w:sz="0" w:space="0" w:color="auto"/>
        <w:bottom w:val="none" w:sz="0" w:space="0" w:color="auto"/>
        <w:right w:val="none" w:sz="0" w:space="0" w:color="auto"/>
      </w:divBdr>
    </w:div>
    <w:div w:id="909852677">
      <w:bodyDiv w:val="1"/>
      <w:marLeft w:val="0"/>
      <w:marRight w:val="0"/>
      <w:marTop w:val="0"/>
      <w:marBottom w:val="0"/>
      <w:divBdr>
        <w:top w:val="none" w:sz="0" w:space="0" w:color="auto"/>
        <w:left w:val="none" w:sz="0" w:space="0" w:color="auto"/>
        <w:bottom w:val="none" w:sz="0" w:space="0" w:color="auto"/>
        <w:right w:val="none" w:sz="0" w:space="0" w:color="auto"/>
      </w:divBdr>
    </w:div>
    <w:div w:id="924531060">
      <w:bodyDiv w:val="1"/>
      <w:marLeft w:val="0"/>
      <w:marRight w:val="0"/>
      <w:marTop w:val="0"/>
      <w:marBottom w:val="0"/>
      <w:divBdr>
        <w:top w:val="none" w:sz="0" w:space="0" w:color="auto"/>
        <w:left w:val="none" w:sz="0" w:space="0" w:color="auto"/>
        <w:bottom w:val="none" w:sz="0" w:space="0" w:color="auto"/>
        <w:right w:val="none" w:sz="0" w:space="0" w:color="auto"/>
      </w:divBdr>
    </w:div>
    <w:div w:id="932013445">
      <w:bodyDiv w:val="1"/>
      <w:marLeft w:val="0"/>
      <w:marRight w:val="0"/>
      <w:marTop w:val="0"/>
      <w:marBottom w:val="0"/>
      <w:divBdr>
        <w:top w:val="none" w:sz="0" w:space="0" w:color="auto"/>
        <w:left w:val="none" w:sz="0" w:space="0" w:color="auto"/>
        <w:bottom w:val="none" w:sz="0" w:space="0" w:color="auto"/>
        <w:right w:val="none" w:sz="0" w:space="0" w:color="auto"/>
      </w:divBdr>
    </w:div>
    <w:div w:id="936863604">
      <w:bodyDiv w:val="1"/>
      <w:marLeft w:val="0"/>
      <w:marRight w:val="0"/>
      <w:marTop w:val="0"/>
      <w:marBottom w:val="0"/>
      <w:divBdr>
        <w:top w:val="none" w:sz="0" w:space="0" w:color="auto"/>
        <w:left w:val="none" w:sz="0" w:space="0" w:color="auto"/>
        <w:bottom w:val="none" w:sz="0" w:space="0" w:color="auto"/>
        <w:right w:val="none" w:sz="0" w:space="0" w:color="auto"/>
      </w:divBdr>
    </w:div>
    <w:div w:id="943079095">
      <w:bodyDiv w:val="1"/>
      <w:marLeft w:val="0"/>
      <w:marRight w:val="0"/>
      <w:marTop w:val="0"/>
      <w:marBottom w:val="0"/>
      <w:divBdr>
        <w:top w:val="none" w:sz="0" w:space="0" w:color="auto"/>
        <w:left w:val="none" w:sz="0" w:space="0" w:color="auto"/>
        <w:bottom w:val="none" w:sz="0" w:space="0" w:color="auto"/>
        <w:right w:val="none" w:sz="0" w:space="0" w:color="auto"/>
      </w:divBdr>
    </w:div>
    <w:div w:id="953751077">
      <w:bodyDiv w:val="1"/>
      <w:marLeft w:val="0"/>
      <w:marRight w:val="0"/>
      <w:marTop w:val="0"/>
      <w:marBottom w:val="0"/>
      <w:divBdr>
        <w:top w:val="none" w:sz="0" w:space="0" w:color="auto"/>
        <w:left w:val="none" w:sz="0" w:space="0" w:color="auto"/>
        <w:bottom w:val="none" w:sz="0" w:space="0" w:color="auto"/>
        <w:right w:val="none" w:sz="0" w:space="0" w:color="auto"/>
      </w:divBdr>
    </w:div>
    <w:div w:id="960652474">
      <w:bodyDiv w:val="1"/>
      <w:marLeft w:val="0"/>
      <w:marRight w:val="0"/>
      <w:marTop w:val="0"/>
      <w:marBottom w:val="0"/>
      <w:divBdr>
        <w:top w:val="none" w:sz="0" w:space="0" w:color="auto"/>
        <w:left w:val="none" w:sz="0" w:space="0" w:color="auto"/>
        <w:bottom w:val="none" w:sz="0" w:space="0" w:color="auto"/>
        <w:right w:val="none" w:sz="0" w:space="0" w:color="auto"/>
      </w:divBdr>
    </w:div>
    <w:div w:id="962423836">
      <w:bodyDiv w:val="1"/>
      <w:marLeft w:val="0"/>
      <w:marRight w:val="0"/>
      <w:marTop w:val="0"/>
      <w:marBottom w:val="0"/>
      <w:divBdr>
        <w:top w:val="none" w:sz="0" w:space="0" w:color="auto"/>
        <w:left w:val="none" w:sz="0" w:space="0" w:color="auto"/>
        <w:bottom w:val="none" w:sz="0" w:space="0" w:color="auto"/>
        <w:right w:val="none" w:sz="0" w:space="0" w:color="auto"/>
      </w:divBdr>
    </w:div>
    <w:div w:id="966396990">
      <w:bodyDiv w:val="1"/>
      <w:marLeft w:val="0"/>
      <w:marRight w:val="0"/>
      <w:marTop w:val="0"/>
      <w:marBottom w:val="0"/>
      <w:divBdr>
        <w:top w:val="none" w:sz="0" w:space="0" w:color="auto"/>
        <w:left w:val="none" w:sz="0" w:space="0" w:color="auto"/>
        <w:bottom w:val="none" w:sz="0" w:space="0" w:color="auto"/>
        <w:right w:val="none" w:sz="0" w:space="0" w:color="auto"/>
      </w:divBdr>
    </w:div>
    <w:div w:id="970786440">
      <w:bodyDiv w:val="1"/>
      <w:marLeft w:val="0"/>
      <w:marRight w:val="0"/>
      <w:marTop w:val="0"/>
      <w:marBottom w:val="0"/>
      <w:divBdr>
        <w:top w:val="none" w:sz="0" w:space="0" w:color="auto"/>
        <w:left w:val="none" w:sz="0" w:space="0" w:color="auto"/>
        <w:bottom w:val="none" w:sz="0" w:space="0" w:color="auto"/>
        <w:right w:val="none" w:sz="0" w:space="0" w:color="auto"/>
      </w:divBdr>
    </w:div>
    <w:div w:id="972949908">
      <w:bodyDiv w:val="1"/>
      <w:marLeft w:val="0"/>
      <w:marRight w:val="0"/>
      <w:marTop w:val="0"/>
      <w:marBottom w:val="0"/>
      <w:divBdr>
        <w:top w:val="none" w:sz="0" w:space="0" w:color="auto"/>
        <w:left w:val="none" w:sz="0" w:space="0" w:color="auto"/>
        <w:bottom w:val="none" w:sz="0" w:space="0" w:color="auto"/>
        <w:right w:val="none" w:sz="0" w:space="0" w:color="auto"/>
      </w:divBdr>
    </w:div>
    <w:div w:id="973675340">
      <w:bodyDiv w:val="1"/>
      <w:marLeft w:val="0"/>
      <w:marRight w:val="0"/>
      <w:marTop w:val="0"/>
      <w:marBottom w:val="0"/>
      <w:divBdr>
        <w:top w:val="none" w:sz="0" w:space="0" w:color="auto"/>
        <w:left w:val="none" w:sz="0" w:space="0" w:color="auto"/>
        <w:bottom w:val="none" w:sz="0" w:space="0" w:color="auto"/>
        <w:right w:val="none" w:sz="0" w:space="0" w:color="auto"/>
      </w:divBdr>
    </w:div>
    <w:div w:id="981472094">
      <w:bodyDiv w:val="1"/>
      <w:marLeft w:val="0"/>
      <w:marRight w:val="0"/>
      <w:marTop w:val="0"/>
      <w:marBottom w:val="0"/>
      <w:divBdr>
        <w:top w:val="none" w:sz="0" w:space="0" w:color="auto"/>
        <w:left w:val="none" w:sz="0" w:space="0" w:color="auto"/>
        <w:bottom w:val="none" w:sz="0" w:space="0" w:color="auto"/>
        <w:right w:val="none" w:sz="0" w:space="0" w:color="auto"/>
      </w:divBdr>
    </w:div>
    <w:div w:id="987367203">
      <w:bodyDiv w:val="1"/>
      <w:marLeft w:val="0"/>
      <w:marRight w:val="0"/>
      <w:marTop w:val="0"/>
      <w:marBottom w:val="0"/>
      <w:divBdr>
        <w:top w:val="none" w:sz="0" w:space="0" w:color="auto"/>
        <w:left w:val="none" w:sz="0" w:space="0" w:color="auto"/>
        <w:bottom w:val="none" w:sz="0" w:space="0" w:color="auto"/>
        <w:right w:val="none" w:sz="0" w:space="0" w:color="auto"/>
      </w:divBdr>
    </w:div>
    <w:div w:id="989749431">
      <w:bodyDiv w:val="1"/>
      <w:marLeft w:val="0"/>
      <w:marRight w:val="0"/>
      <w:marTop w:val="0"/>
      <w:marBottom w:val="0"/>
      <w:divBdr>
        <w:top w:val="none" w:sz="0" w:space="0" w:color="auto"/>
        <w:left w:val="none" w:sz="0" w:space="0" w:color="auto"/>
        <w:bottom w:val="none" w:sz="0" w:space="0" w:color="auto"/>
        <w:right w:val="none" w:sz="0" w:space="0" w:color="auto"/>
      </w:divBdr>
    </w:div>
    <w:div w:id="999581164">
      <w:bodyDiv w:val="1"/>
      <w:marLeft w:val="0"/>
      <w:marRight w:val="0"/>
      <w:marTop w:val="0"/>
      <w:marBottom w:val="0"/>
      <w:divBdr>
        <w:top w:val="none" w:sz="0" w:space="0" w:color="auto"/>
        <w:left w:val="none" w:sz="0" w:space="0" w:color="auto"/>
        <w:bottom w:val="none" w:sz="0" w:space="0" w:color="auto"/>
        <w:right w:val="none" w:sz="0" w:space="0" w:color="auto"/>
      </w:divBdr>
    </w:div>
    <w:div w:id="1000474311">
      <w:bodyDiv w:val="1"/>
      <w:marLeft w:val="0"/>
      <w:marRight w:val="0"/>
      <w:marTop w:val="0"/>
      <w:marBottom w:val="0"/>
      <w:divBdr>
        <w:top w:val="none" w:sz="0" w:space="0" w:color="auto"/>
        <w:left w:val="none" w:sz="0" w:space="0" w:color="auto"/>
        <w:bottom w:val="none" w:sz="0" w:space="0" w:color="auto"/>
        <w:right w:val="none" w:sz="0" w:space="0" w:color="auto"/>
      </w:divBdr>
    </w:div>
    <w:div w:id="1008290764">
      <w:bodyDiv w:val="1"/>
      <w:marLeft w:val="0"/>
      <w:marRight w:val="0"/>
      <w:marTop w:val="0"/>
      <w:marBottom w:val="0"/>
      <w:divBdr>
        <w:top w:val="none" w:sz="0" w:space="0" w:color="auto"/>
        <w:left w:val="none" w:sz="0" w:space="0" w:color="auto"/>
        <w:bottom w:val="none" w:sz="0" w:space="0" w:color="auto"/>
        <w:right w:val="none" w:sz="0" w:space="0" w:color="auto"/>
      </w:divBdr>
    </w:div>
    <w:div w:id="1011644656">
      <w:bodyDiv w:val="1"/>
      <w:marLeft w:val="0"/>
      <w:marRight w:val="0"/>
      <w:marTop w:val="0"/>
      <w:marBottom w:val="0"/>
      <w:divBdr>
        <w:top w:val="none" w:sz="0" w:space="0" w:color="auto"/>
        <w:left w:val="none" w:sz="0" w:space="0" w:color="auto"/>
        <w:bottom w:val="none" w:sz="0" w:space="0" w:color="auto"/>
        <w:right w:val="none" w:sz="0" w:space="0" w:color="auto"/>
      </w:divBdr>
    </w:div>
    <w:div w:id="1037119189">
      <w:bodyDiv w:val="1"/>
      <w:marLeft w:val="0"/>
      <w:marRight w:val="0"/>
      <w:marTop w:val="0"/>
      <w:marBottom w:val="0"/>
      <w:divBdr>
        <w:top w:val="none" w:sz="0" w:space="0" w:color="auto"/>
        <w:left w:val="none" w:sz="0" w:space="0" w:color="auto"/>
        <w:bottom w:val="none" w:sz="0" w:space="0" w:color="auto"/>
        <w:right w:val="none" w:sz="0" w:space="0" w:color="auto"/>
      </w:divBdr>
    </w:div>
    <w:div w:id="1040861902">
      <w:bodyDiv w:val="1"/>
      <w:marLeft w:val="0"/>
      <w:marRight w:val="0"/>
      <w:marTop w:val="0"/>
      <w:marBottom w:val="0"/>
      <w:divBdr>
        <w:top w:val="none" w:sz="0" w:space="0" w:color="auto"/>
        <w:left w:val="none" w:sz="0" w:space="0" w:color="auto"/>
        <w:bottom w:val="none" w:sz="0" w:space="0" w:color="auto"/>
        <w:right w:val="none" w:sz="0" w:space="0" w:color="auto"/>
      </w:divBdr>
    </w:div>
    <w:div w:id="1046105080">
      <w:bodyDiv w:val="1"/>
      <w:marLeft w:val="0"/>
      <w:marRight w:val="0"/>
      <w:marTop w:val="0"/>
      <w:marBottom w:val="0"/>
      <w:divBdr>
        <w:top w:val="none" w:sz="0" w:space="0" w:color="auto"/>
        <w:left w:val="none" w:sz="0" w:space="0" w:color="auto"/>
        <w:bottom w:val="none" w:sz="0" w:space="0" w:color="auto"/>
        <w:right w:val="none" w:sz="0" w:space="0" w:color="auto"/>
      </w:divBdr>
    </w:div>
    <w:div w:id="1049454577">
      <w:bodyDiv w:val="1"/>
      <w:marLeft w:val="0"/>
      <w:marRight w:val="0"/>
      <w:marTop w:val="0"/>
      <w:marBottom w:val="0"/>
      <w:divBdr>
        <w:top w:val="none" w:sz="0" w:space="0" w:color="auto"/>
        <w:left w:val="none" w:sz="0" w:space="0" w:color="auto"/>
        <w:bottom w:val="none" w:sz="0" w:space="0" w:color="auto"/>
        <w:right w:val="none" w:sz="0" w:space="0" w:color="auto"/>
      </w:divBdr>
    </w:div>
    <w:div w:id="1050302328">
      <w:bodyDiv w:val="1"/>
      <w:marLeft w:val="0"/>
      <w:marRight w:val="0"/>
      <w:marTop w:val="0"/>
      <w:marBottom w:val="0"/>
      <w:divBdr>
        <w:top w:val="none" w:sz="0" w:space="0" w:color="auto"/>
        <w:left w:val="none" w:sz="0" w:space="0" w:color="auto"/>
        <w:bottom w:val="none" w:sz="0" w:space="0" w:color="auto"/>
        <w:right w:val="none" w:sz="0" w:space="0" w:color="auto"/>
      </w:divBdr>
    </w:div>
    <w:div w:id="1053188833">
      <w:bodyDiv w:val="1"/>
      <w:marLeft w:val="0"/>
      <w:marRight w:val="0"/>
      <w:marTop w:val="0"/>
      <w:marBottom w:val="0"/>
      <w:divBdr>
        <w:top w:val="none" w:sz="0" w:space="0" w:color="auto"/>
        <w:left w:val="none" w:sz="0" w:space="0" w:color="auto"/>
        <w:bottom w:val="none" w:sz="0" w:space="0" w:color="auto"/>
        <w:right w:val="none" w:sz="0" w:space="0" w:color="auto"/>
      </w:divBdr>
    </w:div>
    <w:div w:id="1054696146">
      <w:bodyDiv w:val="1"/>
      <w:marLeft w:val="0"/>
      <w:marRight w:val="0"/>
      <w:marTop w:val="0"/>
      <w:marBottom w:val="0"/>
      <w:divBdr>
        <w:top w:val="none" w:sz="0" w:space="0" w:color="auto"/>
        <w:left w:val="none" w:sz="0" w:space="0" w:color="auto"/>
        <w:bottom w:val="none" w:sz="0" w:space="0" w:color="auto"/>
        <w:right w:val="none" w:sz="0" w:space="0" w:color="auto"/>
      </w:divBdr>
    </w:div>
    <w:div w:id="1065763036">
      <w:bodyDiv w:val="1"/>
      <w:marLeft w:val="0"/>
      <w:marRight w:val="0"/>
      <w:marTop w:val="0"/>
      <w:marBottom w:val="0"/>
      <w:divBdr>
        <w:top w:val="none" w:sz="0" w:space="0" w:color="auto"/>
        <w:left w:val="none" w:sz="0" w:space="0" w:color="auto"/>
        <w:bottom w:val="none" w:sz="0" w:space="0" w:color="auto"/>
        <w:right w:val="none" w:sz="0" w:space="0" w:color="auto"/>
      </w:divBdr>
    </w:div>
    <w:div w:id="1073090431">
      <w:bodyDiv w:val="1"/>
      <w:marLeft w:val="0"/>
      <w:marRight w:val="0"/>
      <w:marTop w:val="0"/>
      <w:marBottom w:val="0"/>
      <w:divBdr>
        <w:top w:val="none" w:sz="0" w:space="0" w:color="auto"/>
        <w:left w:val="none" w:sz="0" w:space="0" w:color="auto"/>
        <w:bottom w:val="none" w:sz="0" w:space="0" w:color="auto"/>
        <w:right w:val="none" w:sz="0" w:space="0" w:color="auto"/>
      </w:divBdr>
    </w:div>
    <w:div w:id="1073158895">
      <w:bodyDiv w:val="1"/>
      <w:marLeft w:val="0"/>
      <w:marRight w:val="0"/>
      <w:marTop w:val="0"/>
      <w:marBottom w:val="0"/>
      <w:divBdr>
        <w:top w:val="none" w:sz="0" w:space="0" w:color="auto"/>
        <w:left w:val="none" w:sz="0" w:space="0" w:color="auto"/>
        <w:bottom w:val="none" w:sz="0" w:space="0" w:color="auto"/>
        <w:right w:val="none" w:sz="0" w:space="0" w:color="auto"/>
      </w:divBdr>
    </w:div>
    <w:div w:id="1078747958">
      <w:bodyDiv w:val="1"/>
      <w:marLeft w:val="0"/>
      <w:marRight w:val="0"/>
      <w:marTop w:val="0"/>
      <w:marBottom w:val="0"/>
      <w:divBdr>
        <w:top w:val="none" w:sz="0" w:space="0" w:color="auto"/>
        <w:left w:val="none" w:sz="0" w:space="0" w:color="auto"/>
        <w:bottom w:val="none" w:sz="0" w:space="0" w:color="auto"/>
        <w:right w:val="none" w:sz="0" w:space="0" w:color="auto"/>
      </w:divBdr>
    </w:div>
    <w:div w:id="1090584892">
      <w:bodyDiv w:val="1"/>
      <w:marLeft w:val="0"/>
      <w:marRight w:val="0"/>
      <w:marTop w:val="0"/>
      <w:marBottom w:val="0"/>
      <w:divBdr>
        <w:top w:val="none" w:sz="0" w:space="0" w:color="auto"/>
        <w:left w:val="none" w:sz="0" w:space="0" w:color="auto"/>
        <w:bottom w:val="none" w:sz="0" w:space="0" w:color="auto"/>
        <w:right w:val="none" w:sz="0" w:space="0" w:color="auto"/>
      </w:divBdr>
    </w:div>
    <w:div w:id="1091856412">
      <w:bodyDiv w:val="1"/>
      <w:marLeft w:val="0"/>
      <w:marRight w:val="0"/>
      <w:marTop w:val="0"/>
      <w:marBottom w:val="0"/>
      <w:divBdr>
        <w:top w:val="none" w:sz="0" w:space="0" w:color="auto"/>
        <w:left w:val="none" w:sz="0" w:space="0" w:color="auto"/>
        <w:bottom w:val="none" w:sz="0" w:space="0" w:color="auto"/>
        <w:right w:val="none" w:sz="0" w:space="0" w:color="auto"/>
      </w:divBdr>
    </w:div>
    <w:div w:id="1094787005">
      <w:bodyDiv w:val="1"/>
      <w:marLeft w:val="0"/>
      <w:marRight w:val="0"/>
      <w:marTop w:val="0"/>
      <w:marBottom w:val="0"/>
      <w:divBdr>
        <w:top w:val="none" w:sz="0" w:space="0" w:color="auto"/>
        <w:left w:val="none" w:sz="0" w:space="0" w:color="auto"/>
        <w:bottom w:val="none" w:sz="0" w:space="0" w:color="auto"/>
        <w:right w:val="none" w:sz="0" w:space="0" w:color="auto"/>
      </w:divBdr>
    </w:div>
    <w:div w:id="1095200655">
      <w:bodyDiv w:val="1"/>
      <w:marLeft w:val="0"/>
      <w:marRight w:val="0"/>
      <w:marTop w:val="0"/>
      <w:marBottom w:val="0"/>
      <w:divBdr>
        <w:top w:val="none" w:sz="0" w:space="0" w:color="auto"/>
        <w:left w:val="none" w:sz="0" w:space="0" w:color="auto"/>
        <w:bottom w:val="none" w:sz="0" w:space="0" w:color="auto"/>
        <w:right w:val="none" w:sz="0" w:space="0" w:color="auto"/>
      </w:divBdr>
    </w:div>
    <w:div w:id="1096176705">
      <w:bodyDiv w:val="1"/>
      <w:marLeft w:val="0"/>
      <w:marRight w:val="0"/>
      <w:marTop w:val="0"/>
      <w:marBottom w:val="0"/>
      <w:divBdr>
        <w:top w:val="none" w:sz="0" w:space="0" w:color="auto"/>
        <w:left w:val="none" w:sz="0" w:space="0" w:color="auto"/>
        <w:bottom w:val="none" w:sz="0" w:space="0" w:color="auto"/>
        <w:right w:val="none" w:sz="0" w:space="0" w:color="auto"/>
      </w:divBdr>
    </w:div>
    <w:div w:id="1121344182">
      <w:bodyDiv w:val="1"/>
      <w:marLeft w:val="0"/>
      <w:marRight w:val="0"/>
      <w:marTop w:val="0"/>
      <w:marBottom w:val="0"/>
      <w:divBdr>
        <w:top w:val="none" w:sz="0" w:space="0" w:color="auto"/>
        <w:left w:val="none" w:sz="0" w:space="0" w:color="auto"/>
        <w:bottom w:val="none" w:sz="0" w:space="0" w:color="auto"/>
        <w:right w:val="none" w:sz="0" w:space="0" w:color="auto"/>
      </w:divBdr>
    </w:div>
    <w:div w:id="1121917543">
      <w:bodyDiv w:val="1"/>
      <w:marLeft w:val="0"/>
      <w:marRight w:val="0"/>
      <w:marTop w:val="0"/>
      <w:marBottom w:val="0"/>
      <w:divBdr>
        <w:top w:val="none" w:sz="0" w:space="0" w:color="auto"/>
        <w:left w:val="none" w:sz="0" w:space="0" w:color="auto"/>
        <w:bottom w:val="none" w:sz="0" w:space="0" w:color="auto"/>
        <w:right w:val="none" w:sz="0" w:space="0" w:color="auto"/>
      </w:divBdr>
    </w:div>
    <w:div w:id="1142847260">
      <w:bodyDiv w:val="1"/>
      <w:marLeft w:val="0"/>
      <w:marRight w:val="0"/>
      <w:marTop w:val="0"/>
      <w:marBottom w:val="0"/>
      <w:divBdr>
        <w:top w:val="none" w:sz="0" w:space="0" w:color="auto"/>
        <w:left w:val="none" w:sz="0" w:space="0" w:color="auto"/>
        <w:bottom w:val="none" w:sz="0" w:space="0" w:color="auto"/>
        <w:right w:val="none" w:sz="0" w:space="0" w:color="auto"/>
      </w:divBdr>
    </w:div>
    <w:div w:id="1145855865">
      <w:bodyDiv w:val="1"/>
      <w:marLeft w:val="0"/>
      <w:marRight w:val="0"/>
      <w:marTop w:val="0"/>
      <w:marBottom w:val="0"/>
      <w:divBdr>
        <w:top w:val="none" w:sz="0" w:space="0" w:color="auto"/>
        <w:left w:val="none" w:sz="0" w:space="0" w:color="auto"/>
        <w:bottom w:val="none" w:sz="0" w:space="0" w:color="auto"/>
        <w:right w:val="none" w:sz="0" w:space="0" w:color="auto"/>
      </w:divBdr>
    </w:div>
    <w:div w:id="1159495146">
      <w:bodyDiv w:val="1"/>
      <w:marLeft w:val="0"/>
      <w:marRight w:val="0"/>
      <w:marTop w:val="0"/>
      <w:marBottom w:val="0"/>
      <w:divBdr>
        <w:top w:val="none" w:sz="0" w:space="0" w:color="auto"/>
        <w:left w:val="none" w:sz="0" w:space="0" w:color="auto"/>
        <w:bottom w:val="none" w:sz="0" w:space="0" w:color="auto"/>
        <w:right w:val="none" w:sz="0" w:space="0" w:color="auto"/>
      </w:divBdr>
    </w:div>
    <w:div w:id="1164514788">
      <w:bodyDiv w:val="1"/>
      <w:marLeft w:val="0"/>
      <w:marRight w:val="0"/>
      <w:marTop w:val="0"/>
      <w:marBottom w:val="0"/>
      <w:divBdr>
        <w:top w:val="none" w:sz="0" w:space="0" w:color="auto"/>
        <w:left w:val="none" w:sz="0" w:space="0" w:color="auto"/>
        <w:bottom w:val="none" w:sz="0" w:space="0" w:color="auto"/>
        <w:right w:val="none" w:sz="0" w:space="0" w:color="auto"/>
      </w:divBdr>
    </w:div>
    <w:div w:id="1166435542">
      <w:bodyDiv w:val="1"/>
      <w:marLeft w:val="0"/>
      <w:marRight w:val="0"/>
      <w:marTop w:val="0"/>
      <w:marBottom w:val="0"/>
      <w:divBdr>
        <w:top w:val="none" w:sz="0" w:space="0" w:color="auto"/>
        <w:left w:val="none" w:sz="0" w:space="0" w:color="auto"/>
        <w:bottom w:val="none" w:sz="0" w:space="0" w:color="auto"/>
        <w:right w:val="none" w:sz="0" w:space="0" w:color="auto"/>
      </w:divBdr>
    </w:div>
    <w:div w:id="1169978526">
      <w:bodyDiv w:val="1"/>
      <w:marLeft w:val="0"/>
      <w:marRight w:val="0"/>
      <w:marTop w:val="0"/>
      <w:marBottom w:val="0"/>
      <w:divBdr>
        <w:top w:val="none" w:sz="0" w:space="0" w:color="auto"/>
        <w:left w:val="none" w:sz="0" w:space="0" w:color="auto"/>
        <w:bottom w:val="none" w:sz="0" w:space="0" w:color="auto"/>
        <w:right w:val="none" w:sz="0" w:space="0" w:color="auto"/>
      </w:divBdr>
    </w:div>
    <w:div w:id="1176656854">
      <w:bodyDiv w:val="1"/>
      <w:marLeft w:val="0"/>
      <w:marRight w:val="0"/>
      <w:marTop w:val="0"/>
      <w:marBottom w:val="0"/>
      <w:divBdr>
        <w:top w:val="none" w:sz="0" w:space="0" w:color="auto"/>
        <w:left w:val="none" w:sz="0" w:space="0" w:color="auto"/>
        <w:bottom w:val="none" w:sz="0" w:space="0" w:color="auto"/>
        <w:right w:val="none" w:sz="0" w:space="0" w:color="auto"/>
      </w:divBdr>
    </w:div>
    <w:div w:id="1186559850">
      <w:bodyDiv w:val="1"/>
      <w:marLeft w:val="0"/>
      <w:marRight w:val="0"/>
      <w:marTop w:val="0"/>
      <w:marBottom w:val="0"/>
      <w:divBdr>
        <w:top w:val="none" w:sz="0" w:space="0" w:color="auto"/>
        <w:left w:val="none" w:sz="0" w:space="0" w:color="auto"/>
        <w:bottom w:val="none" w:sz="0" w:space="0" w:color="auto"/>
        <w:right w:val="none" w:sz="0" w:space="0" w:color="auto"/>
      </w:divBdr>
    </w:div>
    <w:div w:id="1195728756">
      <w:bodyDiv w:val="1"/>
      <w:marLeft w:val="0"/>
      <w:marRight w:val="0"/>
      <w:marTop w:val="0"/>
      <w:marBottom w:val="0"/>
      <w:divBdr>
        <w:top w:val="none" w:sz="0" w:space="0" w:color="auto"/>
        <w:left w:val="none" w:sz="0" w:space="0" w:color="auto"/>
        <w:bottom w:val="none" w:sz="0" w:space="0" w:color="auto"/>
        <w:right w:val="none" w:sz="0" w:space="0" w:color="auto"/>
      </w:divBdr>
    </w:div>
    <w:div w:id="1198541235">
      <w:bodyDiv w:val="1"/>
      <w:marLeft w:val="0"/>
      <w:marRight w:val="0"/>
      <w:marTop w:val="0"/>
      <w:marBottom w:val="0"/>
      <w:divBdr>
        <w:top w:val="none" w:sz="0" w:space="0" w:color="auto"/>
        <w:left w:val="none" w:sz="0" w:space="0" w:color="auto"/>
        <w:bottom w:val="none" w:sz="0" w:space="0" w:color="auto"/>
        <w:right w:val="none" w:sz="0" w:space="0" w:color="auto"/>
      </w:divBdr>
    </w:div>
    <w:div w:id="1200053271">
      <w:bodyDiv w:val="1"/>
      <w:marLeft w:val="0"/>
      <w:marRight w:val="0"/>
      <w:marTop w:val="0"/>
      <w:marBottom w:val="0"/>
      <w:divBdr>
        <w:top w:val="none" w:sz="0" w:space="0" w:color="auto"/>
        <w:left w:val="none" w:sz="0" w:space="0" w:color="auto"/>
        <w:bottom w:val="none" w:sz="0" w:space="0" w:color="auto"/>
        <w:right w:val="none" w:sz="0" w:space="0" w:color="auto"/>
      </w:divBdr>
    </w:div>
    <w:div w:id="1207067739">
      <w:bodyDiv w:val="1"/>
      <w:marLeft w:val="0"/>
      <w:marRight w:val="0"/>
      <w:marTop w:val="0"/>
      <w:marBottom w:val="0"/>
      <w:divBdr>
        <w:top w:val="none" w:sz="0" w:space="0" w:color="auto"/>
        <w:left w:val="none" w:sz="0" w:space="0" w:color="auto"/>
        <w:bottom w:val="none" w:sz="0" w:space="0" w:color="auto"/>
        <w:right w:val="none" w:sz="0" w:space="0" w:color="auto"/>
      </w:divBdr>
    </w:div>
    <w:div w:id="1212691571">
      <w:bodyDiv w:val="1"/>
      <w:marLeft w:val="0"/>
      <w:marRight w:val="0"/>
      <w:marTop w:val="0"/>
      <w:marBottom w:val="0"/>
      <w:divBdr>
        <w:top w:val="none" w:sz="0" w:space="0" w:color="auto"/>
        <w:left w:val="none" w:sz="0" w:space="0" w:color="auto"/>
        <w:bottom w:val="none" w:sz="0" w:space="0" w:color="auto"/>
        <w:right w:val="none" w:sz="0" w:space="0" w:color="auto"/>
      </w:divBdr>
    </w:div>
    <w:div w:id="1213230756">
      <w:bodyDiv w:val="1"/>
      <w:marLeft w:val="0"/>
      <w:marRight w:val="0"/>
      <w:marTop w:val="0"/>
      <w:marBottom w:val="0"/>
      <w:divBdr>
        <w:top w:val="none" w:sz="0" w:space="0" w:color="auto"/>
        <w:left w:val="none" w:sz="0" w:space="0" w:color="auto"/>
        <w:bottom w:val="none" w:sz="0" w:space="0" w:color="auto"/>
        <w:right w:val="none" w:sz="0" w:space="0" w:color="auto"/>
      </w:divBdr>
    </w:div>
    <w:div w:id="1214972299">
      <w:bodyDiv w:val="1"/>
      <w:marLeft w:val="0"/>
      <w:marRight w:val="0"/>
      <w:marTop w:val="0"/>
      <w:marBottom w:val="0"/>
      <w:divBdr>
        <w:top w:val="none" w:sz="0" w:space="0" w:color="auto"/>
        <w:left w:val="none" w:sz="0" w:space="0" w:color="auto"/>
        <w:bottom w:val="none" w:sz="0" w:space="0" w:color="auto"/>
        <w:right w:val="none" w:sz="0" w:space="0" w:color="auto"/>
      </w:divBdr>
    </w:div>
    <w:div w:id="1219441627">
      <w:bodyDiv w:val="1"/>
      <w:marLeft w:val="0"/>
      <w:marRight w:val="0"/>
      <w:marTop w:val="0"/>
      <w:marBottom w:val="0"/>
      <w:divBdr>
        <w:top w:val="none" w:sz="0" w:space="0" w:color="auto"/>
        <w:left w:val="none" w:sz="0" w:space="0" w:color="auto"/>
        <w:bottom w:val="none" w:sz="0" w:space="0" w:color="auto"/>
        <w:right w:val="none" w:sz="0" w:space="0" w:color="auto"/>
      </w:divBdr>
    </w:div>
    <w:div w:id="1226794725">
      <w:bodyDiv w:val="1"/>
      <w:marLeft w:val="0"/>
      <w:marRight w:val="0"/>
      <w:marTop w:val="0"/>
      <w:marBottom w:val="0"/>
      <w:divBdr>
        <w:top w:val="none" w:sz="0" w:space="0" w:color="auto"/>
        <w:left w:val="none" w:sz="0" w:space="0" w:color="auto"/>
        <w:bottom w:val="none" w:sz="0" w:space="0" w:color="auto"/>
        <w:right w:val="none" w:sz="0" w:space="0" w:color="auto"/>
      </w:divBdr>
    </w:div>
    <w:div w:id="1229800472">
      <w:bodyDiv w:val="1"/>
      <w:marLeft w:val="0"/>
      <w:marRight w:val="0"/>
      <w:marTop w:val="0"/>
      <w:marBottom w:val="0"/>
      <w:divBdr>
        <w:top w:val="none" w:sz="0" w:space="0" w:color="auto"/>
        <w:left w:val="none" w:sz="0" w:space="0" w:color="auto"/>
        <w:bottom w:val="none" w:sz="0" w:space="0" w:color="auto"/>
        <w:right w:val="none" w:sz="0" w:space="0" w:color="auto"/>
      </w:divBdr>
    </w:div>
    <w:div w:id="1234048309">
      <w:bodyDiv w:val="1"/>
      <w:marLeft w:val="0"/>
      <w:marRight w:val="0"/>
      <w:marTop w:val="0"/>
      <w:marBottom w:val="0"/>
      <w:divBdr>
        <w:top w:val="none" w:sz="0" w:space="0" w:color="auto"/>
        <w:left w:val="none" w:sz="0" w:space="0" w:color="auto"/>
        <w:bottom w:val="none" w:sz="0" w:space="0" w:color="auto"/>
        <w:right w:val="none" w:sz="0" w:space="0" w:color="auto"/>
      </w:divBdr>
    </w:div>
    <w:div w:id="1239947585">
      <w:bodyDiv w:val="1"/>
      <w:marLeft w:val="0"/>
      <w:marRight w:val="0"/>
      <w:marTop w:val="0"/>
      <w:marBottom w:val="0"/>
      <w:divBdr>
        <w:top w:val="none" w:sz="0" w:space="0" w:color="auto"/>
        <w:left w:val="none" w:sz="0" w:space="0" w:color="auto"/>
        <w:bottom w:val="none" w:sz="0" w:space="0" w:color="auto"/>
        <w:right w:val="none" w:sz="0" w:space="0" w:color="auto"/>
      </w:divBdr>
    </w:div>
    <w:div w:id="1248811998">
      <w:bodyDiv w:val="1"/>
      <w:marLeft w:val="0"/>
      <w:marRight w:val="0"/>
      <w:marTop w:val="0"/>
      <w:marBottom w:val="0"/>
      <w:divBdr>
        <w:top w:val="none" w:sz="0" w:space="0" w:color="auto"/>
        <w:left w:val="none" w:sz="0" w:space="0" w:color="auto"/>
        <w:bottom w:val="none" w:sz="0" w:space="0" w:color="auto"/>
        <w:right w:val="none" w:sz="0" w:space="0" w:color="auto"/>
      </w:divBdr>
    </w:div>
    <w:div w:id="1249656812">
      <w:bodyDiv w:val="1"/>
      <w:marLeft w:val="0"/>
      <w:marRight w:val="0"/>
      <w:marTop w:val="0"/>
      <w:marBottom w:val="0"/>
      <w:divBdr>
        <w:top w:val="none" w:sz="0" w:space="0" w:color="auto"/>
        <w:left w:val="none" w:sz="0" w:space="0" w:color="auto"/>
        <w:bottom w:val="none" w:sz="0" w:space="0" w:color="auto"/>
        <w:right w:val="none" w:sz="0" w:space="0" w:color="auto"/>
      </w:divBdr>
    </w:div>
    <w:div w:id="1254167971">
      <w:bodyDiv w:val="1"/>
      <w:marLeft w:val="0"/>
      <w:marRight w:val="0"/>
      <w:marTop w:val="0"/>
      <w:marBottom w:val="0"/>
      <w:divBdr>
        <w:top w:val="none" w:sz="0" w:space="0" w:color="auto"/>
        <w:left w:val="none" w:sz="0" w:space="0" w:color="auto"/>
        <w:bottom w:val="none" w:sz="0" w:space="0" w:color="auto"/>
        <w:right w:val="none" w:sz="0" w:space="0" w:color="auto"/>
      </w:divBdr>
    </w:div>
    <w:div w:id="1260717389">
      <w:bodyDiv w:val="1"/>
      <w:marLeft w:val="0"/>
      <w:marRight w:val="0"/>
      <w:marTop w:val="0"/>
      <w:marBottom w:val="0"/>
      <w:divBdr>
        <w:top w:val="none" w:sz="0" w:space="0" w:color="auto"/>
        <w:left w:val="none" w:sz="0" w:space="0" w:color="auto"/>
        <w:bottom w:val="none" w:sz="0" w:space="0" w:color="auto"/>
        <w:right w:val="none" w:sz="0" w:space="0" w:color="auto"/>
      </w:divBdr>
    </w:div>
    <w:div w:id="1261523078">
      <w:bodyDiv w:val="1"/>
      <w:marLeft w:val="0"/>
      <w:marRight w:val="0"/>
      <w:marTop w:val="0"/>
      <w:marBottom w:val="0"/>
      <w:divBdr>
        <w:top w:val="none" w:sz="0" w:space="0" w:color="auto"/>
        <w:left w:val="none" w:sz="0" w:space="0" w:color="auto"/>
        <w:bottom w:val="none" w:sz="0" w:space="0" w:color="auto"/>
        <w:right w:val="none" w:sz="0" w:space="0" w:color="auto"/>
      </w:divBdr>
    </w:div>
    <w:div w:id="1261600151">
      <w:bodyDiv w:val="1"/>
      <w:marLeft w:val="0"/>
      <w:marRight w:val="0"/>
      <w:marTop w:val="0"/>
      <w:marBottom w:val="0"/>
      <w:divBdr>
        <w:top w:val="none" w:sz="0" w:space="0" w:color="auto"/>
        <w:left w:val="none" w:sz="0" w:space="0" w:color="auto"/>
        <w:bottom w:val="none" w:sz="0" w:space="0" w:color="auto"/>
        <w:right w:val="none" w:sz="0" w:space="0" w:color="auto"/>
      </w:divBdr>
    </w:div>
    <w:div w:id="1261794045">
      <w:bodyDiv w:val="1"/>
      <w:marLeft w:val="0"/>
      <w:marRight w:val="0"/>
      <w:marTop w:val="0"/>
      <w:marBottom w:val="0"/>
      <w:divBdr>
        <w:top w:val="none" w:sz="0" w:space="0" w:color="auto"/>
        <w:left w:val="none" w:sz="0" w:space="0" w:color="auto"/>
        <w:bottom w:val="none" w:sz="0" w:space="0" w:color="auto"/>
        <w:right w:val="none" w:sz="0" w:space="0" w:color="auto"/>
      </w:divBdr>
    </w:div>
    <w:div w:id="1262761764">
      <w:bodyDiv w:val="1"/>
      <w:marLeft w:val="0"/>
      <w:marRight w:val="0"/>
      <w:marTop w:val="0"/>
      <w:marBottom w:val="0"/>
      <w:divBdr>
        <w:top w:val="none" w:sz="0" w:space="0" w:color="auto"/>
        <w:left w:val="none" w:sz="0" w:space="0" w:color="auto"/>
        <w:bottom w:val="none" w:sz="0" w:space="0" w:color="auto"/>
        <w:right w:val="none" w:sz="0" w:space="0" w:color="auto"/>
      </w:divBdr>
    </w:div>
    <w:div w:id="1274752154">
      <w:bodyDiv w:val="1"/>
      <w:marLeft w:val="0"/>
      <w:marRight w:val="0"/>
      <w:marTop w:val="0"/>
      <w:marBottom w:val="0"/>
      <w:divBdr>
        <w:top w:val="none" w:sz="0" w:space="0" w:color="auto"/>
        <w:left w:val="none" w:sz="0" w:space="0" w:color="auto"/>
        <w:bottom w:val="none" w:sz="0" w:space="0" w:color="auto"/>
        <w:right w:val="none" w:sz="0" w:space="0" w:color="auto"/>
      </w:divBdr>
    </w:div>
    <w:div w:id="1275985928">
      <w:bodyDiv w:val="1"/>
      <w:marLeft w:val="0"/>
      <w:marRight w:val="0"/>
      <w:marTop w:val="0"/>
      <w:marBottom w:val="0"/>
      <w:divBdr>
        <w:top w:val="none" w:sz="0" w:space="0" w:color="auto"/>
        <w:left w:val="none" w:sz="0" w:space="0" w:color="auto"/>
        <w:bottom w:val="none" w:sz="0" w:space="0" w:color="auto"/>
        <w:right w:val="none" w:sz="0" w:space="0" w:color="auto"/>
      </w:divBdr>
    </w:div>
    <w:div w:id="1290435556">
      <w:bodyDiv w:val="1"/>
      <w:marLeft w:val="0"/>
      <w:marRight w:val="0"/>
      <w:marTop w:val="0"/>
      <w:marBottom w:val="0"/>
      <w:divBdr>
        <w:top w:val="none" w:sz="0" w:space="0" w:color="auto"/>
        <w:left w:val="none" w:sz="0" w:space="0" w:color="auto"/>
        <w:bottom w:val="none" w:sz="0" w:space="0" w:color="auto"/>
        <w:right w:val="none" w:sz="0" w:space="0" w:color="auto"/>
      </w:divBdr>
    </w:div>
    <w:div w:id="1291859941">
      <w:bodyDiv w:val="1"/>
      <w:marLeft w:val="0"/>
      <w:marRight w:val="0"/>
      <w:marTop w:val="0"/>
      <w:marBottom w:val="0"/>
      <w:divBdr>
        <w:top w:val="none" w:sz="0" w:space="0" w:color="auto"/>
        <w:left w:val="none" w:sz="0" w:space="0" w:color="auto"/>
        <w:bottom w:val="none" w:sz="0" w:space="0" w:color="auto"/>
        <w:right w:val="none" w:sz="0" w:space="0" w:color="auto"/>
      </w:divBdr>
    </w:div>
    <w:div w:id="1293056909">
      <w:bodyDiv w:val="1"/>
      <w:marLeft w:val="0"/>
      <w:marRight w:val="0"/>
      <w:marTop w:val="0"/>
      <w:marBottom w:val="0"/>
      <w:divBdr>
        <w:top w:val="none" w:sz="0" w:space="0" w:color="auto"/>
        <w:left w:val="none" w:sz="0" w:space="0" w:color="auto"/>
        <w:bottom w:val="none" w:sz="0" w:space="0" w:color="auto"/>
        <w:right w:val="none" w:sz="0" w:space="0" w:color="auto"/>
      </w:divBdr>
    </w:div>
    <w:div w:id="1296718772">
      <w:bodyDiv w:val="1"/>
      <w:marLeft w:val="0"/>
      <w:marRight w:val="0"/>
      <w:marTop w:val="0"/>
      <w:marBottom w:val="0"/>
      <w:divBdr>
        <w:top w:val="none" w:sz="0" w:space="0" w:color="auto"/>
        <w:left w:val="none" w:sz="0" w:space="0" w:color="auto"/>
        <w:bottom w:val="none" w:sz="0" w:space="0" w:color="auto"/>
        <w:right w:val="none" w:sz="0" w:space="0" w:color="auto"/>
      </w:divBdr>
    </w:div>
    <w:div w:id="1299455872">
      <w:bodyDiv w:val="1"/>
      <w:marLeft w:val="0"/>
      <w:marRight w:val="0"/>
      <w:marTop w:val="0"/>
      <w:marBottom w:val="0"/>
      <w:divBdr>
        <w:top w:val="none" w:sz="0" w:space="0" w:color="auto"/>
        <w:left w:val="none" w:sz="0" w:space="0" w:color="auto"/>
        <w:bottom w:val="none" w:sz="0" w:space="0" w:color="auto"/>
        <w:right w:val="none" w:sz="0" w:space="0" w:color="auto"/>
      </w:divBdr>
    </w:div>
    <w:div w:id="1300186986">
      <w:bodyDiv w:val="1"/>
      <w:marLeft w:val="0"/>
      <w:marRight w:val="0"/>
      <w:marTop w:val="0"/>
      <w:marBottom w:val="0"/>
      <w:divBdr>
        <w:top w:val="none" w:sz="0" w:space="0" w:color="auto"/>
        <w:left w:val="none" w:sz="0" w:space="0" w:color="auto"/>
        <w:bottom w:val="none" w:sz="0" w:space="0" w:color="auto"/>
        <w:right w:val="none" w:sz="0" w:space="0" w:color="auto"/>
      </w:divBdr>
    </w:div>
    <w:div w:id="1300920507">
      <w:bodyDiv w:val="1"/>
      <w:marLeft w:val="0"/>
      <w:marRight w:val="0"/>
      <w:marTop w:val="0"/>
      <w:marBottom w:val="0"/>
      <w:divBdr>
        <w:top w:val="none" w:sz="0" w:space="0" w:color="auto"/>
        <w:left w:val="none" w:sz="0" w:space="0" w:color="auto"/>
        <w:bottom w:val="none" w:sz="0" w:space="0" w:color="auto"/>
        <w:right w:val="none" w:sz="0" w:space="0" w:color="auto"/>
      </w:divBdr>
    </w:div>
    <w:div w:id="1302419986">
      <w:bodyDiv w:val="1"/>
      <w:marLeft w:val="0"/>
      <w:marRight w:val="0"/>
      <w:marTop w:val="0"/>
      <w:marBottom w:val="0"/>
      <w:divBdr>
        <w:top w:val="none" w:sz="0" w:space="0" w:color="auto"/>
        <w:left w:val="none" w:sz="0" w:space="0" w:color="auto"/>
        <w:bottom w:val="none" w:sz="0" w:space="0" w:color="auto"/>
        <w:right w:val="none" w:sz="0" w:space="0" w:color="auto"/>
      </w:divBdr>
    </w:div>
    <w:div w:id="1304844597">
      <w:bodyDiv w:val="1"/>
      <w:marLeft w:val="0"/>
      <w:marRight w:val="0"/>
      <w:marTop w:val="0"/>
      <w:marBottom w:val="0"/>
      <w:divBdr>
        <w:top w:val="none" w:sz="0" w:space="0" w:color="auto"/>
        <w:left w:val="none" w:sz="0" w:space="0" w:color="auto"/>
        <w:bottom w:val="none" w:sz="0" w:space="0" w:color="auto"/>
        <w:right w:val="none" w:sz="0" w:space="0" w:color="auto"/>
      </w:divBdr>
    </w:div>
    <w:div w:id="1312756721">
      <w:bodyDiv w:val="1"/>
      <w:marLeft w:val="0"/>
      <w:marRight w:val="0"/>
      <w:marTop w:val="0"/>
      <w:marBottom w:val="0"/>
      <w:divBdr>
        <w:top w:val="none" w:sz="0" w:space="0" w:color="auto"/>
        <w:left w:val="none" w:sz="0" w:space="0" w:color="auto"/>
        <w:bottom w:val="none" w:sz="0" w:space="0" w:color="auto"/>
        <w:right w:val="none" w:sz="0" w:space="0" w:color="auto"/>
      </w:divBdr>
    </w:div>
    <w:div w:id="1326279280">
      <w:bodyDiv w:val="1"/>
      <w:marLeft w:val="0"/>
      <w:marRight w:val="0"/>
      <w:marTop w:val="0"/>
      <w:marBottom w:val="0"/>
      <w:divBdr>
        <w:top w:val="none" w:sz="0" w:space="0" w:color="auto"/>
        <w:left w:val="none" w:sz="0" w:space="0" w:color="auto"/>
        <w:bottom w:val="none" w:sz="0" w:space="0" w:color="auto"/>
        <w:right w:val="none" w:sz="0" w:space="0" w:color="auto"/>
      </w:divBdr>
    </w:div>
    <w:div w:id="1327440088">
      <w:bodyDiv w:val="1"/>
      <w:marLeft w:val="0"/>
      <w:marRight w:val="0"/>
      <w:marTop w:val="0"/>
      <w:marBottom w:val="0"/>
      <w:divBdr>
        <w:top w:val="none" w:sz="0" w:space="0" w:color="auto"/>
        <w:left w:val="none" w:sz="0" w:space="0" w:color="auto"/>
        <w:bottom w:val="none" w:sz="0" w:space="0" w:color="auto"/>
        <w:right w:val="none" w:sz="0" w:space="0" w:color="auto"/>
      </w:divBdr>
    </w:div>
    <w:div w:id="1342467815">
      <w:bodyDiv w:val="1"/>
      <w:marLeft w:val="0"/>
      <w:marRight w:val="0"/>
      <w:marTop w:val="0"/>
      <w:marBottom w:val="0"/>
      <w:divBdr>
        <w:top w:val="none" w:sz="0" w:space="0" w:color="auto"/>
        <w:left w:val="none" w:sz="0" w:space="0" w:color="auto"/>
        <w:bottom w:val="none" w:sz="0" w:space="0" w:color="auto"/>
        <w:right w:val="none" w:sz="0" w:space="0" w:color="auto"/>
      </w:divBdr>
    </w:div>
    <w:div w:id="1343511698">
      <w:bodyDiv w:val="1"/>
      <w:marLeft w:val="0"/>
      <w:marRight w:val="0"/>
      <w:marTop w:val="0"/>
      <w:marBottom w:val="0"/>
      <w:divBdr>
        <w:top w:val="none" w:sz="0" w:space="0" w:color="auto"/>
        <w:left w:val="none" w:sz="0" w:space="0" w:color="auto"/>
        <w:bottom w:val="none" w:sz="0" w:space="0" w:color="auto"/>
        <w:right w:val="none" w:sz="0" w:space="0" w:color="auto"/>
      </w:divBdr>
    </w:div>
    <w:div w:id="1346009792">
      <w:bodyDiv w:val="1"/>
      <w:marLeft w:val="0"/>
      <w:marRight w:val="0"/>
      <w:marTop w:val="0"/>
      <w:marBottom w:val="0"/>
      <w:divBdr>
        <w:top w:val="none" w:sz="0" w:space="0" w:color="auto"/>
        <w:left w:val="none" w:sz="0" w:space="0" w:color="auto"/>
        <w:bottom w:val="none" w:sz="0" w:space="0" w:color="auto"/>
        <w:right w:val="none" w:sz="0" w:space="0" w:color="auto"/>
      </w:divBdr>
    </w:div>
    <w:div w:id="1350595238">
      <w:bodyDiv w:val="1"/>
      <w:marLeft w:val="0"/>
      <w:marRight w:val="0"/>
      <w:marTop w:val="0"/>
      <w:marBottom w:val="0"/>
      <w:divBdr>
        <w:top w:val="none" w:sz="0" w:space="0" w:color="auto"/>
        <w:left w:val="none" w:sz="0" w:space="0" w:color="auto"/>
        <w:bottom w:val="none" w:sz="0" w:space="0" w:color="auto"/>
        <w:right w:val="none" w:sz="0" w:space="0" w:color="auto"/>
      </w:divBdr>
    </w:div>
    <w:div w:id="1371029658">
      <w:bodyDiv w:val="1"/>
      <w:marLeft w:val="0"/>
      <w:marRight w:val="0"/>
      <w:marTop w:val="0"/>
      <w:marBottom w:val="0"/>
      <w:divBdr>
        <w:top w:val="none" w:sz="0" w:space="0" w:color="auto"/>
        <w:left w:val="none" w:sz="0" w:space="0" w:color="auto"/>
        <w:bottom w:val="none" w:sz="0" w:space="0" w:color="auto"/>
        <w:right w:val="none" w:sz="0" w:space="0" w:color="auto"/>
      </w:divBdr>
    </w:div>
    <w:div w:id="1378091675">
      <w:bodyDiv w:val="1"/>
      <w:marLeft w:val="0"/>
      <w:marRight w:val="0"/>
      <w:marTop w:val="0"/>
      <w:marBottom w:val="0"/>
      <w:divBdr>
        <w:top w:val="none" w:sz="0" w:space="0" w:color="auto"/>
        <w:left w:val="none" w:sz="0" w:space="0" w:color="auto"/>
        <w:bottom w:val="none" w:sz="0" w:space="0" w:color="auto"/>
        <w:right w:val="none" w:sz="0" w:space="0" w:color="auto"/>
      </w:divBdr>
    </w:div>
    <w:div w:id="1385255244">
      <w:bodyDiv w:val="1"/>
      <w:marLeft w:val="0"/>
      <w:marRight w:val="0"/>
      <w:marTop w:val="0"/>
      <w:marBottom w:val="0"/>
      <w:divBdr>
        <w:top w:val="none" w:sz="0" w:space="0" w:color="auto"/>
        <w:left w:val="none" w:sz="0" w:space="0" w:color="auto"/>
        <w:bottom w:val="none" w:sz="0" w:space="0" w:color="auto"/>
        <w:right w:val="none" w:sz="0" w:space="0" w:color="auto"/>
      </w:divBdr>
    </w:div>
    <w:div w:id="1393311907">
      <w:bodyDiv w:val="1"/>
      <w:marLeft w:val="0"/>
      <w:marRight w:val="0"/>
      <w:marTop w:val="0"/>
      <w:marBottom w:val="0"/>
      <w:divBdr>
        <w:top w:val="none" w:sz="0" w:space="0" w:color="auto"/>
        <w:left w:val="none" w:sz="0" w:space="0" w:color="auto"/>
        <w:bottom w:val="none" w:sz="0" w:space="0" w:color="auto"/>
        <w:right w:val="none" w:sz="0" w:space="0" w:color="auto"/>
      </w:divBdr>
    </w:div>
    <w:div w:id="1396658489">
      <w:bodyDiv w:val="1"/>
      <w:marLeft w:val="0"/>
      <w:marRight w:val="0"/>
      <w:marTop w:val="0"/>
      <w:marBottom w:val="0"/>
      <w:divBdr>
        <w:top w:val="none" w:sz="0" w:space="0" w:color="auto"/>
        <w:left w:val="none" w:sz="0" w:space="0" w:color="auto"/>
        <w:bottom w:val="none" w:sz="0" w:space="0" w:color="auto"/>
        <w:right w:val="none" w:sz="0" w:space="0" w:color="auto"/>
      </w:divBdr>
    </w:div>
    <w:div w:id="1401824680">
      <w:bodyDiv w:val="1"/>
      <w:marLeft w:val="0"/>
      <w:marRight w:val="0"/>
      <w:marTop w:val="0"/>
      <w:marBottom w:val="0"/>
      <w:divBdr>
        <w:top w:val="none" w:sz="0" w:space="0" w:color="auto"/>
        <w:left w:val="none" w:sz="0" w:space="0" w:color="auto"/>
        <w:bottom w:val="none" w:sz="0" w:space="0" w:color="auto"/>
        <w:right w:val="none" w:sz="0" w:space="0" w:color="auto"/>
      </w:divBdr>
    </w:div>
    <w:div w:id="1402673277">
      <w:bodyDiv w:val="1"/>
      <w:marLeft w:val="0"/>
      <w:marRight w:val="0"/>
      <w:marTop w:val="0"/>
      <w:marBottom w:val="0"/>
      <w:divBdr>
        <w:top w:val="none" w:sz="0" w:space="0" w:color="auto"/>
        <w:left w:val="none" w:sz="0" w:space="0" w:color="auto"/>
        <w:bottom w:val="none" w:sz="0" w:space="0" w:color="auto"/>
        <w:right w:val="none" w:sz="0" w:space="0" w:color="auto"/>
      </w:divBdr>
    </w:div>
    <w:div w:id="1407067790">
      <w:bodyDiv w:val="1"/>
      <w:marLeft w:val="0"/>
      <w:marRight w:val="0"/>
      <w:marTop w:val="0"/>
      <w:marBottom w:val="0"/>
      <w:divBdr>
        <w:top w:val="none" w:sz="0" w:space="0" w:color="auto"/>
        <w:left w:val="none" w:sz="0" w:space="0" w:color="auto"/>
        <w:bottom w:val="none" w:sz="0" w:space="0" w:color="auto"/>
        <w:right w:val="none" w:sz="0" w:space="0" w:color="auto"/>
      </w:divBdr>
    </w:div>
    <w:div w:id="1410417994">
      <w:bodyDiv w:val="1"/>
      <w:marLeft w:val="0"/>
      <w:marRight w:val="0"/>
      <w:marTop w:val="0"/>
      <w:marBottom w:val="0"/>
      <w:divBdr>
        <w:top w:val="none" w:sz="0" w:space="0" w:color="auto"/>
        <w:left w:val="none" w:sz="0" w:space="0" w:color="auto"/>
        <w:bottom w:val="none" w:sz="0" w:space="0" w:color="auto"/>
        <w:right w:val="none" w:sz="0" w:space="0" w:color="auto"/>
      </w:divBdr>
    </w:div>
    <w:div w:id="1421831708">
      <w:bodyDiv w:val="1"/>
      <w:marLeft w:val="0"/>
      <w:marRight w:val="0"/>
      <w:marTop w:val="0"/>
      <w:marBottom w:val="0"/>
      <w:divBdr>
        <w:top w:val="none" w:sz="0" w:space="0" w:color="auto"/>
        <w:left w:val="none" w:sz="0" w:space="0" w:color="auto"/>
        <w:bottom w:val="none" w:sz="0" w:space="0" w:color="auto"/>
        <w:right w:val="none" w:sz="0" w:space="0" w:color="auto"/>
      </w:divBdr>
    </w:div>
    <w:div w:id="1423993416">
      <w:bodyDiv w:val="1"/>
      <w:marLeft w:val="0"/>
      <w:marRight w:val="0"/>
      <w:marTop w:val="0"/>
      <w:marBottom w:val="0"/>
      <w:divBdr>
        <w:top w:val="none" w:sz="0" w:space="0" w:color="auto"/>
        <w:left w:val="none" w:sz="0" w:space="0" w:color="auto"/>
        <w:bottom w:val="none" w:sz="0" w:space="0" w:color="auto"/>
        <w:right w:val="none" w:sz="0" w:space="0" w:color="auto"/>
      </w:divBdr>
    </w:div>
    <w:div w:id="1424493295">
      <w:bodyDiv w:val="1"/>
      <w:marLeft w:val="0"/>
      <w:marRight w:val="0"/>
      <w:marTop w:val="0"/>
      <w:marBottom w:val="0"/>
      <w:divBdr>
        <w:top w:val="none" w:sz="0" w:space="0" w:color="auto"/>
        <w:left w:val="none" w:sz="0" w:space="0" w:color="auto"/>
        <w:bottom w:val="none" w:sz="0" w:space="0" w:color="auto"/>
        <w:right w:val="none" w:sz="0" w:space="0" w:color="auto"/>
      </w:divBdr>
    </w:div>
    <w:div w:id="1429352897">
      <w:bodyDiv w:val="1"/>
      <w:marLeft w:val="0"/>
      <w:marRight w:val="0"/>
      <w:marTop w:val="0"/>
      <w:marBottom w:val="0"/>
      <w:divBdr>
        <w:top w:val="none" w:sz="0" w:space="0" w:color="auto"/>
        <w:left w:val="none" w:sz="0" w:space="0" w:color="auto"/>
        <w:bottom w:val="none" w:sz="0" w:space="0" w:color="auto"/>
        <w:right w:val="none" w:sz="0" w:space="0" w:color="auto"/>
      </w:divBdr>
    </w:div>
    <w:div w:id="1429618862">
      <w:bodyDiv w:val="1"/>
      <w:marLeft w:val="0"/>
      <w:marRight w:val="0"/>
      <w:marTop w:val="0"/>
      <w:marBottom w:val="0"/>
      <w:divBdr>
        <w:top w:val="none" w:sz="0" w:space="0" w:color="auto"/>
        <w:left w:val="none" w:sz="0" w:space="0" w:color="auto"/>
        <w:bottom w:val="none" w:sz="0" w:space="0" w:color="auto"/>
        <w:right w:val="none" w:sz="0" w:space="0" w:color="auto"/>
      </w:divBdr>
    </w:div>
    <w:div w:id="1434203413">
      <w:bodyDiv w:val="1"/>
      <w:marLeft w:val="0"/>
      <w:marRight w:val="0"/>
      <w:marTop w:val="0"/>
      <w:marBottom w:val="0"/>
      <w:divBdr>
        <w:top w:val="none" w:sz="0" w:space="0" w:color="auto"/>
        <w:left w:val="none" w:sz="0" w:space="0" w:color="auto"/>
        <w:bottom w:val="none" w:sz="0" w:space="0" w:color="auto"/>
        <w:right w:val="none" w:sz="0" w:space="0" w:color="auto"/>
      </w:divBdr>
    </w:div>
    <w:div w:id="1436250731">
      <w:bodyDiv w:val="1"/>
      <w:marLeft w:val="0"/>
      <w:marRight w:val="0"/>
      <w:marTop w:val="0"/>
      <w:marBottom w:val="0"/>
      <w:divBdr>
        <w:top w:val="none" w:sz="0" w:space="0" w:color="auto"/>
        <w:left w:val="none" w:sz="0" w:space="0" w:color="auto"/>
        <w:bottom w:val="none" w:sz="0" w:space="0" w:color="auto"/>
        <w:right w:val="none" w:sz="0" w:space="0" w:color="auto"/>
      </w:divBdr>
    </w:div>
    <w:div w:id="1444881510">
      <w:bodyDiv w:val="1"/>
      <w:marLeft w:val="0"/>
      <w:marRight w:val="0"/>
      <w:marTop w:val="0"/>
      <w:marBottom w:val="0"/>
      <w:divBdr>
        <w:top w:val="none" w:sz="0" w:space="0" w:color="auto"/>
        <w:left w:val="none" w:sz="0" w:space="0" w:color="auto"/>
        <w:bottom w:val="none" w:sz="0" w:space="0" w:color="auto"/>
        <w:right w:val="none" w:sz="0" w:space="0" w:color="auto"/>
      </w:divBdr>
    </w:div>
    <w:div w:id="1447119680">
      <w:bodyDiv w:val="1"/>
      <w:marLeft w:val="0"/>
      <w:marRight w:val="0"/>
      <w:marTop w:val="0"/>
      <w:marBottom w:val="0"/>
      <w:divBdr>
        <w:top w:val="none" w:sz="0" w:space="0" w:color="auto"/>
        <w:left w:val="none" w:sz="0" w:space="0" w:color="auto"/>
        <w:bottom w:val="none" w:sz="0" w:space="0" w:color="auto"/>
        <w:right w:val="none" w:sz="0" w:space="0" w:color="auto"/>
      </w:divBdr>
    </w:div>
    <w:div w:id="1449618346">
      <w:bodyDiv w:val="1"/>
      <w:marLeft w:val="0"/>
      <w:marRight w:val="0"/>
      <w:marTop w:val="0"/>
      <w:marBottom w:val="0"/>
      <w:divBdr>
        <w:top w:val="none" w:sz="0" w:space="0" w:color="auto"/>
        <w:left w:val="none" w:sz="0" w:space="0" w:color="auto"/>
        <w:bottom w:val="none" w:sz="0" w:space="0" w:color="auto"/>
        <w:right w:val="none" w:sz="0" w:space="0" w:color="auto"/>
      </w:divBdr>
    </w:div>
    <w:div w:id="1459838260">
      <w:bodyDiv w:val="1"/>
      <w:marLeft w:val="0"/>
      <w:marRight w:val="0"/>
      <w:marTop w:val="0"/>
      <w:marBottom w:val="0"/>
      <w:divBdr>
        <w:top w:val="none" w:sz="0" w:space="0" w:color="auto"/>
        <w:left w:val="none" w:sz="0" w:space="0" w:color="auto"/>
        <w:bottom w:val="none" w:sz="0" w:space="0" w:color="auto"/>
        <w:right w:val="none" w:sz="0" w:space="0" w:color="auto"/>
      </w:divBdr>
    </w:div>
    <w:div w:id="1460343654">
      <w:bodyDiv w:val="1"/>
      <w:marLeft w:val="0"/>
      <w:marRight w:val="0"/>
      <w:marTop w:val="0"/>
      <w:marBottom w:val="0"/>
      <w:divBdr>
        <w:top w:val="none" w:sz="0" w:space="0" w:color="auto"/>
        <w:left w:val="none" w:sz="0" w:space="0" w:color="auto"/>
        <w:bottom w:val="none" w:sz="0" w:space="0" w:color="auto"/>
        <w:right w:val="none" w:sz="0" w:space="0" w:color="auto"/>
      </w:divBdr>
    </w:div>
    <w:div w:id="1468401940">
      <w:bodyDiv w:val="1"/>
      <w:marLeft w:val="0"/>
      <w:marRight w:val="0"/>
      <w:marTop w:val="0"/>
      <w:marBottom w:val="0"/>
      <w:divBdr>
        <w:top w:val="none" w:sz="0" w:space="0" w:color="auto"/>
        <w:left w:val="none" w:sz="0" w:space="0" w:color="auto"/>
        <w:bottom w:val="none" w:sz="0" w:space="0" w:color="auto"/>
        <w:right w:val="none" w:sz="0" w:space="0" w:color="auto"/>
      </w:divBdr>
    </w:div>
    <w:div w:id="1492258060">
      <w:bodyDiv w:val="1"/>
      <w:marLeft w:val="0"/>
      <w:marRight w:val="0"/>
      <w:marTop w:val="0"/>
      <w:marBottom w:val="0"/>
      <w:divBdr>
        <w:top w:val="none" w:sz="0" w:space="0" w:color="auto"/>
        <w:left w:val="none" w:sz="0" w:space="0" w:color="auto"/>
        <w:bottom w:val="none" w:sz="0" w:space="0" w:color="auto"/>
        <w:right w:val="none" w:sz="0" w:space="0" w:color="auto"/>
      </w:divBdr>
    </w:div>
    <w:div w:id="1495804659">
      <w:bodyDiv w:val="1"/>
      <w:marLeft w:val="0"/>
      <w:marRight w:val="0"/>
      <w:marTop w:val="0"/>
      <w:marBottom w:val="0"/>
      <w:divBdr>
        <w:top w:val="none" w:sz="0" w:space="0" w:color="auto"/>
        <w:left w:val="none" w:sz="0" w:space="0" w:color="auto"/>
        <w:bottom w:val="none" w:sz="0" w:space="0" w:color="auto"/>
        <w:right w:val="none" w:sz="0" w:space="0" w:color="auto"/>
      </w:divBdr>
    </w:div>
    <w:div w:id="1495953408">
      <w:bodyDiv w:val="1"/>
      <w:marLeft w:val="0"/>
      <w:marRight w:val="0"/>
      <w:marTop w:val="0"/>
      <w:marBottom w:val="0"/>
      <w:divBdr>
        <w:top w:val="none" w:sz="0" w:space="0" w:color="auto"/>
        <w:left w:val="none" w:sz="0" w:space="0" w:color="auto"/>
        <w:bottom w:val="none" w:sz="0" w:space="0" w:color="auto"/>
        <w:right w:val="none" w:sz="0" w:space="0" w:color="auto"/>
      </w:divBdr>
    </w:div>
    <w:div w:id="1522161017">
      <w:bodyDiv w:val="1"/>
      <w:marLeft w:val="0"/>
      <w:marRight w:val="0"/>
      <w:marTop w:val="0"/>
      <w:marBottom w:val="0"/>
      <w:divBdr>
        <w:top w:val="none" w:sz="0" w:space="0" w:color="auto"/>
        <w:left w:val="none" w:sz="0" w:space="0" w:color="auto"/>
        <w:bottom w:val="none" w:sz="0" w:space="0" w:color="auto"/>
        <w:right w:val="none" w:sz="0" w:space="0" w:color="auto"/>
      </w:divBdr>
    </w:div>
    <w:div w:id="1523975701">
      <w:bodyDiv w:val="1"/>
      <w:marLeft w:val="0"/>
      <w:marRight w:val="0"/>
      <w:marTop w:val="0"/>
      <w:marBottom w:val="0"/>
      <w:divBdr>
        <w:top w:val="none" w:sz="0" w:space="0" w:color="auto"/>
        <w:left w:val="none" w:sz="0" w:space="0" w:color="auto"/>
        <w:bottom w:val="none" w:sz="0" w:space="0" w:color="auto"/>
        <w:right w:val="none" w:sz="0" w:space="0" w:color="auto"/>
      </w:divBdr>
    </w:div>
    <w:div w:id="1542859191">
      <w:bodyDiv w:val="1"/>
      <w:marLeft w:val="0"/>
      <w:marRight w:val="0"/>
      <w:marTop w:val="0"/>
      <w:marBottom w:val="0"/>
      <w:divBdr>
        <w:top w:val="none" w:sz="0" w:space="0" w:color="auto"/>
        <w:left w:val="none" w:sz="0" w:space="0" w:color="auto"/>
        <w:bottom w:val="none" w:sz="0" w:space="0" w:color="auto"/>
        <w:right w:val="none" w:sz="0" w:space="0" w:color="auto"/>
      </w:divBdr>
    </w:div>
    <w:div w:id="1543206005">
      <w:bodyDiv w:val="1"/>
      <w:marLeft w:val="0"/>
      <w:marRight w:val="0"/>
      <w:marTop w:val="0"/>
      <w:marBottom w:val="0"/>
      <w:divBdr>
        <w:top w:val="none" w:sz="0" w:space="0" w:color="auto"/>
        <w:left w:val="none" w:sz="0" w:space="0" w:color="auto"/>
        <w:bottom w:val="none" w:sz="0" w:space="0" w:color="auto"/>
        <w:right w:val="none" w:sz="0" w:space="0" w:color="auto"/>
      </w:divBdr>
    </w:div>
    <w:div w:id="1546143204">
      <w:bodyDiv w:val="1"/>
      <w:marLeft w:val="0"/>
      <w:marRight w:val="0"/>
      <w:marTop w:val="0"/>
      <w:marBottom w:val="0"/>
      <w:divBdr>
        <w:top w:val="none" w:sz="0" w:space="0" w:color="auto"/>
        <w:left w:val="none" w:sz="0" w:space="0" w:color="auto"/>
        <w:bottom w:val="none" w:sz="0" w:space="0" w:color="auto"/>
        <w:right w:val="none" w:sz="0" w:space="0" w:color="auto"/>
      </w:divBdr>
    </w:div>
    <w:div w:id="1553805764">
      <w:bodyDiv w:val="1"/>
      <w:marLeft w:val="0"/>
      <w:marRight w:val="0"/>
      <w:marTop w:val="0"/>
      <w:marBottom w:val="0"/>
      <w:divBdr>
        <w:top w:val="none" w:sz="0" w:space="0" w:color="auto"/>
        <w:left w:val="none" w:sz="0" w:space="0" w:color="auto"/>
        <w:bottom w:val="none" w:sz="0" w:space="0" w:color="auto"/>
        <w:right w:val="none" w:sz="0" w:space="0" w:color="auto"/>
      </w:divBdr>
    </w:div>
    <w:div w:id="1556428683">
      <w:bodyDiv w:val="1"/>
      <w:marLeft w:val="0"/>
      <w:marRight w:val="0"/>
      <w:marTop w:val="0"/>
      <w:marBottom w:val="0"/>
      <w:divBdr>
        <w:top w:val="none" w:sz="0" w:space="0" w:color="auto"/>
        <w:left w:val="none" w:sz="0" w:space="0" w:color="auto"/>
        <w:bottom w:val="none" w:sz="0" w:space="0" w:color="auto"/>
        <w:right w:val="none" w:sz="0" w:space="0" w:color="auto"/>
      </w:divBdr>
    </w:div>
    <w:div w:id="1558079634">
      <w:bodyDiv w:val="1"/>
      <w:marLeft w:val="0"/>
      <w:marRight w:val="0"/>
      <w:marTop w:val="0"/>
      <w:marBottom w:val="0"/>
      <w:divBdr>
        <w:top w:val="none" w:sz="0" w:space="0" w:color="auto"/>
        <w:left w:val="none" w:sz="0" w:space="0" w:color="auto"/>
        <w:bottom w:val="none" w:sz="0" w:space="0" w:color="auto"/>
        <w:right w:val="none" w:sz="0" w:space="0" w:color="auto"/>
      </w:divBdr>
    </w:div>
    <w:div w:id="1563297003">
      <w:bodyDiv w:val="1"/>
      <w:marLeft w:val="0"/>
      <w:marRight w:val="0"/>
      <w:marTop w:val="0"/>
      <w:marBottom w:val="0"/>
      <w:divBdr>
        <w:top w:val="none" w:sz="0" w:space="0" w:color="auto"/>
        <w:left w:val="none" w:sz="0" w:space="0" w:color="auto"/>
        <w:bottom w:val="none" w:sz="0" w:space="0" w:color="auto"/>
        <w:right w:val="none" w:sz="0" w:space="0" w:color="auto"/>
      </w:divBdr>
    </w:div>
    <w:div w:id="1568492635">
      <w:bodyDiv w:val="1"/>
      <w:marLeft w:val="0"/>
      <w:marRight w:val="0"/>
      <w:marTop w:val="0"/>
      <w:marBottom w:val="0"/>
      <w:divBdr>
        <w:top w:val="none" w:sz="0" w:space="0" w:color="auto"/>
        <w:left w:val="none" w:sz="0" w:space="0" w:color="auto"/>
        <w:bottom w:val="none" w:sz="0" w:space="0" w:color="auto"/>
        <w:right w:val="none" w:sz="0" w:space="0" w:color="auto"/>
      </w:divBdr>
    </w:div>
    <w:div w:id="1571380930">
      <w:bodyDiv w:val="1"/>
      <w:marLeft w:val="0"/>
      <w:marRight w:val="0"/>
      <w:marTop w:val="0"/>
      <w:marBottom w:val="0"/>
      <w:divBdr>
        <w:top w:val="none" w:sz="0" w:space="0" w:color="auto"/>
        <w:left w:val="none" w:sz="0" w:space="0" w:color="auto"/>
        <w:bottom w:val="none" w:sz="0" w:space="0" w:color="auto"/>
        <w:right w:val="none" w:sz="0" w:space="0" w:color="auto"/>
      </w:divBdr>
    </w:div>
    <w:div w:id="1583760634">
      <w:bodyDiv w:val="1"/>
      <w:marLeft w:val="0"/>
      <w:marRight w:val="0"/>
      <w:marTop w:val="0"/>
      <w:marBottom w:val="0"/>
      <w:divBdr>
        <w:top w:val="none" w:sz="0" w:space="0" w:color="auto"/>
        <w:left w:val="none" w:sz="0" w:space="0" w:color="auto"/>
        <w:bottom w:val="none" w:sz="0" w:space="0" w:color="auto"/>
        <w:right w:val="none" w:sz="0" w:space="0" w:color="auto"/>
      </w:divBdr>
    </w:div>
    <w:div w:id="1584561044">
      <w:bodyDiv w:val="1"/>
      <w:marLeft w:val="0"/>
      <w:marRight w:val="0"/>
      <w:marTop w:val="0"/>
      <w:marBottom w:val="0"/>
      <w:divBdr>
        <w:top w:val="none" w:sz="0" w:space="0" w:color="auto"/>
        <w:left w:val="none" w:sz="0" w:space="0" w:color="auto"/>
        <w:bottom w:val="none" w:sz="0" w:space="0" w:color="auto"/>
        <w:right w:val="none" w:sz="0" w:space="0" w:color="auto"/>
      </w:divBdr>
    </w:div>
    <w:div w:id="1587611837">
      <w:bodyDiv w:val="1"/>
      <w:marLeft w:val="0"/>
      <w:marRight w:val="0"/>
      <w:marTop w:val="0"/>
      <w:marBottom w:val="0"/>
      <w:divBdr>
        <w:top w:val="none" w:sz="0" w:space="0" w:color="auto"/>
        <w:left w:val="none" w:sz="0" w:space="0" w:color="auto"/>
        <w:bottom w:val="none" w:sz="0" w:space="0" w:color="auto"/>
        <w:right w:val="none" w:sz="0" w:space="0" w:color="auto"/>
      </w:divBdr>
    </w:div>
    <w:div w:id="1617565812">
      <w:bodyDiv w:val="1"/>
      <w:marLeft w:val="0"/>
      <w:marRight w:val="0"/>
      <w:marTop w:val="0"/>
      <w:marBottom w:val="0"/>
      <w:divBdr>
        <w:top w:val="none" w:sz="0" w:space="0" w:color="auto"/>
        <w:left w:val="none" w:sz="0" w:space="0" w:color="auto"/>
        <w:bottom w:val="none" w:sz="0" w:space="0" w:color="auto"/>
        <w:right w:val="none" w:sz="0" w:space="0" w:color="auto"/>
      </w:divBdr>
    </w:div>
    <w:div w:id="1622036565">
      <w:bodyDiv w:val="1"/>
      <w:marLeft w:val="0"/>
      <w:marRight w:val="0"/>
      <w:marTop w:val="0"/>
      <w:marBottom w:val="0"/>
      <w:divBdr>
        <w:top w:val="none" w:sz="0" w:space="0" w:color="auto"/>
        <w:left w:val="none" w:sz="0" w:space="0" w:color="auto"/>
        <w:bottom w:val="none" w:sz="0" w:space="0" w:color="auto"/>
        <w:right w:val="none" w:sz="0" w:space="0" w:color="auto"/>
      </w:divBdr>
    </w:div>
    <w:div w:id="1626036138">
      <w:bodyDiv w:val="1"/>
      <w:marLeft w:val="0"/>
      <w:marRight w:val="0"/>
      <w:marTop w:val="0"/>
      <w:marBottom w:val="0"/>
      <w:divBdr>
        <w:top w:val="none" w:sz="0" w:space="0" w:color="auto"/>
        <w:left w:val="none" w:sz="0" w:space="0" w:color="auto"/>
        <w:bottom w:val="none" w:sz="0" w:space="0" w:color="auto"/>
        <w:right w:val="none" w:sz="0" w:space="0" w:color="auto"/>
      </w:divBdr>
    </w:div>
    <w:div w:id="1626884684">
      <w:bodyDiv w:val="1"/>
      <w:marLeft w:val="0"/>
      <w:marRight w:val="0"/>
      <w:marTop w:val="0"/>
      <w:marBottom w:val="0"/>
      <w:divBdr>
        <w:top w:val="none" w:sz="0" w:space="0" w:color="auto"/>
        <w:left w:val="none" w:sz="0" w:space="0" w:color="auto"/>
        <w:bottom w:val="none" w:sz="0" w:space="0" w:color="auto"/>
        <w:right w:val="none" w:sz="0" w:space="0" w:color="auto"/>
      </w:divBdr>
    </w:div>
    <w:div w:id="1636255430">
      <w:bodyDiv w:val="1"/>
      <w:marLeft w:val="0"/>
      <w:marRight w:val="0"/>
      <w:marTop w:val="0"/>
      <w:marBottom w:val="0"/>
      <w:divBdr>
        <w:top w:val="none" w:sz="0" w:space="0" w:color="auto"/>
        <w:left w:val="none" w:sz="0" w:space="0" w:color="auto"/>
        <w:bottom w:val="none" w:sz="0" w:space="0" w:color="auto"/>
        <w:right w:val="none" w:sz="0" w:space="0" w:color="auto"/>
      </w:divBdr>
    </w:div>
    <w:div w:id="1643122442">
      <w:bodyDiv w:val="1"/>
      <w:marLeft w:val="0"/>
      <w:marRight w:val="0"/>
      <w:marTop w:val="0"/>
      <w:marBottom w:val="0"/>
      <w:divBdr>
        <w:top w:val="none" w:sz="0" w:space="0" w:color="auto"/>
        <w:left w:val="none" w:sz="0" w:space="0" w:color="auto"/>
        <w:bottom w:val="none" w:sz="0" w:space="0" w:color="auto"/>
        <w:right w:val="none" w:sz="0" w:space="0" w:color="auto"/>
      </w:divBdr>
    </w:div>
    <w:div w:id="1646930822">
      <w:bodyDiv w:val="1"/>
      <w:marLeft w:val="0"/>
      <w:marRight w:val="0"/>
      <w:marTop w:val="0"/>
      <w:marBottom w:val="0"/>
      <w:divBdr>
        <w:top w:val="none" w:sz="0" w:space="0" w:color="auto"/>
        <w:left w:val="none" w:sz="0" w:space="0" w:color="auto"/>
        <w:bottom w:val="none" w:sz="0" w:space="0" w:color="auto"/>
        <w:right w:val="none" w:sz="0" w:space="0" w:color="auto"/>
      </w:divBdr>
    </w:div>
    <w:div w:id="1654720409">
      <w:bodyDiv w:val="1"/>
      <w:marLeft w:val="0"/>
      <w:marRight w:val="0"/>
      <w:marTop w:val="0"/>
      <w:marBottom w:val="0"/>
      <w:divBdr>
        <w:top w:val="none" w:sz="0" w:space="0" w:color="auto"/>
        <w:left w:val="none" w:sz="0" w:space="0" w:color="auto"/>
        <w:bottom w:val="none" w:sz="0" w:space="0" w:color="auto"/>
        <w:right w:val="none" w:sz="0" w:space="0" w:color="auto"/>
      </w:divBdr>
    </w:div>
    <w:div w:id="1657027195">
      <w:bodyDiv w:val="1"/>
      <w:marLeft w:val="0"/>
      <w:marRight w:val="0"/>
      <w:marTop w:val="0"/>
      <w:marBottom w:val="0"/>
      <w:divBdr>
        <w:top w:val="none" w:sz="0" w:space="0" w:color="auto"/>
        <w:left w:val="none" w:sz="0" w:space="0" w:color="auto"/>
        <w:bottom w:val="none" w:sz="0" w:space="0" w:color="auto"/>
        <w:right w:val="none" w:sz="0" w:space="0" w:color="auto"/>
      </w:divBdr>
    </w:div>
    <w:div w:id="1659266060">
      <w:bodyDiv w:val="1"/>
      <w:marLeft w:val="0"/>
      <w:marRight w:val="0"/>
      <w:marTop w:val="0"/>
      <w:marBottom w:val="0"/>
      <w:divBdr>
        <w:top w:val="none" w:sz="0" w:space="0" w:color="auto"/>
        <w:left w:val="none" w:sz="0" w:space="0" w:color="auto"/>
        <w:bottom w:val="none" w:sz="0" w:space="0" w:color="auto"/>
        <w:right w:val="none" w:sz="0" w:space="0" w:color="auto"/>
      </w:divBdr>
    </w:div>
    <w:div w:id="1665205124">
      <w:bodyDiv w:val="1"/>
      <w:marLeft w:val="0"/>
      <w:marRight w:val="0"/>
      <w:marTop w:val="0"/>
      <w:marBottom w:val="0"/>
      <w:divBdr>
        <w:top w:val="none" w:sz="0" w:space="0" w:color="auto"/>
        <w:left w:val="none" w:sz="0" w:space="0" w:color="auto"/>
        <w:bottom w:val="none" w:sz="0" w:space="0" w:color="auto"/>
        <w:right w:val="none" w:sz="0" w:space="0" w:color="auto"/>
      </w:divBdr>
    </w:div>
    <w:div w:id="1667857392">
      <w:bodyDiv w:val="1"/>
      <w:marLeft w:val="0"/>
      <w:marRight w:val="0"/>
      <w:marTop w:val="0"/>
      <w:marBottom w:val="0"/>
      <w:divBdr>
        <w:top w:val="none" w:sz="0" w:space="0" w:color="auto"/>
        <w:left w:val="none" w:sz="0" w:space="0" w:color="auto"/>
        <w:bottom w:val="none" w:sz="0" w:space="0" w:color="auto"/>
        <w:right w:val="none" w:sz="0" w:space="0" w:color="auto"/>
      </w:divBdr>
    </w:div>
    <w:div w:id="1670399809">
      <w:bodyDiv w:val="1"/>
      <w:marLeft w:val="0"/>
      <w:marRight w:val="0"/>
      <w:marTop w:val="0"/>
      <w:marBottom w:val="0"/>
      <w:divBdr>
        <w:top w:val="none" w:sz="0" w:space="0" w:color="auto"/>
        <w:left w:val="none" w:sz="0" w:space="0" w:color="auto"/>
        <w:bottom w:val="none" w:sz="0" w:space="0" w:color="auto"/>
        <w:right w:val="none" w:sz="0" w:space="0" w:color="auto"/>
      </w:divBdr>
    </w:div>
    <w:div w:id="1672370927">
      <w:bodyDiv w:val="1"/>
      <w:marLeft w:val="0"/>
      <w:marRight w:val="0"/>
      <w:marTop w:val="0"/>
      <w:marBottom w:val="0"/>
      <w:divBdr>
        <w:top w:val="none" w:sz="0" w:space="0" w:color="auto"/>
        <w:left w:val="none" w:sz="0" w:space="0" w:color="auto"/>
        <w:bottom w:val="none" w:sz="0" w:space="0" w:color="auto"/>
        <w:right w:val="none" w:sz="0" w:space="0" w:color="auto"/>
      </w:divBdr>
    </w:div>
    <w:div w:id="1672635785">
      <w:bodyDiv w:val="1"/>
      <w:marLeft w:val="0"/>
      <w:marRight w:val="0"/>
      <w:marTop w:val="0"/>
      <w:marBottom w:val="0"/>
      <w:divBdr>
        <w:top w:val="none" w:sz="0" w:space="0" w:color="auto"/>
        <w:left w:val="none" w:sz="0" w:space="0" w:color="auto"/>
        <w:bottom w:val="none" w:sz="0" w:space="0" w:color="auto"/>
        <w:right w:val="none" w:sz="0" w:space="0" w:color="auto"/>
      </w:divBdr>
    </w:div>
    <w:div w:id="1682585084">
      <w:bodyDiv w:val="1"/>
      <w:marLeft w:val="0"/>
      <w:marRight w:val="0"/>
      <w:marTop w:val="0"/>
      <w:marBottom w:val="0"/>
      <w:divBdr>
        <w:top w:val="none" w:sz="0" w:space="0" w:color="auto"/>
        <w:left w:val="none" w:sz="0" w:space="0" w:color="auto"/>
        <w:bottom w:val="none" w:sz="0" w:space="0" w:color="auto"/>
        <w:right w:val="none" w:sz="0" w:space="0" w:color="auto"/>
      </w:divBdr>
    </w:div>
    <w:div w:id="1683049200">
      <w:bodyDiv w:val="1"/>
      <w:marLeft w:val="0"/>
      <w:marRight w:val="0"/>
      <w:marTop w:val="0"/>
      <w:marBottom w:val="0"/>
      <w:divBdr>
        <w:top w:val="none" w:sz="0" w:space="0" w:color="auto"/>
        <w:left w:val="none" w:sz="0" w:space="0" w:color="auto"/>
        <w:bottom w:val="none" w:sz="0" w:space="0" w:color="auto"/>
        <w:right w:val="none" w:sz="0" w:space="0" w:color="auto"/>
      </w:divBdr>
    </w:div>
    <w:div w:id="1687950031">
      <w:bodyDiv w:val="1"/>
      <w:marLeft w:val="0"/>
      <w:marRight w:val="0"/>
      <w:marTop w:val="0"/>
      <w:marBottom w:val="0"/>
      <w:divBdr>
        <w:top w:val="none" w:sz="0" w:space="0" w:color="auto"/>
        <w:left w:val="none" w:sz="0" w:space="0" w:color="auto"/>
        <w:bottom w:val="none" w:sz="0" w:space="0" w:color="auto"/>
        <w:right w:val="none" w:sz="0" w:space="0" w:color="auto"/>
      </w:divBdr>
    </w:div>
    <w:div w:id="1692492229">
      <w:bodyDiv w:val="1"/>
      <w:marLeft w:val="0"/>
      <w:marRight w:val="0"/>
      <w:marTop w:val="0"/>
      <w:marBottom w:val="0"/>
      <w:divBdr>
        <w:top w:val="none" w:sz="0" w:space="0" w:color="auto"/>
        <w:left w:val="none" w:sz="0" w:space="0" w:color="auto"/>
        <w:bottom w:val="none" w:sz="0" w:space="0" w:color="auto"/>
        <w:right w:val="none" w:sz="0" w:space="0" w:color="auto"/>
      </w:divBdr>
    </w:div>
    <w:div w:id="1692687961">
      <w:bodyDiv w:val="1"/>
      <w:marLeft w:val="0"/>
      <w:marRight w:val="0"/>
      <w:marTop w:val="0"/>
      <w:marBottom w:val="0"/>
      <w:divBdr>
        <w:top w:val="none" w:sz="0" w:space="0" w:color="auto"/>
        <w:left w:val="none" w:sz="0" w:space="0" w:color="auto"/>
        <w:bottom w:val="none" w:sz="0" w:space="0" w:color="auto"/>
        <w:right w:val="none" w:sz="0" w:space="0" w:color="auto"/>
      </w:divBdr>
    </w:div>
    <w:div w:id="1710063150">
      <w:bodyDiv w:val="1"/>
      <w:marLeft w:val="0"/>
      <w:marRight w:val="0"/>
      <w:marTop w:val="0"/>
      <w:marBottom w:val="0"/>
      <w:divBdr>
        <w:top w:val="none" w:sz="0" w:space="0" w:color="auto"/>
        <w:left w:val="none" w:sz="0" w:space="0" w:color="auto"/>
        <w:bottom w:val="none" w:sz="0" w:space="0" w:color="auto"/>
        <w:right w:val="none" w:sz="0" w:space="0" w:color="auto"/>
      </w:divBdr>
    </w:div>
    <w:div w:id="1720855424">
      <w:bodyDiv w:val="1"/>
      <w:marLeft w:val="0"/>
      <w:marRight w:val="0"/>
      <w:marTop w:val="0"/>
      <w:marBottom w:val="0"/>
      <w:divBdr>
        <w:top w:val="none" w:sz="0" w:space="0" w:color="auto"/>
        <w:left w:val="none" w:sz="0" w:space="0" w:color="auto"/>
        <w:bottom w:val="none" w:sz="0" w:space="0" w:color="auto"/>
        <w:right w:val="none" w:sz="0" w:space="0" w:color="auto"/>
      </w:divBdr>
    </w:div>
    <w:div w:id="1724135015">
      <w:bodyDiv w:val="1"/>
      <w:marLeft w:val="0"/>
      <w:marRight w:val="0"/>
      <w:marTop w:val="0"/>
      <w:marBottom w:val="0"/>
      <w:divBdr>
        <w:top w:val="none" w:sz="0" w:space="0" w:color="auto"/>
        <w:left w:val="none" w:sz="0" w:space="0" w:color="auto"/>
        <w:bottom w:val="none" w:sz="0" w:space="0" w:color="auto"/>
        <w:right w:val="none" w:sz="0" w:space="0" w:color="auto"/>
      </w:divBdr>
    </w:div>
    <w:div w:id="1757508007">
      <w:bodyDiv w:val="1"/>
      <w:marLeft w:val="0"/>
      <w:marRight w:val="0"/>
      <w:marTop w:val="0"/>
      <w:marBottom w:val="0"/>
      <w:divBdr>
        <w:top w:val="none" w:sz="0" w:space="0" w:color="auto"/>
        <w:left w:val="none" w:sz="0" w:space="0" w:color="auto"/>
        <w:bottom w:val="none" w:sz="0" w:space="0" w:color="auto"/>
        <w:right w:val="none" w:sz="0" w:space="0" w:color="auto"/>
      </w:divBdr>
    </w:div>
    <w:div w:id="1762291989">
      <w:bodyDiv w:val="1"/>
      <w:marLeft w:val="0"/>
      <w:marRight w:val="0"/>
      <w:marTop w:val="0"/>
      <w:marBottom w:val="0"/>
      <w:divBdr>
        <w:top w:val="none" w:sz="0" w:space="0" w:color="auto"/>
        <w:left w:val="none" w:sz="0" w:space="0" w:color="auto"/>
        <w:bottom w:val="none" w:sz="0" w:space="0" w:color="auto"/>
        <w:right w:val="none" w:sz="0" w:space="0" w:color="auto"/>
      </w:divBdr>
    </w:div>
    <w:div w:id="1768116794">
      <w:bodyDiv w:val="1"/>
      <w:marLeft w:val="0"/>
      <w:marRight w:val="0"/>
      <w:marTop w:val="0"/>
      <w:marBottom w:val="0"/>
      <w:divBdr>
        <w:top w:val="none" w:sz="0" w:space="0" w:color="auto"/>
        <w:left w:val="none" w:sz="0" w:space="0" w:color="auto"/>
        <w:bottom w:val="none" w:sz="0" w:space="0" w:color="auto"/>
        <w:right w:val="none" w:sz="0" w:space="0" w:color="auto"/>
      </w:divBdr>
    </w:div>
    <w:div w:id="1778719962">
      <w:bodyDiv w:val="1"/>
      <w:marLeft w:val="0"/>
      <w:marRight w:val="0"/>
      <w:marTop w:val="0"/>
      <w:marBottom w:val="0"/>
      <w:divBdr>
        <w:top w:val="none" w:sz="0" w:space="0" w:color="auto"/>
        <w:left w:val="none" w:sz="0" w:space="0" w:color="auto"/>
        <w:bottom w:val="none" w:sz="0" w:space="0" w:color="auto"/>
        <w:right w:val="none" w:sz="0" w:space="0" w:color="auto"/>
      </w:divBdr>
    </w:div>
    <w:div w:id="1783769644">
      <w:bodyDiv w:val="1"/>
      <w:marLeft w:val="0"/>
      <w:marRight w:val="0"/>
      <w:marTop w:val="0"/>
      <w:marBottom w:val="0"/>
      <w:divBdr>
        <w:top w:val="none" w:sz="0" w:space="0" w:color="auto"/>
        <w:left w:val="none" w:sz="0" w:space="0" w:color="auto"/>
        <w:bottom w:val="none" w:sz="0" w:space="0" w:color="auto"/>
        <w:right w:val="none" w:sz="0" w:space="0" w:color="auto"/>
      </w:divBdr>
    </w:div>
    <w:div w:id="1784424516">
      <w:bodyDiv w:val="1"/>
      <w:marLeft w:val="0"/>
      <w:marRight w:val="0"/>
      <w:marTop w:val="0"/>
      <w:marBottom w:val="0"/>
      <w:divBdr>
        <w:top w:val="none" w:sz="0" w:space="0" w:color="auto"/>
        <w:left w:val="none" w:sz="0" w:space="0" w:color="auto"/>
        <w:bottom w:val="none" w:sz="0" w:space="0" w:color="auto"/>
        <w:right w:val="none" w:sz="0" w:space="0" w:color="auto"/>
      </w:divBdr>
    </w:div>
    <w:div w:id="1790974300">
      <w:bodyDiv w:val="1"/>
      <w:marLeft w:val="0"/>
      <w:marRight w:val="0"/>
      <w:marTop w:val="0"/>
      <w:marBottom w:val="0"/>
      <w:divBdr>
        <w:top w:val="none" w:sz="0" w:space="0" w:color="auto"/>
        <w:left w:val="none" w:sz="0" w:space="0" w:color="auto"/>
        <w:bottom w:val="none" w:sz="0" w:space="0" w:color="auto"/>
        <w:right w:val="none" w:sz="0" w:space="0" w:color="auto"/>
      </w:divBdr>
    </w:div>
    <w:div w:id="1796018646">
      <w:bodyDiv w:val="1"/>
      <w:marLeft w:val="0"/>
      <w:marRight w:val="0"/>
      <w:marTop w:val="0"/>
      <w:marBottom w:val="0"/>
      <w:divBdr>
        <w:top w:val="none" w:sz="0" w:space="0" w:color="auto"/>
        <w:left w:val="none" w:sz="0" w:space="0" w:color="auto"/>
        <w:bottom w:val="none" w:sz="0" w:space="0" w:color="auto"/>
        <w:right w:val="none" w:sz="0" w:space="0" w:color="auto"/>
      </w:divBdr>
    </w:div>
    <w:div w:id="1797136033">
      <w:bodyDiv w:val="1"/>
      <w:marLeft w:val="0"/>
      <w:marRight w:val="0"/>
      <w:marTop w:val="0"/>
      <w:marBottom w:val="0"/>
      <w:divBdr>
        <w:top w:val="none" w:sz="0" w:space="0" w:color="auto"/>
        <w:left w:val="none" w:sz="0" w:space="0" w:color="auto"/>
        <w:bottom w:val="none" w:sz="0" w:space="0" w:color="auto"/>
        <w:right w:val="none" w:sz="0" w:space="0" w:color="auto"/>
      </w:divBdr>
    </w:div>
    <w:div w:id="1801727251">
      <w:bodyDiv w:val="1"/>
      <w:marLeft w:val="0"/>
      <w:marRight w:val="0"/>
      <w:marTop w:val="0"/>
      <w:marBottom w:val="0"/>
      <w:divBdr>
        <w:top w:val="none" w:sz="0" w:space="0" w:color="auto"/>
        <w:left w:val="none" w:sz="0" w:space="0" w:color="auto"/>
        <w:bottom w:val="none" w:sz="0" w:space="0" w:color="auto"/>
        <w:right w:val="none" w:sz="0" w:space="0" w:color="auto"/>
      </w:divBdr>
    </w:div>
    <w:div w:id="1812475269">
      <w:bodyDiv w:val="1"/>
      <w:marLeft w:val="0"/>
      <w:marRight w:val="0"/>
      <w:marTop w:val="0"/>
      <w:marBottom w:val="0"/>
      <w:divBdr>
        <w:top w:val="none" w:sz="0" w:space="0" w:color="auto"/>
        <w:left w:val="none" w:sz="0" w:space="0" w:color="auto"/>
        <w:bottom w:val="none" w:sz="0" w:space="0" w:color="auto"/>
        <w:right w:val="none" w:sz="0" w:space="0" w:color="auto"/>
      </w:divBdr>
    </w:div>
    <w:div w:id="1813014252">
      <w:bodyDiv w:val="1"/>
      <w:marLeft w:val="0"/>
      <w:marRight w:val="0"/>
      <w:marTop w:val="0"/>
      <w:marBottom w:val="0"/>
      <w:divBdr>
        <w:top w:val="none" w:sz="0" w:space="0" w:color="auto"/>
        <w:left w:val="none" w:sz="0" w:space="0" w:color="auto"/>
        <w:bottom w:val="none" w:sz="0" w:space="0" w:color="auto"/>
        <w:right w:val="none" w:sz="0" w:space="0" w:color="auto"/>
      </w:divBdr>
    </w:div>
    <w:div w:id="1814061541">
      <w:bodyDiv w:val="1"/>
      <w:marLeft w:val="0"/>
      <w:marRight w:val="0"/>
      <w:marTop w:val="0"/>
      <w:marBottom w:val="0"/>
      <w:divBdr>
        <w:top w:val="none" w:sz="0" w:space="0" w:color="auto"/>
        <w:left w:val="none" w:sz="0" w:space="0" w:color="auto"/>
        <w:bottom w:val="none" w:sz="0" w:space="0" w:color="auto"/>
        <w:right w:val="none" w:sz="0" w:space="0" w:color="auto"/>
      </w:divBdr>
    </w:div>
    <w:div w:id="1817720927">
      <w:bodyDiv w:val="1"/>
      <w:marLeft w:val="0"/>
      <w:marRight w:val="0"/>
      <w:marTop w:val="0"/>
      <w:marBottom w:val="0"/>
      <w:divBdr>
        <w:top w:val="none" w:sz="0" w:space="0" w:color="auto"/>
        <w:left w:val="none" w:sz="0" w:space="0" w:color="auto"/>
        <w:bottom w:val="none" w:sz="0" w:space="0" w:color="auto"/>
        <w:right w:val="none" w:sz="0" w:space="0" w:color="auto"/>
      </w:divBdr>
    </w:div>
    <w:div w:id="1820920393">
      <w:bodyDiv w:val="1"/>
      <w:marLeft w:val="0"/>
      <w:marRight w:val="0"/>
      <w:marTop w:val="0"/>
      <w:marBottom w:val="0"/>
      <w:divBdr>
        <w:top w:val="none" w:sz="0" w:space="0" w:color="auto"/>
        <w:left w:val="none" w:sz="0" w:space="0" w:color="auto"/>
        <w:bottom w:val="none" w:sz="0" w:space="0" w:color="auto"/>
        <w:right w:val="none" w:sz="0" w:space="0" w:color="auto"/>
      </w:divBdr>
    </w:div>
    <w:div w:id="1844391882">
      <w:bodyDiv w:val="1"/>
      <w:marLeft w:val="0"/>
      <w:marRight w:val="0"/>
      <w:marTop w:val="0"/>
      <w:marBottom w:val="0"/>
      <w:divBdr>
        <w:top w:val="none" w:sz="0" w:space="0" w:color="auto"/>
        <w:left w:val="none" w:sz="0" w:space="0" w:color="auto"/>
        <w:bottom w:val="none" w:sz="0" w:space="0" w:color="auto"/>
        <w:right w:val="none" w:sz="0" w:space="0" w:color="auto"/>
      </w:divBdr>
    </w:div>
    <w:div w:id="1845508376">
      <w:bodyDiv w:val="1"/>
      <w:marLeft w:val="0"/>
      <w:marRight w:val="0"/>
      <w:marTop w:val="0"/>
      <w:marBottom w:val="0"/>
      <w:divBdr>
        <w:top w:val="none" w:sz="0" w:space="0" w:color="auto"/>
        <w:left w:val="none" w:sz="0" w:space="0" w:color="auto"/>
        <w:bottom w:val="none" w:sz="0" w:space="0" w:color="auto"/>
        <w:right w:val="none" w:sz="0" w:space="0" w:color="auto"/>
      </w:divBdr>
    </w:div>
    <w:div w:id="1845970019">
      <w:bodyDiv w:val="1"/>
      <w:marLeft w:val="0"/>
      <w:marRight w:val="0"/>
      <w:marTop w:val="0"/>
      <w:marBottom w:val="0"/>
      <w:divBdr>
        <w:top w:val="none" w:sz="0" w:space="0" w:color="auto"/>
        <w:left w:val="none" w:sz="0" w:space="0" w:color="auto"/>
        <w:bottom w:val="none" w:sz="0" w:space="0" w:color="auto"/>
        <w:right w:val="none" w:sz="0" w:space="0" w:color="auto"/>
      </w:divBdr>
    </w:div>
    <w:div w:id="1851095696">
      <w:bodyDiv w:val="1"/>
      <w:marLeft w:val="0"/>
      <w:marRight w:val="0"/>
      <w:marTop w:val="0"/>
      <w:marBottom w:val="0"/>
      <w:divBdr>
        <w:top w:val="none" w:sz="0" w:space="0" w:color="auto"/>
        <w:left w:val="none" w:sz="0" w:space="0" w:color="auto"/>
        <w:bottom w:val="none" w:sz="0" w:space="0" w:color="auto"/>
        <w:right w:val="none" w:sz="0" w:space="0" w:color="auto"/>
      </w:divBdr>
    </w:div>
    <w:div w:id="1853253245">
      <w:bodyDiv w:val="1"/>
      <w:marLeft w:val="0"/>
      <w:marRight w:val="0"/>
      <w:marTop w:val="0"/>
      <w:marBottom w:val="0"/>
      <w:divBdr>
        <w:top w:val="none" w:sz="0" w:space="0" w:color="auto"/>
        <w:left w:val="none" w:sz="0" w:space="0" w:color="auto"/>
        <w:bottom w:val="none" w:sz="0" w:space="0" w:color="auto"/>
        <w:right w:val="none" w:sz="0" w:space="0" w:color="auto"/>
      </w:divBdr>
    </w:div>
    <w:div w:id="1860316873">
      <w:bodyDiv w:val="1"/>
      <w:marLeft w:val="0"/>
      <w:marRight w:val="0"/>
      <w:marTop w:val="0"/>
      <w:marBottom w:val="0"/>
      <w:divBdr>
        <w:top w:val="none" w:sz="0" w:space="0" w:color="auto"/>
        <w:left w:val="none" w:sz="0" w:space="0" w:color="auto"/>
        <w:bottom w:val="none" w:sz="0" w:space="0" w:color="auto"/>
        <w:right w:val="none" w:sz="0" w:space="0" w:color="auto"/>
      </w:divBdr>
    </w:div>
    <w:div w:id="1870097382">
      <w:bodyDiv w:val="1"/>
      <w:marLeft w:val="0"/>
      <w:marRight w:val="0"/>
      <w:marTop w:val="0"/>
      <w:marBottom w:val="0"/>
      <w:divBdr>
        <w:top w:val="none" w:sz="0" w:space="0" w:color="auto"/>
        <w:left w:val="none" w:sz="0" w:space="0" w:color="auto"/>
        <w:bottom w:val="none" w:sz="0" w:space="0" w:color="auto"/>
        <w:right w:val="none" w:sz="0" w:space="0" w:color="auto"/>
      </w:divBdr>
    </w:div>
    <w:div w:id="1874027337">
      <w:bodyDiv w:val="1"/>
      <w:marLeft w:val="0"/>
      <w:marRight w:val="0"/>
      <w:marTop w:val="0"/>
      <w:marBottom w:val="0"/>
      <w:divBdr>
        <w:top w:val="none" w:sz="0" w:space="0" w:color="auto"/>
        <w:left w:val="none" w:sz="0" w:space="0" w:color="auto"/>
        <w:bottom w:val="none" w:sz="0" w:space="0" w:color="auto"/>
        <w:right w:val="none" w:sz="0" w:space="0" w:color="auto"/>
      </w:divBdr>
    </w:div>
    <w:div w:id="1874153779">
      <w:bodyDiv w:val="1"/>
      <w:marLeft w:val="0"/>
      <w:marRight w:val="0"/>
      <w:marTop w:val="0"/>
      <w:marBottom w:val="0"/>
      <w:divBdr>
        <w:top w:val="none" w:sz="0" w:space="0" w:color="auto"/>
        <w:left w:val="none" w:sz="0" w:space="0" w:color="auto"/>
        <w:bottom w:val="none" w:sz="0" w:space="0" w:color="auto"/>
        <w:right w:val="none" w:sz="0" w:space="0" w:color="auto"/>
      </w:divBdr>
    </w:div>
    <w:div w:id="1883323689">
      <w:bodyDiv w:val="1"/>
      <w:marLeft w:val="0"/>
      <w:marRight w:val="0"/>
      <w:marTop w:val="0"/>
      <w:marBottom w:val="0"/>
      <w:divBdr>
        <w:top w:val="none" w:sz="0" w:space="0" w:color="auto"/>
        <w:left w:val="none" w:sz="0" w:space="0" w:color="auto"/>
        <w:bottom w:val="none" w:sz="0" w:space="0" w:color="auto"/>
        <w:right w:val="none" w:sz="0" w:space="0" w:color="auto"/>
      </w:divBdr>
    </w:div>
    <w:div w:id="1886794056">
      <w:bodyDiv w:val="1"/>
      <w:marLeft w:val="0"/>
      <w:marRight w:val="0"/>
      <w:marTop w:val="0"/>
      <w:marBottom w:val="0"/>
      <w:divBdr>
        <w:top w:val="none" w:sz="0" w:space="0" w:color="auto"/>
        <w:left w:val="none" w:sz="0" w:space="0" w:color="auto"/>
        <w:bottom w:val="none" w:sz="0" w:space="0" w:color="auto"/>
        <w:right w:val="none" w:sz="0" w:space="0" w:color="auto"/>
      </w:divBdr>
    </w:div>
    <w:div w:id="1890531713">
      <w:bodyDiv w:val="1"/>
      <w:marLeft w:val="0"/>
      <w:marRight w:val="0"/>
      <w:marTop w:val="0"/>
      <w:marBottom w:val="0"/>
      <w:divBdr>
        <w:top w:val="none" w:sz="0" w:space="0" w:color="auto"/>
        <w:left w:val="none" w:sz="0" w:space="0" w:color="auto"/>
        <w:bottom w:val="none" w:sz="0" w:space="0" w:color="auto"/>
        <w:right w:val="none" w:sz="0" w:space="0" w:color="auto"/>
      </w:divBdr>
    </w:div>
    <w:div w:id="1891185329">
      <w:bodyDiv w:val="1"/>
      <w:marLeft w:val="0"/>
      <w:marRight w:val="0"/>
      <w:marTop w:val="0"/>
      <w:marBottom w:val="0"/>
      <w:divBdr>
        <w:top w:val="none" w:sz="0" w:space="0" w:color="auto"/>
        <w:left w:val="none" w:sz="0" w:space="0" w:color="auto"/>
        <w:bottom w:val="none" w:sz="0" w:space="0" w:color="auto"/>
        <w:right w:val="none" w:sz="0" w:space="0" w:color="auto"/>
      </w:divBdr>
    </w:div>
    <w:div w:id="1907104064">
      <w:bodyDiv w:val="1"/>
      <w:marLeft w:val="0"/>
      <w:marRight w:val="0"/>
      <w:marTop w:val="0"/>
      <w:marBottom w:val="0"/>
      <w:divBdr>
        <w:top w:val="none" w:sz="0" w:space="0" w:color="auto"/>
        <w:left w:val="none" w:sz="0" w:space="0" w:color="auto"/>
        <w:bottom w:val="none" w:sz="0" w:space="0" w:color="auto"/>
        <w:right w:val="none" w:sz="0" w:space="0" w:color="auto"/>
      </w:divBdr>
    </w:div>
    <w:div w:id="1909918722">
      <w:bodyDiv w:val="1"/>
      <w:marLeft w:val="0"/>
      <w:marRight w:val="0"/>
      <w:marTop w:val="0"/>
      <w:marBottom w:val="0"/>
      <w:divBdr>
        <w:top w:val="none" w:sz="0" w:space="0" w:color="auto"/>
        <w:left w:val="none" w:sz="0" w:space="0" w:color="auto"/>
        <w:bottom w:val="none" w:sz="0" w:space="0" w:color="auto"/>
        <w:right w:val="none" w:sz="0" w:space="0" w:color="auto"/>
      </w:divBdr>
    </w:div>
    <w:div w:id="1911236564">
      <w:bodyDiv w:val="1"/>
      <w:marLeft w:val="0"/>
      <w:marRight w:val="0"/>
      <w:marTop w:val="0"/>
      <w:marBottom w:val="0"/>
      <w:divBdr>
        <w:top w:val="none" w:sz="0" w:space="0" w:color="auto"/>
        <w:left w:val="none" w:sz="0" w:space="0" w:color="auto"/>
        <w:bottom w:val="none" w:sz="0" w:space="0" w:color="auto"/>
        <w:right w:val="none" w:sz="0" w:space="0" w:color="auto"/>
      </w:divBdr>
    </w:div>
    <w:div w:id="1914199866">
      <w:bodyDiv w:val="1"/>
      <w:marLeft w:val="0"/>
      <w:marRight w:val="0"/>
      <w:marTop w:val="0"/>
      <w:marBottom w:val="0"/>
      <w:divBdr>
        <w:top w:val="none" w:sz="0" w:space="0" w:color="auto"/>
        <w:left w:val="none" w:sz="0" w:space="0" w:color="auto"/>
        <w:bottom w:val="none" w:sz="0" w:space="0" w:color="auto"/>
        <w:right w:val="none" w:sz="0" w:space="0" w:color="auto"/>
      </w:divBdr>
    </w:div>
    <w:div w:id="1916089291">
      <w:bodyDiv w:val="1"/>
      <w:marLeft w:val="0"/>
      <w:marRight w:val="0"/>
      <w:marTop w:val="0"/>
      <w:marBottom w:val="0"/>
      <w:divBdr>
        <w:top w:val="none" w:sz="0" w:space="0" w:color="auto"/>
        <w:left w:val="none" w:sz="0" w:space="0" w:color="auto"/>
        <w:bottom w:val="none" w:sz="0" w:space="0" w:color="auto"/>
        <w:right w:val="none" w:sz="0" w:space="0" w:color="auto"/>
      </w:divBdr>
    </w:div>
    <w:div w:id="1926263502">
      <w:bodyDiv w:val="1"/>
      <w:marLeft w:val="0"/>
      <w:marRight w:val="0"/>
      <w:marTop w:val="0"/>
      <w:marBottom w:val="0"/>
      <w:divBdr>
        <w:top w:val="none" w:sz="0" w:space="0" w:color="auto"/>
        <w:left w:val="none" w:sz="0" w:space="0" w:color="auto"/>
        <w:bottom w:val="none" w:sz="0" w:space="0" w:color="auto"/>
        <w:right w:val="none" w:sz="0" w:space="0" w:color="auto"/>
      </w:divBdr>
    </w:div>
    <w:div w:id="1926919935">
      <w:bodyDiv w:val="1"/>
      <w:marLeft w:val="0"/>
      <w:marRight w:val="0"/>
      <w:marTop w:val="0"/>
      <w:marBottom w:val="0"/>
      <w:divBdr>
        <w:top w:val="none" w:sz="0" w:space="0" w:color="auto"/>
        <w:left w:val="none" w:sz="0" w:space="0" w:color="auto"/>
        <w:bottom w:val="none" w:sz="0" w:space="0" w:color="auto"/>
        <w:right w:val="none" w:sz="0" w:space="0" w:color="auto"/>
      </w:divBdr>
    </w:div>
    <w:div w:id="1930919088">
      <w:bodyDiv w:val="1"/>
      <w:marLeft w:val="0"/>
      <w:marRight w:val="0"/>
      <w:marTop w:val="0"/>
      <w:marBottom w:val="0"/>
      <w:divBdr>
        <w:top w:val="none" w:sz="0" w:space="0" w:color="auto"/>
        <w:left w:val="none" w:sz="0" w:space="0" w:color="auto"/>
        <w:bottom w:val="none" w:sz="0" w:space="0" w:color="auto"/>
        <w:right w:val="none" w:sz="0" w:space="0" w:color="auto"/>
      </w:divBdr>
    </w:div>
    <w:div w:id="1932425367">
      <w:bodyDiv w:val="1"/>
      <w:marLeft w:val="0"/>
      <w:marRight w:val="0"/>
      <w:marTop w:val="0"/>
      <w:marBottom w:val="0"/>
      <w:divBdr>
        <w:top w:val="none" w:sz="0" w:space="0" w:color="auto"/>
        <w:left w:val="none" w:sz="0" w:space="0" w:color="auto"/>
        <w:bottom w:val="none" w:sz="0" w:space="0" w:color="auto"/>
        <w:right w:val="none" w:sz="0" w:space="0" w:color="auto"/>
      </w:divBdr>
    </w:div>
    <w:div w:id="1942057978">
      <w:bodyDiv w:val="1"/>
      <w:marLeft w:val="0"/>
      <w:marRight w:val="0"/>
      <w:marTop w:val="0"/>
      <w:marBottom w:val="0"/>
      <w:divBdr>
        <w:top w:val="none" w:sz="0" w:space="0" w:color="auto"/>
        <w:left w:val="none" w:sz="0" w:space="0" w:color="auto"/>
        <w:bottom w:val="none" w:sz="0" w:space="0" w:color="auto"/>
        <w:right w:val="none" w:sz="0" w:space="0" w:color="auto"/>
      </w:divBdr>
    </w:div>
    <w:div w:id="1950508726">
      <w:bodyDiv w:val="1"/>
      <w:marLeft w:val="0"/>
      <w:marRight w:val="0"/>
      <w:marTop w:val="0"/>
      <w:marBottom w:val="0"/>
      <w:divBdr>
        <w:top w:val="none" w:sz="0" w:space="0" w:color="auto"/>
        <w:left w:val="none" w:sz="0" w:space="0" w:color="auto"/>
        <w:bottom w:val="none" w:sz="0" w:space="0" w:color="auto"/>
        <w:right w:val="none" w:sz="0" w:space="0" w:color="auto"/>
      </w:divBdr>
    </w:div>
    <w:div w:id="1960916160">
      <w:bodyDiv w:val="1"/>
      <w:marLeft w:val="0"/>
      <w:marRight w:val="0"/>
      <w:marTop w:val="0"/>
      <w:marBottom w:val="0"/>
      <w:divBdr>
        <w:top w:val="none" w:sz="0" w:space="0" w:color="auto"/>
        <w:left w:val="none" w:sz="0" w:space="0" w:color="auto"/>
        <w:bottom w:val="none" w:sz="0" w:space="0" w:color="auto"/>
        <w:right w:val="none" w:sz="0" w:space="0" w:color="auto"/>
      </w:divBdr>
    </w:div>
    <w:div w:id="1962027433">
      <w:bodyDiv w:val="1"/>
      <w:marLeft w:val="0"/>
      <w:marRight w:val="0"/>
      <w:marTop w:val="0"/>
      <w:marBottom w:val="0"/>
      <w:divBdr>
        <w:top w:val="none" w:sz="0" w:space="0" w:color="auto"/>
        <w:left w:val="none" w:sz="0" w:space="0" w:color="auto"/>
        <w:bottom w:val="none" w:sz="0" w:space="0" w:color="auto"/>
        <w:right w:val="none" w:sz="0" w:space="0" w:color="auto"/>
      </w:divBdr>
    </w:div>
    <w:div w:id="1963072586">
      <w:bodyDiv w:val="1"/>
      <w:marLeft w:val="0"/>
      <w:marRight w:val="0"/>
      <w:marTop w:val="0"/>
      <w:marBottom w:val="0"/>
      <w:divBdr>
        <w:top w:val="none" w:sz="0" w:space="0" w:color="auto"/>
        <w:left w:val="none" w:sz="0" w:space="0" w:color="auto"/>
        <w:bottom w:val="none" w:sz="0" w:space="0" w:color="auto"/>
        <w:right w:val="none" w:sz="0" w:space="0" w:color="auto"/>
      </w:divBdr>
    </w:div>
    <w:div w:id="1963682661">
      <w:bodyDiv w:val="1"/>
      <w:marLeft w:val="0"/>
      <w:marRight w:val="0"/>
      <w:marTop w:val="0"/>
      <w:marBottom w:val="0"/>
      <w:divBdr>
        <w:top w:val="none" w:sz="0" w:space="0" w:color="auto"/>
        <w:left w:val="none" w:sz="0" w:space="0" w:color="auto"/>
        <w:bottom w:val="none" w:sz="0" w:space="0" w:color="auto"/>
        <w:right w:val="none" w:sz="0" w:space="0" w:color="auto"/>
      </w:divBdr>
    </w:div>
    <w:div w:id="1965309849">
      <w:bodyDiv w:val="1"/>
      <w:marLeft w:val="0"/>
      <w:marRight w:val="0"/>
      <w:marTop w:val="0"/>
      <w:marBottom w:val="0"/>
      <w:divBdr>
        <w:top w:val="none" w:sz="0" w:space="0" w:color="auto"/>
        <w:left w:val="none" w:sz="0" w:space="0" w:color="auto"/>
        <w:bottom w:val="none" w:sz="0" w:space="0" w:color="auto"/>
        <w:right w:val="none" w:sz="0" w:space="0" w:color="auto"/>
      </w:divBdr>
    </w:div>
    <w:div w:id="1968320002">
      <w:bodyDiv w:val="1"/>
      <w:marLeft w:val="0"/>
      <w:marRight w:val="0"/>
      <w:marTop w:val="0"/>
      <w:marBottom w:val="0"/>
      <w:divBdr>
        <w:top w:val="none" w:sz="0" w:space="0" w:color="auto"/>
        <w:left w:val="none" w:sz="0" w:space="0" w:color="auto"/>
        <w:bottom w:val="none" w:sz="0" w:space="0" w:color="auto"/>
        <w:right w:val="none" w:sz="0" w:space="0" w:color="auto"/>
      </w:divBdr>
    </w:div>
    <w:div w:id="1983188928">
      <w:bodyDiv w:val="1"/>
      <w:marLeft w:val="0"/>
      <w:marRight w:val="0"/>
      <w:marTop w:val="0"/>
      <w:marBottom w:val="0"/>
      <w:divBdr>
        <w:top w:val="none" w:sz="0" w:space="0" w:color="auto"/>
        <w:left w:val="none" w:sz="0" w:space="0" w:color="auto"/>
        <w:bottom w:val="none" w:sz="0" w:space="0" w:color="auto"/>
        <w:right w:val="none" w:sz="0" w:space="0" w:color="auto"/>
      </w:divBdr>
    </w:div>
    <w:div w:id="1986229498">
      <w:bodyDiv w:val="1"/>
      <w:marLeft w:val="0"/>
      <w:marRight w:val="0"/>
      <w:marTop w:val="0"/>
      <w:marBottom w:val="0"/>
      <w:divBdr>
        <w:top w:val="none" w:sz="0" w:space="0" w:color="auto"/>
        <w:left w:val="none" w:sz="0" w:space="0" w:color="auto"/>
        <w:bottom w:val="none" w:sz="0" w:space="0" w:color="auto"/>
        <w:right w:val="none" w:sz="0" w:space="0" w:color="auto"/>
      </w:divBdr>
    </w:div>
    <w:div w:id="1996956301">
      <w:bodyDiv w:val="1"/>
      <w:marLeft w:val="0"/>
      <w:marRight w:val="0"/>
      <w:marTop w:val="0"/>
      <w:marBottom w:val="0"/>
      <w:divBdr>
        <w:top w:val="none" w:sz="0" w:space="0" w:color="auto"/>
        <w:left w:val="none" w:sz="0" w:space="0" w:color="auto"/>
        <w:bottom w:val="none" w:sz="0" w:space="0" w:color="auto"/>
        <w:right w:val="none" w:sz="0" w:space="0" w:color="auto"/>
      </w:divBdr>
    </w:div>
    <w:div w:id="1999261312">
      <w:bodyDiv w:val="1"/>
      <w:marLeft w:val="0"/>
      <w:marRight w:val="0"/>
      <w:marTop w:val="0"/>
      <w:marBottom w:val="0"/>
      <w:divBdr>
        <w:top w:val="none" w:sz="0" w:space="0" w:color="auto"/>
        <w:left w:val="none" w:sz="0" w:space="0" w:color="auto"/>
        <w:bottom w:val="none" w:sz="0" w:space="0" w:color="auto"/>
        <w:right w:val="none" w:sz="0" w:space="0" w:color="auto"/>
      </w:divBdr>
    </w:div>
    <w:div w:id="2000307408">
      <w:bodyDiv w:val="1"/>
      <w:marLeft w:val="0"/>
      <w:marRight w:val="0"/>
      <w:marTop w:val="0"/>
      <w:marBottom w:val="0"/>
      <w:divBdr>
        <w:top w:val="none" w:sz="0" w:space="0" w:color="auto"/>
        <w:left w:val="none" w:sz="0" w:space="0" w:color="auto"/>
        <w:bottom w:val="none" w:sz="0" w:space="0" w:color="auto"/>
        <w:right w:val="none" w:sz="0" w:space="0" w:color="auto"/>
      </w:divBdr>
    </w:div>
    <w:div w:id="2008822161">
      <w:bodyDiv w:val="1"/>
      <w:marLeft w:val="0"/>
      <w:marRight w:val="0"/>
      <w:marTop w:val="0"/>
      <w:marBottom w:val="0"/>
      <w:divBdr>
        <w:top w:val="none" w:sz="0" w:space="0" w:color="auto"/>
        <w:left w:val="none" w:sz="0" w:space="0" w:color="auto"/>
        <w:bottom w:val="none" w:sz="0" w:space="0" w:color="auto"/>
        <w:right w:val="none" w:sz="0" w:space="0" w:color="auto"/>
      </w:divBdr>
    </w:div>
    <w:div w:id="2009627410">
      <w:bodyDiv w:val="1"/>
      <w:marLeft w:val="0"/>
      <w:marRight w:val="0"/>
      <w:marTop w:val="0"/>
      <w:marBottom w:val="0"/>
      <w:divBdr>
        <w:top w:val="none" w:sz="0" w:space="0" w:color="auto"/>
        <w:left w:val="none" w:sz="0" w:space="0" w:color="auto"/>
        <w:bottom w:val="none" w:sz="0" w:space="0" w:color="auto"/>
        <w:right w:val="none" w:sz="0" w:space="0" w:color="auto"/>
      </w:divBdr>
    </w:div>
    <w:div w:id="2022387964">
      <w:bodyDiv w:val="1"/>
      <w:marLeft w:val="0"/>
      <w:marRight w:val="0"/>
      <w:marTop w:val="0"/>
      <w:marBottom w:val="0"/>
      <w:divBdr>
        <w:top w:val="none" w:sz="0" w:space="0" w:color="auto"/>
        <w:left w:val="none" w:sz="0" w:space="0" w:color="auto"/>
        <w:bottom w:val="none" w:sz="0" w:space="0" w:color="auto"/>
        <w:right w:val="none" w:sz="0" w:space="0" w:color="auto"/>
      </w:divBdr>
    </w:div>
    <w:div w:id="2035418974">
      <w:bodyDiv w:val="1"/>
      <w:marLeft w:val="0"/>
      <w:marRight w:val="0"/>
      <w:marTop w:val="0"/>
      <w:marBottom w:val="0"/>
      <w:divBdr>
        <w:top w:val="none" w:sz="0" w:space="0" w:color="auto"/>
        <w:left w:val="none" w:sz="0" w:space="0" w:color="auto"/>
        <w:bottom w:val="none" w:sz="0" w:space="0" w:color="auto"/>
        <w:right w:val="none" w:sz="0" w:space="0" w:color="auto"/>
      </w:divBdr>
    </w:div>
    <w:div w:id="2038114750">
      <w:bodyDiv w:val="1"/>
      <w:marLeft w:val="0"/>
      <w:marRight w:val="0"/>
      <w:marTop w:val="0"/>
      <w:marBottom w:val="0"/>
      <w:divBdr>
        <w:top w:val="none" w:sz="0" w:space="0" w:color="auto"/>
        <w:left w:val="none" w:sz="0" w:space="0" w:color="auto"/>
        <w:bottom w:val="none" w:sz="0" w:space="0" w:color="auto"/>
        <w:right w:val="none" w:sz="0" w:space="0" w:color="auto"/>
      </w:divBdr>
    </w:div>
    <w:div w:id="2040352181">
      <w:bodyDiv w:val="1"/>
      <w:marLeft w:val="0"/>
      <w:marRight w:val="0"/>
      <w:marTop w:val="0"/>
      <w:marBottom w:val="0"/>
      <w:divBdr>
        <w:top w:val="none" w:sz="0" w:space="0" w:color="auto"/>
        <w:left w:val="none" w:sz="0" w:space="0" w:color="auto"/>
        <w:bottom w:val="none" w:sz="0" w:space="0" w:color="auto"/>
        <w:right w:val="none" w:sz="0" w:space="0" w:color="auto"/>
      </w:divBdr>
    </w:div>
    <w:div w:id="2050835524">
      <w:bodyDiv w:val="1"/>
      <w:marLeft w:val="0"/>
      <w:marRight w:val="0"/>
      <w:marTop w:val="0"/>
      <w:marBottom w:val="0"/>
      <w:divBdr>
        <w:top w:val="none" w:sz="0" w:space="0" w:color="auto"/>
        <w:left w:val="none" w:sz="0" w:space="0" w:color="auto"/>
        <w:bottom w:val="none" w:sz="0" w:space="0" w:color="auto"/>
        <w:right w:val="none" w:sz="0" w:space="0" w:color="auto"/>
      </w:divBdr>
    </w:div>
    <w:div w:id="2054309405">
      <w:bodyDiv w:val="1"/>
      <w:marLeft w:val="0"/>
      <w:marRight w:val="0"/>
      <w:marTop w:val="0"/>
      <w:marBottom w:val="0"/>
      <w:divBdr>
        <w:top w:val="none" w:sz="0" w:space="0" w:color="auto"/>
        <w:left w:val="none" w:sz="0" w:space="0" w:color="auto"/>
        <w:bottom w:val="none" w:sz="0" w:space="0" w:color="auto"/>
        <w:right w:val="none" w:sz="0" w:space="0" w:color="auto"/>
      </w:divBdr>
    </w:div>
    <w:div w:id="2061201898">
      <w:bodyDiv w:val="1"/>
      <w:marLeft w:val="0"/>
      <w:marRight w:val="0"/>
      <w:marTop w:val="0"/>
      <w:marBottom w:val="0"/>
      <w:divBdr>
        <w:top w:val="none" w:sz="0" w:space="0" w:color="auto"/>
        <w:left w:val="none" w:sz="0" w:space="0" w:color="auto"/>
        <w:bottom w:val="none" w:sz="0" w:space="0" w:color="auto"/>
        <w:right w:val="none" w:sz="0" w:space="0" w:color="auto"/>
      </w:divBdr>
    </w:div>
    <w:div w:id="2069108509">
      <w:bodyDiv w:val="1"/>
      <w:marLeft w:val="0"/>
      <w:marRight w:val="0"/>
      <w:marTop w:val="0"/>
      <w:marBottom w:val="0"/>
      <w:divBdr>
        <w:top w:val="none" w:sz="0" w:space="0" w:color="auto"/>
        <w:left w:val="none" w:sz="0" w:space="0" w:color="auto"/>
        <w:bottom w:val="none" w:sz="0" w:space="0" w:color="auto"/>
        <w:right w:val="none" w:sz="0" w:space="0" w:color="auto"/>
      </w:divBdr>
    </w:div>
    <w:div w:id="2070111449">
      <w:bodyDiv w:val="1"/>
      <w:marLeft w:val="0"/>
      <w:marRight w:val="0"/>
      <w:marTop w:val="0"/>
      <w:marBottom w:val="0"/>
      <w:divBdr>
        <w:top w:val="none" w:sz="0" w:space="0" w:color="auto"/>
        <w:left w:val="none" w:sz="0" w:space="0" w:color="auto"/>
        <w:bottom w:val="none" w:sz="0" w:space="0" w:color="auto"/>
        <w:right w:val="none" w:sz="0" w:space="0" w:color="auto"/>
      </w:divBdr>
    </w:div>
    <w:div w:id="2071422838">
      <w:bodyDiv w:val="1"/>
      <w:marLeft w:val="0"/>
      <w:marRight w:val="0"/>
      <w:marTop w:val="0"/>
      <w:marBottom w:val="0"/>
      <w:divBdr>
        <w:top w:val="none" w:sz="0" w:space="0" w:color="auto"/>
        <w:left w:val="none" w:sz="0" w:space="0" w:color="auto"/>
        <w:bottom w:val="none" w:sz="0" w:space="0" w:color="auto"/>
        <w:right w:val="none" w:sz="0" w:space="0" w:color="auto"/>
      </w:divBdr>
    </w:div>
    <w:div w:id="2072118078">
      <w:bodyDiv w:val="1"/>
      <w:marLeft w:val="0"/>
      <w:marRight w:val="0"/>
      <w:marTop w:val="0"/>
      <w:marBottom w:val="0"/>
      <w:divBdr>
        <w:top w:val="none" w:sz="0" w:space="0" w:color="auto"/>
        <w:left w:val="none" w:sz="0" w:space="0" w:color="auto"/>
        <w:bottom w:val="none" w:sz="0" w:space="0" w:color="auto"/>
        <w:right w:val="none" w:sz="0" w:space="0" w:color="auto"/>
      </w:divBdr>
    </w:div>
    <w:div w:id="2081782759">
      <w:bodyDiv w:val="1"/>
      <w:marLeft w:val="0"/>
      <w:marRight w:val="0"/>
      <w:marTop w:val="0"/>
      <w:marBottom w:val="0"/>
      <w:divBdr>
        <w:top w:val="none" w:sz="0" w:space="0" w:color="auto"/>
        <w:left w:val="none" w:sz="0" w:space="0" w:color="auto"/>
        <w:bottom w:val="none" w:sz="0" w:space="0" w:color="auto"/>
        <w:right w:val="none" w:sz="0" w:space="0" w:color="auto"/>
      </w:divBdr>
    </w:div>
    <w:div w:id="2082016331">
      <w:bodyDiv w:val="1"/>
      <w:marLeft w:val="0"/>
      <w:marRight w:val="0"/>
      <w:marTop w:val="0"/>
      <w:marBottom w:val="0"/>
      <w:divBdr>
        <w:top w:val="none" w:sz="0" w:space="0" w:color="auto"/>
        <w:left w:val="none" w:sz="0" w:space="0" w:color="auto"/>
        <w:bottom w:val="none" w:sz="0" w:space="0" w:color="auto"/>
        <w:right w:val="none" w:sz="0" w:space="0" w:color="auto"/>
      </w:divBdr>
    </w:div>
    <w:div w:id="2084447060">
      <w:bodyDiv w:val="1"/>
      <w:marLeft w:val="0"/>
      <w:marRight w:val="0"/>
      <w:marTop w:val="0"/>
      <w:marBottom w:val="0"/>
      <w:divBdr>
        <w:top w:val="none" w:sz="0" w:space="0" w:color="auto"/>
        <w:left w:val="none" w:sz="0" w:space="0" w:color="auto"/>
        <w:bottom w:val="none" w:sz="0" w:space="0" w:color="auto"/>
        <w:right w:val="none" w:sz="0" w:space="0" w:color="auto"/>
      </w:divBdr>
    </w:div>
    <w:div w:id="2085640407">
      <w:bodyDiv w:val="1"/>
      <w:marLeft w:val="0"/>
      <w:marRight w:val="0"/>
      <w:marTop w:val="0"/>
      <w:marBottom w:val="0"/>
      <w:divBdr>
        <w:top w:val="none" w:sz="0" w:space="0" w:color="auto"/>
        <w:left w:val="none" w:sz="0" w:space="0" w:color="auto"/>
        <w:bottom w:val="none" w:sz="0" w:space="0" w:color="auto"/>
        <w:right w:val="none" w:sz="0" w:space="0" w:color="auto"/>
      </w:divBdr>
    </w:div>
    <w:div w:id="2089308017">
      <w:bodyDiv w:val="1"/>
      <w:marLeft w:val="0"/>
      <w:marRight w:val="0"/>
      <w:marTop w:val="0"/>
      <w:marBottom w:val="0"/>
      <w:divBdr>
        <w:top w:val="none" w:sz="0" w:space="0" w:color="auto"/>
        <w:left w:val="none" w:sz="0" w:space="0" w:color="auto"/>
        <w:bottom w:val="none" w:sz="0" w:space="0" w:color="auto"/>
        <w:right w:val="none" w:sz="0" w:space="0" w:color="auto"/>
      </w:divBdr>
    </w:div>
    <w:div w:id="2097246810">
      <w:bodyDiv w:val="1"/>
      <w:marLeft w:val="0"/>
      <w:marRight w:val="0"/>
      <w:marTop w:val="0"/>
      <w:marBottom w:val="0"/>
      <w:divBdr>
        <w:top w:val="none" w:sz="0" w:space="0" w:color="auto"/>
        <w:left w:val="none" w:sz="0" w:space="0" w:color="auto"/>
        <w:bottom w:val="none" w:sz="0" w:space="0" w:color="auto"/>
        <w:right w:val="none" w:sz="0" w:space="0" w:color="auto"/>
      </w:divBdr>
    </w:div>
    <w:div w:id="2103720989">
      <w:bodyDiv w:val="1"/>
      <w:marLeft w:val="0"/>
      <w:marRight w:val="0"/>
      <w:marTop w:val="0"/>
      <w:marBottom w:val="0"/>
      <w:divBdr>
        <w:top w:val="none" w:sz="0" w:space="0" w:color="auto"/>
        <w:left w:val="none" w:sz="0" w:space="0" w:color="auto"/>
        <w:bottom w:val="none" w:sz="0" w:space="0" w:color="auto"/>
        <w:right w:val="none" w:sz="0" w:space="0" w:color="auto"/>
      </w:divBdr>
    </w:div>
    <w:div w:id="2105222538">
      <w:bodyDiv w:val="1"/>
      <w:marLeft w:val="0"/>
      <w:marRight w:val="0"/>
      <w:marTop w:val="0"/>
      <w:marBottom w:val="0"/>
      <w:divBdr>
        <w:top w:val="none" w:sz="0" w:space="0" w:color="auto"/>
        <w:left w:val="none" w:sz="0" w:space="0" w:color="auto"/>
        <w:bottom w:val="none" w:sz="0" w:space="0" w:color="auto"/>
        <w:right w:val="none" w:sz="0" w:space="0" w:color="auto"/>
      </w:divBdr>
    </w:div>
    <w:div w:id="2108502281">
      <w:bodyDiv w:val="1"/>
      <w:marLeft w:val="0"/>
      <w:marRight w:val="0"/>
      <w:marTop w:val="0"/>
      <w:marBottom w:val="0"/>
      <w:divBdr>
        <w:top w:val="none" w:sz="0" w:space="0" w:color="auto"/>
        <w:left w:val="none" w:sz="0" w:space="0" w:color="auto"/>
        <w:bottom w:val="none" w:sz="0" w:space="0" w:color="auto"/>
        <w:right w:val="none" w:sz="0" w:space="0" w:color="auto"/>
      </w:divBdr>
    </w:div>
    <w:div w:id="2112041712">
      <w:bodyDiv w:val="1"/>
      <w:marLeft w:val="0"/>
      <w:marRight w:val="0"/>
      <w:marTop w:val="0"/>
      <w:marBottom w:val="0"/>
      <w:divBdr>
        <w:top w:val="none" w:sz="0" w:space="0" w:color="auto"/>
        <w:left w:val="none" w:sz="0" w:space="0" w:color="auto"/>
        <w:bottom w:val="none" w:sz="0" w:space="0" w:color="auto"/>
        <w:right w:val="none" w:sz="0" w:space="0" w:color="auto"/>
      </w:divBdr>
    </w:div>
    <w:div w:id="2114664352">
      <w:bodyDiv w:val="1"/>
      <w:marLeft w:val="0"/>
      <w:marRight w:val="0"/>
      <w:marTop w:val="0"/>
      <w:marBottom w:val="0"/>
      <w:divBdr>
        <w:top w:val="none" w:sz="0" w:space="0" w:color="auto"/>
        <w:left w:val="none" w:sz="0" w:space="0" w:color="auto"/>
        <w:bottom w:val="none" w:sz="0" w:space="0" w:color="auto"/>
        <w:right w:val="none" w:sz="0" w:space="0" w:color="auto"/>
      </w:divBdr>
    </w:div>
    <w:div w:id="2116047923">
      <w:bodyDiv w:val="1"/>
      <w:marLeft w:val="0"/>
      <w:marRight w:val="0"/>
      <w:marTop w:val="0"/>
      <w:marBottom w:val="0"/>
      <w:divBdr>
        <w:top w:val="none" w:sz="0" w:space="0" w:color="auto"/>
        <w:left w:val="none" w:sz="0" w:space="0" w:color="auto"/>
        <w:bottom w:val="none" w:sz="0" w:space="0" w:color="auto"/>
        <w:right w:val="none" w:sz="0" w:space="0" w:color="auto"/>
      </w:divBdr>
    </w:div>
    <w:div w:id="2119711213">
      <w:bodyDiv w:val="1"/>
      <w:marLeft w:val="0"/>
      <w:marRight w:val="0"/>
      <w:marTop w:val="0"/>
      <w:marBottom w:val="0"/>
      <w:divBdr>
        <w:top w:val="none" w:sz="0" w:space="0" w:color="auto"/>
        <w:left w:val="none" w:sz="0" w:space="0" w:color="auto"/>
        <w:bottom w:val="none" w:sz="0" w:space="0" w:color="auto"/>
        <w:right w:val="none" w:sz="0" w:space="0" w:color="auto"/>
      </w:divBdr>
    </w:div>
    <w:div w:id="2124760653">
      <w:bodyDiv w:val="1"/>
      <w:marLeft w:val="0"/>
      <w:marRight w:val="0"/>
      <w:marTop w:val="0"/>
      <w:marBottom w:val="0"/>
      <w:divBdr>
        <w:top w:val="none" w:sz="0" w:space="0" w:color="auto"/>
        <w:left w:val="none" w:sz="0" w:space="0" w:color="auto"/>
        <w:bottom w:val="none" w:sz="0" w:space="0" w:color="auto"/>
        <w:right w:val="none" w:sz="0" w:space="0" w:color="auto"/>
      </w:divBdr>
    </w:div>
    <w:div w:id="2135631644">
      <w:bodyDiv w:val="1"/>
      <w:marLeft w:val="0"/>
      <w:marRight w:val="0"/>
      <w:marTop w:val="0"/>
      <w:marBottom w:val="0"/>
      <w:divBdr>
        <w:top w:val="none" w:sz="0" w:space="0" w:color="auto"/>
        <w:left w:val="none" w:sz="0" w:space="0" w:color="auto"/>
        <w:bottom w:val="none" w:sz="0" w:space="0" w:color="auto"/>
        <w:right w:val="none" w:sz="0" w:space="0" w:color="auto"/>
      </w:divBdr>
    </w:div>
    <w:div w:id="2136830837">
      <w:bodyDiv w:val="1"/>
      <w:marLeft w:val="0"/>
      <w:marRight w:val="0"/>
      <w:marTop w:val="0"/>
      <w:marBottom w:val="0"/>
      <w:divBdr>
        <w:top w:val="none" w:sz="0" w:space="0" w:color="auto"/>
        <w:left w:val="none" w:sz="0" w:space="0" w:color="auto"/>
        <w:bottom w:val="none" w:sz="0" w:space="0" w:color="auto"/>
        <w:right w:val="none" w:sz="0" w:space="0" w:color="auto"/>
      </w:divBdr>
    </w:div>
    <w:div w:id="2142768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Id="srk1" Target="header1.xml" Type="http://schemas.openxmlformats.org/officeDocument/2006/relationships/header"/><Relationship Id="srk2" Target="footer1.xml" Type="http://schemas.openxmlformats.org/officeDocument/2006/relationships/footer"/><Relationship Type="http://schemas.openxmlformats.org/officeDocument/2006/relationships/image" Id="rId76" Target="media/rId76.png"/><Relationship Type="http://schemas.openxmlformats.org/officeDocument/2006/relationships/image" Id="rId71" Target="media/rId71.png"/><Relationship Type="http://schemas.openxmlformats.org/officeDocument/2006/relationships/image" Id="rId66" Target="media/rId66.png"/><Relationship Type="http://schemas.openxmlformats.org/officeDocument/2006/relationships/image" Id="rId61" Target="media/rId61.png"/><Relationship Type="http://schemas.openxmlformats.org/officeDocument/2006/relationships/image" Id="rId45" Target="media/rId45.png"/><Relationship Type="http://schemas.openxmlformats.org/officeDocument/2006/relationships/image" Id="rId40" Target="media/rId40.png"/><Relationship Type="http://schemas.openxmlformats.org/officeDocument/2006/relationships/image" Id="rId35" Target="media/rId35.png"/><Relationship Type="http://schemas.openxmlformats.org/officeDocument/2006/relationships/image" Id="rId30" Target="media/rId30.png"/><Relationship Type="http://schemas.openxmlformats.org/officeDocument/2006/relationships/hyperlink" Id="rId105" Target="https://doi.org/10.1002/eqe.4290160704" TargetMode="External"/><Relationship Type="http://schemas.openxmlformats.org/officeDocument/2006/relationships/hyperlink" Id="rId120" Target="https://doi.org/10.1016/0261-7277(85)90037-3" TargetMode="External"/><Relationship Type="http://schemas.openxmlformats.org/officeDocument/2006/relationships/hyperlink" Id="rId133" Target="https://doi.org/10.1016/j.enggeo.2007.01.013" TargetMode="External"/><Relationship Type="http://schemas.openxmlformats.org/officeDocument/2006/relationships/hyperlink" Id="rId112" Target="https://doi.org/10.1061/(ASCE)1090-0241(2007)133:4(381)" TargetMode="External"/><Relationship Type="http://schemas.openxmlformats.org/officeDocument/2006/relationships/hyperlink" Id="rId118" Target="https://doi.org/10.1061/(ASCE)GT.1943-5606.0000012" TargetMode="External"/><Relationship Type="http://schemas.openxmlformats.org/officeDocument/2006/relationships/hyperlink" Id="rId116" Target="https://doi.org/10.1061/(ASCE)GT.1943-5606.0001833" TargetMode="External"/><Relationship Type="http://schemas.openxmlformats.org/officeDocument/2006/relationships/hyperlink" Id="rId114" Target="https://doi.org/10.1061/(ASCE)GT.1943-5606.0002143" TargetMode="External"/><Relationship Type="http://schemas.openxmlformats.org/officeDocument/2006/relationships/hyperlink" Id="rId137" Target="https://doi.org/10.1061/AJGEB6.0000668" TargetMode="External"/><Relationship Type="http://schemas.openxmlformats.org/officeDocument/2006/relationships/hyperlink" Id="rId124" Target="https://doi.org/10.1061/JSFEAQ.0001100" TargetMode="External"/><Relationship Type="http://schemas.openxmlformats.org/officeDocument/2006/relationships/hyperlink" Id="rId126" Target="https://doi.org/10.1061/JSFEAQ.0001756" TargetMode="External"/><Relationship Type="http://schemas.openxmlformats.org/officeDocument/2006/relationships/hyperlink" Id="rId131" Target="https://doi.org/10.1093/oso/9780198562245.001.0001" TargetMode="External"/><Relationship Type="http://schemas.openxmlformats.org/officeDocument/2006/relationships/hyperlink" Id="rId144" Target="https://doi.org/10.1177/8755293019878185" TargetMode="External"/><Relationship Type="http://schemas.openxmlformats.org/officeDocument/2006/relationships/hyperlink" Id="rId128" Target="https://doi.org/10.1177/8755293019878193" TargetMode="External"/><Relationship Type="http://schemas.openxmlformats.org/officeDocument/2006/relationships/hyperlink" Id="rId110" Target="https://doi.org/10.1193/1.2857544" TargetMode="External"/><Relationship Type="http://schemas.openxmlformats.org/officeDocument/2006/relationships/hyperlink" Id="rId135" Target="https://doi.org/10.1193/122516EQS251M" TargetMode="External"/><Relationship Type="http://schemas.openxmlformats.org/officeDocument/2006/relationships/hyperlink" Id="rId139" Target="https://doi.org/10.1680/geot.1965.15.2.139" TargetMode="External"/><Relationship Type="http://schemas.openxmlformats.org/officeDocument/2006/relationships/hyperlink" Id="rId142" Target="https://doi.org/10.2208/jscej1969.1975.57" TargetMode="External"/><Relationship Type="http://schemas.openxmlformats.org/officeDocument/2006/relationships/hyperlink" Id="rId107" Target="https://www.ce.memphis.edu/7137/PDFs/Seismic%20Manual/nchrp_rpt_611.pdf" TargetMode="External"/><Relationship Type="http://schemas.openxmlformats.org/officeDocument/2006/relationships/hyperlink" Id="rId148" Target="https://www.publications.usace.army.mil/Portals/76/Publications/EngineerManuals/EM_1110-2-1902.pdf" TargetMode="External"/><Relationship Type="http://schemas.openxmlformats.org/officeDocument/2006/relationships/hyperlink" Id="rId146" Target="https://www.publications.usace.army.mil/Portals/76/Publications/EngineerRegulations/ER_1110-2-1806.pdf" TargetMode="External"/><Relationship Type="http://schemas.openxmlformats.org/officeDocument/2006/relationships/hyperlink" Id="rId150" Target="https://www.publications.usace.army.mil/portals/76/publications/engineermanuals/em_1110-2-2100.pdf" TargetMode="External"/><Relationship Id="rId9" Type="http://schemas.openxmlformats.org/officeDocument/2006/relationships/image" Target="media/srk-na-logo.wmf"/><Relationship Id="rId10" Type="http://schemas.openxmlformats.org/officeDocument/2006/relationships/header" Target="srk-empty-header.xml"/><Relationship Id="rId11" Type="http://schemas.openxmlformats.org/officeDocument/2006/relationships/footer" Target="srk-empty-footer.xml"/><Relationship Id="rId12" Type="http://schemas.openxmlformats.org/officeDocument/2006/relationships/footer" Target="srk-cover-footer.xml"/></Relationships>
</file>

<file path=word/_rels/footnotes.xml.rels><?xml version="1.0" encoding="UTF-8"?><Relationships xmlns="http://schemas.openxmlformats.org/package/2006/relationships"><Relationship Type="http://schemas.openxmlformats.org/officeDocument/2006/relationships/hyperlink" Id="rId105" Target="https://doi.org/10.1002/eqe.4290160704" TargetMode="External" /><Relationship Type="http://schemas.openxmlformats.org/officeDocument/2006/relationships/hyperlink" Id="rId120" Target="https://doi.org/10.1016/0261-7277(85)90037-3" TargetMode="External" /><Relationship Type="http://schemas.openxmlformats.org/officeDocument/2006/relationships/hyperlink" Id="rId133" Target="https://doi.org/10.1016/j.enggeo.2007.01.013" TargetMode="External" /><Relationship Type="http://schemas.openxmlformats.org/officeDocument/2006/relationships/hyperlink" Id="rId112" Target="https://doi.org/10.1061/(ASCE)1090-0241(2007)133:4(381)" TargetMode="External" /><Relationship Type="http://schemas.openxmlformats.org/officeDocument/2006/relationships/hyperlink" Id="rId118" Target="https://doi.org/10.1061/(ASCE)GT.1943-5606.0000012" TargetMode="External" /><Relationship Type="http://schemas.openxmlformats.org/officeDocument/2006/relationships/hyperlink" Id="rId116" Target="https://doi.org/10.1061/(ASCE)GT.1943-5606.0001833" TargetMode="External" /><Relationship Type="http://schemas.openxmlformats.org/officeDocument/2006/relationships/hyperlink" Id="rId114" Target="https://doi.org/10.1061/(ASCE)GT.1943-5606.0002143" TargetMode="External" /><Relationship Type="http://schemas.openxmlformats.org/officeDocument/2006/relationships/hyperlink" Id="rId137" Target="https://doi.org/10.1061/AJGEB6.0000668" TargetMode="External" /><Relationship Type="http://schemas.openxmlformats.org/officeDocument/2006/relationships/hyperlink" Id="rId124" Target="https://doi.org/10.1061/JSFEAQ.0001100" TargetMode="External" /><Relationship Type="http://schemas.openxmlformats.org/officeDocument/2006/relationships/hyperlink" Id="rId126" Target="https://doi.org/10.1061/JSFEAQ.0001756" TargetMode="External" /><Relationship Type="http://schemas.openxmlformats.org/officeDocument/2006/relationships/hyperlink" Id="rId131" Target="https://doi.org/10.1093/oso/9780198562245.001.0001" TargetMode="External" /><Relationship Type="http://schemas.openxmlformats.org/officeDocument/2006/relationships/hyperlink" Id="rId144" Target="https://doi.org/10.1177/8755293019878185" TargetMode="External" /><Relationship Type="http://schemas.openxmlformats.org/officeDocument/2006/relationships/hyperlink" Id="rId128" Target="https://doi.org/10.1177/8755293019878193" TargetMode="External" /><Relationship Type="http://schemas.openxmlformats.org/officeDocument/2006/relationships/hyperlink" Id="rId110" Target="https://doi.org/10.1193/1.2857544" TargetMode="External" /><Relationship Type="http://schemas.openxmlformats.org/officeDocument/2006/relationships/hyperlink" Id="rId135" Target="https://doi.org/10.1193/122516EQS251M" TargetMode="External" /><Relationship Type="http://schemas.openxmlformats.org/officeDocument/2006/relationships/hyperlink" Id="rId139" Target="https://doi.org/10.1680/geot.1965.15.2.139" TargetMode="External" /><Relationship Type="http://schemas.openxmlformats.org/officeDocument/2006/relationships/hyperlink" Id="rId142" Target="https://doi.org/10.2208/jscej1969.1975.57" TargetMode="External" /><Relationship Type="http://schemas.openxmlformats.org/officeDocument/2006/relationships/hyperlink" Id="rId107" Target="https://www.ce.memphis.edu/7137/PDFs/Seismic%20Manual/nchrp_rpt_611.pdf" TargetMode="External" /><Relationship Type="http://schemas.openxmlformats.org/officeDocument/2006/relationships/hyperlink" Id="rId148" Target="https://www.publications.usace.army.mil/Portals/76/Publications/EngineerManuals/EM_1110-2-1902.pdf" TargetMode="External" /><Relationship Type="http://schemas.openxmlformats.org/officeDocument/2006/relationships/hyperlink" Id="rId146" Target="https://www.publications.usace.army.mil/Portals/76/Publications/EngineerRegulations/ER_1110-2-1806.pdf" TargetMode="External" /><Relationship Type="http://schemas.openxmlformats.org/officeDocument/2006/relationships/hyperlink" Id="rId150" Target="https://www.publications.usace.army.mil/portals/76/publications/engineermanuals/em_1110-2-2100.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Parámetros de Diseño Sísmico</dc:title>
  <dc:creator/>
  <dc:language>es</dc:language>
  <cp:keywords/>
  <dcterms:created xsi:type="dcterms:W3CDTF">2026-10-15T13:52:06Z</dcterms:created>
  <dcterms:modified xsi:type="dcterms:W3CDTF">2026-10-15T13:52:06Z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_local/gmdp.memo.bib</vt:lpwstr>
  </property>
  <property fmtid="{D5CDD505-2E9C-101B-9397-08002B2CF9AE}" pid="4" name="colorlinks">
    <vt:lpwstr>True</vt:lpwstr>
  </property>
  <property fmtid="{D5CDD505-2E9C-101B-9397-08002B2CF9AE}" pid="5" name="crossref">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ink-citations">
    <vt:lpwstr>True</vt:lpwstr>
  </property>
  <property fmtid="{D5CDD505-2E9C-101B-9397-08002B2CF9AE}" pid="12" name="number-depth">
    <vt:lpwstr>4</vt:lpwstr>
  </property>
  <property fmtid="{D5CDD505-2E9C-101B-9397-08002B2CF9AE}" pid="13" name="toc-title">
    <vt:lpwstr>Table of Contents</vt:lpwstr>
  </property>
</Properties>
</file>