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srk-na-logo.wmf" ContentType="image/x-wmf"/>
  <Override PartName="/word/srk-empty-header.xml" ContentType="application/vnd.openxmlformats-officedocument.wordprocessingml.header+xml"/>
  <Override PartName="/word/srk-empty-footer.xml" ContentType="application/vnd.openxmlformats-officedocument.wordprocessingml.footer+xml"/>
  <Override PartName="/word/srk-cover-footer.xml" ContentType="application/vnd.openxmlformats-officedocument.wordprocessingml.footer+xml"/>
  <Override PartName="/word/srk-composition.json" ContentType="application/json"/>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sidR="00CB06CD" w:rsidRDefault="00CB06CD">
      <w:pPr>
        <w:pStyle w:val="SRKNormal"/>
        <w:spacing w:before="0" w:after="0" w:line="240" w:lineRule="auto"/>
      </w:pPr>
    </w:p>
    <w:p w:rsidR="003C3A72" w:rsidRDefault="003C3A72">
      <w:pPr>
        <w:pStyle w:val="SRKNormal"/>
        <w:spacing w:before="0" w:after="0" w:line="240" w:lineRule="auto"/>
      </w:pPr>
    </w:p>
    <w:tbl xmlns:wp14="http://schemas.microsoft.com/office/word/2010/wordprocessingDrawing">
      <w:tblPr>
        <w:tblStyle w:val="SRK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7560"/>
        <w:gridCol w:w="1440"/>
      </w:tblGrid>
      <w:tr w:rsidR="00065991" w:rsidTr="00065991">
        <w:trPr>
          <w:trHeight w:val="4320"/>
        </w:trPr>
        <w:tc>
          <w:tcPr>
            <w:tcW w:w="1800" w:type="dxa"/>
          </w:tcPr>
          <w:p w:rsidR="00065991" w:rsidRDefault="008701B6" w:rsidP="000C1E61">
            <w:pPr>
              <w:pStyle w:val="SRKNormal"/>
              <w:spacing w:before="0" w:after="0" w:line="240" w:lineRule="auto"/>
            </w:pPr>
          </w:p>
        </w:tc>
        <w:tc>
          <w:tcPr>
            <w:tcW w:w="7560" w:type="dxa"/>
            <w:vAlign w:val="center"/>
          </w:tcPr>
          <w:p>
            <w:pPr>
              <w:pStyle w:val="SRKNormal"/>
              <w:spacing w:line="1210" w:lineRule="exact" w:after="0" w:before="0"/>
            </w:pPr>
          </w:p>
          <w:p w:rsidR="00065991" w:rsidRPr="00C2571C" w:rsidRDefault="00065991" w:rsidP="00C2571C">
            <w:pPr>
              <w:pStyle w:val="SRKNormal"/>
              <w:spacing w:before="0" w:after="0" w:line="240" w:lineRule="auto"/>
            </w:pPr>
          </w:p>
          <w:p w:rsidR="00065991" w:rsidRPr="009F1F63" w:rsidRDefault="00000000" w:rsidP="0009390D">
            <w:pPr>
              <w:pStyle w:val="SRKCover1"/>
              <w:spacing w:before="0" w:after="0" w:line="240" w:lineRule="auto"/>
            </w:pPr>
            <w:r>
              <w:rPr>
                <w:b/>
              </w:rPr>
              <w:t xml:space="preserve">Seismic Hazard Study</w:t>
            </w:r>
          </w:p>
        </w:tc>
        <w:tc>
          <w:tcPr>
            <w:tcW w:w="1440" w:type="dxa"/>
            <w:vAlign w:val="center"/>
          </w:tcPr>
          <w:p w:rsidR="00065991" w:rsidRPr="009F1F63" w:rsidRDefault="00065991" w:rsidP="00C2571C">
            <w:pPr>
              <w:pStyle w:val="SRKCover1"/>
              <w:spacing w:before="0" w:after="0" w:line="240" w:lineRule="auto"/>
            </w:pPr>
          </w:p>
        </w:tc>
      </w:tr>
      <w:tr w:rsidR="00DD5F3A" w:rsidTr="00FC2730">
        <w:trPr>
          <w:trHeight w:val="2160"/>
        </w:trPr>
        <w:tc>
          <w:tcPr>
            <w:tcW w:w="1800" w:type="dxa"/>
          </w:tcPr>
          <w:p w:rsidR="00DD5F3A" w:rsidRDefault="00DD5F3A">
            <w:pPr>
              <w:pStyle w:val="SRKNormal"/>
              <w:spacing w:before="0" w:after="0" w:line="240" w:lineRule="auto"/>
            </w:pPr>
          </w:p>
        </w:tc>
        <w:tc>
          <w:tcPr>
            <w:tcW w:w="9000" w:type="dxa"/>
            <w:gridSpan w:val="2"/>
            <w:vAlign w:val="center"/>
          </w:tcPr>
          <w:p w:rsidR="00DD5F3A" w:rsidRDefault="000B4AE4" w:rsidP="00FC2730">
            <w:pPr>
              <w:pStyle w:val="SRKNormal"/>
              <w:spacing w:before="0" w:after="0" w:line="240" w:lineRule="auto"/>
              <w:rPr>
                <w:rStyle w:val="SRKStrong"/>
              </w:rPr>
            </w:pPr>
            <w:r w:rsidRPr="000B4AE4">
              <w:rPr>
                <w:rStyle w:val="SRKStrong"/>
              </w:rPr>
              <w:t>Prepared for</w:t>
            </w:r>
          </w:p>
          <w:p w:rsidR="004066EC" w:rsidRPr="004066EC" w:rsidRDefault="004066EC" w:rsidP="004066EC">
            <w:pPr>
              <w:pStyle w:val="SRKNormal"/>
              <w:spacing w:before="0" w:after="0" w:line="240" w:lineRule="auto"/>
            </w:pPr>
          </w:p>
          <w:p w:rsidR="000B4AE4" w:rsidRPr="009F1F63" w:rsidRDefault="005D2F30" w:rsidP="0083254B">
            <w:pPr>
              <w:pStyle w:val="SRKCover3"/>
              <w:spacing w:before="0" w:after="0" w:line="240" w:lineRule="auto"/>
            </w:pPr>
            <w:r>
              <w:t xml:space="preserve">Canada Nickel Co.</w:t>
            </w:r>
          </w:p>
        </w:tc>
      </w:tr>
      <w:tr w:rsidR="00DD5F3A" w:rsidTr="00F81063">
        <w:trPr>
          <w:trHeight w:val="1872"/>
        </w:trPr>
        <w:tc>
          <w:tcPr>
            <w:tcW w:w="1800" w:type="dxa"/>
          </w:tcPr>
          <w:p w:rsidR="00DD5F3A" w:rsidRDefault="00DD5F3A" w:rsidP="00A741A5">
            <w:pPr>
              <w:pStyle w:val="SRKNormal"/>
              <w:spacing w:before="0" w:after="0" w:line="240" w:lineRule="auto"/>
              <w:ind w:firstLine="720"/>
            </w:pPr>
          </w:p>
          <w:p w:rsidR="00A0506F" w:rsidRDefault="00A0506F" w:rsidP="00A741A5">
            <w:pPr>
              <w:pStyle w:val="SRKNormal"/>
              <w:spacing w:before="0" w:after="0" w:line="240" w:lineRule="auto"/>
              <w:ind w:firstLine="720"/>
            </w:pPr>
          </w:p>
        </w:tc>
        <w:tc>
          <w:tcPr>
            <w:tcW w:w="9000" w:type="dxa"/>
            <w:gridSpan w:val="2"/>
            <w:vAlign w:val="bottom"/>
          </w:tcPr>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DD5F3A" w:rsidRPr="004066EC" w:rsidRDefault="004066EC" w:rsidP="009F1F63">
            <w:pPr>
              <w:pStyle w:val="SRKNormal"/>
              <w:spacing w:before="0" w:after="0" w:line="240" w:lineRule="auto"/>
              <w:rPr>
                <w:rStyle w:val="SRKStrong"/>
              </w:rPr>
            </w:pPr>
            <w:r w:rsidRPr="004066EC">
              <w:rPr>
                <w:rStyle w:val="SRKStrong"/>
              </w:rPr>
              <w:t>Prepared by</w:t>
            </w:r>
          </w:p>
          <w:p w:rsidR="004066EC" w:rsidRDefault="00B024E0" w:rsidP="009F1F63">
            <w:pPr>
              <w:pStyle w:val="SRKNormal"/>
              <w:spacing w:before="0" w:after="0" w:line="240" w:lineRule="auto"/>
            </w:pPr>
            <w:r w:rsidRPr="00C8660F">
              <w:rPr>
                <w:noProof/>
                <w:color w:val="808080" w:themeColor="background1" w:themeShade="80"/>
                <w:lang w:val="en-US"/>
              </w:rPr>
              <w:drawing>
                <wp:inline distT="0" distB="0" distL="0" distR="0" wp14:anchorId="0DFFD3A1" wp14:editId="2A668E72">
                  <wp:extent cx="3355848" cy="384048"/>
                  <wp:effectExtent l="0" t="0" r="0" b="0"/>
                  <wp:docPr id="1" name="Picture 5" descr="SRK Consulting logo"/>
                  <wp:cNvGraphicFramePr>
                    <a:graphicFrameLocks noChangeAspect="1"/>
                  </wp:cNvGraphicFramePr>
                  <a:graphic>
                    <a:graphicData uri="http://schemas.openxmlformats.org/drawingml/2006/picture">
                      <pic:pic>
                        <pic:nvPicPr>
                          <pic:cNvPr id="0" name="Picture 2" descr="SRK Consulting 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5848" cy="384048"/>
                          </a:xfrm>
                          <a:prstGeom prst="rect">
                            <a:avLst/>
                          </a:prstGeom>
                          <a:noFill/>
                          <a:ln>
                            <a:noFill/>
                          </a:ln>
                        </pic:spPr>
                      </pic:pic>
                    </a:graphicData>
                  </a:graphic>
                </wp:inline>
              </w:drawing>
            </w:r>
          </w:p>
          <w:p w:rsidR="004066EC" w:rsidRDefault="004066EC" w:rsidP="009F1F63">
            <w:pPr>
              <w:pStyle w:val="SRKNormal"/>
              <w:spacing w:before="0" w:after="0" w:line="240" w:lineRule="auto"/>
            </w:pPr>
          </w:p>
          <w:p w:rsidR="004066EC" w:rsidRDefault="004066EC" w:rsidP="009F1F63">
            <w:pPr>
              <w:pStyle w:val="SRKNormal"/>
              <w:spacing w:before="0" w:after="0" w:line="240" w:lineRule="auto"/>
            </w:pPr>
            <w:r>
              <w:t xml:space="preserve">SRK Consulting (Canada), Inc. and Paterson &amp; Cooke</w:t>
            </w:r>
          </w:p>
          <w:p w:rsidR="004066EC" w:rsidRDefault="005D2F30" w:rsidP="009F1F63">
            <w:pPr>
              <w:pStyle w:val="SRKNormal"/>
              <w:spacing w:before="0" w:after="0" w:line="240" w:lineRule="auto"/>
            </w:pPr>
            <w:r>
              <w:t xml:space="preserve">AR-M2V4D</w:t>
            </w:r>
          </w:p>
          <w:p w:rsidR="00087D7B" w:rsidRDefault="002B42D2" w:rsidP="000D2FC0">
            <w:pPr>
              <w:pStyle w:val="SRKNormal"/>
              <w:spacing w:before="0" w:after="0" w:line="240" w:lineRule="auto"/>
            </w:pPr>
            <w:r>
              <w:rPr>
                <w:lang w:val="en-US"/>
              </w:rPr>
              <w:t xml:space="preserve">15/10/2026</w:t>
            </w:r>
          </w:p>
        </w:tc>
      </w:tr>
    </w:tbl>
    <w:p>
      <w:pPr>
        <w:spacing w:before="0" w:after="0" w:line="20" w:lineRule="exact"/>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pg="http://schemas.microsoft.com/office/word/2010/wordprocessingGroup" xmlns:wpi="http://schemas.microsoft.com/office/word/2010/wordprocessingInk" xmlns:wps="http://schemas.microsoft.com/office/word/2010/wordprocessingShape"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rsidR="00A3180A" w:rsidRPr="00A3180A" w:rsidSect="00DD5F3A">
          <w:headerReference w:type="default" r:id="rId14"/>
          <w:headerReference w:type="first" r:id="rId14"/>
          <w:headerReference w:type="even" r:id="rId14"/>
          <w:footerReference w:type="default" r:id="rId16"/>
          <w:footerReference w:type="first" r:id="rId16"/>
          <w:footerReference w:type="even" r:id="rId16"/>
          <w:type w:val="nextPage"/>
          <w:pgSz w:w="12240" w:h="15840"/>
          <w:pgMar w:top="1440" w:right="1440" w:bottom="1440" w:left="1440" w:header="720" w:footer="720" w:gutter="0"/>
          <w:cols w:space="720"/>
          <w:docGrid w:linePitch="360"/>
        </w:sectPr>
      </w:pPr>
    </w:p>
    <w:tbl xmlns:wp14="http://schemas.microsoft.com/office/word/2010/wordprocessingDrawing">
      <w:tblPr>
        <w:tblStyle w:val="SRK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
        <w:gridCol w:w="4320"/>
        <w:gridCol w:w="4320"/>
      </w:tblGrid>
      <w:tr w:rsidR="00F34958" w:rsidTr="00A3180A">
        <w:trPr>
          <w:trHeight w:val="3240"/>
        </w:trPr>
        <w:tc>
          <w:tcPr>
            <w:tcW w:w="720" w:type="dxa"/>
          </w:tcPr>
          <w:p w:rsidR="00F34958" w:rsidRDefault="00F34958" w:rsidP="003476C6">
            <w:pPr>
              <w:pStyle w:val="SRKNormal"/>
              <w:spacing w:before="0" w:after="0" w:line="240" w:lineRule="auto"/>
            </w:pPr>
          </w:p>
        </w:tc>
        <w:tc>
          <w:tcPr>
            <w:tcW w:w="8640" w:type="dxa"/>
            <w:gridSpan w:val="2"/>
          </w:tcPr>
          <w:p w:rsidR="00161EDB" w:rsidRPr="00161EDB" w:rsidRDefault="00161EDB" w:rsidP="00161EDB">
            <w:pPr>
              <w:pStyle w:val="SRKNormal"/>
              <w:spacing w:before="0" w:after="0" w:line="240" w:lineRule="auto"/>
            </w:pPr>
          </w:p>
          <w:p w:rsidR="00F34958" w:rsidRDefault="005D2F30" w:rsidP="000D2FC0">
            <w:pPr>
              <w:pStyle w:val="SRKCover2"/>
              <w:spacing w:before="0" w:after="0" w:line="240" w:lineRule="auto"/>
            </w:pPr>
            <w:r>
              <w:t xml:space="preserve">Seismic Hazard Study</w:t>
            </w:r>
          </w:p>
        </w:tc>
      </w:tr>
      <w:tr w:rsidR="00F34958" w:rsidTr="00A3180A">
        <w:trPr>
          <w:trHeight w:val="3240"/>
        </w:trPr>
        <w:tc>
          <w:tcPr>
            <w:tcW w:w="720" w:type="dxa"/>
          </w:tcPr>
          <w:p w:rsidR="00F34958" w:rsidRDefault="00F34958" w:rsidP="00D94FB6">
            <w:pPr>
              <w:pStyle w:val="SRKNormal"/>
              <w:tabs>
                <w:tab w:val="left" w:pos="505"/>
              </w:tabs>
              <w:spacing w:before="0" w:after="0" w:line="240" w:lineRule="auto"/>
            </w:pPr>
            <w:r>
              <w:tab/>
            </w:r>
          </w:p>
        </w:tc>
        <w:tc>
          <w:tcPr>
            <w:tcW w:w="8640" w:type="dxa"/>
            <w:gridSpan w:val="2"/>
          </w:tcPr>
          <w:p w:rsidR="00161EDB" w:rsidRPr="00161EDB" w:rsidRDefault="00161EDB" w:rsidP="00161EDB">
            <w:pPr>
              <w:pStyle w:val="SRKNormal"/>
              <w:spacing w:before="0" w:after="0" w:line="240" w:lineRule="auto"/>
            </w:pPr>
          </w:p>
          <w:p w:rsidR="00F34958" w:rsidRDefault="002B42D2" w:rsidP="000D2FC0">
            <w:pPr>
              <w:pStyle w:val="SRKCover4"/>
              <w:spacing w:before="0" w:after="0" w:line="240" w:lineRule="auto"/>
            </w:pPr>
            <w:r>
              <w:rPr>
                <w:lang w:val="en-US"/>
              </w:rPr>
              <w:t xml:space="preserve">15/10/2026</w:t>
            </w:r>
          </w:p>
        </w:tc>
      </w:tr>
      <w:tr w:rsidR="00D94FB6" w:rsidTr="00F34958">
        <w:trPr>
          <w:trHeight w:val="360"/>
        </w:trPr>
        <w:tc>
          <w:tcPr>
            <w:tcW w:w="720" w:type="dxa"/>
          </w:tcPr>
          <w:p w:rsidR="00D94FB6" w:rsidRDefault="00D94FB6" w:rsidP="003476C6">
            <w:pPr>
              <w:pStyle w:val="SRKNormal"/>
              <w:spacing w:before="0" w:after="0" w:line="240" w:lineRule="auto"/>
            </w:pPr>
          </w:p>
        </w:tc>
        <w:tc>
          <w:tcPr>
            <w:tcW w:w="4320" w:type="dxa"/>
            <w:vAlign w:val="center"/>
          </w:tcPr>
          <w:p w:rsidR="00D94FB6" w:rsidRPr="00F34958" w:rsidRDefault="00D94FB6" w:rsidP="00F34958">
            <w:pPr>
              <w:pStyle w:val="SRKNormal"/>
              <w:spacing w:before="0" w:after="0" w:line="240" w:lineRule="auto"/>
              <w:rPr>
                <w:rStyle w:val="SRKStrong"/>
              </w:rPr>
            </w:pPr>
            <w:r w:rsidRPr="00F34958">
              <w:rPr>
                <w:rStyle w:val="SRKStrong"/>
              </w:rPr>
              <w:t>Prepared for</w:t>
            </w:r>
          </w:p>
        </w:tc>
        <w:tc>
          <w:tcPr>
            <w:tcW w:w="4320" w:type="dxa"/>
            <w:vAlign w:val="center"/>
          </w:tcPr>
          <w:p w:rsidR="00D94FB6" w:rsidRPr="00F34958" w:rsidRDefault="00D94FB6" w:rsidP="00F34958">
            <w:pPr>
              <w:pStyle w:val="SRKNormal"/>
              <w:spacing w:before="0" w:after="0" w:line="240" w:lineRule="auto"/>
              <w:rPr>
                <w:rStyle w:val="SRKStrong"/>
              </w:rPr>
            </w:pPr>
            <w:r w:rsidRPr="00F34958">
              <w:rPr>
                <w:rStyle w:val="SRKStrong"/>
              </w:rPr>
              <w:t>Prepared by</w:t>
            </w:r>
          </w:p>
        </w:tc>
      </w:tr>
      <w:tr w:rsidR="00D94FB6" w:rsidRPr="00234DA8" w:rsidTr="00F34958">
        <w:trPr>
          <w:trHeight w:val="1440"/>
        </w:trPr>
        <w:tc>
          <w:tcPr>
            <w:tcW w:w="720" w:type="dxa"/>
          </w:tcPr>
          <w:p w:rsidR="00D94FB6" w:rsidRDefault="00D94FB6" w:rsidP="003476C6">
            <w:pPr>
              <w:pStyle w:val="SRKNormal"/>
              <w:spacing w:before="0" w:after="0" w:line="240" w:lineRule="auto"/>
            </w:pPr>
          </w:p>
        </w:tc>
        <w:tc>
          <w:tcPr>
            <w:tcW w:w="4320" w:type="dxa"/>
          </w:tcPr>
          <w:p w:rsidR="00D94FB6" w:rsidRDefault="00D94FB6" w:rsidP="003476C6">
            <w:pPr>
              <w:pStyle w:val="SRKNormal"/>
              <w:spacing w:before="0" w:after="0" w:line="240" w:lineRule="auto"/>
            </w:pPr>
          </w:p>
          <w:p w:rsidR="00F34958" w:rsidRDefault="005D2F30" w:rsidP="006B1045">
            <w:pPr>
              <w:pStyle w:val="SRKNormal"/>
              <w:spacing w:before="0" w:after="0" w:line="240" w:lineRule="auto"/>
            </w:pPr>
            <w:r>
              <w:t xml:space="preserve">Canada Nickel Co.</w:t>
            </w:r>
          </w:p>
          <w:p w:rsidR="006B1045" w:rsidRDefault="005D2F30" w:rsidP="006B1045">
            <w:pPr>
              <w:pStyle w:val="SRKNormal"/>
              <w:spacing w:before="0" w:after="0" w:line="240" w:lineRule="auto"/>
            </w:pPr>
          </w:p>
          <w:p w:rsidR="006B1045" w:rsidRDefault="005D2F30" w:rsidP="006B1045">
            <w:pPr>
              <w:pStyle w:val="SRKNormal"/>
              <w:spacing w:before="0" w:after="0" w:line="240" w:lineRule="auto"/>
            </w:pPr>
          </w:p>
          <w:p w:rsidR="006B1045" w:rsidRDefault="005D2F30" w:rsidP="006B1045">
            <w:pPr>
              <w:pStyle w:val="SRKNormal"/>
              <w:spacing w:before="0" w:after="0" w:line="240" w:lineRule="auto"/>
            </w:pPr>
          </w:p>
        </w:tc>
        <w:tc>
          <w:tcPr>
            <w:tcW w:w="4320" w:type="dxa"/>
          </w:tcPr>
          <w:p w:rsidR="00D94FB6" w:rsidRPr="005D2F30" w:rsidRDefault="00D94FB6" w:rsidP="003476C6">
            <w:pPr>
              <w:pStyle w:val="SRKNormal"/>
              <w:spacing w:before="0" w:after="0" w:line="240" w:lineRule="auto"/>
              <w:rPr>
                <w:lang w:val="fr-FR"/>
              </w:rPr>
            </w:pPr>
          </w:p>
          <w:p w:rsidR="00F34958" w:rsidRDefault="00F34958" w:rsidP="003476C6">
            <w:pPr>
              <w:pStyle w:val="SRKNormal"/>
              <w:spacing w:before="0" w:after="0" w:line="240" w:lineRule="auto"/>
            </w:pPr>
            <w:r>
              <w:t xml:space="preserve">SRK Consulting (Canada), Inc. and Paterson &amp; Cooke</w:t>
            </w: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tc>
      </w:tr>
      <w:tr w:rsidR="00D94FB6" w:rsidRPr="002B42D2" w:rsidTr="00F34958">
        <w:trPr>
          <w:trHeight w:val="1440"/>
        </w:trPr>
        <w:tc>
          <w:tcPr>
            <w:tcW w:w="720" w:type="dxa"/>
          </w:tcPr>
          <w:p w:rsidR="00D94FB6" w:rsidRPr="005C6E19" w:rsidRDefault="00D94FB6" w:rsidP="003476C6">
            <w:pPr>
              <w:pStyle w:val="SRKNormal"/>
              <w:spacing w:before="0" w:after="0" w:line="240" w:lineRule="auto"/>
              <w:rPr>
                <w:lang w:val="en-US"/>
              </w:rPr>
            </w:pPr>
          </w:p>
        </w:tc>
        <w:tc>
          <w:tcPr>
            <w:tcW w:w="4320" w:type="dxa"/>
          </w:tcPr>
          <w:p w:rsidR="00D94FB6" w:rsidRDefault="00F34958" w:rsidP="003476C6">
            <w:pPr>
              <w:pStyle w:val="SRKNormal"/>
              <w:spacing w:before="0" w:after="0" w:line="240" w:lineRule="auto"/>
            </w:pPr>
          </w:p>
          <w:p w:rsidR="00F34958" w:rsidRDefault="00F34958" w:rsidP="00AA3B87">
            <w:pPr>
              <w:pStyle w:val="SRKNormal"/>
              <w:spacing w:before="0" w:after="0" w:line="240" w:lineRule="auto"/>
            </w:pPr>
          </w:p>
        </w:tc>
        <w:tc>
          <w:tcPr>
            <w:tcW w:w="4320" w:type="dxa"/>
          </w:tcPr>
          <w:p w:rsidR="00D94FB6" w:rsidRPr="00536E85" w:rsidRDefault="00F34958" w:rsidP="003476C6">
            <w:pPr>
              <w:pStyle w:val="SRKNormal"/>
              <w:spacing w:before="0" w:after="0" w:line="240" w:lineRule="auto"/>
              <w:rPr>
                <w:lang w:val="de-DE"/>
              </w:rPr>
            </w:pPr>
          </w:p>
          <w:p w:rsidR="00F34958" w:rsidRPr="00536E85" w:rsidRDefault="00F34958" w:rsidP="003476C6">
            <w:pPr>
              <w:pStyle w:val="SRKNormal"/>
              <w:spacing w:before="0" w:after="0" w:line="240" w:lineRule="auto"/>
              <w:rPr>
                <w:lang w:val="de-DE"/>
              </w:rPr>
            </w:pPr>
            <w:r>
              <w:rPr>
                <w:lang w:val="de-DE"/>
              </w:rPr>
              <w:t>Web:</w:t>
              <w:tab/>
              <w:t xml:space="preserve">https://www.srk.com/</w:t>
            </w:r>
          </w:p>
        </w:tc>
      </w:tr>
      <w:tr w:rsidR="00344188" w:rsidTr="00973AC1">
        <w:trPr>
          <w:trHeight w:val="1296"/>
        </w:trPr>
        <w:tc>
          <w:tcPr>
            <w:tcW w:w="720" w:type="dxa"/>
          </w:tcPr>
          <w:p w:rsidR="00344188" w:rsidRPr="00536E85" w:rsidRDefault="00344188" w:rsidP="003476C6">
            <w:pPr>
              <w:pStyle w:val="SRKNormal"/>
              <w:spacing w:before="0" w:after="0" w:line="240" w:lineRule="auto"/>
              <w:rPr>
                <w:lang w:val="de-DE"/>
              </w:rPr>
            </w:pPr>
          </w:p>
        </w:tc>
        <w:tc>
          <w:tcPr>
            <w:tcW w:w="8640" w:type="dxa"/>
            <w:gridSpan w:val="2"/>
          </w:tcPr>
          <w:p w:rsidR="00344188" w:rsidRDefault="00E13AED" w:rsidP="00CA28FE">
            <w:pPr>
              <w:pStyle w:val="SRKNormal"/>
              <w:spacing w:before="0" w:after="0" w:line="240" w:lineRule="auto"/>
            </w:pPr>
            <w:r>
              <w:t>Project No.:</w:t>
              <w:tab/>
              <w:t xml:space="preserve">AR-M2V4D</w:t>
            </w:r>
          </w:p>
          <w:p w:rsidR="00CA28FE" w:rsidRDefault="00CA28FE" w:rsidP="00CA28FE">
            <w:pPr>
              <w:pStyle w:val="SRKNormal"/>
              <w:spacing w:before="0" w:after="0" w:line="240" w:lineRule="auto"/>
            </w:pPr>
          </w:p>
          <w:p w:rsidR="00CA28FE" w:rsidRDefault="00BD62BB" w:rsidP="00D27056">
            <w:pPr>
              <w:pStyle w:val="SRKNormal"/>
              <w:spacing w:before="0" w:after="0" w:line="240" w:lineRule="auto"/>
            </w:pPr>
            <w:r>
              <w:t>File Name:</w:t>
              <w:tab/>
              <w:t xml:space="preserve">docx.en.docx</w:t>
            </w:r>
          </w:p>
        </w:tc>
      </w:tr>
      <w:tr w:rsidR="00344188" w:rsidTr="00C468F8">
        <w:trPr>
          <w:trHeight w:val="720"/>
        </w:trPr>
        <w:tc>
          <w:tcPr>
            <w:tcW w:w="720" w:type="dxa"/>
          </w:tcPr>
          <w:p w:rsidR="00344188" w:rsidRDefault="00344188" w:rsidP="003476C6">
            <w:pPr>
              <w:pStyle w:val="SRKNormal"/>
              <w:spacing w:before="0" w:after="0" w:line="240" w:lineRule="auto"/>
            </w:pPr>
          </w:p>
        </w:tc>
        <w:tc>
          <w:tcPr>
            <w:tcW w:w="8640" w:type="dxa"/>
            <w:gridSpan w:val="2"/>
            <w:vAlign w:val="bottom"/>
          </w:tcPr>
          <w:p w:rsidR="00344188" w:rsidRDefault="00E634DD" w:rsidP="00A3180A">
            <w:pPr>
              <w:pStyle w:val="SRKNormal"/>
              <w:spacing w:before="0" w:after="0" w:line="240" w:lineRule="auto"/>
            </w:pPr>
          </w:p>
          <w:p w:rsidR="00A3180A" w:rsidRDefault="00A3180A" w:rsidP="00A3180A">
            <w:pPr>
              <w:pStyle w:val="SRKNormal"/>
              <w:spacing w:before="0" w:after="0" w:line="240" w:lineRule="auto"/>
            </w:pPr>
          </w:p>
          <w:p w:rsidR="00A3180A" w:rsidRDefault="00B024E0" w:rsidP="00A3180A">
            <w:pPr>
              <w:pStyle w:val="SRKNormal"/>
              <w:spacing w:before="0" w:after="0" w:line="240" w:lineRule="auto"/>
            </w:pPr>
            <w:r w:rsidRPr="00C8660F">
              <w:rPr>
                <w:noProof/>
                <w:color w:val="808080" w:themeColor="background1" w:themeShade="80"/>
                <w:lang w:val="en-US"/>
              </w:rPr>
              <w:drawing>
                <wp:inline distT="0" distB="0" distL="0" distR="0" wp14:anchorId="3B7385C7" wp14:editId="59DFFF61">
                  <wp:extent cx="3355848" cy="384048"/>
                  <wp:effectExtent l="0" t="0" r="0" b="0"/>
                  <wp:docPr id="2" name="Picture 6" descr="SRK Consulting logo"/>
                  <wp:cNvGraphicFramePr>
                    <a:graphicFrameLocks noChangeAspect="1"/>
                  </wp:cNvGraphicFramePr>
                  <a:graphic>
                    <a:graphicData uri="http://schemas.openxmlformats.org/drawingml/2006/picture">
                      <pic:pic>
                        <pic:nvPicPr>
                          <pic:cNvPr id="0" name="Picture 2" descr="SRK Consulting 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5848" cy="384048"/>
                          </a:xfrm>
                          <a:prstGeom prst="rect">
                            <a:avLst/>
                          </a:prstGeom>
                          <a:noFill/>
                          <a:ln>
                            <a:noFill/>
                          </a:ln>
                        </pic:spPr>
                      </pic:pic>
                    </a:graphicData>
                  </a:graphic>
                </wp:inline>
              </w:drawing>
            </w:r>
          </w:p>
        </w:tc>
      </w:tr>
    </w:tbl>
    <w:p>
      <w:pPr>
        <w:spacing w:before="0" w:after="0" w:line="20" w:lineRule="exact"/>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pg="http://schemas.microsoft.com/office/word/2010/wordprocessingGroup" xmlns:wpi="http://schemas.microsoft.com/office/word/2010/wordprocessingInk" xmlns:wps="http://schemas.microsoft.com/office/word/2010/wordprocessingShape"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rsidR="00A3180A" w:rsidRPr="00A3180A" w:rsidSect="00DD5F3A">
          <w:headerReference w:type="default" r:id="rId14"/>
          <w:headerReference w:type="first" r:id="rId14"/>
          <w:headerReference w:type="even" r:id="rId14"/>
          <w:footerReference w:type="default" r:id="rId15"/>
          <w:footerReference w:type="first" r:id="rId15"/>
          <w:footerReference w:type="even" r:id="rId15"/>
          <w:type w:val="nextPage"/>
          <w:pgSz w:w="12240" w:h="15840"/>
          <w:pgMar w:top="1440" w:right="1440" w:bottom="1440" w:left="1440" w:header="720" w:footer="720" w:gutter="0"/>
          <w:pgNumType w:fmt="lowerRoman" w:start="2"/>
          <w:cols w:space="720"/>
          <w:docGrid w:linePitch="360"/>
        </w:sectP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p>
      <w:pPr>
        <w:pStyle w:val="FirstParagraph"/>
      </w:pPr>
      <w:r>
        <w:rPr>
          <w:b/>
          <w:bCs/>
        </w:rPr>
        <w:t xml:space="preserve">Signatures</w:t>
      </w:r>
    </w:p>
    <w:p>
      <w:pPr>
        <w:pStyle w:val="BodyText"/>
      </w:pPr>
      <w:r>
        <w:t xml:space="preserve"> </w:t>
      </w:r>
    </w:p>
    <w:p>
      <w:r>
        <w:pict>
          <v:rect style="width:0;height:1.5pt" o:hralign="center" o:hrstd="t" o:hr="t"/>
        </w:pict>
      </w:r>
    </w:p>
    <w:p>
      <w:pPr>
        <w:pStyle w:val="FirstParagraph"/>
      </w:pPr>
      <w:r>
        <w:rPr>
          <w:b/>
          <w:bCs/>
        </w:rPr>
        <w:t xml:space="preserve">Lead Author</w:t>
      </w:r>
      <w:r>
        <w:br/>
      </w:r>
      <w:r>
        <w:t xml:space="preserve">Alejandro Verri Kozlowski</w:t>
      </w:r>
      <w:r>
        <w:br/>
      </w:r>
      <w:r>
        <w:t xml:space="preserve">Principal Consultant, Practice Leader</w:t>
      </w:r>
    </w:p>
    <w:p>
      <w:pPr>
        <w:pStyle w:val="BodyText"/>
      </w:pPr>
      <w:r>
        <w:t xml:space="preserve"> </w:t>
      </w:r>
    </w:p>
    <w:p>
      <w:r>
        <w:pict>
          <v:rect style="width:0;height:1.5pt" o:hralign="center" o:hrstd="t" o:hr="t"/>
        </w:pict>
      </w:r>
    </w:p>
    <w:p>
      <w:pPr>
        <w:pStyle w:val="FirstParagraph"/>
      </w:pPr>
      <w:r>
        <w:rPr>
          <w:b/>
          <w:bCs/>
        </w:rPr>
        <w:t xml:space="preserve">Lead Author</w:t>
      </w:r>
      <w:r>
        <w:br/>
      </w:r>
      <w:r>
        <w:t xml:space="preserve">Diana K. Reyes</w:t>
      </w:r>
      <w:r>
        <w:br/>
      </w:r>
      <w:r>
        <w:t xml:space="preserve">Principal Consultant</w:t>
      </w:r>
    </w:p>
    <w:p>
      <w:pPr>
        <w:pStyle w:val="BodyText"/>
      </w:pPr>
      <w:r>
        <w:rPr>
          <w:b/>
          <w:bCs/>
        </w:rPr>
        <w:t xml:space="preserve">SRK Consulting (Canada), Inc. and Paterson &amp; Cooke</w:t>
      </w:r>
    </w:p>
    <w:p>
      <w:pPr>
        <w:pStyle w:val="BodyText"/>
      </w:pPr>
      <w:r>
        <w:t xml:space="preserve">Printed: 15/10/2026</w:t>
      </w:r>
    </w:p>
    <w:p>
      <w:pPr>
        <w:sectPr w:rsidR="00556780" w:rsidSect="008C0599">
          <w:headerReference r:id="srk1" w:type="default"/>
          <w:footerReference r:id="srk2" w:type="default"/>
          <w:headerReference r:id="srk1" w:type="first"/>
          <w:headerReference r:id="srk1" w:type="even"/>
          <w:footerReference r:id="srk2" w:type="first"/>
          <w:footerReference r:id="srk2" w:type="even"/>
          <w:type w:val="nextPage"/>
          <w:pgSz w:h="15840" w:w="12240"/>
          <w:pgMar w:bottom="1440" w:footer="720" w:gutter="0" w:header="720" w:left="1440" w:right="1440" w:top="1440"/>
          <w:pgNumType w:fmt="lowerRoman"/>
          <w:cols w:space="720"/>
          <w:docGrid w:linePitch="360"/>
        </w:sectPr>
      </w:pPr>
      <w:r/>
    </w:p>
    <w:bookmarkStart w:id="17" w:name="executive-summary"/>
    <w:p>
      <w:pPr>
        <w:pStyle w:val="Heading1"/>
      </w:pPr>
      <w:r>
        <w:t xml:space="preserve">1</w:t>
      </w:r>
      <w:r>
        <w:tab/>
      </w:r>
      <w:r>
        <w:t xml:space="preserve">Executive Summary</w:t>
      </w:r>
    </w:p>
    <w:p>
      <w:pPr>
        <w:pStyle w:val="FirstParagraph"/>
      </w:pPr>
      <w:r>
        <w:t xml:space="preserve">SRK Consulting (Canada), Inc. and Paterson &amp; Cooke prepared this report for Canada Nickel Co. under project AR-M2V4D, located in Timmins, Ontario, Canada. The study assessed the seismic hazard of the site Crawford and derived from that assessment the design earthquakes, the seismic design criteria for the tailings storage facilities and for conventional structures, and the dynamic properties and seismic coefficients of the slopes, together with the strong-motion records for the dynamic deformation analyses.</w:t>
      </w:r>
    </w:p>
    <w:p>
      <w:pPr>
        <w:pStyle w:val="ListBullet"/>
      </w:pPr>
      <w:r>
        <w:rPr>
          <w:b/>
          <w:bCs/>
        </w:rPr>
        <w:t xml:space="preserve">Probabilistic Seismic Hazard Assessment (PSHA).</w:t>
      </w:r>
      <w:r>
        <w:t xml:space="preserve"> </w:t>
      </w:r>
      <w:r>
        <w:t xml:space="preserve">The probabilistic assessment quantifies the seismic hazard at each site as annual exceedance rates for specified ground-motion levels</w:t>
      </w:r>
      <w:r>
        <w:t xml:space="preserve"> </w:t>
      </w:r>
      <w:r>
        <w:t xml:space="preserve">(</w:t>
      </w:r>
      <w:hyperlink w:anchor="ref-Cornell1968">
        <w:r>
          <w:rPr>
            <w:rStyle w:val="Hyperlink"/>
          </w:rPr>
          <w:t xml:space="preserve">Cornell, 1968</w:t>
        </w:r>
      </w:hyperlink>
      <w:r>
        <w:t xml:space="preserve">;</w:t>
      </w:r>
      <w:r>
        <w:t xml:space="preserve"> </w:t>
      </w:r>
      <w:hyperlink w:anchor="ref-McGuire2004">
        <w:r>
          <w:rPr>
            <w:rStyle w:val="Hyperlink"/>
          </w:rPr>
          <w:t xml:space="preserve">McGuire, 2004</w:t>
        </w:r>
      </w:hyperlink>
      <w:r>
        <w:t xml:space="preserve">)</w:t>
      </w:r>
      <w:r>
        <w:t xml:space="preserve">. It adopted the regional seismic source model</w:t>
      </w:r>
      <w:r>
        <w:t xml:space="preserve"> </w:t>
      </w:r>
      <w:r>
        <w:rPr>
          <w:b/>
          <w:bCs/>
        </w:rPr>
        <w:t xml:space="preserve">CAN</w:t>
      </w:r>
      <w:r>
        <w:t xml:space="preserve">, with a logic tree comprising 6 branches, together with GMM logic trees for the active shallow crust (ASC), stable continental crust (SCC), subduction interface (SIF), SIS30, and SIS55 tectonic region types. The 10,000-year return period defines the Maximum Design Earthquake (MDE). Table</w:t>
      </w:r>
      <w:r>
        <w:t xml:space="preserve"> </w:t>
      </w:r>
      <w:hyperlink w:anchor="tbl-exec-pga-tr-pga-tr-docx">
        <w:r>
          <w:rPr>
            <w:rStyle w:val="Hyperlink"/>
          </w:rPr>
          <w:t xml:space="preserve">1.1</w:t>
        </w:r>
      </w:hyperlink>
      <w:r>
        <w:t xml:space="preserve"> </w:t>
      </w:r>
      <w:r>
        <w:t xml:space="preserve">reports, for the site Crawford, the mean PGA by return period and site condition; on reference rock,</w:t>
      </w:r>
      <w:r>
        <w:t xml:space="preserve"> </w:t>
      </w:r>
      <m:oMath>
        <m:sSub>
          <m:e>
            <m:r>
              <m:t>V</m:t>
            </m:r>
          </m:e>
          <m:sub>
            <m:r>
              <m:t>S</m:t>
            </m:r>
            <m:r>
              <m:t>30</m:t>
            </m:r>
          </m:sub>
        </m:sSub>
        <m:r>
          <m:rPr>
            <m:sty m:val="p"/>
          </m:rPr>
          <m:t>=</m:t>
        </m:r>
        <m:r>
          <m:t>760</m:t>
        </m:r>
      </m:oMath>
      <w:r>
        <w:t xml:space="preserve"> </w:t>
      </w:r>
      <w:r>
        <w:t xml:space="preserve">m/s, the PGA of the MDE is 258</w:t>
      </w:r>
      <w:r>
        <w:t xml:space="preserve"> </w:t>
      </w:r>
      <m:oMath>
        <m:r>
          <m:rPr>
            <m:sty m:val="p"/>
          </m:rPr>
          <m:t>c</m:t>
        </m:r>
        <m:r>
          <m:rPr>
            <m:sty m:val="p"/>
          </m:rPr>
          <m:t>m</m:t>
        </m:r>
        <m:r>
          <m:rPr>
            <m:sty m:val="p"/>
          </m:rPr>
          <m:t>/</m:t>
        </m:r>
        <m:sSup>
          <m:e>
            <m:r>
              <m:rPr>
                <m:sty m:val="p"/>
              </m:rPr>
              <m:t>s</m:t>
            </m:r>
          </m:e>
          <m:sup>
            <m:r>
              <m:rPr>
                <m:sty m:val="p"/>
              </m:rPr>
              <m:t>2</m:t>
            </m:r>
          </m:sup>
        </m:sSup>
      </m:oMath>
      <w:r>
        <w:t xml:space="preserve">.</w:t>
      </w:r>
    </w:p>
    <w:p>
      <w:pPr>
        <w:pStyle w:val="ListBullet"/>
      </w:pPr>
      <w:r>
        <w:rPr>
          <w:b/>
          <w:bCs/>
        </w:rPr>
        <w:t xml:space="preserve">Deterministic Seismic Hazard Assessment (DSHA).</w:t>
      </w:r>
      <w:r>
        <w:t xml:space="preserve"> </w:t>
      </w:r>
      <w:r>
        <w:t xml:space="preserve">The deterministic assessment postulates, for each tectonic source capable of controlling the site demand, its maximum credible earthquake (MCE): the largest reasonably conceivable earthquake under the presently known tectonic framework</w:t>
      </w:r>
      <w:r>
        <w:t xml:space="preserve"> </w:t>
      </w:r>
      <w:r>
        <w:t xml:space="preserve">(</w:t>
      </w:r>
      <w:hyperlink w:anchor="ref-ICOLD2016">
        <w:r>
          <w:rPr>
            <w:rStyle w:val="Hyperlink"/>
          </w:rPr>
          <w:t xml:space="preserve">International Commission on Large Dams, 2016</w:t>
        </w:r>
      </w:hyperlink>
      <w:r>
        <w:t xml:space="preserve">)</w:t>
      </w:r>
      <w:r>
        <w:t xml:space="preserve">. The assessment postulated 2 scenarios with</w:t>
      </w:r>
      <w:r>
        <w:t xml:space="preserve"> </w:t>
      </w:r>
      <m:oMath>
        <m:sSub>
          <m:e>
            <m:r>
              <m:t>M</m:t>
            </m:r>
          </m:e>
          <m:sub>
            <m:r>
              <m:t>w</m:t>
            </m:r>
          </m:sub>
        </m:sSub>
      </m:oMath>
      <w:r>
        <w:t xml:space="preserve"> </w:t>
      </w:r>
      <w:r>
        <w:t xml:space="preserve">from 4.5 to 6.5; the deterministic design spectrum MCE is their envelope. Table</w:t>
      </w:r>
      <w:r>
        <w:t xml:space="preserve"> </w:t>
      </w:r>
      <w:hyperlink w:anchor="tbl-exec-pga-tr-pga-tr-docx">
        <w:r>
          <w:rPr>
            <w:rStyle w:val="Hyperlink"/>
          </w:rPr>
          <w:t xml:space="preserve">1.1</w:t>
        </w:r>
      </w:hyperlink>
      <w:r>
        <w:t xml:space="preserve"> </w:t>
      </w:r>
      <w:r>
        <w:t xml:space="preserve">reports, for the site Crawford, the PGA of the MCE and of the MCE (84%) by site condition; on reference rock,</w:t>
      </w:r>
      <w:r>
        <w:t xml:space="preserve"> </w:t>
      </w:r>
      <m:oMath>
        <m:sSub>
          <m:e>
            <m:r>
              <m:t>V</m:t>
            </m:r>
          </m:e>
          <m:sub>
            <m:r>
              <m:t>S</m:t>
            </m:r>
            <m:r>
              <m:t>30</m:t>
            </m:r>
          </m:sub>
        </m:sSub>
        <m:r>
          <m:rPr>
            <m:sty m:val="p"/>
          </m:rPr>
          <m:t>=</m:t>
        </m:r>
        <m:r>
          <m:t>760</m:t>
        </m:r>
      </m:oMath>
      <w:r>
        <w:t xml:space="preserve"> </w:t>
      </w:r>
      <w:r>
        <w:t xml:space="preserve">m/s, the PGA of the MCE is 232</w:t>
      </w:r>
      <w:r>
        <w:t xml:space="preserve"> </w:t>
      </w:r>
      <m:oMath>
        <m:r>
          <m:rPr>
            <m:sty m:val="p"/>
          </m:rPr>
          <m:t>c</m:t>
        </m:r>
        <m:r>
          <m:rPr>
            <m:sty m:val="p"/>
          </m:rPr>
          <m:t>m</m:t>
        </m:r>
        <m:r>
          <m:rPr>
            <m:sty m:val="p"/>
          </m:rPr>
          <m:t>/</m:t>
        </m:r>
        <m:sSup>
          <m:e>
            <m:r>
              <m:rPr>
                <m:sty m:val="p"/>
              </m:rPr>
              <m:t>s</m:t>
            </m:r>
          </m:e>
          <m:sup>
            <m:r>
              <m:rPr>
                <m:sty m:val="p"/>
              </m:rPr>
              <m:t>2</m:t>
            </m:r>
          </m:sup>
        </m:sSup>
      </m:oMath>
      <w:r>
        <w:t xml:space="preserve"> </w:t>
      </w:r>
      <w:r>
        <w:t xml:space="preserve">and that of the MCE (84%) is 368</w:t>
      </w:r>
      <w:r>
        <w:t xml:space="preserve"> </w:t>
      </w:r>
      <m:oMath>
        <m:r>
          <m:rPr>
            <m:sty m:val="p"/>
          </m:rPr>
          <m:t>c</m:t>
        </m:r>
        <m:r>
          <m:rPr>
            <m:sty m:val="p"/>
          </m:rPr>
          <m:t>m</m:t>
        </m:r>
        <m:r>
          <m:rPr>
            <m:sty m:val="p"/>
          </m:rPr>
          <m:t>/</m:t>
        </m:r>
        <m:sSup>
          <m:e>
            <m:r>
              <m:rPr>
                <m:sty m:val="p"/>
              </m:rPr>
              <m:t>s</m:t>
            </m:r>
          </m:e>
          <m:sup>
            <m:r>
              <m:rPr>
                <m:sty m:val="p"/>
              </m:rPr>
              <m:t>2</m:t>
            </m:r>
          </m:sup>
        </m:sSup>
      </m:oMath>
      <w:r>
        <w:t xml:space="preserve">.</w:t>
      </w:r>
    </w:p>
    <w:p>
      <w:pPr>
        <w:pStyle w:val="ListBullet"/>
      </w:pPr>
      <w:r>
        <w:rPr>
          <w:b/>
          <w:bCs/>
        </w:rPr>
        <w:t xml:space="preserve">Uncertainty Treatment.</w:t>
      </w:r>
      <w:r>
        <w:t xml:space="preserve"> </w:t>
      </w:r>
      <w:r>
        <w:t xml:space="preserve">Epistemic uncertainty is represented through the logic trees of the source model and of the GMMs, and aleatory variability through the standard deviation of each ground-motion model; every spectrum is reported as its mean and its quantiles. Each deterministic scenario combines the equally weighted rupture variants, the GMM branches with their weights, and the record-to-record variability in a lognormal mixture. For the site Crawford, on reference rock, the 0.84 quantile of the PGA exceeds its mean by 39 % for the MDE and by 58 % for the MCE; Table</w:t>
      </w:r>
      <w:r>
        <w:t xml:space="preserve"> </w:t>
      </w:r>
      <w:hyperlink w:anchor="tbl-exec-pga-tr-pga-tr-docx">
        <w:r>
          <w:rPr>
            <w:rStyle w:val="Hyperlink"/>
          </w:rPr>
          <w:t xml:space="preserve">1.1</w:t>
        </w:r>
      </w:hyperlink>
      <w:r>
        <w:t xml:space="preserve"> </w:t>
      </w:r>
      <w:r>
        <w:t xml:space="preserve">reports both statistics by site condition.</w:t>
      </w:r>
    </w:p>
    <w:p>
      <w:pPr>
        <w:pStyle w:val="ListBullet"/>
      </w:pPr>
      <w:r>
        <w:rPr>
          <w:b/>
          <w:bCs/>
        </w:rPr>
        <w:t xml:space="preserve">Site Response.</w:t>
      </w:r>
      <w:r>
        <w:t xml:space="preserve"> </w:t>
      </w:r>
      <w:r>
        <w:t xml:space="preserve">The design ground motions are defined for the</w:t>
      </w:r>
      <w:r>
        <w:t xml:space="preserve"> </w:t>
      </w:r>
      <m:oMath>
        <m:sSub>
          <m:e>
            <m:r>
              <m:t>V</m:t>
            </m:r>
          </m:e>
          <m:sub>
            <m:r>
              <m:t>S</m:t>
            </m:r>
            <m:r>
              <m:t>30</m:t>
            </m:r>
          </m:sub>
        </m:sSub>
      </m:oMath>
      <w:r>
        <w:t xml:space="preserve"> </w:t>
      </w:r>
      <w:r>
        <w:t xml:space="preserve">conditions evaluated at each site from the spectral demand at the surface. The design demands were evaluated for 7 site conditions, with</w:t>
      </w:r>
      <w:r>
        <w:t xml:space="preserve"> </w:t>
      </w:r>
      <m:oMath>
        <m:sSub>
          <m:e>
            <m:r>
              <m:t>V</m:t>
            </m:r>
          </m:e>
          <m:sub>
            <m:r>
              <m:t>S</m:t>
            </m:r>
            <m:r>
              <m:t>30</m:t>
            </m:r>
          </m:sub>
        </m:sSub>
      </m:oMath>
      <w:r>
        <w:t xml:space="preserve"> </w:t>
      </w:r>
      <w:r>
        <w:t xml:space="preserve">from 180 to 1,500 m/s, by combining the direct logic-tree evaluation at each condition with the ST20 transformation of the demand at the reference condition of 760 m/s, conditioned on the PGA of the same realization. The mean PGA of the MDE is 265 to 308</w:t>
      </w:r>
      <w:r>
        <w:t xml:space="preserve"> </w:t>
      </w:r>
      <m:oMath>
        <m:r>
          <m:rPr>
            <m:sty m:val="p"/>
          </m:rPr>
          <m:t>c</m:t>
        </m:r>
        <m:r>
          <m:rPr>
            <m:sty m:val="p"/>
          </m:rPr>
          <m:t>m</m:t>
        </m:r>
        <m:r>
          <m:rPr>
            <m:sty m:val="p"/>
          </m:rPr>
          <m:t>/</m:t>
        </m:r>
        <m:sSup>
          <m:e>
            <m:r>
              <m:rPr>
                <m:sty m:val="p"/>
              </m:rPr>
              <m:t>s</m:t>
            </m:r>
          </m:e>
          <m:sup>
            <m:r>
              <m:rPr>
                <m:sty m:val="p"/>
              </m:rPr>
              <m:t>2</m:t>
            </m:r>
          </m:sup>
        </m:sSup>
      </m:oMath>
      <w:r>
        <w:t xml:space="preserve"> </w:t>
      </w:r>
      <w:r>
        <w:t xml:space="preserve">across the site conditions. These results represent ergodic mean responses; a specific stratigraphic profile requires a separate site-response analysis. Table</w:t>
      </w:r>
      <w:r>
        <w:t xml:space="preserve"> </w:t>
      </w:r>
      <w:hyperlink w:anchor="tbl-exec-pga-tr-pga-tr-docx">
        <w:r>
          <w:rPr>
            <w:rStyle w:val="Hyperlink"/>
          </w:rPr>
          <w:t xml:space="preserve">1.1</w:t>
        </w:r>
      </w:hyperlink>
      <w:r>
        <w:t xml:space="preserve"> </w:t>
      </w:r>
      <w:r>
        <w:t xml:space="preserve">reports, for each site and site condition, the probabilistic PGA together with the deterministic envelopes MCE and MCE (84%).</w:t>
      </w:r>
    </w:p>
    <w:p>
      <w:pPr>
        <w:pStyle w:val="ListBullet"/>
      </w:pPr>
      <w:r>
        <w:rPr>
          <w:b/>
          <w:bCs/>
        </w:rPr>
        <w:t xml:space="preserve">Seismic Record Selection.</w:t>
      </w:r>
      <w:r>
        <w:t xml:space="preserve"> </w:t>
      </w:r>
      <w:r>
        <w:t xml:space="preserve">Ground-motion time histories provide the seismic input for the dynamic deformation analyses. A suite of 30 strong-motion records from 30 earthquakes and 5 databases was selected, with</w:t>
      </w:r>
      <w:r>
        <w:t xml:space="preserve"> </w:t>
      </w:r>
      <m:oMath>
        <m:sSub>
          <m:e>
            <m:r>
              <m:t>M</m:t>
            </m:r>
          </m:e>
          <m:sub>
            <m:r>
              <m:t>w</m:t>
            </m:r>
          </m:sub>
        </m:sSub>
      </m:oMath>
      <w:r>
        <w:t xml:space="preserve"> </w:t>
      </w:r>
      <w:r>
        <w:t xml:space="preserve">4.8 to 6.5 and epicentral distance</w:t>
      </w:r>
      <w:r>
        <w:t xml:space="preserve"> </w:t>
      </w:r>
      <m:oMath>
        <m:sSub>
          <m:e>
            <m:r>
              <m:t>R</m:t>
            </m:r>
          </m:e>
          <m:sub>
            <m:r>
              <m:rPr>
                <m:sty m:val="p"/>
              </m:rPr>
              <m:t>e</m:t>
            </m:r>
            <m:r>
              <m:rPr>
                <m:sty m:val="p"/>
              </m:rPr>
              <m:t>p</m:t>
            </m:r>
            <m:r>
              <m:rPr>
                <m:sty m:val="p"/>
              </m:rPr>
              <m:t>i</m:t>
            </m:r>
          </m:sub>
        </m:sSub>
      </m:oMath>
      <w:r>
        <w:t xml:space="preserve"> </w:t>
      </w:r>
      <w:r>
        <w:t xml:space="preserve">1 to 263 km, and scaled by factors of 0.87 to 2.11 to the target spectrum defined for</w:t>
      </w:r>
      <w:r>
        <w:t xml:space="preserve"> </w:t>
      </w:r>
      <w:r>
        <w:rPr>
          <w:rStyle w:val="VerbatimChar"/>
        </w:rPr>
        <w:t xml:space="preserve">CFD</w:t>
      </w:r>
      <w:r>
        <w:t xml:space="preserve"> </w:t>
      </w:r>
      <w:r>
        <w:t xml:space="preserve">at</w:t>
      </w:r>
      <w:r>
        <w:t xml:space="preserve"> </w:t>
      </w:r>
      <m:oMath>
        <m:sSub>
          <m:e>
            <m:r>
              <m:t>V</m:t>
            </m:r>
          </m:e>
          <m:sub>
            <m:r>
              <m:t>S</m:t>
            </m:r>
            <m:r>
              <m:t>30</m:t>
            </m:r>
          </m:sub>
        </m:sSub>
      </m:oMath>
      <w:r>
        <w:t xml:space="preserve"> </w:t>
      </w:r>
      <w:r>
        <w:t xml:space="preserve">= 800 m/s. The suite-mean spectrum has a relative RMSE of 0.501 with respect to the target, and the ratio of the suite-mean PGA to the target PGA is 0.594. The delivered suite includes the time histories, intensity measures, spectra, and provenance metadata of the selected records.</w:t>
      </w:r>
    </w:p>
    <w:p>
      <w:pPr>
        <w:pStyle w:val="ListBullet"/>
      </w:pPr>
      <w:r>
        <w:rPr>
          <w:b/>
          <w:bCs/>
        </w:rPr>
        <w:t xml:space="preserve">Design Criteria for Tailings Storage Facilities.</w:t>
      </w:r>
      <w:r>
        <w:t xml:space="preserve"> </w:t>
      </w:r>
      <w:r>
        <w:t xml:space="preserve">Seismic design for tailings storage facilities is based on a two-level performance framework: the Operating Basis Earthquake (OBE), associated with continued operation, and the Safety Evaluation Earthquake (SEE), associated with preventing a tailings release</w:t>
      </w:r>
      <w:r>
        <w:t xml:space="preserve"> </w:t>
      </w:r>
      <w:r>
        <w:t xml:space="preserve">(</w:t>
      </w:r>
      <w:hyperlink w:anchor="ref-ICOLD2016">
        <w:r>
          <w:rPr>
            <w:rStyle w:val="Hyperlink"/>
          </w:rPr>
          <w:t xml:space="preserve">International Commission on Large Dams, 2016</w:t>
        </w:r>
      </w:hyperlink>
      <w:r>
        <w:t xml:space="preserve">;</w:t>
      </w:r>
      <w:r>
        <w:t xml:space="preserve"> </w:t>
      </w:r>
      <w:hyperlink w:anchor="ref-USACE1995">
        <w:r>
          <w:rPr>
            <w:rStyle w:val="Hyperlink"/>
          </w:rPr>
          <w:t xml:space="preserve">U.S. Army Corps of Engineers, 1995</w:t>
        </w:r>
      </w:hyperlink>
      <w:r>
        <w:t xml:space="preserve">)</w:t>
      </w:r>
      <w:r>
        <w:t xml:space="preserve">. The design earthquakes of the tailings storage facilities were evaluated under GISTM, CDA, and ANCOLD, for the consequence classes and the operation, closure, and post-closure lifecycle stages that each framework defines</w:t>
      </w:r>
      <w:r>
        <w:t xml:space="preserve"> </w:t>
      </w:r>
      <w:r>
        <w:t xml:space="preserve">(</w:t>
      </w:r>
      <w:hyperlink w:anchor="ref-ancold2019">
        <w:r>
          <w:rPr>
            <w:rStyle w:val="Hyperlink"/>
          </w:rPr>
          <w:t xml:space="preserve">Australian National Committee on Large Dams (ANCOLD), 2019</w:t>
        </w:r>
      </w:hyperlink>
      <w:r>
        <w:t xml:space="preserve">;</w:t>
      </w:r>
      <w:r>
        <w:t xml:space="preserve"> </w:t>
      </w:r>
      <w:hyperlink w:anchor="ref-cda2021">
        <w:r>
          <w:rPr>
            <w:rStyle w:val="Hyperlink"/>
          </w:rPr>
          <w:t xml:space="preserve">Canadian Dam Association (CDA), 2021</w:t>
        </w:r>
      </w:hyperlink>
      <w:r>
        <w:t xml:space="preserve">;</w:t>
      </w:r>
      <w:r>
        <w:t xml:space="preserve"> </w:t>
      </w:r>
      <w:hyperlink w:anchor="ref-gistm2020">
        <w:r>
          <w:rPr>
            <w:rStyle w:val="Hyperlink"/>
          </w:rPr>
          <w:t xml:space="preserve">Global Tailings Review (ICMM, UNEP, PRI), 2020</w:t>
        </w:r>
      </w:hyperlink>
      <w:r>
        <w:t xml:space="preserve">)</w:t>
      </w:r>
      <w:r>
        <w:t xml:space="preserve">. On reference rock, the design PGA ranges from 8 to 361</w:t>
      </w:r>
      <w:r>
        <w:t xml:space="preserve"> </w:t>
      </w:r>
      <m:oMath>
        <m:r>
          <m:rPr>
            <m:sty m:val="p"/>
          </m:rPr>
          <m:t>c</m:t>
        </m:r>
        <m:r>
          <m:rPr>
            <m:sty m:val="p"/>
          </m:rPr>
          <m:t>m</m:t>
        </m:r>
        <m:r>
          <m:rPr>
            <m:sty m:val="p"/>
          </m:rPr>
          <m:t>/</m:t>
        </m:r>
        <m:sSup>
          <m:e>
            <m:r>
              <m:rPr>
                <m:sty m:val="p"/>
              </m:rPr>
              <m:t>s</m:t>
            </m:r>
          </m:e>
          <m:sup>
            <m:r>
              <m:rPr>
                <m:sty m:val="p"/>
              </m:rPr>
              <m:t>2</m:t>
            </m:r>
          </m:sup>
        </m:sSup>
      </m:oMath>
      <w:r>
        <w:t xml:space="preserve"> </w:t>
      </w:r>
      <w:r>
        <w:t xml:space="preserve">across frameworks, consequence classes, and lifecycle stages. Table</w:t>
      </w:r>
      <w:r>
        <w:t xml:space="preserve"> </w:t>
      </w:r>
      <w:hyperlink w:anchor="tbl-exec-deq-pga-deq-pga">
        <w:r>
          <w:rPr>
            <w:rStyle w:val="Hyperlink"/>
          </w:rPr>
          <w:t xml:space="preserve">1.2</w:t>
        </w:r>
      </w:hyperlink>
      <w:r>
        <w:t xml:space="preserve"> </w:t>
      </w:r>
      <w:r>
        <w:t xml:space="preserve">reports, by consequence class and site condition, the design PGA of the GISTM framework at the operation stage; the design-criteria chapter reports the design PGA and design spectra by framework, consequence class, lifecycle stage, and site condition.</w:t>
      </w:r>
    </w:p>
    <w:p>
      <w:pPr>
        <w:pStyle w:val="ListBullet"/>
      </w:pPr>
      <w:r>
        <w:rPr>
          <w:b/>
          <w:bCs/>
        </w:rPr>
        <w:t xml:space="preserve">Design Criteria for Conventional Structures.</w:t>
      </w:r>
      <w:r>
        <w:t xml:space="preserve"> </w:t>
      </w:r>
      <w:r>
        <w:t xml:space="preserve">Seismic design criteria for conventional structures were established from the hazard and site-response analyses in accordance with the site-specific procedure of ASCE/SEI 7-22, in which each MCER ordinate is the lesser of the risk-targeted probabilistic component and the code-prescribed deterministic component</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w:t>
        </w:r>
      </w:hyperlink>
      <w:r>
        <w:t xml:space="preserve">)</w:t>
      </w:r>
      <w:r>
        <w:t xml:space="preserve">. The MCER spectra and the design parameters were obtained for the 7 evaluated site conditions:</w:t>
      </w:r>
      <w:r>
        <w:t xml:space="preserve"> </w:t>
      </w:r>
      <m:oMath>
        <m:sSub>
          <m:e>
            <m:r>
              <m:t>S</m:t>
            </m:r>
          </m:e>
          <m:sub>
            <m:r>
              <m:t>D</m:t>
            </m:r>
            <m:r>
              <m:t>S</m:t>
            </m:r>
          </m:sub>
        </m:sSub>
      </m:oMath>
      <w:r>
        <w:t xml:space="preserve"> </w:t>
      </w:r>
      <w:r>
        <w:t xml:space="preserve">ranges from 0.09 to 0.14 g and</w:t>
      </w:r>
      <w:r>
        <w:t xml:space="preserve"> </w:t>
      </w:r>
      <m:oMath>
        <m:sSub>
          <m:e>
            <m:r>
              <m:t>S</m:t>
            </m:r>
          </m:e>
          <m:sub>
            <m:r>
              <m:t>D</m:t>
            </m:r>
            <m:r>
              <m:t>1</m:t>
            </m:r>
          </m:sub>
        </m:sSub>
      </m:oMath>
      <w:r>
        <w:t xml:space="preserve"> </w:t>
      </w:r>
      <w:r>
        <w:t xml:space="preserve">from 0.02 to 0.05 g. Table</w:t>
      </w:r>
      <w:r>
        <w:t xml:space="preserve"> </w:t>
      </w:r>
      <w:hyperlink w:anchor="tbl-exec-mcer-sites-mcer-sites">
        <w:r>
          <w:rPr>
            <w:rStyle w:val="Hyperlink"/>
          </w:rPr>
          <w:t xml:space="preserve">1.3</w:t>
        </w:r>
      </w:hyperlink>
      <w:r>
        <w:t xml:space="preserve"> </w:t>
      </w:r>
      <w:r>
        <w:t xml:space="preserve">reports the design parameters by site and site condition.</w:t>
      </w:r>
    </w:p>
    <w:p>
      <w:pPr>
        <w:pStyle w:val="ListBullet"/>
      </w:pPr>
      <w:r>
        <w:rPr>
          <w:b/>
          <w:bCs/>
        </w:rPr>
        <w:t xml:space="preserve">Dynamic Properties of Slopes.</w:t>
      </w:r>
      <w:r>
        <w:t xml:space="preserve"> </w:t>
      </w:r>
      <w:r>
        <w:t xml:space="preserve">The flexible sliding-block displacement models require the fundamental period of each potential sliding mass and the dynamic soil stiffness that determines it. The analyses considered 8 material scenarios over 5 slope geometries with heights between 27 and 135 m. The estimated fundamental period varies with the material class between 0.22 and 0.36 s in the lowest slope, and between 0.73 and 1.34 s in the highest one.</w:t>
      </w:r>
    </w:p>
    <w:p>
      <w:pPr>
        <w:pStyle w:val="ListBullet"/>
      </w:pPr>
      <w:r>
        <w:rPr>
          <w:b/>
          <w:bCs/>
        </w:rPr>
        <w:t xml:space="preserve">Newmark Permanent Displacements.</w:t>
      </w:r>
      <w:r>
        <w:t xml:space="preserve"> </w:t>
      </w:r>
      <w:r>
        <w:t xml:space="preserve">The Newmark permanent displacement</w:t>
      </w:r>
      <w:r>
        <w:t xml:space="preserve"> </w:t>
      </w:r>
      <m:oMath>
        <m:sSub>
          <m:e>
            <m:r>
              <m:t>D</m:t>
            </m:r>
          </m:e>
          <m:sub>
            <m:r>
              <m:t>n</m:t>
            </m:r>
          </m:sub>
        </m:sSub>
      </m:oMath>
      <w:r>
        <w:t xml:space="preserve"> </w:t>
      </w:r>
      <w:r>
        <w:t xml:space="preserve">quantifies the displacement induced by an earthquake and accumulated in the sliding mass and is the performance measure from which the seismic coefficients are derived. The</w:t>
      </w:r>
      <w:r>
        <w:t xml:space="preserve"> </w:t>
      </w:r>
      <m:oMath>
        <m:sSub>
          <m:e>
            <m:r>
              <m:t>D</m:t>
            </m:r>
          </m:e>
          <m:sub>
            <m:r>
              <m:t>n</m:t>
            </m:r>
          </m:sub>
        </m:sSub>
        <m:r>
          <m:rPr>
            <m:sty m:val="p"/>
          </m:rPr>
          <m:t>(</m:t>
        </m:r>
        <m:sSub>
          <m:e>
            <m:r>
              <m:t>k</m:t>
            </m:r>
          </m:e>
          <m:sub>
            <m:r>
              <m:t>y</m:t>
            </m:r>
          </m:sub>
        </m:sSub>
        <m:r>
          <m:rPr>
            <m:sty m:val="p"/>
          </m:rPr>
          <m:t>)</m:t>
        </m:r>
      </m:oMath>
      <w:r>
        <w:t xml:space="preserve"> </w:t>
      </w:r>
      <w:r>
        <w:t xml:space="preserve">curves relate, for each combination of geometry, material, and design scenario, the yield acceleration</w:t>
      </w:r>
      <w:r>
        <w:t xml:space="preserve"> </w:t>
      </w:r>
      <m:oMath>
        <m:sSub>
          <m:e>
            <m:r>
              <m:t>k</m:t>
            </m:r>
          </m:e>
          <m:sub>
            <m:r>
              <m:t>y</m:t>
            </m:r>
          </m:sub>
        </m:sSub>
      </m:oMath>
      <w:r>
        <w:t xml:space="preserve"> </w:t>
      </w:r>
      <w:r>
        <w:t xml:space="preserve">to the expected permanent displacement; they were computed with the</w:t>
      </w:r>
      <w:r>
        <w:t xml:space="preserve"> </w:t>
      </w:r>
      <w:r>
        <w:rPr>
          <w:rStyle w:val="VerbatimChar"/>
        </w:rPr>
        <w:t xml:space="preserve">ensemble</w:t>
      </w:r>
      <w:r>
        <w:t xml:space="preserve"> </w:t>
      </w:r>
      <w:r>
        <w:t xml:space="preserve">set of</w:t>
      </w:r>
      <w:r>
        <w:t xml:space="preserve"> </w:t>
      </w:r>
      <w:r>
        <w:rPr>
          <w:rStyle w:val="VerbatimChar"/>
        </w:rPr>
        <w:t xml:space="preserve">AM88</w:t>
      </w:r>
      <w:r>
        <w:t xml:space="preserve">,</w:t>
      </w:r>
      <w:r>
        <w:t xml:space="preserve"> </w:t>
      </w:r>
      <w:r>
        <w:rPr>
          <w:rStyle w:val="VerbatimChar"/>
        </w:rPr>
        <w:t xml:space="preserve">JB07</w:t>
      </w:r>
      <w:r>
        <w:t xml:space="preserve">,</w:t>
      </w:r>
      <w:r>
        <w:t xml:space="preserve"> </w:t>
      </w:r>
      <w:r>
        <w:rPr>
          <w:rStyle w:val="VerbatimChar"/>
        </w:rPr>
        <w:t xml:space="preserve">SR08</w:t>
      </w:r>
      <w:r>
        <w:t xml:space="preserve">,</w:t>
      </w:r>
      <w:r>
        <w:t xml:space="preserve"> </w:t>
      </w:r>
      <w:r>
        <w:rPr>
          <w:rStyle w:val="VerbatimChar"/>
        </w:rPr>
        <w:t xml:space="preserve">BT07</w:t>
      </w:r>
      <w:r>
        <w:t xml:space="preserve">, and</w:t>
      </w:r>
      <w:r>
        <w:t xml:space="preserve"> </w:t>
      </w:r>
      <w:r>
        <w:rPr>
          <w:rStyle w:val="VerbatimChar"/>
        </w:rPr>
        <w:t xml:space="preserve">BM19</w:t>
      </w:r>
      <w:r>
        <w:t xml:space="preserve">, with the reference magnitude assigned to each seismic demand and 300 realizations per demand and are read at the fractiles</w:t>
      </w:r>
      <w:r>
        <w:t xml:space="preserve"> </w:t>
      </w:r>
      <m:oMath>
        <m:r>
          <m:t>q</m:t>
        </m:r>
        <m:r>
          <m:rPr>
            <m:sty m:val="p"/>
          </m:rPr>
          <m:t>=</m:t>
        </m:r>
        <m:r>
          <m:t>1</m:t>
        </m:r>
        <m:r>
          <m:rPr>
            <m:sty m:val="p"/>
          </m:rPr>
          <m:t>−</m:t>
        </m:r>
        <m:sSub>
          <m:e>
            <m:r>
              <m:t>p</m:t>
            </m:r>
          </m:e>
          <m:sub>
            <m:r>
              <m:t>e</m:t>
            </m:r>
          </m:sub>
        </m:sSub>
      </m:oMath>
      <w:r>
        <w:t xml:space="preserve">.</w:t>
      </w:r>
    </w:p>
    <w:p>
      <w:pPr>
        <w:pStyle w:val="ListBullet"/>
      </w:pPr>
      <w:r>
        <w:rPr>
          <w:b/>
          <w:bCs/>
        </w:rPr>
        <w:t xml:space="preserve">Performance-Based Seismic Coefficients.</w:t>
      </w:r>
      <w:r>
        <w:t xml:space="preserve"> </w:t>
      </w:r>
      <w:r>
        <w:t xml:space="preserve">The horizontal pseudostatic coefficient</w:t>
      </w:r>
      <w:r>
        <w:t xml:space="preserve"> </w:t>
      </w:r>
      <m:oMath>
        <m:sSub>
          <m:e>
            <m:r>
              <m:t>k</m:t>
            </m:r>
          </m:e>
          <m:sub>
            <m:r>
              <m:t>h</m:t>
            </m:r>
          </m:sub>
        </m:sSub>
      </m:oMath>
      <w:r>
        <w:t xml:space="preserve"> </w:t>
      </w:r>
      <w:r>
        <w:t xml:space="preserve">is derived from the allowable permanent displacement</w:t>
      </w:r>
      <w:r>
        <w:t xml:space="preserve"> </w:t>
      </w:r>
      <m:oMath>
        <m:sSub>
          <m:e>
            <m:r>
              <m:t>D</m:t>
            </m:r>
          </m:e>
          <m:sub>
            <m:r>
              <m:t>a</m:t>
            </m:r>
          </m:sub>
        </m:sSub>
      </m:oMath>
      <w:r>
        <w:t xml:space="preserve"> </w:t>
      </w:r>
      <w:r>
        <w:t xml:space="preserve">of the potentially sliding mass</w:t>
      </w:r>
      <w:r>
        <w:t xml:space="preserve"> </w:t>
      </w:r>
      <w:r>
        <w:t xml:space="preserve">(</w:t>
      </w:r>
      <w:hyperlink w:anchor="ref-BrayTravasarou2009">
        <w:r>
          <w:rPr>
            <w:rStyle w:val="Hyperlink"/>
          </w:rPr>
          <w:t xml:space="preserve">Bray &amp; Travasarou, 2009</w:t>
        </w:r>
      </w:hyperlink>
      <w:r>
        <w:t xml:space="preserve">;</w:t>
      </w:r>
      <w:r>
        <w:t xml:space="preserve"> </w:t>
      </w:r>
      <w:hyperlink w:anchor="ref-MacedoEtAl2018">
        <w:r>
          <w:rPr>
            <w:rStyle w:val="Hyperlink"/>
          </w:rPr>
          <w:t xml:space="preserve">Macedo et al., 2018</w:t>
        </w:r>
      </w:hyperlink>
      <w:r>
        <w:t xml:space="preserve">)</w:t>
      </w:r>
      <w:r>
        <w:t xml:space="preserve">. The coefficients are reported at four relative displacement limits,</w:t>
      </w:r>
      <w:r>
        <w:t xml:space="preserve"> </w:t>
      </w:r>
      <m:oMath>
        <m:sSub>
          <m:e>
            <m:r>
              <m:t>D</m:t>
            </m:r>
          </m:e>
          <m:sub>
            <m:r>
              <m:t>a</m:t>
            </m:r>
          </m:sub>
        </m:sSub>
        <m:r>
          <m:rPr>
            <m:sty m:val="p"/>
          </m:rPr>
          <m:t>/</m:t>
        </m:r>
        <m:sSub>
          <m:e>
            <m:r>
              <m:t>H</m:t>
            </m:r>
          </m:e>
          <m:sub>
            <m:r>
              <m:t>s</m:t>
            </m:r>
          </m:sub>
        </m:sSub>
      </m:oMath>
      <w:r>
        <w:t xml:space="preserve"> </w:t>
      </w:r>
      <w:r>
        <w:t xml:space="preserve">= 0.1, 0.4, 1.0, 2.5%. Table</w:t>
      </w:r>
      <w:r>
        <w:t xml:space="preserve"> </w:t>
      </w:r>
      <w:hyperlink w:anchor="tbl-exec-kh-sites-kh-sites">
        <w:r>
          <w:rPr>
            <w:rStyle w:val="Hyperlink"/>
          </w:rPr>
          <w:t xml:space="preserve">1.4</w:t>
        </w:r>
      </w:hyperlink>
      <w:r>
        <w:t xml:space="preserve"> </w:t>
      </w:r>
      <w:r>
        <w:t xml:space="preserve">reports, for the MCE and the geometries analyzed, the range of the coefficient across the material scenarios at each limit, expressed as a percentage of the PGA.</w:t>
      </w:r>
    </w:p>
    <w:p>
      <w:pPr>
        <w:pStyle w:val="BodyText"/>
      </w:pPr>
      <w:r>
        <w:t xml:space="preserve">The hazard curves, the probabilistic spectra, and the deterministic scenarios are presented in the</w:t>
      </w:r>
      <w:r>
        <w:t xml:space="preserve"> </w:t>
      </w:r>
      <w:hyperlink r:id="rId9">
        <w:r>
          <w:rPr>
            <w:rStyle w:val="Hyperlink"/>
          </w:rPr>
          <w:t xml:space="preserve">Seismic Hazard Assessment</w:t>
        </w:r>
      </w:hyperlink>
      <w:r>
        <w:t xml:space="preserve"> </w:t>
      </w:r>
      <w:r>
        <w:t xml:space="preserve">annex. The selected records and their verifications are presented in the</w:t>
      </w:r>
      <w:r>
        <w:t xml:space="preserve"> </w:t>
      </w:r>
      <w:hyperlink r:id="rId10">
        <w:r>
          <w:rPr>
            <w:rStyle w:val="Hyperlink"/>
          </w:rPr>
          <w:t xml:space="preserve">Seismic Record Selection</w:t>
        </w:r>
      </w:hyperlink>
      <w:r>
        <w:t xml:space="preserve"> </w:t>
      </w:r>
      <w:r>
        <w:t xml:space="preserve">annex. The design criteria and the structural design spectra are presented in the</w:t>
      </w:r>
      <w:r>
        <w:t xml:space="preserve"> </w:t>
      </w:r>
      <w:hyperlink r:id="rId11">
        <w:r>
          <w:rPr>
            <w:rStyle w:val="Hyperlink"/>
          </w:rPr>
          <w:t xml:space="preserve">Seismic Design Criteria</w:t>
        </w:r>
      </w:hyperlink>
      <w:r>
        <w:t xml:space="preserve"> </w:t>
      </w:r>
      <w:r>
        <w:t xml:space="preserve">annex. The fundamental periods, the Newmark displacements, and the seismic coefficients are presented in the</w:t>
      </w:r>
      <w:r>
        <w:t xml:space="preserve"> </w:t>
      </w:r>
      <w:hyperlink r:id="rId12">
        <w:r>
          <w:rPr>
            <w:rStyle w:val="Hyperlink"/>
          </w:rPr>
          <w:t xml:space="preserve">Ground-Motion Design Parameters</w:t>
        </w:r>
      </w:hyperlink>
      <w:r>
        <w:t xml:space="preserve"> </w:t>
      </w:r>
      <w:r>
        <w:t xml:space="preserve">annex.</w:t>
      </w:r>
    </w:p>
    <w:p>
      <w:pPr>
        <w:pStyle w:val="BodyText"/>
      </w:pPr>
      <w:r>
        <w:t xml:space="preserve"> </w:t>
      </w:r>
    </w:p>
    <w:bookmarkStart w:id="13" w:name="tbl-exec-pga-tr-pga-tr-docx"/>
    <w:p>
      <w:pPr>
        <w:pStyle w:val="ImageCaption"/>
        <w:spacing w:before="200"/>
        <w:jc w:val="left"/>
      </w:pPr>
      <w:r>
        <w:t xml:space="preserve">Table 1.1: Peak ground acceleration by return period and site condition (</w:t>
      </w:r>
      <w:r>
        <w:rPr>
          <w:rStyle w:val="VerbatimChar"/>
        </w:rPr>
        <w:t xml:space="preserve">siteID</w:t>
      </w:r>
      <w:r>
        <w:t xml:space="preserve">: CFD). Columns identified by</w:t>
      </w:r>
      <w:r>
        <w:t xml:space="preserve"> </w:t>
      </w:r>
      <m:oMath>
        <m:sSub>
          <m:e>
            <m:r>
              <m:t>V</m:t>
            </m:r>
          </m:e>
          <m:sub>
            <m:r>
              <m:t>S</m:t>
            </m:r>
            <m:r>
              <m:t>30</m:t>
            </m:r>
          </m:sub>
        </m:sSub>
      </m:oMath>
      <w:r>
        <w:t xml:space="preserve"> </w:t>
      </w:r>
      <w:r>
        <w:t xml:space="preserve">(m/s) represent the site conditions. The</w:t>
      </w:r>
      <w:r>
        <w:t xml:space="preserve"> </w:t>
      </w:r>
      <m:oMath>
        <m:sSub>
          <m:e>
            <m:r>
              <m:t>T</m:t>
            </m:r>
          </m:e>
          <m:sub>
            <m:r>
              <m:t>R</m:t>
            </m:r>
          </m:sub>
        </m:sSub>
      </m:oMath>
      <w:r>
        <w:t xml:space="preserve"> </w:t>
      </w:r>
      <w:r>
        <w:t xml:space="preserve">rows (years) report the mean probabilistic PGA (cm/s2), and the MDE (84%) row reports the 0.84 quantile of the PGA for the return period of the MDE. The MCE and MCE (84%) rows report the deterministic envelope at its mean and 84th percentile, respectively, for the same site conditions.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180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270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360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800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1250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1500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MDE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 (84%)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471</w:t>
            </w:r>
          </w:p>
        </w:tc>
      </w:tr>
    </w:tbl>
    <w:bookmarkEnd w:id="13"/>
    <w:p/>
    <w:p>
      <w:pPr>
        <w:pStyle w:val="BodyText"/>
      </w:pPr>
      <w:r>
        <w:t xml:space="preserve"> </w:t>
      </w:r>
    </w:p>
    <w:p>
      <w:pPr>
        <w:pStyle w:val="BodyText"/>
      </w:pPr>
      <w:r>
        <w:t xml:space="preserve"> </w:t>
      </w:r>
    </w:p>
    <w:bookmarkStart w:id="14" w:name="tbl-exec-deq-pga-deq-pga"/>
    <w:p>
      <w:pPr>
        <w:pStyle w:val="ImageCaption"/>
        <w:spacing w:before="200"/>
        <w:jc w:val="left"/>
      </w:pPr>
      <w:r>
        <w:t xml:space="preserve">Table 1.2: Seismic design criteria of the GISTM standard at the Operation stage for</w:t>
      </w:r>
      <w:r>
        <w:t xml:space="preserve"> </w:t>
      </w:r>
      <w:r>
        <w:rPr>
          <w:rStyle w:val="VerbatimChar"/>
        </w:rPr>
        <w:t xml:space="preserve">CFD</w:t>
      </w:r>
      <w:r>
        <w:t xml:space="preserve">. Class is the consequence classification;</w:t>
      </w:r>
      <w:r>
        <w:t xml:space="preserve"> </w:t>
      </w:r>
      <m:oMath>
        <m:sSub>
          <m:e>
            <m:r>
              <m:t>T</m:t>
            </m:r>
          </m:e>
          <m:sub>
            <m:r>
              <m:t>R</m:t>
            </m:r>
          </m:sub>
        </m:sSub>
      </m:oMath>
      <w:r>
        <w:t xml:space="preserve"> </w:t>
      </w:r>
      <w:r>
        <w:t xml:space="preserve">is the governing annual-exceedance criterion expressed as a return period (yr) — where the standard sets the criterion between two return periods, the cell shows both and reports the average of their accelerations. Cells report the design PGA (cm/s2) that the criterion selects from the probabilistic hazard for</w:t>
      </w:r>
      <w:r>
        <w:t xml:space="preserve"> </w:t>
      </w:r>
      <m:oMath>
        <m:sSub>
          <m:e>
            <m:r>
              <m:t>V</m:t>
            </m:r>
          </m:e>
          <m:sub>
            <m:r>
              <m:t>S</m:t>
            </m:r>
            <m:r>
              <m:t>30</m:t>
            </m:r>
          </m:sub>
        </m:sSub>
        <m:r>
          <m:rPr>
            <m:sty m:val="p"/>
          </m:rPr>
          <m:t>=</m:t>
        </m:r>
        <m:r>
          <m:t>180</m:t>
        </m:r>
        <m:r>
          <m:rPr>
            <m:sty m:val="p"/>
          </m:rPr>
          <m:t>,</m:t>
        </m:r>
        <m:r>
          <m:t>270</m:t>
        </m:r>
        <m:r>
          <m:rPr>
            <m:sty m:val="p"/>
          </m:rPr>
          <m:t>,</m:t>
        </m:r>
        <m:r>
          <m:t>360</m:t>
        </m:r>
        <m:r>
          <m:rPr>
            <m:sty m:val="p"/>
          </m:rPr>
          <m:t>,</m:t>
        </m:r>
        <m:r>
          <m:t>560</m:t>
        </m:r>
        <m:r>
          <m:rPr>
            <m:sty m:val="p"/>
          </m:rPr>
          <m:t>,</m:t>
        </m:r>
        <m:r>
          <m:t>800</m:t>
        </m:r>
        <m:r>
          <m:rPr>
            <m:sty m:val="p"/>
          </m:rPr>
          <m:t>,</m:t>
        </m:r>
        <m:r>
          <m:t>1250</m:t>
        </m:r>
        <m:r>
          <m:rPr>
            <m:sty m:val="p"/>
          </m:rPr>
          <m:t>,</m:t>
        </m:r>
        <m:r>
          <m:t>1500</m:t>
        </m:r>
      </m:oMath>
      <w:r>
        <w:t xml:space="preserve"> </w:t>
      </w:r>
      <w:r>
        <w:t xml:space="preserve">m/s.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180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270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360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800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1250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1500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280</w:t>
            </w:r>
          </w:p>
        </w:tc>
      </w:tr>
    </w:tbl>
    <w:bookmarkEnd w:id="14"/>
    <w:p/>
    <w:p>
      <w:pPr>
        <w:pStyle w:val="BodyText"/>
      </w:pPr>
      <w:r>
        <w:t xml:space="preserve"> </w:t>
      </w:r>
    </w:p>
    <w:p>
      <w:pPr>
        <w:pStyle w:val="BodyText"/>
      </w:pPr>
      <w:r>
        <w:t xml:space="preserve"> </w:t>
      </w:r>
    </w:p>
    <w:bookmarkStart w:id="15" w:name="tbl-exec-mcer-sites-mcer-sites"/>
    <w:p>
      <w:pPr>
        <w:pStyle w:val="ImageCaption"/>
        <w:spacing w:before="200"/>
        <w:jc w:val="left"/>
      </w:pPr>
      <w:r>
        <w:t xml:space="preserve">Table 1.3: ASCE/SEI 7-22 seismic design parameters obtained from the risk-targeted MCER spectrum. Each row identifies a site (</w:t>
      </w:r>
      <w:r>
        <w:rPr>
          <w:rStyle w:val="VerbatimChar"/>
        </w:rPr>
        <w:t xml:space="preserve">siteID</w:t>
      </w:r>
      <w:r>
        <w:t xml:space="preserve">) and a site condition;</w:t>
      </w:r>
      <w:r>
        <w:t xml:space="preserve"> </w:t>
      </w:r>
      <m:oMath>
        <m:sSub>
          <m:e>
            <m:r>
              <m:t>V</m:t>
            </m:r>
          </m:e>
          <m:sub>
            <m:r>
              <m:t>S</m:t>
            </m:r>
            <m:r>
              <m:t>30</m:t>
            </m:r>
          </m:sub>
        </m:sSub>
      </m:oMath>
      <w:r>
        <w:t xml:space="preserve"> </w:t>
      </w:r>
      <w:r>
        <w:t xml:space="preserve">is its shear-wave velocity, in m/s.</w:t>
      </w:r>
      <w:r>
        <w:t xml:space="preserve"> </w:t>
      </w:r>
      <m:oMath>
        <m:sSub>
          <m:e>
            <m:r>
              <m:t>S</m:t>
            </m:r>
          </m:e>
          <m:sub>
            <m:r>
              <m:t>a</m:t>
            </m:r>
            <m:r>
              <m:t>M</m:t>
            </m:r>
          </m:sub>
        </m:sSub>
        <m:r>
          <m:rPr>
            <m:sty m:val="p"/>
          </m:rPr>
          <m:t>(</m:t>
        </m:r>
        <m:r>
          <m:t>0</m:t>
        </m:r>
        <m:r>
          <m:rPr>
            <m:sty m:val="p"/>
          </m:rPr>
          <m:t>)</m:t>
        </m:r>
      </m:oMath>
      <w:r>
        <w:t xml:space="preserve"> </w:t>
      </w:r>
      <w:r>
        <w:t xml:space="preserve">is the MCER ordinate at zero period;</w:t>
      </w:r>
      <w:r>
        <w:t xml:space="preserve"> </w:t>
      </w:r>
      <m:oMath>
        <m:sSub>
          <m:e>
            <m:r>
              <m:t>S</m:t>
            </m:r>
          </m:e>
          <m:sub>
            <m:r>
              <m:t>M</m:t>
            </m:r>
            <m:r>
              <m:t>S</m:t>
            </m:r>
          </m:sub>
        </m:sSub>
      </m:oMath>
      <w:r>
        <w:t xml:space="preserve"> </w:t>
      </w:r>
      <w:r>
        <w:t xml:space="preserve">and</w:t>
      </w:r>
      <w:r>
        <w:t xml:space="preserve"> </w:t>
      </w:r>
      <m:oMath>
        <m:sSub>
          <m:e>
            <m:r>
              <m:t>S</m:t>
            </m:r>
          </m:e>
          <m:sub>
            <m:r>
              <m:t>M</m:t>
            </m:r>
            <m:r>
              <m:t>1</m:t>
            </m:r>
          </m:sub>
        </m:sSub>
      </m:oMath>
      <w:r>
        <w:t xml:space="preserve"> </w:t>
      </w:r>
      <w:r>
        <w:t xml:space="preserve">are the MCER acceleration parameters;</w:t>
      </w:r>
      <w:r>
        <w:t xml:space="preserve"> </w:t>
      </w:r>
      <m:oMath>
        <m:sSub>
          <m:e>
            <m:r>
              <m:t>S</m:t>
            </m:r>
          </m:e>
          <m:sub>
            <m:r>
              <m:t>D</m:t>
            </m:r>
            <m:r>
              <m:t>S</m:t>
            </m:r>
          </m:sub>
        </m:sSub>
      </m:oMath>
      <w:r>
        <w:t xml:space="preserve"> </w:t>
      </w:r>
      <w:r>
        <w:t xml:space="preserve">and</w:t>
      </w:r>
      <w:r>
        <w:t xml:space="preserve"> </w:t>
      </w:r>
      <m:oMath>
        <m:sSub>
          <m:e>
            <m:r>
              <m:t>S</m:t>
            </m:r>
          </m:e>
          <m:sub>
            <m:r>
              <m:t>D</m:t>
            </m:r>
            <m:r>
              <m:t>1</m:t>
            </m:r>
          </m:sub>
        </m:sSub>
      </m:oMath>
      <w:r>
        <w:t xml:space="preserve"> </w:t>
      </w:r>
      <w:r>
        <w:t xml:space="preserve">are the design acceleration parameters; these four ordinates and</w:t>
      </w:r>
      <w:r>
        <w:t xml:space="preserve"> </w:t>
      </w:r>
      <m:oMath>
        <m:sSub>
          <m:e>
            <m:r>
              <m:t>S</m:t>
            </m:r>
          </m:e>
          <m:sub>
            <m:r>
              <m:t>a</m:t>
            </m:r>
            <m:r>
              <m:t>M</m:t>
            </m:r>
          </m:sub>
        </m:sSub>
        <m:r>
          <m:rPr>
            <m:sty m:val="p"/>
          </m:rPr>
          <m:t>(</m:t>
        </m:r>
        <m:r>
          <m:t>0</m:t>
        </m:r>
        <m:r>
          <m:rPr>
            <m:sty m:val="p"/>
          </m:rPr>
          <m:t>)</m:t>
        </m:r>
      </m:oMath>
      <w:r>
        <w:t xml:space="preserve"> </w:t>
      </w:r>
      <w:r>
        <w:t xml:space="preserve">are in cm/s2.</w:t>
      </w:r>
      <w:r>
        <w:t xml:space="preserve"> </w:t>
      </w:r>
      <m:oMath>
        <m:sSub>
          <m:e>
            <m:r>
              <m:t>T</m:t>
            </m:r>
          </m:e>
          <m:sub>
            <m:r>
              <m:t>0</m:t>
            </m:r>
          </m:sub>
        </m:sSub>
      </m:oMath>
      <w:r>
        <w:t xml:space="preserve"> </w:t>
      </w:r>
      <w:r>
        <w:t xml:space="preserve">and</w:t>
      </w:r>
      <w:r>
        <w:t xml:space="preserve"> </w:t>
      </w:r>
      <m:oMath>
        <m:sSub>
          <m:e>
            <m:r>
              <m:t>T</m:t>
            </m:r>
          </m:e>
          <m:sub>
            <m:r>
              <m:t>S</m:t>
            </m:r>
          </m:sub>
        </m:sSub>
      </m:oMath>
      <w:r>
        <w:t xml:space="preserve"> </w:t>
      </w:r>
      <w:r>
        <w:t xml:space="preserve">are the corner periods of the design spectrum, in seconds.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siteID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aM</m:t>
                  </m:r>
                </m:sub>
              </m:sSub>
              <m:r>
                <m:t>(0)</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MS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M1</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DS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D1</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0.229</w:t>
            </w:r>
          </w:p>
        </w:tc>
      </w:tr>
    </w:tbl>
    <w:bookmarkEnd w:id="15"/>
    <w:p/>
    <w:p>
      <w:pPr>
        <w:pStyle w:val="BodyText"/>
      </w:pPr>
      <w:r>
        <w:t xml:space="preserve"> </w:t>
      </w:r>
    </w:p>
    <w:p>
      <w:pPr>
        <w:pStyle w:val="BodyText"/>
      </w:pPr>
      <w:r>
        <w:t xml:space="preserve"> </w:t>
      </w:r>
    </w:p>
    <w:bookmarkStart w:id="16" w:name="tbl-exec-kh-sites-kh-sites"/>
    <w:p>
      <w:pPr>
        <w:pStyle w:val="ImageCaption"/>
        <w:spacing w:before="200"/>
        <w:jc w:val="left"/>
      </w:pPr>
      <w:r>
        <w:t xml:space="preserve">Table 1.4: MCE seismic coefficients</w:t>
      </w:r>
      <w:r>
        <w:t xml:space="preserve"> </w:t>
      </w:r>
      <m:oMath>
        <m:sSub>
          <m:e>
            <m:r>
              <m:t>k</m:t>
            </m:r>
          </m:e>
          <m:sub>
            <m:r>
              <m:t>h</m:t>
            </m:r>
          </m:sub>
        </m:sSub>
      </m:oMath>
      <w:r>
        <w:t xml:space="preserve"> </w:t>
      </w:r>
      <w:r>
        <w:t xml:space="preserve">[% of PGA] from the ensemble model. Each cell reports the minimum–maximum range across the material scenarios, from their mean estimates. The range describes variation between materials; it is not a confidence interval or a simulation fractile.</w:t>
      </w:r>
      <w:r>
        <w:t xml:space="preserve"> </w:t>
      </w:r>
      <w:r>
        <w:rPr>
          <w:rStyle w:val="VerbatimChar"/>
        </w:rPr>
        <w:t xml:space="preserve">siteID</w:t>
      </w:r>
      <w:r>
        <w:t xml:space="preserve"> </w:t>
      </w:r>
      <w:r>
        <w:t xml:space="preserve">identifies the site and</w:t>
      </w:r>
      <w:r>
        <w:t xml:space="preserve"> </w:t>
      </w:r>
      <m:oMath>
        <m:sSub>
          <m:e>
            <m:r>
              <m:t>H</m:t>
            </m:r>
          </m:e>
          <m:sub>
            <m:r>
              <m:t>s</m:t>
            </m:r>
          </m:sub>
        </m:sSub>
      </m:oMath>
      <w:r>
        <w:t xml:space="preserve"> </w:t>
      </w:r>
      <w:r>
        <w:t xml:space="preserve">the slope height, in m. The remaining column headings are the relative displacement limits</w:t>
      </w:r>
      <w:r>
        <w:t xml:space="preserve"> </w:t>
      </w:r>
      <m:oMath>
        <m:sSub>
          <m:e>
            <m:r>
              <m:t>D</m:t>
            </m:r>
          </m:e>
          <m:sub>
            <m:r>
              <m:t>a</m:t>
            </m:r>
          </m:sub>
        </m:sSub>
        <m:r>
          <m:rPr>
            <m:sty m:val="p"/>
          </m:rPr>
          <m:t>/</m:t>
        </m:r>
        <m:sSub>
          <m:e>
            <m:r>
              <m:t>H</m:t>
            </m:r>
          </m:e>
          <m:sub>
            <m:r>
              <m:t>s</m:t>
            </m:r>
          </m:sub>
        </m:sSub>
      </m:oMath>
      <w:r>
        <w:t xml:space="preserve"> </w:t>
      </w:r>
      <w:r>
        <w:t xml:space="preserve">[%]. The column colors match the performance bands in the figures.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siteID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H</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33.6–42.0</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19.2–23.8</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11.8–14.7</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6.4–8.0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31.5–38.9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18.2–22.0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11.4–13.4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30.6–38.1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17.4–21.2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10.6–12.9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5.8–6.9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25.7–29.5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14.0–16.2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8.1–9.6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4.2–5.1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16.3–17.5</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7.7–8.4</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4.1–4.5</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2.2–2.4</w:t>
            </w:r>
          </w:p>
        </w:tc>
      </w:tr>
    </w:tbl>
    <w:bookmarkEnd w:id="16"/>
    <w:p/>
    <w:p>
      <w:pPr>
        <w:pStyle w:val="BodyText"/>
      </w:pPr>
      <w:r>
        <w:t xml:space="preserve"> </w:t>
      </w:r>
    </w:p>
    <w:bookmarkEnd w:id="17"/>
    <w:bookmarkStart w:id="22" w:name="introduction"/>
    <w:p>
      <w:pPr>
        <w:pStyle w:val="Heading1"/>
      </w:pPr>
      <w:r>
        <w:t xml:space="preserve">2</w:t>
      </w:r>
      <w:r>
        <w:tab/>
      </w:r>
      <w:r>
        <w:t xml:space="preserve">Introduction</w:t>
      </w:r>
    </w:p>
    <w:bookmarkStart w:id="18" w:name="objectives"/>
    <w:p>
      <w:pPr>
        <w:pStyle w:val="Heading2"/>
      </w:pPr>
      <w:r>
        <w:t xml:space="preserve">2.1</w:t>
      </w:r>
      <w:r>
        <w:tab/>
      </w:r>
      <w:r>
        <w:t xml:space="preserve">Objectives</w:t>
      </w:r>
    </w:p>
    <w:p>
      <w:pPr>
        <w:pStyle w:val="FirstParagraph"/>
      </w:pPr>
      <w:r>
        <w:t xml:space="preserve">The primary objectives of this study are as follows:</w:t>
      </w:r>
    </w:p>
    <w:p>
      <w:pPr>
        <w:pStyle w:val="ListBullet"/>
      </w:pPr>
      <w:r>
        <w:rPr>
          <w:b/>
          <w:bCs/>
        </w:rPr>
        <w:t xml:space="preserve">Seismic Hazard:</w:t>
      </w:r>
      <w:r>
        <w:t xml:space="preserve"> </w:t>
      </w:r>
      <w:r>
        <w:t xml:space="preserve">Quantify annual exceedance probabilities for ground-motion intensity measures at the site using probabilistic seismic hazard analysis. Compute site-specific hazard curves and uniform hazard spectra at reference-rock conditions. Perform hazard deaggregation to identify controlling magnitude, distance, and epsilon (normalized residual) scenarios at each governing hazard level. Summarize the hazard results as mean and fractile annual-exceedance-probability curves for defined site conditions.</w:t>
      </w:r>
    </w:p>
    <w:p>
      <w:pPr>
        <w:pStyle w:val="ListBullet"/>
      </w:pPr>
      <w:r>
        <w:rPr>
          <w:b/>
          <w:bCs/>
        </w:rPr>
        <w:t xml:space="preserve">Site Response:</w:t>
      </w:r>
      <w:r>
        <w:t xml:space="preserve"> </w:t>
      </w:r>
      <w:r>
        <w:t xml:space="preserve">Compute site-specific peak ground acceleration and spectral ordinates through two ergodic estimates — the direct evaluation of the ground-motion model tree, with each model’s own site terms, at each evaluated condition, and the transformation of the reference-rock motion through the Stewart and Hashash (2020) NGA-East ergodic amplification model — and combine their probability distributions as a finite mixture to define the design demand. Present the results as tables and figures summarizing peak ground acceleration and uniform hazard spectra for all evaluated site conditions and fractiles.</w:t>
      </w:r>
    </w:p>
    <w:p>
      <w:pPr>
        <w:pStyle w:val="ListBullet"/>
      </w:pPr>
      <w:r>
        <w:rPr>
          <w:b/>
          <w:bCs/>
        </w:rPr>
        <w:t xml:space="preserve">Slope Design:</w:t>
      </w:r>
      <w:r>
        <w:t xml:space="preserve"> </w:t>
      </w:r>
      <w:r>
        <w:t xml:space="preserve">Quantify permanent slope displacements and derive performance-based horizontal seismic coefficients (</w:t>
      </w:r>
      <m:oMath>
        <m:sSub>
          <m:e>
            <m:r>
              <m:t>k</m:t>
            </m:r>
          </m:e>
          <m:sub>
            <m:r>
              <m:rPr>
                <m:sty m:val="p"/>
              </m:rPr>
              <m:t>max</m:t>
            </m:r>
          </m:sub>
        </m:sSub>
      </m:oMath>
      <w:r>
        <w:t xml:space="preserve">,</w:t>
      </w:r>
      <w:r>
        <w:t xml:space="preserve"> </w:t>
      </w:r>
      <m:oMath>
        <m:sSub>
          <m:e>
            <m:r>
              <m:t>k</m:t>
            </m:r>
          </m:e>
          <m:sub>
            <m:r>
              <m:t>h</m:t>
            </m:r>
          </m:sub>
        </m:sSub>
      </m:oMath>
      <w:r>
        <w:t xml:space="preserve">) for slope stability design. Displacements are estimated using a weighted ensemble of rigid- and flexible-block Newmark models across all geometry classes, material scenarios, MDE and MCE demand scenarios, and allowable displacement thresholds. Seismic coefficients are determined by inversion of the displacement framework for each prescribed performance objective. Summarize the</w:t>
      </w:r>
      <w:r>
        <w:t xml:space="preserve"> </w:t>
      </w:r>
      <m:oMath>
        <m:sSub>
          <m:e>
            <m:r>
              <m:t>k</m:t>
            </m:r>
          </m:e>
          <m:sub>
            <m:r>
              <m:rPr>
                <m:sty m:val="p"/>
              </m:rPr>
              <m:t>max</m:t>
            </m:r>
          </m:sub>
        </m:sSub>
      </m:oMath>
      <w:r>
        <w:t xml:space="preserve"> </w:t>
      </w:r>
      <w:r>
        <w:t xml:space="preserve">and</w:t>
      </w:r>
      <w:r>
        <w:t xml:space="preserve"> </w:t>
      </w:r>
      <m:oMath>
        <m:sSub>
          <m:e>
            <m:r>
              <m:t>k</m:t>
            </m:r>
          </m:e>
          <m:sub>
            <m:r>
              <m:t>h</m:t>
            </m:r>
          </m:sub>
        </m:sSub>
      </m:oMath>
      <w:r>
        <w:t xml:space="preserve"> </w:t>
      </w:r>
      <w:r>
        <w:t xml:space="preserve">design values for all geometry–material–demand-scenario combinations.</w:t>
      </w:r>
    </w:p>
    <w:p>
      <w:pPr>
        <w:pStyle w:val="ListBullet"/>
      </w:pPr>
      <w:r>
        <w:rPr>
          <w:b/>
          <w:bCs/>
        </w:rPr>
        <w:t xml:space="preserve">Design Criteria:</w:t>
      </w:r>
      <w:r>
        <w:t xml:space="preserve"> </w:t>
      </w:r>
      <w:r>
        <w:t xml:space="preserve">Establish seismic design criteria for tailings storage facilities based on international standards and consequence classification. Assign design earthquakes and performance objectives for all project lifecycle phases, including operation, closure, and post-closure, as required by GISTM, CDA, and ANCOLD. Determine Maximum Credible Earthquake (MCE) scenarios in accordance with regulatory requirements. Define the probabilistic design spectra and the associated ground motions for each operational stage and consequence rating. Establish, for conventional structures, the MCER spectra of the ASCE/SEI 7-22 (IBC 2024) site-specific procedure — the risk-targeted Maximum Considered Earthquake — and derive from them the design spectra, defined as two-thirds of the MCER ordinates, with their</w:t>
      </w:r>
      <w:r>
        <w:t xml:space="preserve"> </w:t>
      </w:r>
      <m:oMath>
        <m:sSub>
          <m:e>
            <m:r>
              <m:t>S</m:t>
            </m:r>
          </m:e>
          <m:sub>
            <m:r>
              <m:t>D</m:t>
            </m:r>
            <m:r>
              <m:t>S</m:t>
            </m:r>
          </m:sub>
        </m:sSub>
      </m:oMath>
      <w:r>
        <w:t xml:space="preserve"> </w:t>
      </w:r>
      <w:r>
        <w:t xml:space="preserve">and</w:t>
      </w:r>
      <w:r>
        <w:t xml:space="preserve"> </w:t>
      </w:r>
      <m:oMath>
        <m:sSub>
          <m:e>
            <m:r>
              <m:t>S</m:t>
            </m:r>
          </m:e>
          <m:sub>
            <m:r>
              <m:t>D</m:t>
            </m:r>
            <m:r>
              <m:t>1</m:t>
            </m:r>
          </m:sub>
        </m:sSub>
      </m:oMath>
      <w:r>
        <w:t xml:space="preserve"> </w:t>
      </w:r>
      <w:r>
        <w:t xml:space="preserve">parameters.</w:t>
      </w:r>
    </w:p>
    <w:p>
      <w:pPr>
        <w:pStyle w:val="ListBullet"/>
      </w:pPr>
      <w:r>
        <w:rPr>
          <w:b/>
          <w:bCs/>
        </w:rPr>
        <w:t xml:space="preserve">Seismic Record Selection:</w:t>
      </w:r>
      <w:r>
        <w:t xml:space="preserve"> </w:t>
      </w:r>
      <w:r>
        <w:t xml:space="preserve">Select, through magnitude and distance windows tied to the scenarios that control the hazard and with at most one record per event, a set of strong-motion records that represents the amplitude, duration, and frequency content of the seismic demand; process each horizontal component by removing the low-frequency mode associated with drift and noise and normalizing the energy of the reconstructed signal; scale the set to reproduce the mean of the site-specific target spectrum and to contain the individual spectra within its envelopes; and verify the resulting compatibility through the error of the spectral mean, the PGA ratio, and the contained fraction of ordinates, preserving the identification of events, stations, and intensity measures for the dynamic deformation analyses.</w:t>
      </w:r>
    </w:p>
    <w:p>
      <w:pPr>
        <w:pStyle w:val="ListBullet"/>
      </w:pPr>
      <w:r>
        <w:rPr>
          <w:b/>
          <w:bCs/>
        </w:rPr>
        <w:t xml:space="preserve">Uncertainty Modeling:</w:t>
      </w:r>
      <w:r>
        <w:t xml:space="preserve"> </w:t>
      </w:r>
      <w:r>
        <w:t xml:space="preserve">Propagate epistemic uncertainty through logic-tree branching and aleatory variability through probabilistic integration across all analysis components. Propagate the hazard and model uncertainties in site response through analytical integration of the distributions to generate fractile site-response spectra. Aggregate uncertainties in ground-motion intensity measures, site response, and displacement models to generate fractile bands for Newmark displacements and performance-based seismic coefficients.</w:t>
      </w:r>
    </w:p>
    <w:bookmarkEnd w:id="18"/>
    <w:bookmarkStart w:id="20" w:name="format"/>
    <w:p>
      <w:pPr>
        <w:pStyle w:val="Heading2"/>
      </w:pPr>
      <w:r>
        <w:t xml:space="preserve">2.2</w:t>
      </w:r>
      <w:r>
        <w:tab/>
      </w:r>
      <w:r>
        <w:t xml:space="preserve">Format</w:t>
      </w:r>
    </w:p>
    <w:p>
      <w:pPr>
        <w:pStyle w:val="FirstParagraph"/>
      </w:pPr>
      <w:r>
        <w:t xml:space="preserve">This report presents the seismic hazard assessment and the seismic design criteria of the project. This document is delivered in printable format (DOCX/PDF) as a companion reference and includes the principal seismic design parameter tables. Dynamic charts and interactive maps are available only in the HTML version. The</w:t>
      </w:r>
      <w:r>
        <w:t xml:space="preserve"> </w:t>
      </w:r>
      <w:hyperlink r:id="rId19">
        <w:r>
          <w:rPr>
            <w:rStyle w:val="Hyperlink"/>
          </w:rPr>
          <w:t xml:space="preserve">HTML version</w:t>
        </w:r>
      </w:hyperlink>
      <w:r>
        <w:t xml:space="preserve"> </w:t>
      </w:r>
      <w:r>
        <w:t xml:space="preserve">is the complete and official report, available online and for local consultation. The seismic hazard assessment is documented in the</w:t>
      </w:r>
      <w:r>
        <w:t xml:space="preserve"> </w:t>
      </w:r>
      <w:hyperlink r:id="rId9">
        <w:r>
          <w:rPr>
            <w:rStyle w:val="Hyperlink"/>
          </w:rPr>
          <w:t xml:space="preserve">Seismic Hazard Assessment</w:t>
        </w:r>
      </w:hyperlink>
      <w:r>
        <w:t xml:space="preserve"> </w:t>
      </w:r>
      <w:r>
        <w:t xml:space="preserve">annex. The seismic design criteria are presented in the</w:t>
      </w:r>
      <w:r>
        <w:t xml:space="preserve"> </w:t>
      </w:r>
      <w:hyperlink r:id="rId11">
        <w:r>
          <w:rPr>
            <w:rStyle w:val="Hyperlink"/>
          </w:rPr>
          <w:t xml:space="preserve">Seismic Design Criteria</w:t>
        </w:r>
      </w:hyperlink>
      <w:r>
        <w:t xml:space="preserve"> </w:t>
      </w:r>
      <w:r>
        <w:t xml:space="preserve">annex. The ground-motion design parameters are presented in the</w:t>
      </w:r>
      <w:r>
        <w:t xml:space="preserve"> </w:t>
      </w:r>
      <w:hyperlink r:id="rId12">
        <w:r>
          <w:rPr>
            <w:rStyle w:val="Hyperlink"/>
          </w:rPr>
          <w:t xml:space="preserve">Ground-Motion Design Parameters</w:t>
        </w:r>
      </w:hyperlink>
      <w:r>
        <w:t xml:space="preserve"> </w:t>
      </w:r>
      <w:r>
        <w:t xml:space="preserve">annex. Seismic record selection and processing are documented in the</w:t>
      </w:r>
      <w:r>
        <w:t xml:space="preserve"> </w:t>
      </w:r>
      <w:hyperlink r:id="rId10">
        <w:r>
          <w:rPr>
            <w:rStyle w:val="Hyperlink"/>
          </w:rPr>
          <w:t xml:space="preserve">Seismic Record Selection</w:t>
        </w:r>
      </w:hyperlink>
      <w:r>
        <w:t xml:space="preserve"> </w:t>
      </w:r>
      <w:r>
        <w:t xml:space="preserve">annex.</w:t>
      </w:r>
    </w:p>
    <w:bookmarkEnd w:id="20"/>
    <w:bookmarkStart w:id="21" w:name="disclaimer"/>
    <w:p>
      <w:pPr>
        <w:pStyle w:val="Heading2"/>
      </w:pPr>
      <w:r>
        <w:t xml:space="preserve">2.3</w:t>
      </w:r>
      <w:r>
        <w:tab/>
      </w:r>
      <w:r>
        <w:t xml:space="preserve">Disclaimer</w:t>
      </w:r>
    </w:p>
    <w:p>
      <w:pPr>
        <w:pStyle w:val="FirstParagraph"/>
      </w:pPr>
      <w:r>
        <w:rPr>
          <w:i/>
          <w:iCs/>
        </w:rPr>
        <w:t xml:space="preserve">The opinions expressed in this Report have been based on the information supplied to SRK Consulting (Canada), Inc. and Paterson &amp; Cooke (SRK-PC ) by Canada Nickel Co. (CN). The opinions in this Report are provided in response to a specific request from CN to do so. SRK-PC has exercised all due care in reviewing the supplied information. Whilst SRK-PC has compared key supplied data with expected values, the accuracy of the results and conclusions from the review are entirely reliant on the accuracy and completeness of the supplied data. SRK-PC does not accept responsibility for any errors or omissions in the supplied information and does not accept any consequential liability arising from commercial decisions or actions resulting from them. Opinions presented in this report apply to the site conditions and features as they existed at the time of SRK-PC’s investigations, and those reasonably foreseeable. These opinions do not necessarily apply to conditions and features that may arise after the date of this Report, about which SRK-PC had no prior knowledge nor had the opportunity to evaluate.</w:t>
      </w:r>
    </w:p>
    <w:bookmarkEnd w:id="21"/>
    <w:bookmarkEnd w:id="22"/>
    <w:bookmarkStart w:id="75" w:name="seismic-hazard-assessment"/>
    <w:p>
      <w:pPr>
        <w:pStyle w:val="Heading1"/>
      </w:pPr>
      <w:r>
        <w:t xml:space="preserve">3</w:t>
      </w:r>
      <w:r>
        <w:tab/>
      </w:r>
      <w:r>
        <w:t xml:space="preserve">Seismic Hazard Assessment</w:t>
      </w:r>
    </w:p>
    <w:bookmarkStart w:id="35" w:name="X0c792aac55128162087bcea98063322acae8369"/>
    <w:p>
      <w:pPr>
        <w:pStyle w:val="Heading2"/>
      </w:pPr>
      <w:r>
        <w:t xml:space="preserve">3.1</w:t>
      </w:r>
      <w:r>
        <w:tab/>
      </w:r>
      <w:r>
        <w:t xml:space="preserve">Probabilistic Seismic Hazard Assessment (PSHA)</w:t>
      </w:r>
    </w:p>
    <w:p>
      <w:pPr>
        <w:pStyle w:val="FirstParagraph"/>
      </w:pPr>
      <w:r>
        <w:t xml:space="preserve">Probabilistic seismic hazard analysis (PSHA) quantifies the rate at which different levels of ground motion may be exceeded at the site. The assessment represents the range of magnitudes, locations, and ground motions through the seismic-source model and the ground-motion prediction models, and applies the total-probability theorem over the scenarios that can contribute to the demand</w:t>
      </w:r>
      <w:r>
        <w:t xml:space="preserve"> </w:t>
      </w:r>
      <w:r>
        <w:t xml:space="preserve">(</w:t>
      </w:r>
      <w:hyperlink w:anchor="ref-Cornell1968">
        <w:r>
          <w:rPr>
            <w:rStyle w:val="Hyperlink"/>
          </w:rPr>
          <w:t xml:space="preserve">Cornell, 1968</w:t>
        </w:r>
      </w:hyperlink>
      <w:r>
        <w:t xml:space="preserve">;</w:t>
      </w:r>
      <w:r>
        <w:t xml:space="preserve"> </w:t>
      </w:r>
      <w:hyperlink w:anchor="ref-McGuire2004">
        <w:r>
          <w:rPr>
            <w:rStyle w:val="Hyperlink"/>
          </w:rPr>
          <w:t xml:space="preserve">McGuire, 2004</w:t>
        </w:r>
      </w:hyperlink>
      <w:r>
        <w:t xml:space="preserve">)</w:t>
      </w:r>
      <w:r>
        <w:t xml:space="preserve">.</w:t>
      </w:r>
    </w:p>
    <w:p>
      <w:pPr>
        <w:pStyle w:val="BodyText"/>
      </w:pPr>
      <w:r>
        <w:t xml:space="preserve">The assessment adopted the regional source model</w:t>
      </w:r>
      <w:r>
        <w:t xml:space="preserve"> </w:t>
      </w:r>
      <w:r>
        <w:rPr>
          <w:b/>
          <w:bCs/>
        </w:rPr>
        <w:t xml:space="preserve">CAN</w:t>
      </w:r>
      <w:r>
        <w:t xml:space="preserve">, with a logic tree comprising 6 branches, together with GMM trees for the ASC, SCC, SIF, SIS30, SIS55 regimes. The calculation domain begins at</w:t>
      </w:r>
      <w:r>
        <w:t xml:space="preserve"> </w:t>
      </w:r>
      <m:oMath>
        <m:sSub>
          <m:e>
            <m:r>
              <m:t>M</m:t>
            </m:r>
          </m:e>
          <m:sub>
            <m:r>
              <m:t>w</m:t>
            </m:r>
          </m:sub>
        </m:sSub>
      </m:oMath>
      <w:r>
        <w:t xml:space="preserve"> </w:t>
      </w:r>
      <w:r>
        <w:t xml:space="preserve">4.5, considers sources up to 1,000 km, and truncates the residual distribution of the GMMs at</w:t>
      </w:r>
      <w:r>
        <w:t xml:space="preserve"> </w:t>
      </w:r>
      <m:oMath>
        <m:r>
          <m:rPr>
            <m:sty m:val="p"/>
          </m:rPr>
          <m:t>±</m:t>
        </m:r>
        <m:r>
          <m:t>3.0</m:t>
        </m:r>
        <m:r>
          <m:t>σ</m:t>
        </m:r>
      </m:oMath>
      <w:r>
        <w:t xml:space="preserve">.</w:t>
      </w:r>
    </w:p>
    <w:p>
      <w:pPr>
        <w:pStyle w:val="BodyText"/>
      </w:pPr>
      <w:r>
        <w:t xml:space="preserve">Each seismic source contributes to the exceedance rate through its occurrence rate and through the magnitude and distance distributions of its earthquakes. For a seismic source</w:t>
      </w:r>
      <w:r>
        <w:t xml:space="preserve"> </w:t>
      </w:r>
      <m:oMath>
        <m:r>
          <m:t>s</m:t>
        </m:r>
      </m:oMath>
      <w:r>
        <w:t xml:space="preserve">,</w:t>
      </w:r>
      <w:r>
        <w:t xml:space="preserve"> </w:t>
      </w:r>
      <m:oMath>
        <m:sSubSup>
          <m:e>
            <m:r>
              <m:t>ν</m:t>
            </m:r>
          </m:e>
          <m:sub>
            <m:r>
              <m:t>0</m:t>
            </m:r>
          </m:sub>
          <m:sup>
            <m:r>
              <m:rPr>
                <m:sty m:val="p"/>
              </m:rPr>
              <m:t>(</m:t>
            </m:r>
            <m:r>
              <m:t>s</m:t>
            </m:r>
            <m:r>
              <m:rPr>
                <m:sty m:val="p"/>
              </m:rPr>
              <m:t>)</m:t>
            </m:r>
          </m:sup>
        </m:sSubSup>
      </m:oMath>
      <w:r>
        <w:t xml:space="preserve"> </w:t>
      </w:r>
      <w:r>
        <w:t xml:space="preserve">is its annual occurrence rate above the minimum magnitude</w:t>
      </w:r>
      <w:r>
        <w:t xml:space="preserve"> </w:t>
      </w:r>
      <m:oMath>
        <m:sSub>
          <m:e>
            <m:r>
              <m:t>M</m:t>
            </m:r>
          </m:e>
          <m:sub>
            <m:r>
              <m:rPr>
                <m:sty m:val="p"/>
              </m:rPr>
              <m:t>min</m:t>
            </m:r>
          </m:sub>
        </m:sSub>
      </m:oMath>
      <w:r>
        <w:t xml:space="preserve">,</w:t>
      </w:r>
      <w:r>
        <w:t xml:space="preserve"> </w:t>
      </w:r>
      <m:oMath>
        <m:r>
          <m:t>m</m:t>
        </m:r>
      </m:oMath>
      <w:r>
        <w:t xml:space="preserve"> </w:t>
      </w:r>
      <w:r>
        <w:t xml:space="preserve">is the moment magnitude, and</w:t>
      </w:r>
      <w:r>
        <w:t xml:space="preserve"> </w:t>
      </w:r>
      <m:oMath>
        <m:r>
          <m:rPr>
            <m:sty m:val="b"/>
          </m:rPr>
          <m:t>r</m:t>
        </m:r>
      </m:oMath>
      <w:r>
        <w:t xml:space="preserve"> </w:t>
      </w:r>
      <w:r>
        <w:t xml:space="preserve">gathers the source-to-site distance metrics required by the GMMs. The domain</w:t>
      </w:r>
      <w:r>
        <w:t xml:space="preserve"> </w:t>
      </w:r>
      <m:oMath>
        <m:r>
          <m:t>D</m:t>
        </m:r>
      </m:oMath>
      <w:r>
        <w:t xml:space="preserve"> </w:t>
      </w:r>
      <w:r>
        <w:t xml:space="preserve">comprises the admissible rupture locations and geometries for the source. The probability density functions (PDF)</w:t>
      </w:r>
      <w:r>
        <w:t xml:space="preserve"> </w:t>
      </w:r>
      <m:oMath>
        <m:sSub>
          <m:e>
            <m:r>
              <m:t>f</m:t>
            </m:r>
          </m:e>
          <m:sub>
            <m:r>
              <m:t>M</m:t>
            </m:r>
            <m:r>
              <m:rPr>
                <m:sty m:val="p"/>
              </m:rPr>
              <m:t>,</m:t>
            </m:r>
            <m:r>
              <m:t>s</m:t>
            </m:r>
          </m:sub>
        </m:sSub>
        <m:r>
          <m:rPr>
            <m:sty m:val="p"/>
          </m:rPr>
          <m:t>(</m:t>
        </m:r>
        <m:r>
          <m:t>m</m:t>
        </m:r>
        <m:r>
          <m:rPr>
            <m:sty m:val="p"/>
          </m:rPr>
          <m:t>)</m:t>
        </m:r>
      </m:oMath>
      <w:r>
        <w:t xml:space="preserve"> </w:t>
      </w:r>
      <w:r>
        <w:t xml:space="preserve">and</w:t>
      </w:r>
      <w:r>
        <w:t xml:space="preserve"> </w:t>
      </w:r>
      <m:oMath>
        <m:sSub>
          <m:e>
            <m:r>
              <m:t>f</m:t>
            </m:r>
          </m:e>
          <m:sub>
            <m:r>
              <m:rPr>
                <m:sty m:val="b"/>
              </m:rPr>
              <m:t>R</m:t>
            </m:r>
            <m:r>
              <m:rPr>
                <m:sty m:val="p"/>
              </m:rPr>
              <m:t>∣</m:t>
            </m:r>
            <m:r>
              <m:t>M</m:t>
            </m:r>
            <m:r>
              <m:rPr>
                <m:sty m:val="p"/>
              </m:rPr>
              <m:t>,</m:t>
            </m:r>
            <m:r>
              <m:t>s</m:t>
            </m:r>
          </m:sub>
        </m:sSub>
        <m:r>
          <m:rPr>
            <m:sty m:val="p"/>
          </m:rPr>
          <m:t>(</m:t>
        </m:r>
        <m:r>
          <m:rPr>
            <m:sty m:val="b"/>
          </m:rPr>
          <m:t>r</m:t>
        </m:r>
        <m:r>
          <m:rPr>
            <m:sty m:val="p"/>
          </m:rPr>
          <m:t>∣</m:t>
        </m:r>
        <m:r>
          <m:t>m</m:t>
        </m:r>
        <m:r>
          <m:rPr>
            <m:sty m:val="p"/>
          </m:rPr>
          <m:t>)</m:t>
        </m:r>
      </m:oMath>
      <w:r>
        <w:t xml:space="preserve"> </w:t>
      </w:r>
      <w:r>
        <w:t xml:space="preserve">describe the normalized magnitude and distance distributions of the earthquakes within source</w:t>
      </w:r>
      <w:r>
        <w:t xml:space="preserve"> </w:t>
      </w:r>
      <m:oMath>
        <m:r>
          <m:t>s</m:t>
        </m:r>
      </m:oMath>
      <w:r>
        <w:t xml:space="preserve">,</w:t>
      </w:r>
      <w:r>
        <w:t xml:space="preserve"> </w:t>
      </w:r>
      <m:oMath>
        <m:sSubSup>
          <m:e>
            <m:r>
              <m:t>M</m:t>
            </m:r>
          </m:e>
          <m:sub>
            <m:r>
              <m:rPr>
                <m:sty m:val="p"/>
              </m:rPr>
              <m:t>max</m:t>
            </m:r>
          </m:sub>
          <m:sup>
            <m:r>
              <m:rPr>
                <m:sty m:val="p"/>
              </m:rPr>
              <m:t>(</m:t>
            </m:r>
            <m:r>
              <m:t>s</m:t>
            </m:r>
            <m:r>
              <m:rPr>
                <m:sty m:val="p"/>
              </m:rPr>
              <m:t>)</m:t>
            </m:r>
          </m:sup>
        </m:sSubSup>
      </m:oMath>
      <w:r>
        <w:t xml:space="preserve"> </w:t>
      </w:r>
      <w:r>
        <w:t xml:space="preserve">is the upper magnitude bound of the source,</w:t>
      </w:r>
      <w:r>
        <w:t xml:space="preserve"> </w:t>
      </w:r>
      <m:oMath>
        <m:r>
          <m:t>I</m:t>
        </m:r>
      </m:oMath>
      <w:r>
        <w:t xml:space="preserve"> </w:t>
      </w:r>
      <w:r>
        <w:t xml:space="preserve">is the intensity measure, and</w:t>
      </w:r>
      <w:r>
        <w:t xml:space="preserve"> </w:t>
      </w:r>
      <m:oMath>
        <m:sSup>
          <m:e>
            <m:r>
              <m:t>i</m:t>
            </m:r>
          </m:e>
          <m:sup>
            <m:r>
              <m:rPr>
                <m:sty m:val="p"/>
              </m:rPr>
              <m:t>*</m:t>
            </m:r>
          </m:sup>
        </m:sSup>
      </m:oMath>
      <w:r>
        <w:t xml:space="preserve"> </w:t>
      </w:r>
      <w:r>
        <w:t xml:space="preserve">the level whose exceedance is evaluated. With these definitions, the contribution of the source is</w:t>
      </w:r>
    </w:p>
    <w:p>
      <w:pPr>
        <w:pStyle w:val="Equation"/>
      </w:pPr>
      <w:bookmarkStart w:id="23" w:name="eq-hazard-integral"/>
      <w:r>
        <w:tab/>
      </w:r>
      <m:oMath>
        <m:sSub>
          <m:e>
            <m:r>
              <m:t>λ</m:t>
            </m:r>
          </m:e>
          <m:sub>
            <m:r>
              <m:t>I</m:t>
            </m:r>
          </m:sub>
        </m:sSub>
        <m:r>
          <m:rPr>
            <m:sty m:val="p"/>
          </m:rPr>
          <m:t>(</m:t>
        </m:r>
        <m:sSup>
          <m:e>
            <m:r>
              <m:t>i</m:t>
            </m:r>
          </m:e>
          <m:sup>
            <m:r>
              <m:rPr>
                <m:sty m:val="p"/>
              </m:rPr>
              <m:t>*</m:t>
            </m:r>
          </m:sup>
        </m:sSup>
        <m:sSup>
          <m:e>
            <m:r>
              <m:rPr>
                <m:sty m:val="p"/>
              </m:rPr>
              <m:t>)</m:t>
            </m:r>
          </m:e>
          <m:sup>
            <m:r>
              <m:rPr>
                <m:sty m:val="p"/>
              </m:rPr>
              <m:t>(</m:t>
            </m:r>
            <m:r>
              <m:t>s</m:t>
            </m:r>
            <m:r>
              <m:rPr>
                <m:sty m:val="p"/>
              </m:rPr>
              <m:t>)</m:t>
            </m:r>
          </m:sup>
        </m:sSup>
        <m:r>
          <m:t> </m:t>
        </m:r>
        <m:r>
          <m:rPr>
            <m:sty m:val="p"/>
          </m:rPr>
          <m:t>=</m:t>
        </m:r>
        <m:r>
          <m:t> </m:t>
        </m:r>
        <m:sSubSup>
          <m:e>
            <m:r>
              <m:t>ν</m:t>
            </m:r>
          </m:e>
          <m:sub>
            <m:r>
              <m:t>0</m:t>
            </m:r>
          </m:sub>
          <m:sup>
            <m:r>
              <m:rPr>
                <m:sty m:val="p"/>
              </m:rPr>
              <m:t>(</m:t>
            </m:r>
            <m:r>
              <m:t>s</m:t>
            </m:r>
            <m:r>
              <m:rPr>
                <m:sty m:val="p"/>
              </m:rPr>
              <m:t>)</m:t>
            </m:r>
          </m:sup>
        </m:sSubSup>
        <m:nary>
          <m:naryPr>
            <m:chr m:val="∫"/>
            <m:limLoc m:val="subSup"/>
            <m:subHide m:val="off"/>
            <m:supHide m:val="off"/>
          </m:naryPr>
          <m:sub>
            <m:sSub>
              <m:e>
                <m:r>
                  <m:t>M</m:t>
                </m:r>
              </m:e>
              <m:sub>
                <m:r>
                  <m:rPr>
                    <m:sty m:val="p"/>
                  </m:rPr>
                  <m:t>min</m:t>
                </m:r>
              </m:sub>
            </m:sSub>
          </m:sub>
          <m:sup>
            <m:sSubSup>
              <m:e>
                <m:r>
                  <m:t>M</m:t>
                </m:r>
              </m:e>
              <m:sub>
                <m:r>
                  <m:rPr>
                    <m:sty m:val="p"/>
                  </m:rPr>
                  <m:t>max</m:t>
                </m:r>
              </m:sub>
              <m:sup>
                <m:r>
                  <m:rPr>
                    <m:sty m:val="p"/>
                  </m:rPr>
                  <m:t>(</m:t>
                </m:r>
                <m:r>
                  <m:t>s</m:t>
                </m:r>
                <m:r>
                  <m:rPr>
                    <m:sty m:val="p"/>
                  </m:rPr>
                  <m:t>)</m:t>
                </m:r>
              </m:sup>
            </m:sSubSup>
          </m:sup>
          <m:e>
            <m:nary>
              <m:naryPr>
                <m:chr m:val="∫"/>
                <m:limLoc m:val="subSup"/>
                <m:subHide m:val="off"/>
                <m:supHide m:val="on"/>
              </m:naryPr>
              <m:sub>
                <m:r>
                  <m:t>D</m:t>
                </m:r>
              </m:sub>
              <m:sup>
                <m:r>
                  <m:t>​</m:t>
                </m:r>
              </m:sup>
              <m:e>
                <m:r>
                  <m:t>P</m:t>
                </m:r>
              </m:e>
            </m:nary>
          </m:e>
        </m:nary>
        <m:d>
          <m:dPr>
            <m:begChr m:val="["/>
            <m:sepChr m:val=""/>
            <m:endChr m:val="]"/>
            <m:grow/>
          </m:dPr>
          <m:e>
            <m:r>
              <m:t>I</m:t>
            </m:r>
            <m:r>
              <m:rPr>
                <m:sty m:val="p"/>
              </m:rPr>
              <m:t>&gt;</m:t>
            </m:r>
            <m:sSup>
              <m:e>
                <m:r>
                  <m:t>i</m:t>
                </m:r>
              </m:e>
              <m:sup>
                <m:r>
                  <m:rPr>
                    <m:sty m:val="p"/>
                  </m:rPr>
                  <m:t>*</m:t>
                </m:r>
              </m:sup>
            </m:sSup>
            <m:r>
              <m:t> </m:t>
            </m:r>
            <m:r>
              <m:rPr>
                <m:sty m:val="p"/>
              </m:rPr>
              <m:t>|</m:t>
            </m:r>
            <m:r>
              <m:t> </m:t>
            </m:r>
            <m:r>
              <m:t>m</m:t>
            </m:r>
            <m:r>
              <m:rPr>
                <m:sty m:val="p"/>
              </m:rPr>
              <m:t>,</m:t>
            </m:r>
            <m:r>
              <m:rPr>
                <m:sty m:val="b"/>
              </m:rPr>
              <m:t>r</m:t>
            </m:r>
          </m:e>
        </m:d>
        <m:r>
          <m:t> </m:t>
        </m:r>
        <m:sSub>
          <m:e>
            <m:r>
              <m:t>f</m:t>
            </m:r>
          </m:e>
          <m:sub>
            <m:r>
              <m:t>M</m:t>
            </m:r>
            <m:r>
              <m:rPr>
                <m:sty m:val="p"/>
              </m:rPr>
              <m:t>,</m:t>
            </m:r>
            <m:r>
              <m:t>s</m:t>
            </m:r>
          </m:sub>
        </m:sSub>
        <m:r>
          <m:rPr>
            <m:sty m:val="p"/>
          </m:rPr>
          <m:t>(</m:t>
        </m:r>
        <m:r>
          <m:t>m</m:t>
        </m:r>
        <m:r>
          <m:rPr>
            <m:sty m:val="p"/>
          </m:rPr>
          <m:t>)</m:t>
        </m:r>
        <m:r>
          <m:t> </m:t>
        </m:r>
        <m:sSub>
          <m:e>
            <m:r>
              <m:t>f</m:t>
            </m:r>
          </m:e>
          <m:sub>
            <m:r>
              <m:rPr>
                <m:sty m:val="b"/>
              </m:rPr>
              <m:t>R</m:t>
            </m:r>
            <m:r>
              <m:rPr>
                <m:sty m:val="p"/>
              </m:rPr>
              <m:t>∣</m:t>
            </m:r>
            <m:r>
              <m:t>M</m:t>
            </m:r>
            <m:r>
              <m:rPr>
                <m:sty m:val="p"/>
              </m:rPr>
              <m:t>,</m:t>
            </m:r>
            <m:r>
              <m:t>s</m:t>
            </m:r>
          </m:sub>
        </m:sSub>
        <m:r>
          <m:rPr>
            <m:sty m:val="p"/>
          </m:rPr>
          <m:t>(</m:t>
        </m:r>
        <m:r>
          <m:rPr>
            <m:sty m:val="b"/>
          </m:rPr>
          <m:t>r</m:t>
        </m:r>
        <m:r>
          <m:rPr>
            <m:sty m:val="p"/>
          </m:rPr>
          <m:t>∣</m:t>
        </m:r>
        <m:r>
          <m:t>m</m:t>
        </m:r>
        <m:r>
          <m:rPr>
            <m:sty m:val="p"/>
          </m:rPr>
          <m:t>)</m:t>
        </m:r>
        <m:r>
          <m:t> </m:t>
        </m:r>
        <m:r>
          <m:rPr>
            <m:sty m:val="p"/>
          </m:rPr>
          <m:t>d</m:t>
        </m:r>
        <m:r>
          <m:rPr>
            <m:sty m:val="b"/>
          </m:rPr>
          <m:t>r</m:t>
        </m:r>
        <m:r>
          <m:t> </m:t>
        </m:r>
        <m:r>
          <m:rPr>
            <m:sty m:val="p"/>
          </m:rPr>
          <m:t>d</m:t>
        </m:r>
        <m:r>
          <m:t>m</m:t>
        </m:r>
      </m:oMath>
      <w:r>
        <w:tab/>
      </w:r>
      <w:r>
        <w:t xml:space="preserve">(3.1)</w:t>
      </w:r>
      <w:bookmarkEnd w:id="23"/>
    </w:p>
    <w:p>
      <w:pPr>
        <w:pStyle w:val="BodyText"/>
      </w:pPr>
      <w:r>
        <w:t xml:space="preserve">This formulation is a direct application of the total-probability theorem in continuous form, integrating over all magnitudes and locations of earthquakes from source</w:t>
      </w:r>
      <w:r>
        <w:t xml:space="preserve"> </w:t>
      </w:r>
      <m:oMath>
        <m:r>
          <m:rPr>
            <m:sty m:val="p"/>
          </m:rPr>
          <m:t>(</m:t>
        </m:r>
        <m:r>
          <m:t>s</m:t>
        </m:r>
        <m:r>
          <m:rPr>
            <m:sty m:val="p"/>
          </m:rPr>
          <m:t>)</m:t>
        </m:r>
      </m:oMath>
      <w:r>
        <w:t xml:space="preserve"> </w:t>
      </w:r>
      <w:r>
        <w:t xml:space="preserve">that could contribute to exceedance of level</w:t>
      </w:r>
      <w:r>
        <w:t xml:space="preserve"> </w:t>
      </w:r>
      <m:oMath>
        <m:sSup>
          <m:e>
            <m:r>
              <m:t>i</m:t>
            </m:r>
          </m:e>
          <m:sup>
            <m:r>
              <m:rPr>
                <m:sty m:val="p"/>
              </m:rPr>
              <m:t>*</m:t>
            </m:r>
          </m:sup>
        </m:sSup>
      </m:oMath>
      <w:r>
        <w:t xml:space="preserve">. Aleatory variability represented in the recurrence, magnitude, location, and ground-motion models is propagated through the integration</w:t>
      </w:r>
      <w:r>
        <w:t xml:space="preserve"> </w:t>
      </w:r>
      <w:r>
        <w:t xml:space="preserve">(</w:t>
      </w:r>
      <w:hyperlink w:anchor="ref-Baker2021">
        <w:r>
          <w:rPr>
            <w:rStyle w:val="Hyperlink"/>
          </w:rPr>
          <w:t xml:space="preserve">Baker et al., 2021</w:t>
        </w:r>
      </w:hyperlink>
      <w:r>
        <w:t xml:space="preserve">;</w:t>
      </w:r>
      <w:r>
        <w:t xml:space="preserve"> </w:t>
      </w:r>
      <w:hyperlink w:anchor="ref-McGuire2004">
        <w:r>
          <w:rPr>
            <w:rStyle w:val="Hyperlink"/>
          </w:rPr>
          <w:t xml:space="preserve">McGuire, 2004</w:t>
        </w:r>
      </w:hyperlink>
      <w:r>
        <w:t xml:space="preserve">)</w:t>
      </w:r>
      <w:r>
        <w:t xml:space="preserve">.</w:t>
      </w:r>
    </w:p>
    <w:p>
      <w:pPr>
        <w:pStyle w:val="BodyText"/>
      </w:pPr>
      <w:r>
        <w:t xml:space="preserve">The total hazard at the site sums the contributions of all the sources considered: if multiple seismic sources contribute to the hazard at the site, the total annual exceedance rate</w:t>
      </w:r>
      <w:r>
        <w:t xml:space="preserve"> </w:t>
      </w:r>
      <m:oMath>
        <m:sSub>
          <m:e>
            <m:r>
              <m:t>λ</m:t>
            </m:r>
          </m:e>
          <m:sub>
            <m:r>
              <m:t>I</m:t>
            </m:r>
          </m:sub>
        </m:sSub>
        <m:r>
          <m:rPr>
            <m:sty m:val="p"/>
          </m:rPr>
          <m:t>(</m:t>
        </m:r>
        <m:sSup>
          <m:e>
            <m:r>
              <m:t>i</m:t>
            </m:r>
          </m:e>
          <m:sup>
            <m:r>
              <m:rPr>
                <m:sty m:val="p"/>
              </m:rPr>
              <m:t>*</m:t>
            </m:r>
          </m:sup>
        </m:sSup>
        <m:r>
          <m:rPr>
            <m:sty m:val="p"/>
          </m:rPr>
          <m:t>)</m:t>
        </m:r>
      </m:oMath>
      <w:r>
        <w:t xml:space="preserve"> </w:t>
      </w:r>
      <w:r>
        <w:t xml:space="preserve">is obtained by summing the contributions from all sources,</w:t>
      </w:r>
    </w:p>
    <w:p>
      <w:pPr>
        <w:pStyle w:val="Equation"/>
      </w:pPr>
      <w:bookmarkStart w:id="24" w:name="eq-hazard-sum"/>
      <w:r>
        <w:tab/>
      </w:r>
      <m:oMath>
        <m:sSub>
          <m:e>
            <m:r>
              <m:t>λ</m:t>
            </m:r>
          </m:e>
          <m:sub>
            <m:r>
              <m:t>I</m:t>
            </m:r>
          </m:sub>
        </m:sSub>
        <m:r>
          <m:rPr>
            <m:sty m:val="p"/>
          </m:rPr>
          <m:t>(</m:t>
        </m:r>
        <m:sSup>
          <m:e>
            <m:r>
              <m:t>i</m:t>
            </m:r>
          </m:e>
          <m:sup>
            <m:r>
              <m:rPr>
                <m:sty m:val="p"/>
              </m:rPr>
              <m:t>*</m:t>
            </m:r>
          </m:sup>
        </m:sSup>
        <m:r>
          <m:rPr>
            <m:sty m:val="p"/>
          </m:rPr>
          <m:t>)</m:t>
        </m:r>
        <m:r>
          <m:t> </m:t>
        </m:r>
        <m:r>
          <m:rPr>
            <m:sty m:val="p"/>
          </m:rPr>
          <m:t>=</m:t>
        </m:r>
        <m:r>
          <m:t> </m:t>
        </m:r>
        <m:nary>
          <m:naryPr>
            <m:chr m:val="∑"/>
            <m:limLoc m:val="undOvr"/>
            <m:subHide m:val="off"/>
            <m:supHide m:val="off"/>
          </m:naryPr>
          <m:sub>
            <m:r>
              <m:t>s</m:t>
            </m:r>
            <m:r>
              <m:rPr>
                <m:sty m:val="p"/>
              </m:rPr>
              <m:t>=</m:t>
            </m:r>
            <m:r>
              <m:t>1</m:t>
            </m:r>
          </m:sub>
          <m:sup>
            <m:sSub>
              <m:e>
                <m:r>
                  <m:t>N</m:t>
                </m:r>
              </m:e>
              <m:sub>
                <m:r>
                  <m:t>S</m:t>
                </m:r>
              </m:sub>
            </m:sSub>
          </m:sup>
          <m:e>
            <m:sSub>
              <m:e>
                <m:r>
                  <m:t>λ</m:t>
                </m:r>
              </m:e>
              <m:sub>
                <m:r>
                  <m:t>I</m:t>
                </m:r>
              </m:sub>
            </m:sSub>
          </m:e>
        </m:nary>
        <m:r>
          <m:rPr>
            <m:sty m:val="p"/>
          </m:rPr>
          <m:t>(</m:t>
        </m:r>
        <m:sSup>
          <m:e>
            <m:r>
              <m:t>i</m:t>
            </m:r>
          </m:e>
          <m:sup>
            <m:r>
              <m:rPr>
                <m:sty m:val="p"/>
              </m:rPr>
              <m:t>*</m:t>
            </m:r>
          </m:sup>
        </m:sSup>
        <m:sSup>
          <m:e>
            <m:r>
              <m:rPr>
                <m:sty m:val="p"/>
              </m:rPr>
              <m:t>)</m:t>
            </m:r>
          </m:e>
          <m:sup>
            <m:r>
              <m:rPr>
                <m:sty m:val="p"/>
              </m:rPr>
              <m:t>(</m:t>
            </m:r>
            <m:r>
              <m:t>s</m:t>
            </m:r>
            <m:r>
              <m:rPr>
                <m:sty m:val="p"/>
              </m:rPr>
              <m:t>)</m:t>
            </m:r>
          </m:sup>
        </m:sSup>
      </m:oMath>
      <w:r>
        <w:tab/>
      </w:r>
      <w:r>
        <w:t xml:space="preserve">(3.2)</w:t>
      </w:r>
      <w:bookmarkEnd w:id="24"/>
    </w:p>
    <w:p>
      <w:pPr>
        <w:pStyle w:val="BodyText"/>
      </w:pPr>
      <w:r>
        <w:t xml:space="preserve">Expression</w:t>
      </w:r>
      <w:r>
        <w:t xml:space="preserve"> </w:t>
      </w:r>
      <w:hyperlink w:anchor="eq-hazard-sum">
        <w:r>
          <w:rPr>
            <w:rStyle w:val="Hyperlink"/>
          </w:rPr>
          <w:t xml:space="preserve">3.2</w:t>
        </w:r>
      </w:hyperlink>
      <w:r>
        <w:t xml:space="preserve"> </w:t>
      </w:r>
      <w:r>
        <w:t xml:space="preserve">assumes</w:t>
      </w:r>
      <w:r>
        <w:t xml:space="preserve"> </w:t>
      </w:r>
      <m:oMath>
        <m:sSub>
          <m:e>
            <m:r>
              <m:t>N</m:t>
            </m:r>
          </m:e>
          <m:sub>
            <m:r>
              <m:t>S</m:t>
            </m:r>
          </m:sub>
        </m:sSub>
      </m:oMath>
      <w:r>
        <w:t xml:space="preserve"> </w:t>
      </w:r>
      <w:r>
        <w:t xml:space="preserve">independent sources, each with its own occurrence rate and distributions, and evaluates</w:t>
      </w:r>
      <w:r>
        <w:t xml:space="preserve"> </w:t>
      </w:r>
      <m:oMath>
        <m:sSub>
          <m:e>
            <m:r>
              <m:t>λ</m:t>
            </m:r>
          </m:e>
          <m:sub>
            <m:r>
              <m:t>I</m:t>
            </m:r>
          </m:sub>
        </m:sSub>
        <m:r>
          <m:rPr>
            <m:sty m:val="p"/>
          </m:rPr>
          <m:t>(</m:t>
        </m:r>
        <m:sSup>
          <m:e>
            <m:r>
              <m:t>i</m:t>
            </m:r>
          </m:e>
          <m:sup>
            <m:r>
              <m:rPr>
                <m:sty m:val="p"/>
              </m:rPr>
              <m:t>*</m:t>
            </m:r>
          </m:sup>
        </m:sSup>
        <m:sSup>
          <m:e>
            <m:r>
              <m:rPr>
                <m:sty m:val="p"/>
              </m:rPr>
              <m:t>)</m:t>
            </m:r>
          </m:e>
          <m:sup>
            <m:r>
              <m:rPr>
                <m:sty m:val="p"/>
              </m:rPr>
              <m:t>(</m:t>
            </m:r>
            <m:r>
              <m:t>s</m:t>
            </m:r>
            <m:r>
              <m:rPr>
                <m:sty m:val="p"/>
              </m:rPr>
              <m:t>)</m:t>
            </m:r>
          </m:sup>
        </m:sSup>
      </m:oMath>
      <w:r>
        <w:t xml:space="preserve"> </w:t>
      </w:r>
      <w:r>
        <w:t xml:space="preserve">for each source through the hazard integral. This linear superposition is valid under the assumption that earthquake occurrences in different sources are independent, typically modeled as independent Poisson processes. The result is a seismic-hazard curve that quantifies the rate at which various ground-motion levels are exceeded at the site.</w:t>
      </w:r>
    </w:p>
    <w:p>
      <w:pPr>
        <w:pStyle w:val="BodyText"/>
      </w:pPr>
      <w:r>
        <w:t xml:space="preserve">The term</w:t>
      </w:r>
      <w:r>
        <w:t xml:space="preserve"> </w:t>
      </w:r>
      <m:oMath>
        <m:r>
          <m:t>P</m:t>
        </m:r>
        <m:r>
          <m:rPr>
            <m:sty m:val="p"/>
          </m:rPr>
          <m:t>[</m:t>
        </m:r>
        <m:r>
          <m:t>I</m:t>
        </m:r>
        <m:r>
          <m:rPr>
            <m:sty m:val="p"/>
          </m:rPr>
          <m:t>&gt;</m:t>
        </m:r>
        <m:sSup>
          <m:e>
            <m:r>
              <m:t>i</m:t>
            </m:r>
          </m:e>
          <m:sup>
            <m:r>
              <m:rPr>
                <m:sty m:val="p"/>
              </m:rPr>
              <m:t>*</m:t>
            </m:r>
          </m:sup>
        </m:sSup>
        <m:r>
          <m:rPr>
            <m:sty m:val="p"/>
          </m:rPr>
          <m:t>∣</m:t>
        </m:r>
        <m:r>
          <m:t>m</m:t>
        </m:r>
        <m:r>
          <m:rPr>
            <m:sty m:val="p"/>
          </m:rPr>
          <m:t>,</m:t>
        </m:r>
        <m:r>
          <m:rPr>
            <m:sty m:val="b"/>
          </m:rPr>
          <m:t>r</m:t>
        </m:r>
        <m:r>
          <m:rPr>
            <m:sty m:val="p"/>
          </m:rPr>
          <m:t>]</m:t>
        </m:r>
      </m:oMath>
      <w:r>
        <w:t xml:space="preserve"> </w:t>
      </w:r>
      <w:r>
        <w:t xml:space="preserve">of the integral is supplied by the ground-motion model (Chapter</w:t>
      </w:r>
      <w:r>
        <w:t xml:space="preserve"> </w:t>
      </w:r>
      <w:hyperlink w:anchor="sec-gmm_appendix">
        <w:r>
          <w:rPr>
            <w:rStyle w:val="Hyperlink"/>
          </w:rPr>
          <w:t xml:space="preserve">3.3</w:t>
        </w:r>
      </w:hyperlink>
      <w:r>
        <w:t xml:space="preserve">), which enters PSHA through its median</w:t>
      </w:r>
      <w:r>
        <w:t xml:space="preserve"> </w:t>
      </w:r>
      <m:oMath>
        <m:sSub>
          <m:e>
            <m:acc>
              <m:accPr>
                <m:chr m:val="̂"/>
              </m:accPr>
              <m:e>
                <m:r>
                  <m:t>η</m:t>
                </m:r>
              </m:e>
            </m:acc>
          </m:e>
          <m:sub>
            <m:r>
              <m:t>I</m:t>
            </m:r>
          </m:sub>
        </m:sSub>
      </m:oMath>
      <w:r>
        <w:t xml:space="preserve"> </w:t>
      </w:r>
      <w:r>
        <w:t xml:space="preserve">and its total standard deviation</w:t>
      </w:r>
      <w:r>
        <w:t xml:space="preserve"> </w:t>
      </w:r>
      <m:oMath>
        <m:sSub>
          <m:e>
            <m:r>
              <m:t>σ</m:t>
            </m:r>
          </m:e>
          <m:sub>
            <m:r>
              <m:rPr>
                <m:sty m:val="p"/>
              </m:rPr>
              <m:t>ln</m:t>
            </m:r>
            <m:r>
              <m:t>I</m:t>
            </m:r>
          </m:sub>
        </m:sSub>
      </m:oMath>
      <w:r>
        <w:t xml:space="preserve">. Variations among competing GMPEs in either quantity modify the exceedance rates, particularly at long return periods, where the integral weights the upper tail of the lognormal distribution</w:t>
      </w:r>
      <w:r>
        <w:t xml:space="preserve"> </w:t>
      </w:r>
      <w:r>
        <w:t xml:space="preserve">(</w:t>
      </w:r>
      <w:hyperlink w:anchor="ref-OpenQuakeEngine">
        <w:r>
          <w:rPr>
            <w:rStyle w:val="Hyperlink"/>
          </w:rPr>
          <w:t xml:space="preserve">GEM Foundation, 2023</w:t>
        </w:r>
      </w:hyperlink>
      <w:r>
        <w:t xml:space="preserve">)</w:t>
      </w:r>
      <w:r>
        <w:t xml:space="preserve">.</w:t>
      </w:r>
    </w:p>
    <w:p>
      <w:pPr>
        <w:pStyle w:val="BodyText"/>
      </w:pPr>
      <w:r>
        <w:t xml:space="preserve">The hazard curve is expressed as an annual rate, as a probability of exceedance over an exposure interval, and as a return period. The annual exceedance frequency</w:t>
      </w:r>
      <w:r>
        <w:t xml:space="preserve"> </w:t>
      </w:r>
      <m:oMath>
        <m:sSub>
          <m:e>
            <m:r>
              <m:t>λ</m:t>
            </m:r>
          </m:e>
          <m:sub>
            <m:r>
              <m:t>I</m:t>
            </m:r>
          </m:sub>
        </m:sSub>
        <m:r>
          <m:rPr>
            <m:sty m:val="p"/>
          </m:rPr>
          <m:t>(</m:t>
        </m:r>
        <m:sSup>
          <m:e>
            <m:r>
              <m:t>i</m:t>
            </m:r>
          </m:e>
          <m:sup>
            <m:r>
              <m:rPr>
                <m:sty m:val="p"/>
              </m:rPr>
              <m:t>*</m:t>
            </m:r>
          </m:sup>
        </m:sSup>
        <m:r>
          <m:rPr>
            <m:sty m:val="p"/>
          </m:rPr>
          <m:t>)</m:t>
        </m:r>
      </m:oMath>
      <w:r>
        <w:t xml:space="preserve"> </w:t>
      </w:r>
      <w:r>
        <w:t xml:space="preserve">obtained from the hazard integral</w:t>
      </w:r>
      <w:r>
        <w:t xml:space="preserve"> </w:t>
      </w:r>
      <w:hyperlink w:anchor="eq-hazard-integral">
        <w:r>
          <w:rPr>
            <w:rStyle w:val="Hyperlink"/>
          </w:rPr>
          <w:t xml:space="preserve">3.1</w:t>
        </w:r>
      </w:hyperlink>
      <w:r>
        <w:t xml:space="preserve"> </w:t>
      </w:r>
      <w:r>
        <w:t xml:space="preserve">is the mean number of exceedances per year of level</w:t>
      </w:r>
      <w:r>
        <w:t xml:space="preserve"> </w:t>
      </w:r>
      <m:oMath>
        <m:sSup>
          <m:e>
            <m:r>
              <m:t>i</m:t>
            </m:r>
          </m:e>
          <m:sup>
            <m:r>
              <m:rPr>
                <m:sty m:val="p"/>
              </m:rPr>
              <m:t>*</m:t>
            </m:r>
          </m:sup>
        </m:sSup>
      </m:oMath>
      <w:r>
        <w:t xml:space="preserve">, and the curves labelled</w:t>
      </w:r>
      <w:r>
        <w:t xml:space="preserve"> </w:t>
      </w:r>
      <w:r>
        <w:rPr>
          <w:b/>
          <w:bCs/>
        </w:rPr>
        <w:t xml:space="preserve">AEP</w:t>
      </w:r>
      <w:r>
        <w:t xml:space="preserve"> </w:t>
      </w:r>
      <w:r>
        <w:t xml:space="preserve">in this report present that rate, in</w:t>
      </w:r>
      <w:r>
        <w:t xml:space="preserve"> </w:t>
      </w:r>
      <m:oMath>
        <m:r>
          <m:t>1</m:t>
        </m:r>
        <m:r>
          <m:rPr>
            <m:sty m:val="p"/>
          </m:rPr>
          <m:t>/</m:t>
        </m:r>
        <m:r>
          <m:rPr>
            <m:nor/>
            <m:sty m:val="p"/>
          </m:rPr>
          <m:t>year</m:t>
        </m:r>
      </m:oMath>
      <w:r>
        <w:t xml:space="preserve">. If exceedances follow a Poisson process in time, the exact probability of at least one exceedance during a single year is</w:t>
      </w:r>
    </w:p>
    <w:p>
      <w:pPr>
        <w:pStyle w:val="Equation"/>
      </w:pPr>
      <w:bookmarkStart w:id="25" w:name="eq-aep"/>
      <w:r>
        <w:tab/>
      </w:r>
      <m:oMath>
        <m:sSub>
          <m:e>
            <m:r>
              <m:t>P</m:t>
            </m:r>
          </m:e>
          <m:sub>
            <m:r>
              <m:t>1</m:t>
            </m:r>
            <m:r>
              <m:rPr>
                <m:nor/>
                <m:sty m:val="p"/>
              </m:rPr>
              <m:t>yr</m:t>
            </m:r>
          </m:sub>
        </m:sSub>
        <m:r>
          <m:rPr>
            <m:sty m:val="p"/>
          </m:rPr>
          <m:t>[</m:t>
        </m:r>
        <m:r>
          <m:t>I</m:t>
        </m:r>
        <m:r>
          <m:rPr>
            <m:sty m:val="p"/>
          </m:rPr>
          <m:t>&gt;</m:t>
        </m:r>
        <m:sSup>
          <m:e>
            <m:r>
              <m:t>i</m:t>
            </m:r>
          </m:e>
          <m:sup>
            <m:r>
              <m:rPr>
                <m:sty m:val="p"/>
              </m:rPr>
              <m:t>*</m:t>
            </m:r>
          </m:sup>
        </m:sSup>
        <m:r>
          <m:rPr>
            <m:sty m:val="p"/>
          </m:rPr>
          <m:t>]</m:t>
        </m:r>
        <m:r>
          <m:rPr>
            <m:sty m:val="p"/>
          </m:rPr>
          <m:t>=</m:t>
        </m:r>
        <m:r>
          <m:t>1</m:t>
        </m:r>
        <m:r>
          <m:rPr>
            <m:sty m:val="p"/>
          </m:rPr>
          <m:t>−</m:t>
        </m:r>
        <m:r>
          <m:rPr>
            <m:sty m:val="p"/>
          </m:rPr>
          <m:t>exp</m:t>
        </m:r>
        <m:r>
          <m:rPr>
            <m:sty m:val="p"/>
          </m:rPr>
          <m:t>[</m:t>
        </m:r>
        <m:r>
          <m:rPr>
            <m:sty m:val="p"/>
          </m:rPr>
          <m:t>−</m:t>
        </m:r>
        <m:sSub>
          <m:e>
            <m:r>
              <m:t>λ</m:t>
            </m:r>
          </m:e>
          <m:sub>
            <m:r>
              <m:t>I</m:t>
            </m:r>
          </m:sub>
        </m:sSub>
        <m:r>
          <m:rPr>
            <m:sty m:val="p"/>
          </m:rPr>
          <m:t>(</m:t>
        </m:r>
        <m:sSup>
          <m:e>
            <m:r>
              <m:t>i</m:t>
            </m:r>
          </m:e>
          <m:sup>
            <m:r>
              <m:rPr>
                <m:sty m:val="p"/>
              </m:rPr>
              <m:t>*</m:t>
            </m:r>
          </m:sup>
        </m:sSup>
        <m:r>
          <m:rPr>
            <m:sty m:val="p"/>
          </m:rPr>
          <m:t>)</m:t>
        </m:r>
        <m:r>
          <m:rPr>
            <m:sty m:val="p"/>
          </m:rPr>
          <m:t>]</m:t>
        </m:r>
      </m:oMath>
      <w:r>
        <w:tab/>
      </w:r>
      <w:r>
        <w:t xml:space="preserve">(3.3)</w:t>
      </w:r>
      <w:bookmarkEnd w:id="25"/>
    </w:p>
    <w:p>
      <w:pPr>
        <w:pStyle w:val="BodyText"/>
      </w:pPr>
      <w:r>
        <w:t xml:space="preserve">For small rates,</w:t>
      </w:r>
      <w:r>
        <w:t xml:space="preserve"> </w:t>
      </w:r>
      <m:oMath>
        <m:sSub>
          <m:e>
            <m:r>
              <m:t>P</m:t>
            </m:r>
          </m:e>
          <m:sub>
            <m:r>
              <m:t>1</m:t>
            </m:r>
            <m:r>
              <m:rPr>
                <m:nor/>
                <m:sty m:val="p"/>
              </m:rPr>
              <m:t>yr</m:t>
            </m:r>
          </m:sub>
        </m:sSub>
        <m:r>
          <m:rPr>
            <m:sty m:val="p"/>
          </m:rPr>
          <m:t>≈</m:t>
        </m:r>
        <m:sSub>
          <m:e>
            <m:r>
              <m:t>λ</m:t>
            </m:r>
          </m:e>
          <m:sub>
            <m:r>
              <m:t>I</m:t>
            </m:r>
          </m:sub>
        </m:sSub>
      </m:oMath>
      <w:r>
        <w:t xml:space="preserve">, because</w:t>
      </w:r>
      <w:r>
        <w:t xml:space="preserve"> </w:t>
      </w:r>
      <m:oMath>
        <m:sSup>
          <m:e>
            <m:r>
              <m:t>e</m:t>
            </m:r>
          </m:e>
          <m:sup>
            <m:r>
              <m:rPr>
                <m:sty m:val="p"/>
              </m:rPr>
              <m:t>−</m:t>
            </m:r>
            <m:r>
              <m:t>λ</m:t>
            </m:r>
          </m:sup>
        </m:sSup>
        <m:r>
          <m:rPr>
            <m:sty m:val="p"/>
          </m:rPr>
          <m:t>≈</m:t>
        </m:r>
        <m:r>
          <m:t>1</m:t>
        </m:r>
        <m:r>
          <m:rPr>
            <m:sty m:val="p"/>
          </m:rPr>
          <m:t>−</m:t>
        </m:r>
        <m:r>
          <m:t>λ</m:t>
        </m:r>
      </m:oMath>
      <w:r>
        <w:t xml:space="preserve">. By extension, the probability of exceedance in</w:t>
      </w:r>
      <w:r>
        <w:t xml:space="preserve"> </w:t>
      </w:r>
      <m:oMath>
        <m:r>
          <m:t>T</m:t>
        </m:r>
      </m:oMath>
      <w:r>
        <w:t xml:space="preserve"> </w:t>
      </w:r>
      <w:r>
        <w:t xml:space="preserve">years is</w:t>
      </w:r>
      <w:r>
        <w:t xml:space="preserve"> </w:t>
      </w:r>
      <m:oMath>
        <m:sSub>
          <m:e>
            <m:r>
              <m:t>P</m:t>
            </m:r>
          </m:e>
          <m:sub>
            <m:r>
              <m:t>T</m:t>
            </m:r>
          </m:sub>
        </m:sSub>
        <m:r>
          <m:rPr>
            <m:sty m:val="p"/>
          </m:rPr>
          <m:t>(</m:t>
        </m:r>
        <m:r>
          <m:t>I</m:t>
        </m:r>
        <m:r>
          <m:rPr>
            <m:sty m:val="p"/>
          </m:rPr>
          <m:t>&gt;</m:t>
        </m:r>
        <m:sSup>
          <m:e>
            <m:r>
              <m:t>i</m:t>
            </m:r>
          </m:e>
          <m:sup>
            <m:r>
              <m:rPr>
                <m:sty m:val="p"/>
              </m:rPr>
              <m:t>*</m:t>
            </m:r>
          </m:sup>
        </m:sSup>
        <m:r>
          <m:rPr>
            <m:sty m:val="p"/>
          </m:rPr>
          <m:t>)</m:t>
        </m:r>
        <m:r>
          <m:rPr>
            <m:sty m:val="p"/>
          </m:rPr>
          <m:t>=</m:t>
        </m:r>
        <m:r>
          <m:t>1</m:t>
        </m:r>
        <m:r>
          <m:rPr>
            <m:sty m:val="p"/>
          </m:rPr>
          <m:t>−</m:t>
        </m:r>
        <m:r>
          <m:rPr>
            <m:sty m:val="p"/>
          </m:rPr>
          <m:t>exp</m:t>
        </m:r>
        <m:r>
          <m:rPr>
            <m:sty m:val="p"/>
          </m:rPr>
          <m:t>[</m:t>
        </m:r>
        <m:r>
          <m:rPr>
            <m:sty m:val="p"/>
          </m:rPr>
          <m:t>−</m:t>
        </m:r>
        <m:sSub>
          <m:e>
            <m:r>
              <m:t>λ</m:t>
            </m:r>
          </m:e>
          <m:sub>
            <m:r>
              <m:t>I</m:t>
            </m:r>
          </m:sub>
        </m:sSub>
        <m:r>
          <m:rPr>
            <m:sty m:val="p"/>
          </m:rPr>
          <m:t>(</m:t>
        </m:r>
        <m:sSup>
          <m:e>
            <m:r>
              <m:t>i</m:t>
            </m:r>
          </m:e>
          <m:sup>
            <m:r>
              <m:rPr>
                <m:sty m:val="p"/>
              </m:rPr>
              <m:t>*</m:t>
            </m:r>
          </m:sup>
        </m:sSup>
        <m:r>
          <m:rPr>
            <m:sty m:val="p"/>
          </m:rPr>
          <m:t>)</m:t>
        </m:r>
        <m:r>
          <m:t>T</m:t>
        </m:r>
        <m:r>
          <m:rPr>
            <m:sty m:val="p"/>
          </m:rPr>
          <m:t>]</m:t>
        </m:r>
      </m:oMath>
      <w:r>
        <w:t xml:space="preserve"> </w:t>
      </w:r>
      <w:r>
        <w:t xml:space="preserve">under stationarity; this relation converts the mean annual rate into the probability for the exposure interval. The</w:t>
      </w:r>
      <w:r>
        <w:t xml:space="preserve"> </w:t>
      </w:r>
      <w:r>
        <w:rPr>
          <w:b/>
          <w:bCs/>
        </w:rPr>
        <w:t xml:space="preserve">return period</w:t>
      </w:r>
      <w:r>
        <w:t xml:space="preserve"> </w:t>
      </w:r>
      <m:oMath>
        <m:sSub>
          <m:e>
            <m:r>
              <m:t>T</m:t>
            </m:r>
          </m:e>
          <m:sub>
            <m:r>
              <m:t>R</m:t>
            </m:r>
          </m:sub>
        </m:sSub>
      </m:oMath>
      <w:r>
        <w:t xml:space="preserve">, or</w:t>
      </w:r>
      <w:r>
        <w:t xml:space="preserve"> </w:t>
      </w:r>
      <w:r>
        <w:rPr>
          <w:b/>
          <w:bCs/>
        </w:rPr>
        <w:t xml:space="preserve">mean return interval</w:t>
      </w:r>
      <w:r>
        <w:t xml:space="preserve">, is expressed in years, does not represent a deterministic recurrence time, and is defined by</w:t>
      </w:r>
    </w:p>
    <w:p>
      <w:pPr>
        <w:pStyle w:val="Equation"/>
      </w:pPr>
      <w:bookmarkStart w:id="26" w:name="eq-hazard-return-period"/>
      <w:r>
        <w:tab/>
      </w:r>
      <m:oMath>
        <m:sSub>
          <m:e>
            <m:r>
              <m:t>T</m:t>
            </m:r>
          </m:e>
          <m:sub>
            <m:r>
              <m:t>R</m:t>
            </m:r>
          </m:sub>
        </m:sSub>
        <m:r>
          <m:rPr>
            <m:sty m:val="p"/>
          </m:rPr>
          <m:t>=</m:t>
        </m:r>
        <m:f>
          <m:fPr>
            <m:type m:val="bar"/>
          </m:fPr>
          <m:num>
            <m:r>
              <m:t>1</m:t>
            </m:r>
          </m:num>
          <m:den>
            <m:sSub>
              <m:e>
                <m:r>
                  <m:t>λ</m:t>
                </m:r>
              </m:e>
              <m:sub>
                <m:r>
                  <m:t>I</m:t>
                </m:r>
              </m:sub>
            </m:sSub>
            <m:r>
              <m:rPr>
                <m:sty m:val="p"/>
              </m:rPr>
              <m:t>(</m:t>
            </m:r>
            <m:sSup>
              <m:e>
                <m:r>
                  <m:t>i</m:t>
                </m:r>
              </m:e>
              <m:sup>
                <m:r>
                  <m:rPr>
                    <m:sty m:val="p"/>
                  </m:rPr>
                  <m:t>*</m:t>
                </m:r>
              </m:sup>
            </m:sSup>
            <m:r>
              <m:rPr>
                <m:sty m:val="p"/>
              </m:rPr>
              <m:t>)</m:t>
            </m:r>
          </m:den>
        </m:f>
        <m:r>
          <m:rPr>
            <m:sty m:val="p"/>
          </m:rPr>
          <m:t>.</m:t>
        </m:r>
      </m:oMath>
      <w:r>
        <w:tab/>
      </w:r>
      <w:r>
        <w:t xml:space="preserve">(3.4)</w:t>
      </w:r>
      <w:bookmarkEnd w:id="26"/>
    </w:p>
    <w:p>
      <w:pPr>
        <w:pStyle w:val="BodyText"/>
      </w:pPr>
      <w:r>
        <w:t xml:space="preserve">The hazard integral propagates the aleatory variability of its models; the epistemic uncertainty of the models themselves is represented through the logic trees of the regional source model (Section</w:t>
      </w:r>
      <w:r>
        <w:t xml:space="preserve"> </w:t>
      </w:r>
      <w:hyperlink w:anchor="sec-ssm">
        <w:r>
          <w:rPr>
            <w:rStyle w:val="Hyperlink"/>
          </w:rPr>
          <w:t xml:space="preserve">3.2.4</w:t>
        </w:r>
      </w:hyperlink>
      <w:r>
        <w:t xml:space="preserve">) and of the GMMs (Chapter</w:t>
      </w:r>
      <w:r>
        <w:t xml:space="preserve"> </w:t>
      </w:r>
      <w:hyperlink w:anchor="sec-gmm_appendix">
        <w:r>
          <w:rPr>
            <w:rStyle w:val="Hyperlink"/>
          </w:rPr>
          <w:t xml:space="preserve">3.3</w:t>
        </w:r>
      </w:hyperlink>
      <w:r>
        <w:t xml:space="preserve">). Each branch specifies an alternative characterization with a non-negative weight, and the weights of each set sum to one. The recurrence, geometry, and maximum-magnitude parameters of each source enter the integral through the magnitude and distance densities. The GMM trees represent the active tectonic regimes separately and weight their prediction models; record-to-record aleatory variability remains in the standard deviation of each GMM. OpenQuake evaluates the hazard integral for the tree realizations and forms the requested statistics by weighting the resulting curves</w:t>
      </w:r>
      <w:r>
        <w:t xml:space="preserve"> </w:t>
      </w:r>
      <w:r>
        <w:t xml:space="preserve">(</w:t>
      </w:r>
      <w:hyperlink w:anchor="ref-OpenQuakeManual2024">
        <w:r>
          <w:rPr>
            <w:rStyle w:val="Hyperlink"/>
          </w:rPr>
          <w:t xml:space="preserve">Global Earthquake Model Foundation, 2024</w:t>
        </w:r>
      </w:hyperlink>
      <w:r>
        <w:t xml:space="preserve">)</w:t>
      </w:r>
      <w:r>
        <w:t xml:space="preserve">.</w:t>
      </w:r>
    </w:p>
    <w:p>
      <w:pPr>
        <w:pStyle w:val="BodyText"/>
      </w:pPr>
      <w:r>
        <w:t xml:space="preserve">In this assessment, the assessment adopted the</w:t>
      </w:r>
      <w:r>
        <w:t xml:space="preserve"> </w:t>
      </w:r>
      <w:r>
        <w:rPr>
          <w:b/>
          <w:bCs/>
        </w:rPr>
        <w:t xml:space="preserve">CAN</w:t>
      </w:r>
      <w:r>
        <w:t xml:space="preserve"> </w:t>
      </w:r>
      <w:r>
        <w:t xml:space="preserve">model, whose logic tree comprises 6 branches; the GMM trees comprise</w:t>
      </w:r>
      <w:r>
        <w:t xml:space="preserve"> </w:t>
      </w:r>
      <w:r>
        <w:rPr>
          <w:b/>
          <w:bCs/>
        </w:rPr>
        <w:t xml:space="preserve">ASC</w:t>
      </w:r>
      <w:r>
        <w:t xml:space="preserve"> </w:t>
      </w:r>
      <w:r>
        <w:t xml:space="preserve">(4 branches),</w:t>
      </w:r>
      <w:r>
        <w:t xml:space="preserve"> </w:t>
      </w:r>
      <w:r>
        <w:rPr>
          <w:b/>
          <w:bCs/>
        </w:rPr>
        <w:t xml:space="preserve">SCC</w:t>
      </w:r>
      <w:r>
        <w:t xml:space="preserve"> </w:t>
      </w:r>
      <w:r>
        <w:t xml:space="preserve">(16 branches),</w:t>
      </w:r>
      <w:r>
        <w:t xml:space="preserve"> </w:t>
      </w:r>
      <w:r>
        <w:rPr>
          <w:b/>
          <w:bCs/>
        </w:rPr>
        <w:t xml:space="preserve">SIF</w:t>
      </w:r>
      <w:r>
        <w:t xml:space="preserve"> </w:t>
      </w:r>
      <w:r>
        <w:t xml:space="preserve">(4 branches),</w:t>
      </w:r>
      <w:r>
        <w:t xml:space="preserve"> </w:t>
      </w:r>
      <w:r>
        <w:rPr>
          <w:b/>
          <w:bCs/>
        </w:rPr>
        <w:t xml:space="preserve">SIS30</w:t>
      </w:r>
      <w:r>
        <w:t xml:space="preserve"> </w:t>
      </w:r>
      <w:r>
        <w:t xml:space="preserve">(4 branches). The probabilistic output at reference rock (</w:t>
      </w:r>
      <m:oMath>
        <m:sSub>
          <m:e>
            <m:r>
              <m:t>V</m:t>
            </m:r>
          </m:e>
          <m:sub>
            <m:r>
              <m:t>S</m:t>
            </m:r>
            <m:r>
              <m:t>30</m:t>
            </m:r>
          </m:sub>
        </m:sSub>
        <m:r>
          <m:rPr>
            <m:sty m:val="p"/>
          </m:rPr>
          <m:t>=</m:t>
        </m:r>
        <m:r>
          <m:t>760</m:t>
        </m:r>
      </m:oMath>
      <w:r>
        <w:t xml:space="preserve"> </w:t>
      </w:r>
      <w:r>
        <w:t xml:space="preserve">m/s) reports the mean and the 0.05, 0.1, 0.16, 0.5, 0.84, 0.9, 0.95 quantiles.</w:t>
      </w:r>
    </w:p>
    <w:p>
      <w:pPr>
        <w:pStyle w:val="BodyText"/>
      </w:pPr>
      <w:r>
        <w:t xml:space="preserve">The PSHA aggregates the contributions of all plausible earthquake scenarios in the total exceedance rate, obscuring the specific combinations of magnitude (</w:t>
      </w:r>
      <m:oMath>
        <m:r>
          <m:t>M</m:t>
        </m:r>
      </m:oMath>
      <w:r>
        <w:t xml:space="preserve">), source-to-site distance (</w:t>
      </w:r>
      <m:oMath>
        <m:r>
          <m:t>R</m:t>
        </m:r>
      </m:oMath>
      <w:r>
        <w:t xml:space="preserve">), and ground-motion residual (</w:t>
      </w:r>
      <m:oMath>
        <m:r>
          <m:t>ε</m:t>
        </m:r>
      </m:oMath>
      <w:r>
        <w:t xml:space="preserve">) that control site hazard.</w:t>
      </w:r>
      <w:r>
        <w:t xml:space="preserve"> </w:t>
      </w:r>
      <w:r>
        <w:rPr>
          <w:b/>
          <w:bCs/>
        </w:rPr>
        <w:t xml:space="preserve">Hazard disaggregation</w:t>
      </w:r>
      <w:r>
        <w:t xml:space="preserve"> </w:t>
      </w:r>
      <w:r>
        <w:t xml:space="preserve">quantifies the relative contribution of each scenario class, binned by magnitude</w:t>
      </w:r>
      <w:r>
        <w:t xml:space="preserve"> </w:t>
      </w:r>
      <m:oMath>
        <m:sSub>
          <m:e>
            <m:r>
              <m:t>m</m:t>
            </m:r>
          </m:e>
          <m:sub>
            <m:r>
              <m:t>k</m:t>
            </m:r>
          </m:sub>
        </m:sSub>
      </m:oMath>
      <w:r>
        <w:t xml:space="preserve">, distance</w:t>
      </w:r>
      <w:r>
        <w:t xml:space="preserve"> </w:t>
      </w:r>
      <m:oMath>
        <m:sSub>
          <m:e>
            <m:r>
              <m:t>r</m:t>
            </m:r>
          </m:e>
          <m:sub>
            <m:r>
              <m:t>j</m:t>
            </m:r>
          </m:sub>
        </m:sSub>
      </m:oMath>
      <w:r>
        <w:t xml:space="preserve">, and residual</w:t>
      </w:r>
      <w:r>
        <w:t xml:space="preserve"> </w:t>
      </w:r>
      <m:oMath>
        <m:sSub>
          <m:e>
            <m:r>
              <m:t>ε</m:t>
            </m:r>
          </m:e>
          <m:sub>
            <m:r>
              <m:t>ℓ</m:t>
            </m:r>
          </m:sub>
        </m:sSub>
      </m:oMath>
      <w:r>
        <w:t xml:space="preserve">, to the annual frequency of exceedance at a specified ground-motion threshold</w:t>
      </w:r>
      <w:r>
        <w:t xml:space="preserve"> </w:t>
      </w:r>
      <m:oMath>
        <m:sSup>
          <m:e>
            <m:r>
              <m:t>i</m:t>
            </m:r>
          </m:e>
          <m:sup>
            <m:r>
              <m:rPr>
                <m:sty m:val="p"/>
              </m:rPr>
              <m:t>*</m:t>
            </m:r>
          </m:sup>
        </m:sSup>
      </m:oMath>
      <w:r>
        <w:t xml:space="preserve"> </w:t>
      </w:r>
      <w:r>
        <w:t xml:space="preserve">(</w:t>
      </w:r>
      <w:hyperlink w:anchor="ref-Bazzurro1999">
        <w:r>
          <w:rPr>
            <w:rStyle w:val="Hyperlink"/>
          </w:rPr>
          <w:t xml:space="preserve">Bazzurro &amp; Cornell, 1999</w:t>
        </w:r>
      </w:hyperlink>
      <w:r>
        <w:t xml:space="preserve">)</w:t>
      </w:r>
      <w:r>
        <w:t xml:space="preserve">.</w:t>
      </w:r>
    </w:p>
    <w:p>
      <w:pPr>
        <w:pStyle w:val="BodyText"/>
      </w:pPr>
      <w:r>
        <w:t xml:space="preserve">Disaggregation is performed at a target hazard level, defined by an annual exceedance probability or return period. This produces conditional probability distributions over scenario bins and identifies controlling scenario parameters responsible for site hazard</w:t>
      </w:r>
      <w:r>
        <w:t xml:space="preserve"> </w:t>
      </w:r>
      <w:r>
        <w:t xml:space="preserve">(</w:t>
      </w:r>
      <w:hyperlink w:anchor="ref-Kramer1997">
        <w:r>
          <w:rPr>
            <w:rStyle w:val="Hyperlink"/>
          </w:rPr>
          <w:t xml:space="preserve">Kramer, 1997</w:t>
        </w:r>
      </w:hyperlink>
      <w:r>
        <w:t xml:space="preserve">)</w:t>
      </w:r>
      <w:r>
        <w:t xml:space="preserve">. The joint exceedance rate for scenario</w:t>
      </w:r>
      <w:r>
        <w:t xml:space="preserve"> </w:t>
      </w:r>
      <m:oMath>
        <m:r>
          <m:rPr>
            <m:sty m:val="p"/>
          </m:rPr>
          <m:t>(</m:t>
        </m:r>
        <m:sSub>
          <m:e>
            <m:r>
              <m:t>m</m:t>
            </m:r>
          </m:e>
          <m:sub>
            <m:r>
              <m:t>k</m:t>
            </m:r>
          </m:sub>
        </m:sSub>
        <m:r>
          <m:rPr>
            <m:sty m:val="p"/>
          </m:rPr>
          <m:t>,</m:t>
        </m:r>
        <m:sSub>
          <m:e>
            <m:r>
              <m:t>r</m:t>
            </m:r>
          </m:e>
          <m:sub>
            <m:r>
              <m:t>j</m:t>
            </m:r>
          </m:sub>
        </m:sSub>
        <m:r>
          <m:rPr>
            <m:sty m:val="p"/>
          </m:rPr>
          <m:t>,</m:t>
        </m:r>
        <m:sSub>
          <m:e>
            <m:r>
              <m:t>ε</m:t>
            </m:r>
          </m:e>
          <m:sub>
            <m:r>
              <m:t>ℓ</m:t>
            </m:r>
          </m:sub>
        </m:sSub>
        <m:r>
          <m:rPr>
            <m:sty m:val="p"/>
          </m:rPr>
          <m:t>)</m:t>
        </m:r>
      </m:oMath>
      <w:r>
        <w:t xml:space="preserve"> </w:t>
      </w:r>
      <w:r>
        <w:t xml:space="preserve">from source</w:t>
      </w:r>
      <w:r>
        <w:t xml:space="preserve"> </w:t>
      </w:r>
      <m:oMath>
        <m:r>
          <m:t>s</m:t>
        </m:r>
      </m:oMath>
      <w:r>
        <w:t xml:space="preserve"> </w:t>
      </w:r>
      <w:r>
        <w:t xml:space="preserve">is</w:t>
      </w:r>
    </w:p>
    <w:p>
      <w:pPr>
        <w:pStyle w:val="Equation"/>
      </w:pPr>
      <w:bookmarkStart w:id="27" w:name="eq-disagg-rate"/>
      <w:r>
        <w:tab/>
      </w:r>
      <m:oMath>
        <m:r>
          <m:rPr>
            <m:sty m:val="p"/>
          </m:rPr>
          <m:t>Δ</m:t>
        </m:r>
        <m:sSub>
          <m:e>
            <m:r>
              <m:t>λ</m:t>
            </m:r>
          </m:e>
          <m:sub>
            <m:r>
              <m:t>I</m:t>
            </m:r>
          </m:sub>
        </m:sSub>
        <m:r>
          <m:rPr>
            <m:sty m:val="p"/>
          </m:rPr>
          <m:t>(</m:t>
        </m:r>
        <m:sSup>
          <m:e>
            <m:r>
              <m:t>i</m:t>
            </m:r>
          </m:e>
          <m:sup>
            <m:r>
              <m:rPr>
                <m:sty m:val="p"/>
              </m:rPr>
              <m:t>*</m:t>
            </m:r>
          </m:sup>
        </m:sSup>
        <m:r>
          <m:rPr>
            <m:sty m:val="p"/>
          </m:rPr>
          <m:t>,</m:t>
        </m:r>
        <m:sSub>
          <m:e>
            <m:r>
              <m:t>m</m:t>
            </m:r>
          </m:e>
          <m:sub>
            <m:r>
              <m:t>k</m:t>
            </m:r>
          </m:sub>
        </m:sSub>
        <m:r>
          <m:rPr>
            <m:sty m:val="p"/>
          </m:rPr>
          <m:t>,</m:t>
        </m:r>
        <m:sSub>
          <m:e>
            <m:r>
              <m:t>r</m:t>
            </m:r>
          </m:e>
          <m:sub>
            <m:r>
              <m:t>j</m:t>
            </m:r>
          </m:sub>
        </m:sSub>
        <m:r>
          <m:rPr>
            <m:sty m:val="p"/>
          </m:rPr>
          <m:t>,</m:t>
        </m:r>
        <m:r>
          <m:t>ε</m:t>
        </m:r>
        <m:sSup>
          <m:e>
            <m:r>
              <m:rPr>
                <m:sty m:val="p"/>
              </m:rPr>
              <m:t>)</m:t>
            </m:r>
          </m:e>
          <m:sup>
            <m:r>
              <m:rPr>
                <m:sty m:val="p"/>
              </m:rPr>
              <m:t>(</m:t>
            </m:r>
            <m:r>
              <m:t>s</m:t>
            </m:r>
            <m:r>
              <m:rPr>
                <m:sty m:val="p"/>
              </m:rPr>
              <m:t>)</m:t>
            </m:r>
          </m:sup>
        </m:sSup>
        <m:r>
          <m:rPr>
            <m:sty m:val="p"/>
          </m:rPr>
          <m:t>=</m:t>
        </m:r>
        <m:sSub>
          <m:e>
            <m:r>
              <m:rPr>
                <m:sty m:val="b"/>
              </m:rPr>
              <m:t>1</m:t>
            </m:r>
          </m:e>
          <m:sub>
            <m:r>
              <m:rPr>
                <m:sty m:val="p"/>
              </m:rPr>
              <m:t>{</m:t>
            </m:r>
            <m:r>
              <m:t>ε</m:t>
            </m:r>
            <m:r>
              <m:rPr>
                <m:sty m:val="p"/>
              </m:rPr>
              <m:t>≥</m:t>
            </m:r>
            <m:sSup>
              <m:e>
                <m:r>
                  <m:t>ε</m:t>
                </m:r>
              </m:e>
              <m:sup>
                <m:r>
                  <m:rPr>
                    <m:sty m:val="p"/>
                  </m:rPr>
                  <m:t>*</m:t>
                </m:r>
              </m:sup>
            </m:sSup>
            <m:r>
              <m:rPr>
                <m:sty m:val="p"/>
              </m:rPr>
              <m:t>(</m:t>
            </m:r>
            <m:sSub>
              <m:e>
                <m:r>
                  <m:t>m</m:t>
                </m:r>
              </m:e>
              <m:sub>
                <m:r>
                  <m:t>k</m:t>
                </m:r>
              </m:sub>
            </m:sSub>
            <m:r>
              <m:rPr>
                <m:sty m:val="p"/>
              </m:rPr>
              <m:t>,</m:t>
            </m:r>
            <m:sSub>
              <m:e>
                <m:r>
                  <m:t>r</m:t>
                </m:r>
              </m:e>
              <m:sub>
                <m:r>
                  <m:t>j</m:t>
                </m:r>
              </m:sub>
            </m:sSub>
            <m:r>
              <m:rPr>
                <m:sty m:val="p"/>
              </m:rPr>
              <m:t>)</m:t>
            </m:r>
            <m:r>
              <m:rPr>
                <m:sty m:val="p"/>
              </m:rPr>
              <m:t>}</m:t>
            </m:r>
          </m:sub>
        </m:sSub>
        <m:r>
          <m:t> </m:t>
        </m:r>
        <m:r>
          <m:t>φ</m:t>
        </m:r>
        <m:r>
          <m:rPr>
            <m:sty m:val="p"/>
          </m:rPr>
          <m:t>(</m:t>
        </m:r>
        <m:r>
          <m:t>ε</m:t>
        </m:r>
        <m:r>
          <m:rPr>
            <m:sty m:val="p"/>
          </m:rPr>
          <m:t>)</m:t>
        </m:r>
        <m:r>
          <m:t> </m:t>
        </m:r>
        <m:sSub>
          <m:e>
            <m:r>
              <m:t>f</m:t>
            </m:r>
          </m:e>
          <m:sub>
            <m:r>
              <m:t>M</m:t>
            </m:r>
            <m:r>
              <m:rPr>
                <m:sty m:val="p"/>
              </m:rPr>
              <m:t>,</m:t>
            </m:r>
            <m:r>
              <m:t>s</m:t>
            </m:r>
          </m:sub>
        </m:sSub>
        <m:r>
          <m:rPr>
            <m:sty m:val="p"/>
          </m:rPr>
          <m:t>(</m:t>
        </m:r>
        <m:sSub>
          <m:e>
            <m:r>
              <m:t>m</m:t>
            </m:r>
          </m:e>
          <m:sub>
            <m:r>
              <m:t>k</m:t>
            </m:r>
          </m:sub>
        </m:sSub>
        <m:r>
          <m:rPr>
            <m:sty m:val="p"/>
          </m:rPr>
          <m:t>)</m:t>
        </m:r>
        <m:r>
          <m:t> </m:t>
        </m:r>
        <m:sSub>
          <m:e>
            <m:r>
              <m:t>f</m:t>
            </m:r>
          </m:e>
          <m:sub>
            <m:r>
              <m:rPr>
                <m:sty m:val="b"/>
              </m:rPr>
              <m:t>R</m:t>
            </m:r>
            <m:r>
              <m:rPr>
                <m:sty m:val="p"/>
              </m:rPr>
              <m:t>∣</m:t>
            </m:r>
            <m:r>
              <m:t>M</m:t>
            </m:r>
            <m:r>
              <m:rPr>
                <m:sty m:val="p"/>
              </m:rPr>
              <m:t>,</m:t>
            </m:r>
            <m:r>
              <m:t>s</m:t>
            </m:r>
          </m:sub>
        </m:sSub>
        <m:r>
          <m:rPr>
            <m:sty m:val="p"/>
          </m:rPr>
          <m:t>(</m:t>
        </m:r>
        <m:sSub>
          <m:e>
            <m:r>
              <m:t>r</m:t>
            </m:r>
          </m:e>
          <m:sub>
            <m:r>
              <m:t>j</m:t>
            </m:r>
          </m:sub>
        </m:sSub>
        <m:r>
          <m:rPr>
            <m:sty m:val="p"/>
          </m:rPr>
          <m:t>∣</m:t>
        </m:r>
        <m:sSub>
          <m:e>
            <m:r>
              <m:t>m</m:t>
            </m:r>
          </m:e>
          <m:sub>
            <m:r>
              <m:t>k</m:t>
            </m:r>
          </m:sub>
        </m:sSub>
        <m:r>
          <m:rPr>
            <m:sty m:val="p"/>
          </m:rPr>
          <m:t>)</m:t>
        </m:r>
        <m:r>
          <m:t> </m:t>
        </m:r>
        <m:sSubSup>
          <m:e>
            <m:r>
              <m:t>ν</m:t>
            </m:r>
          </m:e>
          <m:sub>
            <m:r>
              <m:t>0</m:t>
            </m:r>
          </m:sub>
          <m:sup>
            <m:r>
              <m:rPr>
                <m:sty m:val="p"/>
              </m:rPr>
              <m:t>(</m:t>
            </m:r>
            <m:r>
              <m:t>s</m:t>
            </m:r>
            <m:r>
              <m:rPr>
                <m:sty m:val="p"/>
              </m:rPr>
              <m:t>)</m:t>
            </m:r>
          </m:sup>
        </m:sSubSup>
        <m:r>
          <m:rPr>
            <m:sty m:val="p"/>
          </m:rPr>
          <m:t>,</m:t>
        </m:r>
      </m:oMath>
      <w:r>
        <w:tab/>
      </w:r>
      <w:r>
        <w:t xml:space="preserve">(3.5)</w:t>
      </w:r>
      <w:bookmarkEnd w:id="27"/>
    </w:p>
    <w:p>
      <w:pPr>
        <w:pStyle w:val="BodyText"/>
      </w:pPr>
      <w:r>
        <w:t xml:space="preserve">where</w:t>
      </w:r>
      <w:r>
        <w:t xml:space="preserve"> </w:t>
      </w:r>
      <m:oMath>
        <m:r>
          <m:t>φ</m:t>
        </m:r>
      </m:oMath>
      <w:r>
        <w:t xml:space="preserve"> </w:t>
      </w:r>
      <w:r>
        <w:t xml:space="preserve">is the standard normal probability density function and</w:t>
      </w:r>
      <w:r>
        <w:t xml:space="preserve"> </w:t>
      </w:r>
      <m:oMath>
        <m:sSub>
          <m:e>
            <m:r>
              <m:rPr>
                <m:sty m:val="b"/>
              </m:rPr>
              <m:t>1</m:t>
            </m:r>
          </m:e>
          <m:sub>
            <m:r>
              <m:rPr>
                <m:sty m:val="p"/>
              </m:rPr>
              <m:t>⋅</m:t>
            </m:r>
          </m:sub>
        </m:sSub>
      </m:oMath>
      <w:r>
        <w:t xml:space="preserve"> </w:t>
      </w:r>
      <w:r>
        <w:t xml:space="preserve">is the indicator function; the ground-motion exceedance probability and the total annual exceedance rate that enter the formulation are those defined in the hazard analysis (see</w:t>
      </w:r>
      <w:r>
        <w:t xml:space="preserve"> </w:t>
      </w:r>
      <w:hyperlink w:anchor="eq-hazard-integral">
        <w:r>
          <w:rPr>
            <w:rStyle w:val="Hyperlink"/>
          </w:rPr>
          <w:t xml:space="preserve">3.1</w:t>
        </w:r>
      </w:hyperlink>
      <w:r>
        <w:t xml:space="preserve">,</w:t>
      </w:r>
      <w:r>
        <w:t xml:space="preserve"> </w:t>
      </w:r>
      <w:hyperlink w:anchor="eq-epsilon-star">
        <w:r>
          <w:rPr>
            <w:rStyle w:val="Hyperlink"/>
          </w:rPr>
          <w:t xml:space="preserve">3.13</w:t>
        </w:r>
      </w:hyperlink>
      <w:r>
        <w:t xml:space="preserve">). Integration over</w:t>
      </w:r>
      <w:r>
        <w:t xml:space="preserve"> </w:t>
      </w:r>
      <m:oMath>
        <m:r>
          <m:t>ε</m:t>
        </m:r>
      </m:oMath>
      <w:r>
        <w:t xml:space="preserve"> </w:t>
      </w:r>
      <w:r>
        <w:t xml:space="preserve">yields the two-dimensional (</w:t>
      </w:r>
      <m:oMath>
        <m:r>
          <m:t>M</m:t>
        </m:r>
      </m:oMath>
      <w:r>
        <w:t xml:space="preserve">-</w:t>
      </w:r>
      <m:oMath>
        <m:r>
          <m:t>R</m:t>
        </m:r>
      </m:oMath>
      <w:r>
        <w:t xml:space="preserve">) formulation. Partitioning parameter space into magnitude bins</w:t>
      </w:r>
      <w:r>
        <w:t xml:space="preserve"> </w:t>
      </w:r>
      <m:oMath>
        <m:sSub>
          <m:e>
            <m:r>
              <m:t>m</m:t>
            </m:r>
          </m:e>
          <m:sub>
            <m:r>
              <m:t>k</m:t>
            </m:r>
          </m:sub>
        </m:sSub>
      </m:oMath>
      <w:r>
        <w:t xml:space="preserve">, distance bins</w:t>
      </w:r>
      <w:r>
        <w:t xml:space="preserve"> </w:t>
      </w:r>
      <m:oMath>
        <m:sSub>
          <m:e>
            <m:r>
              <m:t>r</m:t>
            </m:r>
          </m:e>
          <m:sub>
            <m:r>
              <m:t>j</m:t>
            </m:r>
          </m:sub>
        </m:sSub>
      </m:oMath>
      <w:r>
        <w:t xml:space="preserve">, and residual bins</w:t>
      </w:r>
      <w:r>
        <w:t xml:space="preserve"> </w:t>
      </w:r>
      <m:oMath>
        <m:sSub>
          <m:e>
            <m:r>
              <m:t>ε</m:t>
            </m:r>
          </m:e>
          <m:sub>
            <m:r>
              <m:t>ℓ</m:t>
            </m:r>
          </m:sub>
        </m:sSub>
      </m:oMath>
      <w:r>
        <w:t xml:space="preserve">, the contribution from bin</w:t>
      </w:r>
      <w:r>
        <w:t xml:space="preserve"> </w:t>
      </w:r>
      <m:oMath>
        <m:r>
          <m:rPr>
            <m:sty m:val="p"/>
          </m:rPr>
          <m:t>(</m:t>
        </m:r>
        <m:r>
          <m:t>k</m:t>
        </m:r>
        <m:r>
          <m:rPr>
            <m:sty m:val="p"/>
          </m:rPr>
          <m:t>,</m:t>
        </m:r>
        <m:r>
          <m:t>j</m:t>
        </m:r>
        <m:r>
          <m:rPr>
            <m:sty m:val="p"/>
          </m:rPr>
          <m:t>,</m:t>
        </m:r>
        <m:r>
          <m:t>ℓ</m:t>
        </m:r>
        <m:r>
          <m:rPr>
            <m:sty m:val="p"/>
          </m:rPr>
          <m:t>)</m:t>
        </m:r>
      </m:oMath>
      <w:r>
        <w:t xml:space="preserve"> </w:t>
      </w:r>
      <w:r>
        <w:t xml:space="preserve">is</w:t>
      </w:r>
    </w:p>
    <w:p>
      <w:pPr>
        <w:pStyle w:val="Equation"/>
      </w:pPr>
      <w:bookmarkStart w:id="28" w:name="eq-disagg-bin"/>
      <w:r>
        <w:tab/>
      </w:r>
      <m:oMath>
        <m:sSub>
          <m:e>
            <m:r>
              <m:t>λ</m:t>
            </m:r>
          </m:e>
          <m:sub>
            <m:r>
              <m:t>k</m:t>
            </m:r>
            <m:r>
              <m:rPr>
                <m:sty m:val="p"/>
              </m:rPr>
              <m:t>,</m:t>
            </m:r>
            <m:r>
              <m:t>j</m:t>
            </m:r>
            <m:r>
              <m:rPr>
                <m:sty m:val="p"/>
              </m:rPr>
              <m:t>,</m:t>
            </m:r>
            <m:r>
              <m:t>ℓ</m:t>
            </m:r>
          </m:sub>
        </m:sSub>
        <m:r>
          <m:rPr>
            <m:sty m:val="p"/>
          </m:rPr>
          <m:t>(</m:t>
        </m:r>
        <m:sSup>
          <m:e>
            <m:r>
              <m:t>i</m:t>
            </m:r>
          </m:e>
          <m:sup>
            <m:r>
              <m:rPr>
                <m:sty m:val="p"/>
              </m:rPr>
              <m:t>*</m:t>
            </m:r>
          </m:sup>
        </m:sSup>
        <m:r>
          <m:rPr>
            <m:sty m:val="p"/>
          </m:rPr>
          <m:t>)</m:t>
        </m:r>
        <m:r>
          <m:rPr>
            <m:sty m:val="p"/>
          </m:rPr>
          <m:t>=</m:t>
        </m:r>
        <m:nary>
          <m:naryPr>
            <m:chr m:val="∑"/>
            <m:limLoc m:val="undOvr"/>
            <m:subHide m:val="off"/>
            <m:supHide m:val="off"/>
          </m:naryPr>
          <m:sub>
            <m:r>
              <m:t>s</m:t>
            </m:r>
            <m:r>
              <m:rPr>
                <m:sty m:val="p"/>
              </m:rPr>
              <m:t>=</m:t>
            </m:r>
            <m:r>
              <m:t>1</m:t>
            </m:r>
          </m:sub>
          <m:sup>
            <m:sSub>
              <m:e>
                <m:r>
                  <m:t>N</m:t>
                </m:r>
              </m:e>
              <m:sub>
                <m:r>
                  <m:t>S</m:t>
                </m:r>
              </m:sub>
            </m:sSub>
          </m:sup>
          <m:e>
            <m:nary>
              <m:naryPr>
                <m:chr m:val="∫"/>
                <m:limLoc m:val="subSup"/>
                <m:subHide m:val="off"/>
                <m:supHide m:val="on"/>
              </m:naryPr>
              <m:sub>
                <m:sSub>
                  <m:e>
                    <m:r>
                      <m:t>m</m:t>
                    </m:r>
                  </m:e>
                  <m:sub>
                    <m:r>
                      <m:t>k</m:t>
                    </m:r>
                  </m:sub>
                </m:sSub>
              </m:sub>
              <m:sup>
                <m:r>
                  <m:t>​</m:t>
                </m:r>
              </m:sup>
              <m:e>
                <m:nary>
                  <m:naryPr>
                    <m:chr m:val="∫"/>
                    <m:limLoc m:val="subSup"/>
                    <m:subHide m:val="off"/>
                    <m:supHide m:val="on"/>
                  </m:naryPr>
                  <m:sub>
                    <m:sSub>
                      <m:e>
                        <m:r>
                          <m:t>r</m:t>
                        </m:r>
                      </m:e>
                      <m:sub>
                        <m:r>
                          <m:t>j</m:t>
                        </m:r>
                      </m:sub>
                    </m:sSub>
                  </m:sub>
                  <m:sup>
                    <m:r>
                      <m:t>​</m:t>
                    </m:r>
                  </m:sup>
                  <m:e>
                    <m:nary>
                      <m:naryPr>
                        <m:chr m:val="∫"/>
                        <m:limLoc m:val="subSup"/>
                        <m:subHide m:val="off"/>
                        <m:supHide m:val="on"/>
                      </m:naryPr>
                      <m:sub>
                        <m:sSub>
                          <m:e>
                            <m:r>
                              <m:t>ε</m:t>
                            </m:r>
                          </m:e>
                          <m:sub>
                            <m:r>
                              <m:t>ℓ</m:t>
                            </m:r>
                          </m:sub>
                        </m:sSub>
                      </m:sub>
                      <m:sup>
                        <m:r>
                          <m:t>​</m:t>
                        </m:r>
                      </m:sup>
                      <m:e>
                        <m:r>
                          <m:rPr>
                            <m:sty m:val="p"/>
                          </m:rPr>
                          <m:t>Δ</m:t>
                        </m:r>
                      </m:e>
                    </m:nary>
                  </m:e>
                </m:nary>
              </m:e>
            </m:nary>
          </m:e>
        </m:nary>
        <m:sSub>
          <m:e>
            <m:r>
              <m:t>λ</m:t>
            </m:r>
          </m:e>
          <m:sub>
            <m:r>
              <m:t>I</m:t>
            </m:r>
          </m:sub>
        </m:sSub>
        <m:r>
          <m:rPr>
            <m:sty m:val="p"/>
          </m:rPr>
          <m:t>(</m:t>
        </m:r>
        <m:sSup>
          <m:e>
            <m:r>
              <m:t>i</m:t>
            </m:r>
          </m:e>
          <m:sup>
            <m:r>
              <m:rPr>
                <m:sty m:val="p"/>
              </m:rPr>
              <m:t>*</m:t>
            </m:r>
          </m:sup>
        </m:sSup>
        <m:r>
          <m:rPr>
            <m:sty m:val="p"/>
          </m:rPr>
          <m:t>,</m:t>
        </m:r>
        <m:sSub>
          <m:e>
            <m:r>
              <m:t>m</m:t>
            </m:r>
          </m:e>
          <m:sub>
            <m:r>
              <m:t>k</m:t>
            </m:r>
          </m:sub>
        </m:sSub>
        <m:r>
          <m:rPr>
            <m:sty m:val="p"/>
          </m:rPr>
          <m:t>,</m:t>
        </m:r>
        <m:sSub>
          <m:e>
            <m:r>
              <m:t>r</m:t>
            </m:r>
          </m:e>
          <m:sub>
            <m:r>
              <m:t>j</m:t>
            </m:r>
          </m:sub>
        </m:sSub>
        <m:r>
          <m:rPr>
            <m:sty m:val="p"/>
          </m:rPr>
          <m:t>,</m:t>
        </m:r>
        <m:r>
          <m:t>ε</m:t>
        </m:r>
        <m:sSup>
          <m:e>
            <m:r>
              <m:rPr>
                <m:sty m:val="p"/>
              </m:rPr>
              <m:t>)</m:t>
            </m:r>
          </m:e>
          <m:sup>
            <m:r>
              <m:rPr>
                <m:sty m:val="p"/>
              </m:rPr>
              <m:t>(</m:t>
            </m:r>
            <m:r>
              <m:t>s</m:t>
            </m:r>
            <m:r>
              <m:rPr>
                <m:sty m:val="p"/>
              </m:rPr>
              <m:t>)</m:t>
            </m:r>
          </m:sup>
        </m:sSup>
        <m:r>
          <m:t>d</m:t>
        </m:r>
        <m:r>
          <m:t>ε</m:t>
        </m:r>
        <m:r>
          <m:t> </m:t>
        </m:r>
        <m:r>
          <m:t>d</m:t>
        </m:r>
        <m:r>
          <m:t>r</m:t>
        </m:r>
        <m:r>
          <m:t> </m:t>
        </m:r>
        <m:r>
          <m:t>d</m:t>
        </m:r>
        <m:r>
          <m:t>m</m:t>
        </m:r>
      </m:oMath>
      <w:r>
        <w:tab/>
      </w:r>
      <w:r>
        <w:t xml:space="preserve">(3.6)</w:t>
      </w:r>
      <w:bookmarkEnd w:id="28"/>
    </w:p>
    <w:p>
      <w:pPr>
        <w:pStyle w:val="BodyText"/>
      </w:pPr>
      <w:r>
        <w:t xml:space="preserve">Hazard disaggregation applies Bayes’ theorem to the joint distribution of scenario parameters and ground-motion exceedance: the conditional probability that exceedance of</w:t>
      </w:r>
      <w:r>
        <w:t xml:space="preserve"> </w:t>
      </w:r>
      <m:oMath>
        <m:sSup>
          <m:e>
            <m:r>
              <m:t>i</m:t>
            </m:r>
          </m:e>
          <m:sup>
            <m:r>
              <m:rPr>
                <m:sty m:val="p"/>
              </m:rPr>
              <m:t>*</m:t>
            </m:r>
          </m:sup>
        </m:sSup>
      </m:oMath>
      <w:r>
        <w:t xml:space="preserve"> </w:t>
      </w:r>
      <w:r>
        <w:t xml:space="preserve">is produced by this bin is</w:t>
      </w:r>
    </w:p>
    <w:p>
      <w:pPr>
        <w:pStyle w:val="Equation"/>
      </w:pPr>
      <w:bookmarkStart w:id="29" w:name="eq-disagg-prob"/>
      <w:r>
        <w:tab/>
      </w:r>
      <m:oMath>
        <m:r>
          <m:t>P</m:t>
        </m:r>
        <m:r>
          <m:rPr>
            <m:sty m:val="p"/>
          </m:rPr>
          <m:t>[</m:t>
        </m:r>
        <m:r>
          <m:t>M</m:t>
        </m:r>
        <m:r>
          <m:rPr>
            <m:sty m:val="p"/>
          </m:rPr>
          <m:t>=</m:t>
        </m:r>
        <m:sSub>
          <m:e>
            <m:r>
              <m:t>m</m:t>
            </m:r>
          </m:e>
          <m:sub>
            <m:r>
              <m:t>k</m:t>
            </m:r>
          </m:sub>
        </m:sSub>
        <m:r>
          <m:rPr>
            <m:sty m:val="p"/>
          </m:rPr>
          <m:t>,</m:t>
        </m:r>
        <m:r>
          <m:t>R</m:t>
        </m:r>
        <m:r>
          <m:rPr>
            <m:sty m:val="p"/>
          </m:rPr>
          <m:t>=</m:t>
        </m:r>
        <m:sSub>
          <m:e>
            <m:r>
              <m:t>r</m:t>
            </m:r>
          </m:e>
          <m:sub>
            <m:r>
              <m:t>j</m:t>
            </m:r>
          </m:sub>
        </m:sSub>
        <m:r>
          <m:rPr>
            <m:sty m:val="p"/>
          </m:rPr>
          <m:t>,</m:t>
        </m:r>
        <m:r>
          <m:t>ε</m:t>
        </m:r>
        <m:r>
          <m:rPr>
            <m:sty m:val="p"/>
          </m:rPr>
          <m:t>=</m:t>
        </m:r>
        <m:sSub>
          <m:e>
            <m:r>
              <m:t>ε</m:t>
            </m:r>
          </m:e>
          <m:sub>
            <m:r>
              <m:t>ℓ</m:t>
            </m:r>
          </m:sub>
        </m:sSub>
        <m:r>
          <m:rPr>
            <m:sty m:val="p"/>
          </m:rPr>
          <m:t>∣</m:t>
        </m:r>
        <m:r>
          <m:t>I</m:t>
        </m:r>
        <m:r>
          <m:rPr>
            <m:sty m:val="p"/>
          </m:rPr>
          <m:t>&gt;</m:t>
        </m:r>
        <m:sSup>
          <m:e>
            <m:r>
              <m:t>i</m:t>
            </m:r>
          </m:e>
          <m:sup>
            <m:r>
              <m:rPr>
                <m:sty m:val="p"/>
              </m:rPr>
              <m:t>*</m:t>
            </m:r>
          </m:sup>
        </m:sSup>
        <m:r>
          <m:rPr>
            <m:sty m:val="p"/>
          </m:rPr>
          <m:t>]</m:t>
        </m:r>
        <m:r>
          <m:rPr>
            <m:sty m:val="p"/>
          </m:rPr>
          <m:t>=</m:t>
        </m:r>
        <m:sSub>
          <m:e>
            <m:r>
              <m:t>θ</m:t>
            </m:r>
          </m:e>
          <m:sub>
            <m:r>
              <m:t>k</m:t>
            </m:r>
            <m:r>
              <m:rPr>
                <m:sty m:val="p"/>
              </m:rPr>
              <m:t>,</m:t>
            </m:r>
            <m:r>
              <m:t>j</m:t>
            </m:r>
            <m:r>
              <m:rPr>
                <m:sty m:val="p"/>
              </m:rPr>
              <m:t>,</m:t>
            </m:r>
            <m:r>
              <m:t>ℓ</m:t>
            </m:r>
          </m:sub>
        </m:sSub>
        <m:r>
          <m:rPr>
            <m:sty m:val="p"/>
          </m:rPr>
          <m:t>=</m:t>
        </m:r>
        <m:f>
          <m:fPr>
            <m:type m:val="bar"/>
          </m:fPr>
          <m:num>
            <m:sSub>
              <m:e>
                <m:r>
                  <m:t>λ</m:t>
                </m:r>
              </m:e>
              <m:sub>
                <m:r>
                  <m:t>k</m:t>
                </m:r>
                <m:r>
                  <m:rPr>
                    <m:sty m:val="p"/>
                  </m:rPr>
                  <m:t>,</m:t>
                </m:r>
                <m:r>
                  <m:t>j</m:t>
                </m:r>
                <m:r>
                  <m:rPr>
                    <m:sty m:val="p"/>
                  </m:rPr>
                  <m:t>,</m:t>
                </m:r>
                <m:r>
                  <m:t>ℓ</m:t>
                </m:r>
              </m:sub>
            </m:sSub>
            <m:r>
              <m:rPr>
                <m:sty m:val="p"/>
              </m:rPr>
              <m:t>(</m:t>
            </m:r>
            <m:sSup>
              <m:e>
                <m:r>
                  <m:t>i</m:t>
                </m:r>
              </m:e>
              <m:sup>
                <m:r>
                  <m:rPr>
                    <m:sty m:val="p"/>
                  </m:rPr>
                  <m:t>*</m:t>
                </m:r>
              </m:sup>
            </m:sSup>
            <m:r>
              <m:rPr>
                <m:sty m:val="p"/>
              </m:rPr>
              <m:t>)</m:t>
            </m:r>
          </m:num>
          <m:den>
            <m:sSub>
              <m:e>
                <m:r>
                  <m:t>λ</m:t>
                </m:r>
              </m:e>
              <m:sub>
                <m:r>
                  <m:t>I</m:t>
                </m:r>
              </m:sub>
            </m:sSub>
            <m:r>
              <m:rPr>
                <m:sty m:val="p"/>
              </m:rPr>
              <m:t>(</m:t>
            </m:r>
            <m:sSup>
              <m:e>
                <m:r>
                  <m:t>i</m:t>
                </m:r>
              </m:e>
              <m:sup>
                <m:r>
                  <m:rPr>
                    <m:sty m:val="p"/>
                  </m:rPr>
                  <m:t>*</m:t>
                </m:r>
              </m:sup>
            </m:sSup>
            <m:r>
              <m:rPr>
                <m:sty m:val="p"/>
              </m:rPr>
              <m:t>)</m:t>
            </m:r>
          </m:den>
        </m:f>
      </m:oMath>
      <w:r>
        <w:tab/>
      </w:r>
      <w:r>
        <w:t xml:space="preserve">(3.7)</w:t>
      </w:r>
      <w:bookmarkEnd w:id="29"/>
    </w:p>
    <w:p>
      <w:pPr>
        <w:pStyle w:val="BodyText"/>
      </w:pPr>
      <w:r>
        <w:t xml:space="preserve">and the marginal probabilities are obtained by double summation over the other indices, over distance and residual for the magnitude,</w:t>
      </w:r>
    </w:p>
    <w:p>
      <w:pPr>
        <w:pStyle w:val="Equation"/>
      </w:pPr>
      <w:bookmarkStart w:id="30" w:name="eq-disagg-marginal-M"/>
      <w:r>
        <w:tab/>
      </w:r>
      <m:oMath>
        <m:r>
          <m:t>P</m:t>
        </m:r>
        <m:d>
          <m:dPr>
            <m:begChr m:val="["/>
            <m:sepChr m:val=""/>
            <m:endChr m:val="]"/>
            <m:grow/>
          </m:dPr>
          <m:e>
            <m:r>
              <m:t>M</m:t>
            </m:r>
            <m:r>
              <m:rPr>
                <m:sty m:val="p"/>
              </m:rPr>
              <m:t>∈</m:t>
            </m:r>
            <m:sSub>
              <m:e>
                <m:r>
                  <m:t>m</m:t>
                </m:r>
              </m:e>
              <m:sub>
                <m:r>
                  <m:t>k</m:t>
                </m:r>
              </m:sub>
            </m:sSub>
            <m:r>
              <m:rPr>
                <m:sty m:val="p"/>
              </m:rPr>
              <m:t>∣</m:t>
            </m:r>
            <m:r>
              <m:t>I</m:t>
            </m:r>
            <m:r>
              <m:rPr>
                <m:sty m:val="p"/>
              </m:rPr>
              <m:t>&gt;</m:t>
            </m:r>
            <m:sSup>
              <m:e>
                <m:r>
                  <m:t>i</m:t>
                </m:r>
              </m:e>
              <m:sup>
                <m:r>
                  <m:rPr>
                    <m:sty m:val="p"/>
                  </m:rPr>
                  <m:t>*</m:t>
                </m:r>
              </m:sup>
            </m:sSup>
          </m:e>
        </m:d>
        <m:r>
          <m:rPr>
            <m:sty m:val="p"/>
          </m:rPr>
          <m:t>=</m:t>
        </m:r>
        <m:nary>
          <m:naryPr>
            <m:chr m:val="∑"/>
            <m:limLoc m:val="undOvr"/>
            <m:subHide m:val="off"/>
            <m:supHide m:val="on"/>
          </m:naryPr>
          <m:sub>
            <m:r>
              <m:t>j</m:t>
            </m:r>
          </m:sub>
          <m:sup>
            <m:r>
              <m:t>​</m:t>
            </m:r>
          </m:sup>
          <m:e>
            <m:nary>
              <m:naryPr>
                <m:chr m:val="∑"/>
                <m:limLoc m:val="undOvr"/>
                <m:subHide m:val="off"/>
                <m:supHide m:val="on"/>
              </m:naryPr>
              <m:sub>
                <m:r>
                  <m:t>ℓ</m:t>
                </m:r>
              </m:sub>
              <m:sup>
                <m:r>
                  <m:t>​</m:t>
                </m:r>
              </m:sup>
              <m:e>
                <m:sSub>
                  <m:e>
                    <m:r>
                      <m:t>θ</m:t>
                    </m:r>
                  </m:e>
                  <m:sub>
                    <m:r>
                      <m:t>k</m:t>
                    </m:r>
                    <m:r>
                      <m:rPr>
                        <m:sty m:val="p"/>
                      </m:rPr>
                      <m:t>,</m:t>
                    </m:r>
                    <m:r>
                      <m:t>j</m:t>
                    </m:r>
                    <m:r>
                      <m:rPr>
                        <m:sty m:val="p"/>
                      </m:rPr>
                      <m:t>,</m:t>
                    </m:r>
                    <m:r>
                      <m:t>ℓ</m:t>
                    </m:r>
                  </m:sub>
                </m:sSub>
              </m:e>
            </m:nary>
          </m:e>
        </m:nary>
      </m:oMath>
      <w:r>
        <w:tab/>
      </w:r>
      <w:r>
        <w:t xml:space="preserve">(3.8)</w:t>
      </w:r>
      <w:bookmarkEnd w:id="30"/>
    </w:p>
    <w:p>
      <w:pPr>
        <w:pStyle w:val="BodyText"/>
      </w:pPr>
      <w:r>
        <w:t xml:space="preserve">over magnitude and residual for the distance,</w:t>
      </w:r>
    </w:p>
    <w:p>
      <w:pPr>
        <w:pStyle w:val="Equation"/>
      </w:pPr>
      <w:bookmarkStart w:id="31" w:name="eq-disagg-marginal-R"/>
      <w:r>
        <w:tab/>
      </w:r>
      <m:oMath>
        <m:r>
          <m:t>P</m:t>
        </m:r>
        <m:d>
          <m:dPr>
            <m:begChr m:val="["/>
            <m:sepChr m:val=""/>
            <m:endChr m:val="]"/>
            <m:grow/>
          </m:dPr>
          <m:e>
            <m:r>
              <m:t>R</m:t>
            </m:r>
            <m:r>
              <m:rPr>
                <m:sty m:val="p"/>
              </m:rPr>
              <m:t>∈</m:t>
            </m:r>
            <m:sSub>
              <m:e>
                <m:r>
                  <m:t>r</m:t>
                </m:r>
              </m:e>
              <m:sub>
                <m:r>
                  <m:t>j</m:t>
                </m:r>
              </m:sub>
            </m:sSub>
            <m:r>
              <m:rPr>
                <m:sty m:val="p"/>
              </m:rPr>
              <m:t>∣</m:t>
            </m:r>
            <m:r>
              <m:t>I</m:t>
            </m:r>
            <m:r>
              <m:rPr>
                <m:sty m:val="p"/>
              </m:rPr>
              <m:t>&gt;</m:t>
            </m:r>
            <m:sSup>
              <m:e>
                <m:r>
                  <m:t>i</m:t>
                </m:r>
              </m:e>
              <m:sup>
                <m:r>
                  <m:rPr>
                    <m:sty m:val="p"/>
                  </m:rPr>
                  <m:t>*</m:t>
                </m:r>
              </m:sup>
            </m:sSup>
          </m:e>
        </m:d>
        <m:r>
          <m:rPr>
            <m:sty m:val="p"/>
          </m:rPr>
          <m:t>=</m:t>
        </m:r>
        <m:nary>
          <m:naryPr>
            <m:chr m:val="∑"/>
            <m:limLoc m:val="undOvr"/>
            <m:subHide m:val="off"/>
            <m:supHide m:val="on"/>
          </m:naryPr>
          <m:sub>
            <m:r>
              <m:t>k</m:t>
            </m:r>
          </m:sub>
          <m:sup>
            <m:r>
              <m:t>​</m:t>
            </m:r>
          </m:sup>
          <m:e>
            <m:nary>
              <m:naryPr>
                <m:chr m:val="∑"/>
                <m:limLoc m:val="undOvr"/>
                <m:subHide m:val="off"/>
                <m:supHide m:val="on"/>
              </m:naryPr>
              <m:sub>
                <m:r>
                  <m:t>ℓ</m:t>
                </m:r>
              </m:sub>
              <m:sup>
                <m:r>
                  <m:t>​</m:t>
                </m:r>
              </m:sup>
              <m:e>
                <m:sSub>
                  <m:e>
                    <m:r>
                      <m:t>θ</m:t>
                    </m:r>
                  </m:e>
                  <m:sub>
                    <m:r>
                      <m:t>k</m:t>
                    </m:r>
                    <m:r>
                      <m:rPr>
                        <m:sty m:val="p"/>
                      </m:rPr>
                      <m:t>,</m:t>
                    </m:r>
                    <m:r>
                      <m:t>j</m:t>
                    </m:r>
                    <m:r>
                      <m:rPr>
                        <m:sty m:val="p"/>
                      </m:rPr>
                      <m:t>,</m:t>
                    </m:r>
                    <m:r>
                      <m:t>ℓ</m:t>
                    </m:r>
                  </m:sub>
                </m:sSub>
              </m:e>
            </m:nary>
          </m:e>
        </m:nary>
      </m:oMath>
      <w:r>
        <w:tab/>
      </w:r>
      <w:r>
        <w:t xml:space="preserve">(3.9)</w:t>
      </w:r>
      <w:bookmarkEnd w:id="31"/>
    </w:p>
    <w:p>
      <w:pPr>
        <w:pStyle w:val="BodyText"/>
      </w:pPr>
      <w:r>
        <w:t xml:space="preserve">and over magnitude and distance for the residual, whose marginal distribution quantifies the contribution of ground-motion residual bins to the exceedance:</w:t>
      </w:r>
    </w:p>
    <w:p>
      <w:pPr>
        <w:pStyle w:val="Equation"/>
      </w:pPr>
      <w:bookmarkStart w:id="32" w:name="eq-disagg-marginal-eps"/>
      <w:r>
        <w:tab/>
      </w:r>
      <m:oMath>
        <m:r>
          <m:t>P</m:t>
        </m:r>
        <m:d>
          <m:dPr>
            <m:begChr m:val="["/>
            <m:sepChr m:val=""/>
            <m:endChr m:val="]"/>
            <m:grow/>
          </m:dPr>
          <m:e>
            <m:r>
              <m:t>ε</m:t>
            </m:r>
            <m:r>
              <m:rPr>
                <m:sty m:val="p"/>
              </m:rPr>
              <m:t>∈</m:t>
            </m:r>
            <m:sSub>
              <m:e>
                <m:r>
                  <m:t>ε</m:t>
                </m:r>
              </m:e>
              <m:sub>
                <m:r>
                  <m:t>ℓ</m:t>
                </m:r>
              </m:sub>
            </m:sSub>
            <m:r>
              <m:rPr>
                <m:sty m:val="p"/>
              </m:rPr>
              <m:t>∣</m:t>
            </m:r>
            <m:r>
              <m:t>I</m:t>
            </m:r>
            <m:r>
              <m:rPr>
                <m:sty m:val="p"/>
              </m:rPr>
              <m:t>&gt;</m:t>
            </m:r>
            <m:sSup>
              <m:e>
                <m:r>
                  <m:t>i</m:t>
                </m:r>
              </m:e>
              <m:sup>
                <m:r>
                  <m:rPr>
                    <m:sty m:val="p"/>
                  </m:rPr>
                  <m:t>*</m:t>
                </m:r>
              </m:sup>
            </m:sSup>
          </m:e>
        </m:d>
        <m:r>
          <m:rPr>
            <m:sty m:val="p"/>
          </m:rPr>
          <m:t>=</m:t>
        </m:r>
        <m:nary>
          <m:naryPr>
            <m:chr m:val="∑"/>
            <m:limLoc m:val="undOvr"/>
            <m:subHide m:val="off"/>
            <m:supHide m:val="on"/>
          </m:naryPr>
          <m:sub>
            <m:r>
              <m:t>k</m:t>
            </m:r>
          </m:sub>
          <m:sup>
            <m:r>
              <m:t>​</m:t>
            </m:r>
          </m:sup>
          <m:e>
            <m:nary>
              <m:naryPr>
                <m:chr m:val="∑"/>
                <m:limLoc m:val="undOvr"/>
                <m:subHide m:val="off"/>
                <m:supHide m:val="on"/>
              </m:naryPr>
              <m:sub>
                <m:r>
                  <m:t>j</m:t>
                </m:r>
              </m:sub>
              <m:sup>
                <m:r>
                  <m:t>​</m:t>
                </m:r>
              </m:sup>
              <m:e>
                <m:sSub>
                  <m:e>
                    <m:r>
                      <m:t>θ</m:t>
                    </m:r>
                  </m:e>
                  <m:sub>
                    <m:r>
                      <m:t>k</m:t>
                    </m:r>
                    <m:r>
                      <m:rPr>
                        <m:sty m:val="p"/>
                      </m:rPr>
                      <m:t>,</m:t>
                    </m:r>
                    <m:r>
                      <m:t>j</m:t>
                    </m:r>
                    <m:r>
                      <m:rPr>
                        <m:sty m:val="p"/>
                      </m:rPr>
                      <m:t>,</m:t>
                    </m:r>
                    <m:r>
                      <m:t>ℓ</m:t>
                    </m:r>
                  </m:sub>
                </m:sSub>
              </m:e>
            </m:nary>
          </m:e>
        </m:nary>
      </m:oMath>
      <w:r>
        <w:tab/>
      </w:r>
      <w:r>
        <w:t xml:space="preserve">(3.10)</w:t>
      </w:r>
      <w:bookmarkEnd w:id="32"/>
    </w:p>
    <w:p>
      <w:pPr>
        <w:pStyle w:val="BodyText"/>
      </w:pPr>
      <w:r>
        <w:t xml:space="preserve">The</w:t>
      </w:r>
      <w:r>
        <w:t xml:space="preserve"> </w:t>
      </w:r>
      <w:r>
        <w:rPr>
          <w:b/>
          <w:bCs/>
        </w:rPr>
        <w:t xml:space="preserve">modal scenario</w:t>
      </w:r>
      <w:r>
        <w:t xml:space="preserve"> </w:t>
      </w:r>
      <w:r>
        <w:t xml:space="preserve">is the</w:t>
      </w:r>
      <w:r>
        <w:t xml:space="preserve"> </w:t>
      </w:r>
      <m:oMath>
        <m:r>
          <m:rPr>
            <m:sty m:val="p"/>
          </m:rPr>
          <m:t>(</m:t>
        </m:r>
        <m:r>
          <m:t>k</m:t>
        </m:r>
        <m:r>
          <m:rPr>
            <m:sty m:val="p"/>
          </m:rPr>
          <m:t>,</m:t>
        </m:r>
        <m:r>
          <m:t>j</m:t>
        </m:r>
        <m:r>
          <m:rPr>
            <m:sty m:val="p"/>
          </m:rPr>
          <m:t>,</m:t>
        </m:r>
        <m:r>
          <m:t>ℓ</m:t>
        </m:r>
        <m:r>
          <m:rPr>
            <m:sty m:val="p"/>
          </m:rPr>
          <m:t>)</m:t>
        </m:r>
      </m:oMath>
      <w:r>
        <w:t xml:space="preserve"> </w:t>
      </w:r>
      <w:r>
        <w:t xml:space="preserve">bin for which</w:t>
      </w:r>
      <w:r>
        <w:t xml:space="preserve"> </w:t>
      </w:r>
      <m:oMath>
        <m:sSub>
          <m:e>
            <m:r>
              <m:t>θ</m:t>
            </m:r>
          </m:e>
          <m:sub>
            <m:r>
              <m:t>k</m:t>
            </m:r>
            <m:r>
              <m:rPr>
                <m:sty m:val="p"/>
              </m:rPr>
              <m:t>,</m:t>
            </m:r>
            <m:r>
              <m:t>j</m:t>
            </m:r>
            <m:r>
              <m:rPr>
                <m:sty m:val="p"/>
              </m:rPr>
              <m:t>,</m:t>
            </m:r>
            <m:r>
              <m:t>ℓ</m:t>
            </m:r>
          </m:sub>
        </m:sSub>
      </m:oMath>
      <w:r>
        <w:t xml:space="preserve"> </w:t>
      </w:r>
      <w:r>
        <w:t xml:space="preserve">of</w:t>
      </w:r>
      <w:r>
        <w:t xml:space="preserve"> </w:t>
      </w:r>
      <w:hyperlink w:anchor="eq-disagg-prob">
        <w:r>
          <w:rPr>
            <w:rStyle w:val="Hyperlink"/>
          </w:rPr>
          <w:t xml:space="preserve">3.7</w:t>
        </w:r>
      </w:hyperlink>
      <w:r>
        <w:t xml:space="preserve"> </w:t>
      </w:r>
      <w:r>
        <w:t xml:space="preserve">attains its maximum. The</w:t>
      </w:r>
      <w:r>
        <w:t xml:space="preserve"> </w:t>
      </w:r>
      <w:r>
        <w:rPr>
          <w:b/>
          <w:bCs/>
        </w:rPr>
        <w:t xml:space="preserve">mean scenario</w:t>
      </w:r>
      <w:r>
        <w:t xml:space="preserve"> </w:t>
      </w:r>
      <w:r>
        <w:t xml:space="preserve">is the average magnitude–distance pair of the conditional distribution, weighted by those contributions.</w:t>
      </w:r>
    </w:p>
    <w:p>
      <w:pPr>
        <w:pStyle w:val="BodyText"/>
      </w:pPr>
      <w:r>
        <w:t xml:space="preserve">In this report, the OpenQuake disaggregation outputs are presented as magnitude-distance (</w:t>
      </w:r>
      <w:r>
        <w:rPr>
          <w:rStyle w:val="VerbatimChar"/>
        </w:rPr>
        <w:t xml:space="preserve">Mag_Dist</w:t>
      </w:r>
      <w:r>
        <w:t xml:space="preserve">) matrices. The calculation uses magnitude bins of 0.1</w:t>
      </w:r>
      <w:r>
        <w:t xml:space="preserve"> </w:t>
      </w:r>
      <m:oMath>
        <m:sSub>
          <m:e>
            <m:r>
              <m:t>M</m:t>
            </m:r>
          </m:e>
          <m:sub>
            <m:r>
              <m:t>w</m:t>
            </m:r>
          </m:sub>
        </m:sSub>
      </m:oMath>
      <w:r>
        <w:t xml:space="preserve">, distance bins of 10 km, and the intensity measures PGA,</w:t>
      </w:r>
      <w:r>
        <w:t xml:space="preserve"> </w:t>
      </w:r>
      <m:oMath>
        <m:sSub>
          <m:e>
            <m:r>
              <m:t>S</m:t>
            </m:r>
          </m:e>
          <m:sub>
            <m:r>
              <m:t>a</m:t>
            </m:r>
          </m:sub>
        </m:sSub>
        <m:r>
          <m:rPr>
            <m:sty m:val="p"/>
          </m:rPr>
          <m:t>(</m:t>
        </m:r>
        <m:r>
          <m:t>0.10</m:t>
        </m:r>
        <m:r>
          <m:t> </m:t>
        </m:r>
        <m:r>
          <m:rPr>
            <m:sty m:val="p"/>
          </m:rPr>
          <m:t>s</m:t>
        </m:r>
        <m:r>
          <m:rPr>
            <m:sty m:val="p"/>
          </m:rPr>
          <m:t>)</m:t>
        </m:r>
      </m:oMath>
      <w:r>
        <w:t xml:space="preserve">,</w:t>
      </w:r>
      <w:r>
        <w:t xml:space="preserve"> </w:t>
      </w:r>
      <m:oMath>
        <m:sSub>
          <m:e>
            <m:r>
              <m:t>S</m:t>
            </m:r>
          </m:e>
          <m:sub>
            <m:r>
              <m:t>a</m:t>
            </m:r>
          </m:sub>
        </m:sSub>
        <m:r>
          <m:rPr>
            <m:sty m:val="p"/>
          </m:rPr>
          <m:t>(</m:t>
        </m:r>
        <m:r>
          <m:t>0.20</m:t>
        </m:r>
        <m:r>
          <m:t> </m:t>
        </m:r>
        <m:r>
          <m:rPr>
            <m:sty m:val="p"/>
          </m:rPr>
          <m:t>s</m:t>
        </m:r>
        <m:r>
          <m:rPr>
            <m:sty m:val="p"/>
          </m:rPr>
          <m:t>)</m:t>
        </m:r>
      </m:oMath>
      <w:r>
        <w:t xml:space="preserve">,</w:t>
      </w:r>
      <w:r>
        <w:t xml:space="preserve"> </w:t>
      </w:r>
      <m:oMath>
        <m:sSub>
          <m:e>
            <m:r>
              <m:t>S</m:t>
            </m:r>
          </m:e>
          <m:sub>
            <m:r>
              <m:t>a</m:t>
            </m:r>
          </m:sub>
        </m:sSub>
        <m:r>
          <m:rPr>
            <m:sty m:val="p"/>
          </m:rPr>
          <m:t>(</m:t>
        </m:r>
        <m:r>
          <m:t>0.50</m:t>
        </m:r>
        <m:r>
          <m:t> </m:t>
        </m:r>
        <m:r>
          <m:rPr>
            <m:sty m:val="p"/>
          </m:rPr>
          <m:t>s</m:t>
        </m:r>
        <m:r>
          <m:rPr>
            <m:sty m:val="p"/>
          </m:rPr>
          <m:t>)</m:t>
        </m:r>
      </m:oMath>
      <w:r>
        <w:t xml:space="preserve">, and</w:t>
      </w:r>
      <w:r>
        <w:t xml:space="preserve"> </w:t>
      </w:r>
      <m:oMath>
        <m:sSub>
          <m:e>
            <m:r>
              <m:t>S</m:t>
            </m:r>
          </m:e>
          <m:sub>
            <m:r>
              <m:t>a</m:t>
            </m:r>
          </m:sub>
        </m:sSub>
        <m:r>
          <m:rPr>
            <m:sty m:val="p"/>
          </m:rPr>
          <m:t>(</m:t>
        </m:r>
        <m:r>
          <m:t>1.00</m:t>
        </m:r>
        <m:r>
          <m:t> </m:t>
        </m:r>
        <m:r>
          <m:rPr>
            <m:sty m:val="p"/>
          </m:rPr>
          <m:t>s</m:t>
        </m:r>
        <m:r>
          <m:rPr>
            <m:sty m:val="p"/>
          </m:rPr>
          <m:t>)</m:t>
        </m:r>
      </m:oMath>
      <w:r>
        <w:t xml:space="preserve">. The reported heatmaps and modal table therefore summarize the two-dimensional</w:t>
      </w:r>
      <w:r>
        <w:t xml:space="preserve"> </w:t>
      </w:r>
      <m:oMath>
        <m:r>
          <m:t>M</m:t>
        </m:r>
      </m:oMath>
      <w:r>
        <w:t xml:space="preserve">-</w:t>
      </w:r>
      <m:oMath>
        <m:r>
          <m:t>R</m:t>
        </m:r>
      </m:oMath>
      <w:r>
        <w:t xml:space="preserve"> </w:t>
      </w:r>
      <w:r>
        <w:t xml:space="preserve">contribution surface for each selected return period and oscillator period. Disaggregation provides a data-driven basis for scenario selection in engineering analysis. The</w:t>
      </w:r>
      <w:r>
        <w:t xml:space="preserve"> </w:t>
      </w:r>
      <w:r>
        <w:rPr>
          <w:i/>
          <w:iCs/>
        </w:rPr>
        <w:t xml:space="preserve">modal scenario</w:t>
      </w:r>
      <w:r>
        <w:t xml:space="preserve"> </w:t>
      </w:r>
      <w:r>
        <w:t xml:space="preserve">and the highest-probability bins identified through disaggregation correspond to the earthquake characteristics most responsible for exceedance at the design ground-motion level.</w:t>
      </w:r>
    </w:p>
    <w:bookmarkStart w:id="34" w:name="sec-hazard_results"/>
    <w:p>
      <w:pPr>
        <w:pStyle w:val="Heading3"/>
      </w:pPr>
      <w:r>
        <w:t xml:space="preserve">3.1.1</w:t>
      </w:r>
      <w:r>
        <w:tab/>
      </w:r>
      <w:r>
        <w:t xml:space="preserve">Hazard Curves and Spectra</w:t>
      </w:r>
    </w:p>
    <w:p>
      <w:pPr>
        <w:pStyle w:val="FirstParagraph"/>
      </w:pPr>
      <w:r>
        <w:t xml:space="preserve">AEP curves report the mean annual exceedance rate,</w:t>
      </w:r>
      <w:r>
        <w:t xml:space="preserve"> </w:t>
      </w:r>
      <m:oMath>
        <m:sSub>
          <m:e>
            <m:r>
              <m:t>λ</m:t>
            </m:r>
          </m:e>
          <m:sub>
            <m:r>
              <m:t>I</m:t>
            </m:r>
          </m:sub>
        </m:sSub>
      </m:oMath>
      <w:r>
        <w:t xml:space="preserve">, in</w:t>
      </w:r>
      <w:r>
        <w:t xml:space="preserve"> </w:t>
      </w:r>
      <m:oMath>
        <m:r>
          <m:t>1</m:t>
        </m:r>
        <m:r>
          <m:rPr>
            <m:sty m:val="p"/>
          </m:rPr>
          <m:t>/</m:t>
        </m:r>
        <m:r>
          <m:rPr>
            <m:nor/>
            <m:sty m:val="p"/>
          </m:rPr>
          <m:t>year</m:t>
        </m:r>
      </m:oMath>
      <w:r>
        <w:t xml:space="preserve"> </w:t>
      </w:r>
      <w:r>
        <w:t xml:space="preserve">for each ground-motion threshold. Total hazard curves integrate the contribution of all sources considered, and by-source curves retain the individual contribution. The exact probability for an exposure interval is presented in the PoE curves.</w:t>
      </w:r>
    </w:p>
    <w:p>
      <w:pPr>
        <w:pStyle w:val="BodyText"/>
      </w:pPr>
      <w:r>
        <w:t xml:space="preserve">Probability of exceedance (PoE) curves report the probability that a specified ground-motion intensity is exceeded over the project exposure interval; under the Poisson process, that probability is converted from the mean annual exceedance rate of the AEP curves. The magnitude-distance disaggregation of each site, summarized by return period and oscillator period, closes the probabilistic assessment.</w:t>
      </w:r>
    </w:p>
    <w:p>
      <w:pPr>
        <w:pStyle w:val="BodyText"/>
      </w:pPr>
      <w:r>
        <w:t xml:space="preserve"> </w:t>
      </w:r>
    </w:p>
    <w:bookmarkStart w:id="33" w:name="tbl-rmw-b-docx"/>
    <w:p>
      <w:pPr>
        <w:pStyle w:val="ImageCaption"/>
        <w:spacing w:before="200"/>
        <w:jc w:val="left"/>
      </w:pPr>
      <w:r>
        <w:t xml:space="preserve">Table 3.1: Seismic hazard deaggregation summary for site</w:t>
      </w:r>
      <w:r>
        <w:t xml:space="preserve"> </w:t>
      </w:r>
      <w:r>
        <w:rPr>
          <w:rStyle w:val="VerbatimChar"/>
        </w:rPr>
        <w:t xml:space="preserve">CFD</w:t>
      </w:r>
      <w:r>
        <w:t xml:space="preserve">. Each row corresponds to a return period</w:t>
      </w:r>
      <w:r>
        <w:t xml:space="preserve"> </w:t>
      </w:r>
      <m:oMath>
        <m:sSub>
          <m:e>
            <m:r>
              <m:t>T</m:t>
            </m:r>
          </m:e>
          <m:sub>
            <m:r>
              <m:t>R</m:t>
            </m:r>
          </m:sub>
        </m:sSub>
      </m:oMath>
      <w:r>
        <w:t xml:space="preserve">, in years, and each column group to an oscillator period</w:t>
      </w:r>
      <w:r>
        <w:t xml:space="preserve"> </w:t>
      </w:r>
      <m:oMath>
        <m:sSub>
          <m:e>
            <m:r>
              <m:t>T</m:t>
            </m:r>
          </m:e>
          <m:sub>
            <m:r>
              <m:t>n</m:t>
            </m:r>
          </m:sub>
        </m:sSub>
      </m:oMath>
      <w:r>
        <w:t xml:space="preserve">, in seconds, with</w:t>
      </w:r>
      <w:r>
        <w:t xml:space="preserve"> </w:t>
      </w:r>
      <m:oMath>
        <m:sSub>
          <m:e>
            <m:r>
              <m:t>T</m:t>
            </m:r>
          </m:e>
          <m:sub>
            <m:r>
              <m:t>n</m:t>
            </m:r>
          </m:sub>
        </m:sSub>
        <m:r>
          <m:rPr>
            <m:sty m:val="p"/>
          </m:rPr>
          <m:t>=</m:t>
        </m:r>
        <m:r>
          <m:t>0</m:t>
        </m:r>
      </m:oMath>
      <w:r>
        <w:t xml:space="preserve"> </w:t>
      </w:r>
      <w:r>
        <w:t xml:space="preserve">corresponding to</w:t>
      </w:r>
      <w:r>
        <w:t xml:space="preserve"> </w:t>
      </w:r>
      <m:oMath>
        <m:r>
          <m:rPr>
            <m:sty m:val="p"/>
          </m:rPr>
          <m:t>P</m:t>
        </m:r>
        <m:r>
          <m:rPr>
            <m:sty m:val="p"/>
          </m:rPr>
          <m:t>G</m:t>
        </m:r>
        <m:r>
          <m:rPr>
            <m:sty m:val="p"/>
          </m:rPr>
          <m:t>A</m:t>
        </m:r>
      </m:oMath>
      <w:r>
        <w:t xml:space="preserve">. Within each group,</w:t>
      </w:r>
      <w:r>
        <w:t xml:space="preserve"> </w:t>
      </w:r>
      <m:oMath>
        <m:sSub>
          <m:e>
            <m:r>
              <m:t>M</m:t>
            </m:r>
          </m:e>
          <m:sub>
            <m:r>
              <m:t>w</m:t>
            </m:r>
          </m:sub>
        </m:sSub>
      </m:oMath>
      <w:r>
        <w:t xml:space="preserve"> </w:t>
      </w:r>
      <w:r>
        <w:t xml:space="preserve">is the moment magnitude of the magnitude–distance block contributing most to exceedance, dimensionless, and</w:t>
      </w:r>
      <w:r>
        <w:t xml:space="preserve"> </w:t>
      </w:r>
      <m:oMath>
        <m:r>
          <m:t>R</m:t>
        </m:r>
      </m:oMath>
      <w:r>
        <w:t xml:space="preserve"> </w:t>
      </w:r>
      <w:r>
        <w:t xml:space="preserve">is the source-to-site distance of that same block, in km; both are the coordinates of the block centre on the same block grid used by the deaggregation figures.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vMerge w:val="restart"/>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gridSpan w:val="2"/>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n</m:t>
                  </m:r>
                </m:sub>
              </m:sSub>
              <m:r>
                <m:t>=0</m:t>
              </m:r>
            </m:oMath>
          </w:p>
        </w:tc>
        <w:tc>
          <w:tcPr>
            <w:gridSpan w:val="2"/>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0.1</m:t>
              </m:r>
            </m:oMath>
          </w:p>
        </w:tc>
        <w:tc>
          <w:tcPr>
            <w:gridSpan w:val="2"/>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0.2</m:t>
              </m:r>
            </m:oMath>
          </w:p>
        </w:tc>
        <w:tc>
          <w:tcPr>
            <w:gridSpan w:val="2"/>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0.5</m:t>
              </m:r>
            </m:oMath>
          </w:p>
        </w:tc>
        <w:tc>
          <w:tcPr>
            <w:gridSpan w:val="2"/>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1</m:t>
              </m:r>
            </m:oMath>
          </w:p>
        </w:tc>
      </w:tr>
      <w:tr>
        <w:trPr>
          <w:trHeight w:val="360" w:hRule="auto"/>
          <w:tblHeader/>
        </w:trPr>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w</m:t>
                  </m:r>
                </m:sub>
              </m:sSub>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R</m:t>
              </m:r>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w</m:t>
                  </m:r>
                </m:sub>
              </m:sSub>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R</m:t>
              </m:r>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w</m:t>
                  </m:r>
                </m:sub>
              </m:sSub>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R</m:t>
              </m:r>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w</m:t>
                  </m:r>
                </m:sub>
              </m:sSub>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R</m:t>
              </m:r>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w</m:t>
                  </m:r>
                </m:sub>
              </m:sSub>
            </m:oMath>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R</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r>
    </w:tbl>
    <w:bookmarkEnd w:id="33"/>
    <w:p/>
    <w:p>
      <w:pPr>
        <w:pStyle w:val="BodyText"/>
      </w:pPr>
      <w:r>
        <w:t xml:space="preserve"> </w:t>
      </w:r>
    </w:p>
    <w:p>
      <w:pPr>
        <w:pStyle w:val="BodyText"/>
      </w:pPr>
      <w:r>
        <w:t xml:space="preserve">The hazard curves and probabilistic spectra are developed in the</w:t>
      </w:r>
      <w:r>
        <w:t xml:space="preserve"> </w:t>
      </w:r>
      <w:hyperlink r:id="rId9">
        <w:r>
          <w:rPr>
            <w:rStyle w:val="Hyperlink"/>
          </w:rPr>
          <w:t xml:space="preserve">Seismic Hazard Assessment</w:t>
        </w:r>
      </w:hyperlink>
      <w:r>
        <w:t xml:space="preserve"> </w:t>
      </w:r>
      <w:r>
        <w:t xml:space="preserve">annex.</w:t>
      </w:r>
    </w:p>
    <w:bookmarkEnd w:id="34"/>
    <w:bookmarkEnd w:id="35"/>
    <w:bookmarkStart w:id="40" w:name="sec-ssc"/>
    <w:p>
      <w:pPr>
        <w:pStyle w:val="Heading2"/>
      </w:pPr>
      <w:r>
        <w:t xml:space="preserve">3.2</w:t>
      </w:r>
      <w:r>
        <w:tab/>
      </w:r>
      <w:r>
        <w:t xml:space="preserve">Seismic Source Characterization</w:t>
      </w:r>
    </w:p>
    <w:bookmarkStart w:id="36" w:name="seismotectonic-setting"/>
    <w:p>
      <w:pPr>
        <w:pStyle w:val="Heading3"/>
      </w:pPr>
      <w:r>
        <w:t xml:space="preserve">3.2.1</w:t>
      </w:r>
      <w:r>
        <w:tab/>
      </w:r>
      <w:r>
        <w:t xml:space="preserve">Seismotectonic Setting</w:t>
      </w:r>
    </w:p>
    <w:bookmarkEnd w:id="36"/>
    <w:bookmarkStart w:id="37" w:name="seismicity"/>
    <w:p>
      <w:pPr>
        <w:pStyle w:val="Heading3"/>
      </w:pPr>
      <w:r>
        <w:t xml:space="preserve">3.2.2</w:t>
      </w:r>
      <w:r>
        <w:tab/>
      </w:r>
      <w:r>
        <w:t xml:space="preserve">Seismicity</w:t>
      </w:r>
    </w:p>
    <w:bookmarkEnd w:id="37"/>
    <w:bookmarkStart w:id="38" w:name="neotectonics"/>
    <w:p>
      <w:pPr>
        <w:pStyle w:val="Heading3"/>
      </w:pPr>
      <w:r>
        <w:t xml:space="preserve">3.2.3</w:t>
      </w:r>
      <w:r>
        <w:tab/>
      </w:r>
      <w:r>
        <w:t xml:space="preserve">Neotectonics</w:t>
      </w:r>
    </w:p>
    <w:bookmarkEnd w:id="38"/>
    <w:bookmarkStart w:id="39" w:name="sec-ssm"/>
    <w:p>
      <w:pPr>
        <w:pStyle w:val="Heading3"/>
      </w:pPr>
      <w:r>
        <w:t xml:space="preserve">3.2.4</w:t>
      </w:r>
      <w:r>
        <w:tab/>
      </w:r>
      <w:r>
        <w:t xml:space="preserve">Regional Sources (SSM)</w:t>
      </w:r>
    </w:p>
    <w:bookmarkEnd w:id="39"/>
    <w:bookmarkEnd w:id="40"/>
    <w:bookmarkStart w:id="52" w:name="sec-gmm_appendix"/>
    <w:p>
      <w:pPr>
        <w:pStyle w:val="Heading2"/>
      </w:pPr>
      <w:r>
        <w:t xml:space="preserve">3.3</w:t>
      </w:r>
      <w:r>
        <w:tab/>
      </w:r>
      <w:r>
        <w:t xml:space="preserve">Ground Motion Models (GMM)</w:t>
      </w:r>
    </w:p>
    <w:p>
      <w:pPr>
        <w:pStyle w:val="FirstParagraph"/>
      </w:pPr>
      <w:r>
        <w:t xml:space="preserve">The term</w:t>
      </w:r>
      <w:r>
        <w:t xml:space="preserve"> </w:t>
      </w:r>
      <m:oMath>
        <m:r>
          <m:t>P</m:t>
        </m:r>
        <m:r>
          <m:rPr>
            <m:sty m:val="p"/>
          </m:rPr>
          <m:t>[</m:t>
        </m:r>
        <m:r>
          <m:t>I</m:t>
        </m:r>
        <m:r>
          <m:rPr>
            <m:sty m:val="p"/>
          </m:rPr>
          <m:t>&gt;</m:t>
        </m:r>
        <m:sSup>
          <m:e>
            <m:r>
              <m:t>i</m:t>
            </m:r>
          </m:e>
          <m:sup>
            <m:r>
              <m:rPr>
                <m:sty m:val="p"/>
              </m:rPr>
              <m:t>*</m:t>
            </m:r>
          </m:sup>
        </m:sSup>
        <m:r>
          <m:rPr>
            <m:sty m:val="p"/>
          </m:rPr>
          <m:t>∣</m:t>
        </m:r>
        <m:r>
          <m:t>m</m:t>
        </m:r>
        <m:r>
          <m:rPr>
            <m:sty m:val="p"/>
          </m:rPr>
          <m:t>,</m:t>
        </m:r>
        <m:r>
          <m:rPr>
            <m:sty m:val="b"/>
          </m:rPr>
          <m:t>r</m:t>
        </m:r>
        <m:r>
          <m:rPr>
            <m:sty m:val="p"/>
          </m:rPr>
          <m:t>]</m:t>
        </m:r>
      </m:oMath>
      <w:r>
        <w:t xml:space="preserve"> </w:t>
      </w:r>
      <w:r>
        <w:t xml:space="preserve">in the hazard integral</w:t>
      </w:r>
      <w:r>
        <w:t xml:space="preserve"> </w:t>
      </w:r>
      <w:hyperlink w:anchor="eq-hazard-integral">
        <w:r>
          <w:rPr>
            <w:rStyle w:val="Hyperlink"/>
          </w:rPr>
          <w:t xml:space="preserve">3.1</w:t>
        </w:r>
      </w:hyperlink>
      <w:r>
        <w:t xml:space="preserve"> </w:t>
      </w:r>
      <w:r>
        <w:t xml:space="preserve">represents the ground-motion model’s probabilistic prediction of exceedance and is obtained from ground-motion prediction equations (GMPEs). GMPEs are empirical or semi-empirical models that predict the statistical distribution of ground-motion intensity measures, such as PGA and spectral acceleration, given an earthquake’s characteristics. A GMPE typically provides a median predicted ground motion, often in</w:t>
      </w:r>
      <w:r>
        <w:t xml:space="preserve"> </w:t>
      </w:r>
      <m:oMath>
        <m:sSub>
          <m:e>
            <m:r>
              <m:rPr>
                <m:sty m:val="p"/>
              </m:rPr>
              <m:t>log</m:t>
            </m:r>
          </m:e>
          <m:sub>
            <m:r>
              <m:t>10</m:t>
            </m:r>
          </m:sub>
        </m:sSub>
      </m:oMath>
      <w:r>
        <w:t xml:space="preserve"> </w:t>
      </w:r>
      <w:r>
        <w:t xml:space="preserve">or natural-log units, as a function of parameters such as magnitude</w:t>
      </w:r>
      <w:r>
        <w:t xml:space="preserve"> </w:t>
      </w:r>
      <m:oMath>
        <m:r>
          <m:t>M</m:t>
        </m:r>
      </m:oMath>
      <w:r>
        <w:t xml:space="preserve">, source-to-site distance</w:t>
      </w:r>
      <w:r>
        <w:t xml:space="preserve"> </w:t>
      </w:r>
      <m:oMath>
        <m:r>
          <m:t>R</m:t>
        </m:r>
      </m:oMath>
      <w:r>
        <w:t xml:space="preserve">, and site condition, along with an estimate of</w:t>
      </w:r>
      <w:r>
        <w:t xml:space="preserve"> </w:t>
      </w:r>
      <w:r>
        <w:rPr>
          <w:b/>
          <w:bCs/>
        </w:rPr>
        <w:t xml:space="preserve">aleatory variability</w:t>
      </w:r>
      <w:r>
        <w:t xml:space="preserve">, the standard deviation</w:t>
      </w:r>
      <w:r>
        <w:t xml:space="preserve"> </w:t>
      </w:r>
      <m:oMath>
        <m:r>
          <m:t>σ</m:t>
        </m:r>
      </m:oMath>
      <w:r>
        <w:t xml:space="preserve"> </w:t>
      </w:r>
      <w:r>
        <w:t xml:space="preserve">of the logarithmic residuals</w:t>
      </w:r>
      <w:r>
        <w:t xml:space="preserve"> </w:t>
      </w:r>
      <w:r>
        <w:t xml:space="preserve">(</w:t>
      </w:r>
      <w:hyperlink w:anchor="ref-Boore2008">
        <w:r>
          <w:rPr>
            <w:rStyle w:val="Hyperlink"/>
          </w:rPr>
          <w:t xml:space="preserve">Boore &amp; Atkinson, 2008</w:t>
        </w:r>
      </w:hyperlink>
      <w:r>
        <w:t xml:space="preserve">)</w:t>
      </w:r>
      <w:r>
        <w:t xml:space="preserve">. A generic form of a GMPE for an arbitrary intensity measure</w:t>
      </w:r>
      <w:r>
        <w:t xml:space="preserve"> </w:t>
      </w:r>
      <m:oMath>
        <m:r>
          <m:t>I</m:t>
        </m:r>
      </m:oMath>
      <w:r>
        <w:t xml:space="preserve"> </w:t>
      </w:r>
      <w:r>
        <w:t xml:space="preserve">is given in</w:t>
      </w:r>
      <w:r>
        <w:t xml:space="preserve"> </w:t>
      </w:r>
      <w:hyperlink w:anchor="eq-gmpe">
        <w:r>
          <w:rPr>
            <w:rStyle w:val="Hyperlink"/>
          </w:rPr>
          <w:t xml:space="preserve">3.11</w:t>
        </w:r>
      </w:hyperlink>
      <w:r>
        <w:t xml:space="preserve">, where</w:t>
      </w:r>
      <w:r>
        <w:t xml:space="preserve"> </w:t>
      </w:r>
      <m:oMath>
        <m:r>
          <m:t>F</m:t>
        </m:r>
      </m:oMath>
      <w:r>
        <w:t xml:space="preserve"> </w:t>
      </w:r>
      <w:r>
        <w:t xml:space="preserve">and</w:t>
      </w:r>
      <w:r>
        <w:t xml:space="preserve"> </w:t>
      </w:r>
      <m:oMath>
        <m:r>
          <m:t>S</m:t>
        </m:r>
      </m:oMath>
      <w:r>
        <w:t xml:space="preserve"> </w:t>
      </w:r>
      <w:r>
        <w:t xml:space="preserve">are indicator variables for fault type, such as reverse or normal, and site class, such as rock or soil, and</w:t>
      </w:r>
      <w:r>
        <w:t xml:space="preserve"> </w:t>
      </w:r>
      <m:oMath>
        <m:r>
          <m:t>ε</m:t>
        </m:r>
      </m:oMath>
      <w:r>
        <w:t xml:space="preserve"> </w:t>
      </w:r>
      <w:r>
        <w:t xml:space="preserve">is a standard-normal (zero-mean) random variable representing the random scatter, with</w:t>
      </w:r>
      <w:r>
        <w:t xml:space="preserve"> </w:t>
      </w:r>
      <m:oMath>
        <m:sSub>
          <m:e>
            <m:r>
              <m:t>σ</m:t>
            </m:r>
          </m:e>
          <m:sub>
            <m:r>
              <m:rPr>
                <m:sty m:val="p"/>
              </m:rPr>
              <m:t>ln</m:t>
            </m:r>
            <m:r>
              <m:t>I</m:t>
            </m:r>
          </m:sub>
        </m:sSub>
      </m:oMath>
      <w:r>
        <w:t xml:space="preserve"> </w:t>
      </w:r>
      <w:r>
        <w:t xml:space="preserve">being the log-standard deviation</w:t>
      </w:r>
      <w:r>
        <w:t xml:space="preserve"> </w:t>
      </w:r>
      <w:r>
        <w:t xml:space="preserve">(</w:t>
      </w:r>
      <w:hyperlink w:anchor="ref-Boore2008">
        <w:r>
          <w:rPr>
            <w:rStyle w:val="Hyperlink"/>
          </w:rPr>
          <w:t xml:space="preserve">Boore &amp; Atkinson, 2008</w:t>
        </w:r>
      </w:hyperlink>
      <w:r>
        <w:t xml:space="preserve">)</w:t>
      </w:r>
      <w:r>
        <w:rPr>
          <w:rStyle w:val="FootnoteReference"/>
        </w:rPr>
        <w:footnoteReference w:id="41"/>
      </w:r>
      <w:r>
        <w:t xml:space="preserve">:</w:t>
      </w:r>
    </w:p>
    <w:p>
      <w:pPr>
        <w:pStyle w:val="Equation"/>
      </w:pPr>
      <w:bookmarkStart w:id="42" w:name="eq-gmpe"/>
      <w:r>
        <w:tab/>
      </w:r>
      <m:oMath>
        <m:r>
          <m:rPr>
            <m:sty m:val="p"/>
          </m:rPr>
          <m:t>ln</m:t>
        </m:r>
        <m:r>
          <m:t>I</m:t>
        </m:r>
        <m:r>
          <m:rPr>
            <m:sty m:val="p"/>
          </m:rPr>
          <m:t>≈</m:t>
        </m:r>
        <m:sSub>
          <m:e>
            <m:acc>
              <m:accPr>
                <m:chr m:val="̂"/>
              </m:accPr>
              <m:e>
                <m:r>
                  <m:t>η</m:t>
                </m:r>
              </m:e>
            </m:acc>
          </m:e>
          <m:sub>
            <m:r>
              <m:t>I</m:t>
            </m:r>
          </m:sub>
        </m:sSub>
        <m:r>
          <m:rPr>
            <m:sty m:val="p"/>
          </m:rPr>
          <m:t>(</m:t>
        </m:r>
        <m:r>
          <m:t>m</m:t>
        </m:r>
        <m:r>
          <m:rPr>
            <m:sty m:val="p"/>
          </m:rPr>
          <m:t>,</m:t>
        </m:r>
        <m:r>
          <m:rPr>
            <m:sty m:val="b"/>
          </m:rPr>
          <m:t>r</m:t>
        </m:r>
        <m:r>
          <m:rPr>
            <m:sty m:val="p"/>
          </m:rPr>
          <m:t>,</m:t>
        </m:r>
        <m:r>
          <m:t>F</m:t>
        </m:r>
        <m:r>
          <m:rPr>
            <m:sty m:val="p"/>
          </m:rPr>
          <m:t>,</m:t>
        </m:r>
        <m:r>
          <m:t>S</m:t>
        </m:r>
        <m:r>
          <m:rPr>
            <m:sty m:val="p"/>
          </m:rPr>
          <m:t>)</m:t>
        </m:r>
        <m:r>
          <m:t> </m:t>
        </m:r>
        <m:r>
          <m:rPr>
            <m:sty m:val="p"/>
          </m:rPr>
          <m:t>+</m:t>
        </m:r>
        <m:r>
          <m:t> </m:t>
        </m:r>
        <m:r>
          <m:t>ε</m:t>
        </m:r>
        <m:r>
          <m:t> </m:t>
        </m:r>
        <m:sSub>
          <m:e>
            <m:r>
              <m:t>σ</m:t>
            </m:r>
          </m:e>
          <m:sub>
            <m:r>
              <m:rPr>
                <m:sty m:val="p"/>
              </m:rPr>
              <m:t>ln</m:t>
            </m:r>
            <m:r>
              <m:t>I</m:t>
            </m:r>
          </m:sub>
        </m:sSub>
        <m:r>
          <m:rPr>
            <m:sty m:val="p"/>
          </m:rPr>
          <m:t>,</m:t>
        </m:r>
      </m:oMath>
      <w:r>
        <w:tab/>
      </w:r>
      <w:r>
        <w:t xml:space="preserve">(3.11)</w:t>
      </w:r>
      <w:bookmarkEnd w:id="42"/>
    </w:p>
    <w:p>
      <w:pPr>
        <w:pStyle w:val="BodyText"/>
      </w:pPr>
      <w:r>
        <w:t xml:space="preserve">If</w:t>
      </w:r>
      <w:r>
        <w:t xml:space="preserve"> </w:t>
      </w:r>
      <m:oMath>
        <m:sSub>
          <m:e>
            <m:acc>
              <m:accPr>
                <m:chr m:val="̂"/>
              </m:accPr>
              <m:e>
                <m:r>
                  <m:t>η</m:t>
                </m:r>
              </m:e>
            </m:acc>
          </m:e>
          <m:sub>
            <m:r>
              <m:t>I</m:t>
            </m:r>
          </m:sub>
        </m:sSub>
        <m:r>
          <m:rPr>
            <m:sty m:val="p"/>
          </m:rPr>
          <m:t>(</m:t>
        </m:r>
        <m:r>
          <m:t>m</m:t>
        </m:r>
        <m:r>
          <m:rPr>
            <m:sty m:val="p"/>
          </m:rPr>
          <m:t>,</m:t>
        </m:r>
        <m:r>
          <m:t>r</m:t>
        </m:r>
        <m:r>
          <m:rPr>
            <m:sty m:val="p"/>
          </m:rPr>
          <m:t>,</m:t>
        </m:r>
        <m:r>
          <m:t>F</m:t>
        </m:r>
        <m:r>
          <m:rPr>
            <m:sty m:val="p"/>
          </m:rPr>
          <m:t>,</m:t>
        </m:r>
        <m:r>
          <m:t>S</m:t>
        </m:r>
        <m:r>
          <m:rPr>
            <m:sty m:val="p"/>
          </m:rPr>
          <m:t>)</m:t>
        </m:r>
      </m:oMath>
      <w:r>
        <w:t xml:space="preserve"> </w:t>
      </w:r>
      <w:r>
        <w:t xml:space="preserve">denotes the median intensity</w:t>
      </w:r>
      <w:r>
        <w:t xml:space="preserve"> </w:t>
      </w:r>
      <m:oMath>
        <m:r>
          <m:t>I</m:t>
        </m:r>
      </m:oMath>
      <w:r>
        <w:t xml:space="preserve"> </w:t>
      </w:r>
      <w:r>
        <w:t xml:space="preserve">(in linear units) for magnitude</w:t>
      </w:r>
      <w:r>
        <w:t xml:space="preserve"> </w:t>
      </w:r>
      <m:oMath>
        <m:r>
          <m:t>m</m:t>
        </m:r>
      </m:oMath>
      <w:r>
        <w:t xml:space="preserve"> </w:t>
      </w:r>
      <w:r>
        <w:t xml:space="preserve">at distance</w:t>
      </w:r>
      <w:r>
        <w:t xml:space="preserve"> </w:t>
      </w:r>
      <m:oMath>
        <m:r>
          <m:t>r</m:t>
        </m:r>
      </m:oMath>
      <w:r>
        <w:t xml:space="preserve"> </w:t>
      </w:r>
      <w:r>
        <w:t xml:space="preserve">and</w:t>
      </w:r>
      <w:r>
        <w:t xml:space="preserve"> </w:t>
      </w:r>
      <m:oMath>
        <m:sSub>
          <m:e>
            <m:r>
              <m:t>σ</m:t>
            </m:r>
          </m:e>
          <m:sub>
            <m:r>
              <m:rPr>
                <m:sty m:val="p"/>
              </m:rPr>
              <m:t>ln</m:t>
            </m:r>
            <m:r>
              <m:t>I</m:t>
            </m:r>
          </m:sub>
        </m:sSub>
      </m:oMath>
      <w:r>
        <w:t xml:space="preserve"> </w:t>
      </w:r>
      <w:r>
        <w:t xml:space="preserve">is the standard deviation of</w:t>
      </w:r>
      <w:r>
        <w:t xml:space="preserve"> </w:t>
      </w:r>
      <m:oMath>
        <m:r>
          <m:rPr>
            <m:sty m:val="p"/>
          </m:rPr>
          <m:t>ln</m:t>
        </m:r>
        <m:r>
          <m:t>I</m:t>
        </m:r>
      </m:oMath>
      <w:r>
        <w:t xml:space="preserve">, then the conditional exceedance probability is</w:t>
      </w:r>
    </w:p>
    <w:p>
      <w:pPr>
        <w:pStyle w:val="Equation"/>
      </w:pPr>
      <w:bookmarkStart w:id="43" w:name="eq-gmpe-exc"/>
      <w:r>
        <w:tab/>
      </w:r>
      <m:oMath>
        <m:r>
          <m:t>P</m:t>
        </m:r>
        <m:r>
          <m:rPr>
            <m:sty m:val="p"/>
          </m:rPr>
          <m:t>[</m:t>
        </m:r>
        <m:r>
          <m:t>I</m:t>
        </m:r>
        <m:r>
          <m:rPr>
            <m:sty m:val="p"/>
          </m:rPr>
          <m:t>&gt;</m:t>
        </m:r>
        <m:sSup>
          <m:e>
            <m:r>
              <m:t>i</m:t>
            </m:r>
          </m:e>
          <m:sup>
            <m:r>
              <m:rPr>
                <m:sty m:val="p"/>
              </m:rPr>
              <m:t>*</m:t>
            </m:r>
          </m:sup>
        </m:sSup>
        <m:r>
          <m:rPr>
            <m:sty m:val="p"/>
          </m:rPr>
          <m:t>∣</m:t>
        </m:r>
        <m:r>
          <m:t>m</m:t>
        </m:r>
        <m:r>
          <m:rPr>
            <m:sty m:val="p"/>
          </m:rPr>
          <m:t>,</m:t>
        </m:r>
        <m:r>
          <m:rPr>
            <m:sty m:val="b"/>
          </m:rPr>
          <m:t>r</m:t>
        </m:r>
        <m:r>
          <m:rPr>
            <m:sty m:val="p"/>
          </m:rPr>
          <m:t>]</m:t>
        </m:r>
        <m:r>
          <m:t> </m:t>
        </m:r>
        <m:r>
          <m:rPr>
            <m:sty m:val="p"/>
          </m:rPr>
          <m:t>=</m:t>
        </m:r>
        <m:r>
          <m:t> </m:t>
        </m:r>
        <m:r>
          <m:t>1</m:t>
        </m:r>
        <m:r>
          <m:t> </m:t>
        </m:r>
        <m:r>
          <m:rPr>
            <m:sty m:val="p"/>
          </m:rPr>
          <m:t>−</m:t>
        </m:r>
        <m:r>
          <m:t> </m:t>
        </m:r>
        <m:r>
          <m:rPr>
            <m:sty m:val="p"/>
          </m:rPr>
          <m:t>Φ</m:t>
        </m:r>
        <m:d>
          <m:dPr>
            <m:begChr m:val="("/>
            <m:sepChr m:val=""/>
            <m:endChr m:val=")"/>
            <m:grow/>
          </m:dPr>
          <m:e>
            <m:sSup>
              <m:e>
                <m:r>
                  <m:t>ε</m:t>
                </m:r>
              </m:e>
              <m:sup>
                <m:r>
                  <m:rPr>
                    <m:sty m:val="p"/>
                  </m:rPr>
                  <m:t>*</m:t>
                </m:r>
              </m:sup>
            </m:sSup>
          </m:e>
        </m:d>
        <m:r>
          <m:rPr>
            <m:sty m:val="p"/>
          </m:rPr>
          <m:t>,</m:t>
        </m:r>
      </m:oMath>
      <w:r>
        <w:tab/>
      </w:r>
      <w:r>
        <w:t xml:space="preserve">(3.12)</w:t>
      </w:r>
      <w:bookmarkEnd w:id="43"/>
    </w:p>
    <w:p>
      <w:pPr>
        <w:pStyle w:val="BodyText"/>
      </w:pPr>
      <w:r>
        <w:t xml:space="preserve">where</w:t>
      </w:r>
      <w:r>
        <w:t xml:space="preserve"> </w:t>
      </w:r>
      <m:oMath>
        <m:r>
          <m:rPr>
            <m:sty m:val="p"/>
          </m:rPr>
          <m:t>Φ</m:t>
        </m:r>
      </m:oMath>
      <w:r>
        <w:t xml:space="preserve"> </w:t>
      </w:r>
      <w:r>
        <w:t xml:space="preserve">is the standard-normal cumulative-distribution function and</w:t>
      </w:r>
      <w:r>
        <w:t xml:space="preserve"> </w:t>
      </w:r>
      <m:oMath>
        <m:sSup>
          <m:e>
            <m:r>
              <m:t>ε</m:t>
            </m:r>
          </m:e>
          <m:sup>
            <m:r>
              <m:rPr>
                <m:sty m:val="p"/>
              </m:rPr>
              <m:t>*</m:t>
            </m:r>
          </m:sup>
        </m:sSup>
      </m:oMath>
      <w:r>
        <w:t xml:space="preserve">, the number of standard deviations by which</w:t>
      </w:r>
      <w:r>
        <w:t xml:space="preserve"> </w:t>
      </w:r>
      <m:oMath>
        <m:sSup>
          <m:e>
            <m:r>
              <m:t>i</m:t>
            </m:r>
          </m:e>
          <m:sup>
            <m:r>
              <m:rPr>
                <m:sty m:val="p"/>
              </m:rPr>
              <m:t>*</m:t>
            </m:r>
          </m:sup>
        </m:sSup>
      </m:oMath>
      <w:r>
        <w:t xml:space="preserve"> </w:t>
      </w:r>
      <w:r>
        <w:t xml:space="preserve">exceeds the median prediction for scenario</w:t>
      </w:r>
      <w:r>
        <w:t xml:space="preserve"> </w:t>
      </w:r>
      <m:oMath>
        <m:r>
          <m:rPr>
            <m:sty m:val="p"/>
          </m:rPr>
          <m:t>(</m:t>
        </m:r>
        <m:r>
          <m:t>m</m:t>
        </m:r>
        <m:r>
          <m:rPr>
            <m:sty m:val="p"/>
          </m:rPr>
          <m:t>,</m:t>
        </m:r>
        <m:r>
          <m:t>r</m:t>
        </m:r>
        <m:r>
          <m:rPr>
            <m:sty m:val="p"/>
          </m:rPr>
          <m:t>,</m:t>
        </m:r>
        <m:r>
          <m:t>F</m:t>
        </m:r>
        <m:r>
          <m:rPr>
            <m:sty m:val="p"/>
          </m:rPr>
          <m:t>,</m:t>
        </m:r>
        <m:r>
          <m:t>S</m:t>
        </m:r>
        <m:r>
          <m:rPr>
            <m:sty m:val="p"/>
          </m:rPr>
          <m:t>)</m:t>
        </m:r>
      </m:oMath>
      <w:r>
        <w:t xml:space="preserve">, is</w:t>
      </w:r>
    </w:p>
    <w:p>
      <w:pPr>
        <w:pStyle w:val="Equation"/>
      </w:pPr>
      <w:bookmarkStart w:id="44" w:name="eq-epsilon-star"/>
      <w:r>
        <w:tab/>
      </w:r>
      <m:oMath>
        <m:sSup>
          <m:e>
            <m:r>
              <m:t>ε</m:t>
            </m:r>
          </m:e>
          <m:sup>
            <m:r>
              <m:rPr>
                <m:sty m:val="p"/>
              </m:rPr>
              <m:t>*</m:t>
            </m:r>
          </m:sup>
        </m:sSup>
        <m:r>
          <m:t> </m:t>
        </m:r>
        <m:r>
          <m:rPr>
            <m:sty m:val="p"/>
          </m:rPr>
          <m:t>=</m:t>
        </m:r>
        <m:r>
          <m:t> </m:t>
        </m:r>
        <m:f>
          <m:fPr>
            <m:type m:val="bar"/>
          </m:fPr>
          <m:num>
            <m:r>
              <m:rPr>
                <m:sty m:val="p"/>
              </m:rPr>
              <m:t>ln</m:t>
            </m:r>
            <m:sSup>
              <m:e>
                <m:r>
                  <m:t>i</m:t>
                </m:r>
              </m:e>
              <m:sup>
                <m:r>
                  <m:rPr>
                    <m:sty m:val="p"/>
                  </m:rPr>
                  <m:t>*</m:t>
                </m:r>
              </m:sup>
            </m:sSup>
            <m:r>
              <m:rPr>
                <m:sty m:val="p"/>
              </m:rPr>
              <m:t>−</m:t>
            </m:r>
            <m:r>
              <m:rPr>
                <m:sty m:val="p"/>
              </m:rPr>
              <m:t>ln</m:t>
            </m:r>
            <m:sSub>
              <m:e>
                <m:acc>
                  <m:accPr>
                    <m:chr m:val="̂"/>
                  </m:accPr>
                  <m:e>
                    <m:r>
                      <m:t>η</m:t>
                    </m:r>
                  </m:e>
                </m:acc>
              </m:e>
              <m:sub>
                <m:r>
                  <m:t>I</m:t>
                </m:r>
              </m:sub>
            </m:sSub>
            <m:r>
              <m:rPr>
                <m:sty m:val="p"/>
              </m:rPr>
              <m:t>(</m:t>
            </m:r>
            <m:r>
              <m:t>m</m:t>
            </m:r>
            <m:r>
              <m:rPr>
                <m:sty m:val="p"/>
              </m:rPr>
              <m:t>,</m:t>
            </m:r>
            <m:r>
              <m:rPr>
                <m:sty m:val="b"/>
              </m:rPr>
              <m:t>r</m:t>
            </m:r>
            <m:r>
              <m:rPr>
                <m:sty m:val="p"/>
              </m:rPr>
              <m:t>,</m:t>
            </m:r>
            <m:r>
              <m:t>F</m:t>
            </m:r>
            <m:r>
              <m:rPr>
                <m:sty m:val="p"/>
              </m:rPr>
              <m:t>,</m:t>
            </m:r>
            <m:r>
              <m:t>S</m:t>
            </m:r>
            <m:r>
              <m:rPr>
                <m:sty m:val="p"/>
              </m:rPr>
              <m:t>)</m:t>
            </m:r>
          </m:num>
          <m:den>
            <m:sSub>
              <m:e>
                <m:r>
                  <m:t>σ</m:t>
                </m:r>
              </m:e>
              <m:sub>
                <m:r>
                  <m:rPr>
                    <m:sty m:val="p"/>
                  </m:rPr>
                  <m:t>ln</m:t>
                </m:r>
                <m:r>
                  <m:t>I</m:t>
                </m:r>
              </m:sub>
            </m:sSub>
          </m:den>
        </m:f>
      </m:oMath>
      <w:r>
        <w:tab/>
      </w:r>
      <w:r>
        <w:t xml:space="preserve">(3.13)</w:t>
      </w:r>
      <w:bookmarkEnd w:id="44"/>
    </w:p>
    <w:p>
      <w:pPr>
        <w:pStyle w:val="BodyText"/>
      </w:pPr>
      <w:r>
        <w:t xml:space="preserve">The total aleatory standard deviation</w:t>
      </w:r>
      <w:r>
        <w:t xml:space="preserve"> </w:t>
      </w:r>
      <m:oMath>
        <m:sSub>
          <m:e>
            <m:r>
              <m:t>σ</m:t>
            </m:r>
          </m:e>
          <m:sub>
            <m:r>
              <m:rPr>
                <m:sty m:val="p"/>
              </m:rPr>
              <m:t>ln</m:t>
            </m:r>
            <m:r>
              <m:t>I</m:t>
            </m:r>
          </m:sub>
        </m:sSub>
      </m:oMath>
      <w:r>
        <w:t xml:space="preserve"> </w:t>
      </w:r>
      <w:r>
        <w:t xml:space="preserve">satisfies the quadrature relation</w:t>
      </w:r>
    </w:p>
    <w:p>
      <w:pPr>
        <w:pStyle w:val="Equation"/>
      </w:pPr>
      <w:bookmarkStart w:id="45" w:name="eq-sigma-decomp"/>
      <w:r>
        <w:tab/>
      </w:r>
      <m:oMath>
        <m:sSubSup>
          <m:e>
            <m:r>
              <m:t>σ</m:t>
            </m:r>
          </m:e>
          <m:sub>
            <m:r>
              <m:rPr>
                <m:sty m:val="p"/>
              </m:rPr>
              <m:t>ln</m:t>
            </m:r>
            <m:r>
              <m:t>I</m:t>
            </m:r>
          </m:sub>
          <m:sup>
            <m:r>
              <m:t>2</m:t>
            </m:r>
          </m:sup>
        </m:sSubSup>
        <m:r>
          <m:rPr>
            <m:sty m:val="p"/>
          </m:rPr>
          <m:t>=</m:t>
        </m:r>
        <m:sSup>
          <m:e>
            <m:r>
              <m:t>τ</m:t>
            </m:r>
          </m:e>
          <m:sup>
            <m:r>
              <m:t>2</m:t>
            </m:r>
          </m:sup>
        </m:sSup>
        <m:r>
          <m:rPr>
            <m:sty m:val="p"/>
          </m:rPr>
          <m:t>+</m:t>
        </m:r>
        <m:sSup>
          <m:e>
            <m:r>
              <m:t>ϕ</m:t>
            </m:r>
          </m:e>
          <m:sup>
            <m:r>
              <m:t>2</m:t>
            </m:r>
          </m:sup>
        </m:sSup>
      </m:oMath>
      <w:r>
        <w:tab/>
      </w:r>
      <w:r>
        <w:t xml:space="preserve">(3.14)</w:t>
      </w:r>
      <w:bookmarkEnd w:id="45"/>
    </w:p>
    <w:p>
      <w:pPr>
        <w:pStyle w:val="BodyText"/>
      </w:pPr>
      <w:r>
        <w:t xml:space="preserve">where</w:t>
      </w:r>
      <w:r>
        <w:t xml:space="preserve"> </w:t>
      </w:r>
      <m:oMath>
        <m:r>
          <m:t>τ</m:t>
        </m:r>
      </m:oMath>
      <w:r>
        <w:t xml:space="preserve"> </w:t>
      </w:r>
      <w:r>
        <w:t xml:space="preserve">is the between-event (inter-event) standard deviation and</w:t>
      </w:r>
      <w:r>
        <w:t xml:space="preserve"> </w:t>
      </w:r>
      <m:oMath>
        <m:r>
          <m:t>ϕ</m:t>
        </m:r>
      </m:oMath>
      <w:r>
        <w:t xml:space="preserve"> </w:t>
      </w:r>
      <w:r>
        <w:t xml:space="preserve">is the within-event (intra-event) standard deviation, both expressed in natural-log units. Under the mixed-effects decomposition adopted by most modern empirical GMPEs, the total residual for record</w:t>
      </w:r>
      <w:r>
        <w:t xml:space="preserve"> </w:t>
      </w:r>
      <m:oMath>
        <m:r>
          <m:t>j</m:t>
        </m:r>
      </m:oMath>
      <w:r>
        <w:t xml:space="preserve"> </w:t>
      </w:r>
      <w:r>
        <w:t xml:space="preserve">belonging to event</w:t>
      </w:r>
      <w:r>
        <w:t xml:space="preserve"> </w:t>
      </w:r>
      <m:oMath>
        <m:r>
          <m:t>i</m:t>
        </m:r>
      </m:oMath>
      <w:r>
        <w:t xml:space="preserve"> </w:t>
      </w:r>
      <w:r>
        <w:t xml:space="preserve">is partitioned as</w:t>
      </w:r>
    </w:p>
    <w:p>
      <w:pPr>
        <w:pStyle w:val="Equation"/>
      </w:pPr>
      <w:bookmarkStart w:id="46" w:name="eq-mixed-effects"/>
      <w:r>
        <w:tab/>
      </w:r>
      <m:oMath>
        <m:sSub>
          <m:e>
            <m:r>
              <m:t>ε</m:t>
            </m:r>
          </m:e>
          <m:sub>
            <m:r>
              <m:t>i</m:t>
            </m:r>
            <m:r>
              <m:t>j</m:t>
            </m:r>
          </m:sub>
        </m:sSub>
        <m:r>
          <m:rPr>
            <m:sty m:val="p"/>
          </m:rPr>
          <m:t>=</m:t>
        </m:r>
        <m:sSub>
          <m:e>
            <m:r>
              <m:t>η</m:t>
            </m:r>
          </m:e>
          <m:sub>
            <m:r>
              <m:t>i</m:t>
            </m:r>
          </m:sub>
        </m:sSub>
        <m:r>
          <m:rPr>
            <m:sty m:val="p"/>
          </m:rPr>
          <m:t>+</m:t>
        </m:r>
        <m:sSub>
          <m:e>
            <m:r>
              <m:t>δ</m:t>
            </m:r>
          </m:e>
          <m:sub>
            <m:r>
              <m:t>i</m:t>
            </m:r>
            <m:r>
              <m:t>j</m:t>
            </m:r>
          </m:sub>
        </m:sSub>
      </m:oMath>
      <w:r>
        <w:tab/>
      </w:r>
      <w:r>
        <w:t xml:space="preserve">(3.15)</w:t>
      </w:r>
      <w:bookmarkEnd w:id="46"/>
    </w:p>
    <w:p>
      <w:pPr>
        <w:pStyle w:val="BodyText"/>
      </w:pPr>
      <w:r>
        <w:t xml:space="preserve">where</w:t>
      </w:r>
      <w:r>
        <w:t xml:space="preserve"> </w:t>
      </w:r>
      <m:oMath>
        <m:sSub>
          <m:e>
            <m:r>
              <m:t>η</m:t>
            </m:r>
          </m:e>
          <m:sub>
            <m:r>
              <m:t>i</m:t>
            </m:r>
          </m:sub>
        </m:sSub>
        <m:r>
          <m:rPr>
            <m:sty m:val="p"/>
          </m:rPr>
          <m:t>∼</m:t>
        </m:r>
        <m:r>
          <m:rPr>
            <m:scr m:val="script"/>
            <m:sty m:val="p"/>
          </m:rPr>
          <m:t>N</m:t>
        </m:r>
        <m:r>
          <m:rPr>
            <m:sty m:val="p"/>
          </m:rPr>
          <m:t>(</m:t>
        </m:r>
        <m:r>
          <m:t>0</m:t>
        </m:r>
        <m:r>
          <m:rPr>
            <m:sty m:val="p"/>
          </m:rPr>
          <m:t>,</m:t>
        </m:r>
        <m:sSup>
          <m:e>
            <m:r>
              <m:t>τ</m:t>
            </m:r>
          </m:e>
          <m:sup>
            <m:r>
              <m:t>2</m:t>
            </m:r>
          </m:sup>
        </m:sSup>
        <m:r>
          <m:rPr>
            <m:sty m:val="p"/>
          </m:rPr>
          <m:t>)</m:t>
        </m:r>
      </m:oMath>
      <w:r>
        <w:t xml:space="preserve"> </w:t>
      </w:r>
      <w:r>
        <w:t xml:space="preserve">is the between-event residual for event</w:t>
      </w:r>
      <w:r>
        <w:t xml:space="preserve"> </w:t>
      </w:r>
      <m:oMath>
        <m:r>
          <m:t>i</m:t>
        </m:r>
      </m:oMath>
      <w:r>
        <w:t xml:space="preserve">, representing systematic source-to-source variation not captured by the median functional form, and</w:t>
      </w:r>
      <w:r>
        <w:t xml:space="preserve"> </w:t>
      </w:r>
      <m:oMath>
        <m:sSub>
          <m:e>
            <m:r>
              <m:t>δ</m:t>
            </m:r>
          </m:e>
          <m:sub>
            <m:r>
              <m:t>i</m:t>
            </m:r>
            <m:r>
              <m:t>j</m:t>
            </m:r>
          </m:sub>
        </m:sSub>
        <m:r>
          <m:rPr>
            <m:sty m:val="p"/>
          </m:rPr>
          <m:t>∼</m:t>
        </m:r>
        <m:r>
          <m:rPr>
            <m:scr m:val="script"/>
            <m:sty m:val="p"/>
          </m:rPr>
          <m:t>N</m:t>
        </m:r>
        <m:r>
          <m:rPr>
            <m:sty m:val="p"/>
          </m:rPr>
          <m:t>(</m:t>
        </m:r>
        <m:r>
          <m:t>0</m:t>
        </m:r>
        <m:r>
          <m:rPr>
            <m:sty m:val="p"/>
          </m:rPr>
          <m:t>,</m:t>
        </m:r>
        <m:sSup>
          <m:e>
            <m:r>
              <m:t>ϕ</m:t>
            </m:r>
          </m:e>
          <m:sup>
            <m:r>
              <m:t>2</m:t>
            </m:r>
          </m:sup>
        </m:sSup>
        <m:r>
          <m:rPr>
            <m:sty m:val="p"/>
          </m:rPr>
          <m:t>)</m:t>
        </m:r>
      </m:oMath>
      <w:r>
        <w:t xml:space="preserve"> </w:t>
      </w:r>
      <w:r>
        <w:t xml:space="preserve">is the within-event residual for record</w:t>
      </w:r>
      <w:r>
        <w:t xml:space="preserve"> </w:t>
      </w:r>
      <m:oMath>
        <m:r>
          <m:t>j</m:t>
        </m:r>
      </m:oMath>
      <w:r>
        <w:t xml:space="preserve">, representing path and site variability not resolved by the median prediction; the two residual components are assumed mutually independent. All three quantities</w:t>
      </w:r>
      <w:r>
        <w:t xml:space="preserve"> </w:t>
      </w:r>
      <m:oMath>
        <m:sSub>
          <m:e>
            <m:r>
              <m:t>σ</m:t>
            </m:r>
          </m:e>
          <m:sub>
            <m:r>
              <m:rPr>
                <m:sty m:val="p"/>
              </m:rPr>
              <m:t>ln</m:t>
            </m:r>
            <m:r>
              <m:t>I</m:t>
            </m:r>
          </m:sub>
        </m:sSub>
      </m:oMath>
      <w:r>
        <w:t xml:space="preserve">,</w:t>
      </w:r>
      <w:r>
        <w:t xml:space="preserve"> </w:t>
      </w:r>
      <m:oMath>
        <m:r>
          <m:t>τ</m:t>
        </m:r>
      </m:oMath>
      <w:r>
        <w:t xml:space="preserve">, and</w:t>
      </w:r>
      <w:r>
        <w:t xml:space="preserve"> </w:t>
      </w:r>
      <m:oMath>
        <m:r>
          <m:t>ϕ</m:t>
        </m:r>
      </m:oMath>
      <w:r>
        <w:t xml:space="preserve"> </w:t>
      </w:r>
      <w:r>
        <w:t xml:space="preserve">are period-dependent in most modern GMPEs and are tabulated or parameterized as part of the published model; non-ergodic formulations further partition</w:t>
      </w:r>
      <w:r>
        <w:t xml:space="preserve"> </w:t>
      </w:r>
      <m:oMath>
        <m:r>
          <m:t>τ</m:t>
        </m:r>
      </m:oMath>
      <w:r>
        <w:t xml:space="preserve"> </w:t>
      </w:r>
      <w:r>
        <w:t xml:space="preserve">and</w:t>
      </w:r>
      <w:r>
        <w:t xml:space="preserve"> </w:t>
      </w:r>
      <m:oMath>
        <m:r>
          <m:t>ϕ</m:t>
        </m:r>
      </m:oMath>
      <w:r>
        <w:t xml:space="preserve"> </w:t>
      </w:r>
      <w:r>
        <w:t xml:space="preserve">into site-specific and path-specific components, and the models of the adopted trees, documented in the Ground Motion Prediction Models appendix, are predominantly ergodic.</w:t>
      </w:r>
    </w:p>
    <w:p>
      <w:pPr>
        <w:pStyle w:val="BodyText"/>
      </w:pPr>
      <w:r>
        <w:t xml:space="preserve">The predictor variables entering a GMPE vary by model and tectonic region type, but the following notation applies consistently across all models of the adopted trees. Moment magnitude</w:t>
      </w:r>
      <w:r>
        <w:t xml:space="preserve"> </w:t>
      </w:r>
      <m:oMath>
        <m:sSub>
          <m:e>
            <m:r>
              <m:t>M</m:t>
            </m:r>
          </m:e>
          <m:sub>
            <m:r>
              <m:t>w</m:t>
            </m:r>
          </m:sub>
        </m:sSub>
      </m:oMath>
      <w:r>
        <w:t xml:space="preserve"> </w:t>
      </w:r>
      <w:r>
        <w:t xml:space="preserve">is the primary source-size parameter. Each model declares the distance metric it requires as part of its implementation. Site amplification is parameterized primarily by</w:t>
      </w:r>
      <w:r>
        <w:t xml:space="preserve"> </w:t>
      </w:r>
      <m:oMath>
        <m:sSub>
          <m:e>
            <m:r>
              <m:t>V</m:t>
            </m:r>
          </m:e>
          <m:sub>
            <m:r>
              <m:t>S</m:t>
            </m:r>
            <m:r>
              <m:t>30</m:t>
            </m:r>
          </m:sub>
        </m:sSub>
      </m:oMath>
      <w:r>
        <w:t xml:space="preserve">, the time-averaged shear-wave velocity in the uppermost 30 m. Basin depth is captured by</w:t>
      </w:r>
      <w:r>
        <w:t xml:space="preserve"> </w:t>
      </w:r>
      <m:oMath>
        <m:sSub>
          <m:e>
            <m:r>
              <m:t>z</m:t>
            </m:r>
          </m:e>
          <m:sub>
            <m:r>
              <m:t>1.0</m:t>
            </m:r>
          </m:sub>
        </m:sSub>
      </m:oMath>
      <w:r>
        <w:t xml:space="preserve">, the depth to the horizon where shear-wave velocity first reaches 1.0 km/s, and by</w:t>
      </w:r>
      <w:r>
        <w:t xml:space="preserve"> </w:t>
      </w:r>
      <m:oMath>
        <m:sSub>
          <m:e>
            <m:r>
              <m:t>z</m:t>
            </m:r>
          </m:e>
          <m:sub>
            <m:r>
              <m:t>2.5</m:t>
            </m:r>
          </m:sub>
        </m:sSub>
      </m:oMath>
      <w:r>
        <w:t xml:space="preserve">, the depth to the 2.5 km/s horizon. Rupture geometry descriptors include</w:t>
      </w:r>
      <w:r>
        <w:t xml:space="preserve"> </w:t>
      </w:r>
      <m:oMath>
        <m:sSub>
          <m:e>
            <m:r>
              <m:t>z</m:t>
            </m:r>
          </m:e>
          <m:sub>
            <m:r>
              <m:t>t</m:t>
            </m:r>
            <m:r>
              <m:t>o</m:t>
            </m:r>
            <m:r>
              <m:t>r</m:t>
            </m:r>
          </m:sub>
        </m:sSub>
      </m:oMath>
      <w:r>
        <w:t xml:space="preserve">, the depth to the top of the rupture plane; the fault dip angle; the rake angle characterizing faulting style; the along-dip rupture width</w:t>
      </w:r>
      <w:r>
        <w:t xml:space="preserve"> </w:t>
      </w:r>
      <m:oMath>
        <m:r>
          <m:t>W</m:t>
        </m:r>
      </m:oMath>
      <w:r>
        <w:t xml:space="preserve">; and hypocentral depth</w:t>
      </w:r>
      <w:r>
        <w:t xml:space="preserve"> </w:t>
      </w:r>
      <m:oMath>
        <m:r>
          <m:t>h</m:t>
        </m:r>
      </m:oMath>
      <w:r>
        <w:t xml:space="preserve">. For subduction models, a binary backarc flag distinguishing forearc and backarc site positions is additionally required by certain implementations.</w:t>
      </w:r>
    </w:p>
    <w:p>
      <w:pPr>
        <w:pStyle w:val="BodyText"/>
      </w:pPr>
      <w:r>
        <w:t xml:space="preserve">The ground-motion characterization adopts an independent logic tree for each tectonic region type present in the source model. The Ground Motion Prediction Models appendix documents, regime by regime, the branches that compose each tree – each one a ground-motion prediction equation (GMPE) with its weight – and the calibration context of each model.</w:t>
      </w:r>
    </w:p>
    <w:p>
      <w:pPr>
        <w:pStyle w:val="BodyText"/>
      </w:pPr>
      <w:r>
        <w:t xml:space="preserve">GMMs are among the main contributors to the epistemic uncertainty of the PSHA, together with source-model components such as fault geometry, seismicity rates, and magnitude-frequency distributions. Unlike aleatory variability, epistemic uncertainty represents incomplete scientific knowledge of the true ground-motion process: it is in principle reducible with additional data and is represented through a discrete set of alternative models. In regions with scarce strong-motion records, the medians of candidate GMPEs can diverge substantially over the spectral periods and magnitude-distance ranges of engineering interest, and that dispersion is frequently the main contributor to the uncertainty band of the hazard curve at low exceedance rates; model uncertainty is therefore represented explicitly through a logic tree that samples the space of possible alternatives.</w:t>
      </w:r>
    </w:p>
    <w:p>
      <w:pPr>
        <w:pStyle w:val="BodyText"/>
      </w:pPr>
      <w:r>
        <w:t xml:space="preserve">Each logic tree is defined for one tectonic region type and comprises a single branching level. Each branch specifies an alternative GMPE with a non-negative weight</w:t>
      </w:r>
      <w:r>
        <w:t xml:space="preserve"> </w:t>
      </w:r>
      <m:oMath>
        <m:sSub>
          <m:e>
            <m:r>
              <m:t>w</m:t>
            </m:r>
          </m:e>
          <m:sub>
            <m:r>
              <m:t>k</m:t>
            </m:r>
          </m:sub>
        </m:sSub>
      </m:oMath>
      <w:r>
        <w:t xml:space="preserve"> </w:t>
      </w:r>
      <w:r>
        <w:t xml:space="preserve">satisfying the normalization condition</w:t>
      </w:r>
    </w:p>
    <w:p>
      <w:pPr>
        <w:pStyle w:val="Equation"/>
      </w:pPr>
      <w:bookmarkStart w:id="47" w:name="eq-weight-norm"/>
      <w:r>
        <w:tab/>
      </w:r>
      <m:oMath>
        <m:nary>
          <m:naryPr>
            <m:chr m:val="∑"/>
            <m:limLoc m:val="undOvr"/>
            <m:subHide m:val="off"/>
            <m:supHide m:val="off"/>
          </m:naryPr>
          <m:sub>
            <m:r>
              <m:t>k</m:t>
            </m:r>
            <m:r>
              <m:rPr>
                <m:sty m:val="p"/>
              </m:rPr>
              <m:t>=</m:t>
            </m:r>
            <m:r>
              <m:t>1</m:t>
            </m:r>
          </m:sub>
          <m:sup>
            <m:r>
              <m:t>N</m:t>
            </m:r>
          </m:sup>
          <m:e>
            <m:sSub>
              <m:e>
                <m:r>
                  <m:t>w</m:t>
                </m:r>
              </m:e>
              <m:sub>
                <m:r>
                  <m:t>k</m:t>
                </m:r>
              </m:sub>
            </m:sSub>
          </m:e>
        </m:nary>
        <m:r>
          <m:rPr>
            <m:sty m:val="p"/>
          </m:rPr>
          <m:t>=</m:t>
        </m:r>
        <m:r>
          <m:t>1</m:t>
        </m:r>
        <m:r>
          <m:rPr>
            <m:sty m:val="p"/>
          </m:rPr>
          <m:t>,</m:t>
        </m:r>
        <m:r>
          <m:t>  </m:t>
        </m:r>
        <m:sSub>
          <m:e>
            <m:r>
              <m:t>w</m:t>
            </m:r>
          </m:e>
          <m:sub>
            <m:r>
              <m:t>k</m:t>
            </m:r>
          </m:sub>
        </m:sSub>
        <m:r>
          <m:rPr>
            <m:sty m:val="p"/>
          </m:rPr>
          <m:t>≥</m:t>
        </m:r>
        <m:r>
          <m:t>0</m:t>
        </m:r>
      </m:oMath>
      <w:r>
        <w:tab/>
      </w:r>
      <w:r>
        <w:t xml:space="preserve">(3.16)</w:t>
      </w:r>
      <w:bookmarkEnd w:id="47"/>
    </w:p>
    <w:p>
      <w:pPr>
        <w:pStyle w:val="BodyText"/>
      </w:pPr>
      <w:r>
        <w:t xml:space="preserve">where</w:t>
      </w:r>
      <w:r>
        <w:t xml:space="preserve"> </w:t>
      </w:r>
      <m:oMath>
        <m:r>
          <m:t>N</m:t>
        </m:r>
      </m:oMath>
      <w:r>
        <w:t xml:space="preserve"> </w:t>
      </w:r>
      <w:r>
        <w:t xml:space="preserve">is the number of branches in the set. The weights define a discrete probability distribution over the candidate GMPEs; when all models receive equal weight,</w:t>
      </w:r>
      <w:r>
        <w:t xml:space="preserve"> </w:t>
      </w:r>
      <m:oMath>
        <m:sSub>
          <m:e>
            <m:r>
              <m:t>w</m:t>
            </m:r>
          </m:e>
          <m:sub>
            <m:r>
              <m:t>k</m:t>
            </m:r>
          </m:sub>
        </m:sSub>
        <m:r>
          <m:rPr>
            <m:sty m:val="p"/>
          </m:rPr>
          <m:t>=</m:t>
        </m:r>
        <m:r>
          <m:t>1</m:t>
        </m:r>
        <m:r>
          <m:rPr>
            <m:sty m:val="p"/>
          </m:rPr>
          <m:t>/</m:t>
        </m:r>
        <m:r>
          <m:t>N</m:t>
        </m:r>
      </m:oMath>
      <w:r>
        <w:t xml:space="preserve">, the tree represents a state of maximum model uncertainty, with no prior preference for any formulation. The tree is propagated by evaluating the hazard integral separately for each branch and combining the resulting curves with their weights</w:t>
      </w:r>
      <w:r>
        <w:t xml:space="preserve"> </w:t>
      </w:r>
      <w:r>
        <w:t xml:space="preserve">(</w:t>
      </w:r>
      <w:hyperlink w:anchor="ref-OpenQuakeEngine">
        <w:r>
          <w:rPr>
            <w:rStyle w:val="Hyperlink"/>
          </w:rPr>
          <w:t xml:space="preserve">GEM Foundation, 2023</w:t>
        </w:r>
      </w:hyperlink>
      <w:r>
        <w:t xml:space="preserve">)</w:t>
      </w:r>
      <w:r>
        <w:t xml:space="preserve">, so that the mean hazard curve is the weighted average</w:t>
      </w:r>
    </w:p>
    <w:p>
      <w:pPr>
        <w:pStyle w:val="Equation"/>
      </w:pPr>
      <w:bookmarkStart w:id="48" w:name="eq-mean-hazard"/>
      <w:r>
        <w:tab/>
      </w:r>
      <m:oMath>
        <m:sSub>
          <m:e>
            <m:acc>
              <m:accPr>
                <m:chr m:val="‾"/>
              </m:accPr>
              <m:e>
                <m:r>
                  <m:t>λ</m:t>
                </m:r>
              </m:e>
            </m:acc>
          </m:e>
          <m:sub>
            <m:r>
              <m:t>I</m:t>
            </m:r>
          </m:sub>
        </m:sSub>
        <m:r>
          <m:rPr>
            <m:sty m:val="p"/>
          </m:rPr>
          <m:t>(</m:t>
        </m:r>
        <m:sSup>
          <m:e>
            <m:r>
              <m:t>i</m:t>
            </m:r>
          </m:e>
          <m:sup>
            <m:r>
              <m:rPr>
                <m:sty m:val="p"/>
              </m:rPr>
              <m:t>*</m:t>
            </m:r>
          </m:sup>
        </m:sSup>
        <m:r>
          <m:rPr>
            <m:sty m:val="p"/>
          </m:rPr>
          <m:t>)</m:t>
        </m:r>
        <m:r>
          <m:rPr>
            <m:sty m:val="p"/>
          </m:rPr>
          <m:t>=</m:t>
        </m:r>
        <m:nary>
          <m:naryPr>
            <m:chr m:val="∑"/>
            <m:limLoc m:val="undOvr"/>
            <m:subHide m:val="off"/>
            <m:supHide m:val="off"/>
          </m:naryPr>
          <m:sub>
            <m:r>
              <m:t>k</m:t>
            </m:r>
            <m:r>
              <m:rPr>
                <m:sty m:val="p"/>
              </m:rPr>
              <m:t>=</m:t>
            </m:r>
            <m:r>
              <m:t>1</m:t>
            </m:r>
          </m:sub>
          <m:sup>
            <m:r>
              <m:t>N</m:t>
            </m:r>
          </m:sup>
          <m:e>
            <m:sSub>
              <m:e>
                <m:r>
                  <m:t>w</m:t>
                </m:r>
              </m:e>
              <m:sub>
                <m:r>
                  <m:t>k</m:t>
                </m:r>
              </m:sub>
            </m:sSub>
          </m:e>
        </m:nary>
        <m:r>
          <m:t> </m:t>
        </m:r>
        <m:sSubSup>
          <m:e>
            <m:r>
              <m:t>λ</m:t>
            </m:r>
          </m:e>
          <m:sub>
            <m:r>
              <m:t>I</m:t>
            </m:r>
          </m:sub>
          <m:sup>
            <m:r>
              <m:rPr>
                <m:sty m:val="p"/>
              </m:rPr>
              <m:t>(</m:t>
            </m:r>
            <m:r>
              <m:t>k</m:t>
            </m:r>
            <m:r>
              <m:rPr>
                <m:sty m:val="p"/>
              </m:rPr>
              <m:t>)</m:t>
            </m:r>
          </m:sup>
        </m:sSubSup>
        <m:r>
          <m:rPr>
            <m:sty m:val="p"/>
          </m:rPr>
          <m:t>(</m:t>
        </m:r>
        <m:sSup>
          <m:e>
            <m:r>
              <m:t>i</m:t>
            </m:r>
          </m:e>
          <m:sup>
            <m:r>
              <m:rPr>
                <m:sty m:val="p"/>
              </m:rPr>
              <m:t>*</m:t>
            </m:r>
          </m:sup>
        </m:sSup>
        <m:r>
          <m:rPr>
            <m:sty m:val="p"/>
          </m:rPr>
          <m:t>)</m:t>
        </m:r>
      </m:oMath>
      <w:r>
        <w:tab/>
      </w:r>
      <w:r>
        <w:t xml:space="preserve">(3.17)</w:t>
      </w:r>
      <w:bookmarkEnd w:id="48"/>
    </w:p>
    <w:p>
      <w:pPr>
        <w:pStyle w:val="BodyText"/>
      </w:pPr>
      <w:r>
        <w:t xml:space="preserve">where</w:t>
      </w:r>
      <w:r>
        <w:t xml:space="preserve"> </w:t>
      </w:r>
      <m:oMath>
        <m:sSubSup>
          <m:e>
            <m:r>
              <m:t>λ</m:t>
            </m:r>
          </m:e>
          <m:sub>
            <m:r>
              <m:t>I</m:t>
            </m:r>
          </m:sub>
          <m:sup>
            <m:r>
              <m:rPr>
                <m:sty m:val="p"/>
              </m:rPr>
              <m:t>(</m:t>
            </m:r>
            <m:r>
              <m:t>k</m:t>
            </m:r>
            <m:r>
              <m:rPr>
                <m:sty m:val="p"/>
              </m:rPr>
              <m:t>)</m:t>
            </m:r>
          </m:sup>
        </m:sSubSup>
        <m:r>
          <m:rPr>
            <m:sty m:val="p"/>
          </m:rPr>
          <m:t>(</m:t>
        </m:r>
        <m:sSup>
          <m:e>
            <m:r>
              <m:t>i</m:t>
            </m:r>
          </m:e>
          <m:sup>
            <m:r>
              <m:rPr>
                <m:sty m:val="p"/>
              </m:rPr>
              <m:t>*</m:t>
            </m:r>
          </m:sup>
        </m:sSup>
        <m:r>
          <m:rPr>
            <m:sty m:val="p"/>
          </m:rPr>
          <m:t>)</m:t>
        </m:r>
      </m:oMath>
      <w:r>
        <w:t xml:space="preserve"> </w:t>
      </w:r>
      <w:r>
        <w:t xml:space="preserve">is the annual exceedance rate calculated with the GMPE of branch</w:t>
      </w:r>
      <w:r>
        <w:t xml:space="preserve"> </w:t>
      </w:r>
      <m:oMath>
        <m:r>
          <m:t>k</m:t>
        </m:r>
      </m:oMath>
      <w:r>
        <w:t xml:space="preserve">. The full distribution over branches also allows fractile hazard curves at prescribed probability levels, which characterize the dispersion originated by the GMM epistemic uncertainty.</w:t>
      </w:r>
    </w:p>
    <w:p>
      <w:pPr>
        <w:pStyle w:val="BodyText"/>
      </w:pPr>
      <w:r>
        <w:t xml:space="preserve">The trees of this assessment assign equal weights to their branches, as their appendix sections detail. This weighting is a grounded epistemic response: where the strong-motion records are insufficient to discriminate statistically among candidate formulations, there is no empirical basis for assigning systematically greater weights to one model family, and differential weights would introduce an apparent precision without support, at the risk of under-representing the true range of epistemic uncertainty. From information theory, the uniform distribution is the maximum-entropy assignment under a state of equal prior knowledge</w:t>
      </w:r>
      <w:r>
        <w:t xml:space="preserve"> </w:t>
      </w:r>
      <w:r>
        <w:t xml:space="preserve">(</w:t>
      </w:r>
      <w:hyperlink w:anchor="ref-Springer2023LT">
        <w:r>
          <w:rPr>
            <w:rStyle w:val="Hyperlink"/>
          </w:rPr>
          <w:t xml:space="preserve">Motaghed et al., 2023</w:t>
        </w:r>
      </w:hyperlink>
      <w:r>
        <w:t xml:space="preserve">)</w:t>
      </w:r>
      <w:r>
        <w:t xml:space="preserve">.</w:t>
      </w:r>
    </w:p>
    <w:p>
      <w:pPr>
        <w:pStyle w:val="BodyText"/>
      </w:pPr>
      <w:r>
        <w:t xml:space="preserve">The complement of that weighting is the breadth of the ensemble. A large set of diverse genealogies – European, New Zealand, Taiwanese, and global NGA-West2 calibrations in active crust; eastern North America and the European and Australian cratons in stable crust; regional databases from Chile, Japan, Taiwan, and Mexico together with the global NGA-Subduction compilation in the subduction regimes – spans the widest defensible range of predictions and reduces the risk that the mean curve be dominated by a narrow group of models sharing common assumptions or training data</w:t>
      </w:r>
      <w:r>
        <w:t xml:space="preserve"> </w:t>
      </w:r>
      <w:r>
        <w:t xml:space="preserve">(</w:t>
      </w:r>
      <w:hyperlink w:anchor="ref-NRCSSHAC2012">
        <w:r>
          <w:rPr>
            <w:rStyle w:val="Hyperlink"/>
          </w:rPr>
          <w:t xml:space="preserve">U.S. Nuclear Regulatory Commission, 2012</w:t>
        </w:r>
      </w:hyperlink>
      <w:r>
        <w:t xml:space="preserve">)</w:t>
      </w:r>
      <w:r>
        <w:t xml:space="preserve">.</w:t>
      </w:r>
    </w:p>
    <w:p>
      <w:pPr>
        <w:pStyle w:val="BodyText"/>
      </w:pPr>
      <w:r>
        <w:t xml:space="preserve">Comparisons among GMMs require an operation distinct from the combination of hazard curves. For a fixed cell</w:t>
      </w:r>
      <w:r>
        <w:t xml:space="preserve"> </w:t>
      </w:r>
      <m:oMath>
        <m:r>
          <m:rPr>
            <m:sty m:val="b"/>
          </m:rPr>
          <m:t>x</m:t>
        </m:r>
        <m:r>
          <m:rPr>
            <m:sty m:val="p"/>
          </m:rPr>
          <m:t>=</m:t>
        </m:r>
        <m:r>
          <m:rPr>
            <m:sty m:val="p"/>
          </m:rPr>
          <m:t>(</m:t>
        </m:r>
        <m:sSub>
          <m:e>
            <m:r>
              <m:t>M</m:t>
            </m:r>
          </m:e>
          <m:sub>
            <m:r>
              <m:t>w</m:t>
            </m:r>
          </m:sub>
        </m:sSub>
        <m:r>
          <m:rPr>
            <m:sty m:val="p"/>
          </m:rPr>
          <m:t>,</m:t>
        </m:r>
        <m:sSub>
          <m:e>
            <m:r>
              <m:t>R</m:t>
            </m:r>
          </m:e>
          <m:sub>
            <m:r>
              <m:t>e</m:t>
            </m:r>
            <m:r>
              <m:t>p</m:t>
            </m:r>
            <m:r>
              <m:t>i</m:t>
            </m:r>
          </m:sub>
        </m:sSub>
        <m:r>
          <m:rPr>
            <m:sty m:val="p"/>
          </m:rPr>
          <m:t>,</m:t>
        </m:r>
        <m:r>
          <m:t>h</m:t>
        </m:r>
        <m:r>
          <m:rPr>
            <m:sty m:val="p"/>
          </m:rPr>
          <m:t>,</m:t>
        </m:r>
        <m:sSub>
          <m:e>
            <m:r>
              <m:t>T</m:t>
            </m:r>
          </m:e>
          <m:sub>
            <m:r>
              <m:t>n</m:t>
            </m:r>
          </m:sub>
        </m:sSub>
        <m:r>
          <m:rPr>
            <m:sty m:val="p"/>
          </m:rPr>
          <m:t>,</m:t>
        </m:r>
        <m:sSub>
          <m:e>
            <m:r>
              <m:t>V</m:t>
            </m:r>
          </m:e>
          <m:sub>
            <m:r>
              <m:t>S</m:t>
            </m:r>
            <m:r>
              <m:t>30</m:t>
            </m:r>
          </m:sub>
        </m:sSub>
        <m:r>
          <m:rPr>
            <m:sty m:val="p"/>
          </m:rPr>
          <m:t>)</m:t>
        </m:r>
      </m:oMath>
      <w:r>
        <w:t xml:space="preserve">, each branch</w:t>
      </w:r>
      <w:r>
        <w:t xml:space="preserve"> </w:t>
      </w:r>
      <m:oMath>
        <m:r>
          <m:t>k</m:t>
        </m:r>
      </m:oMath>
      <w:r>
        <w:t xml:space="preserve"> </w:t>
      </w:r>
      <w:r>
        <w:t xml:space="preserve">contributes a lognormal distribution with logarithmic median</w:t>
      </w:r>
      <w:r>
        <w:t xml:space="preserve"> </w:t>
      </w:r>
      <m:oMath>
        <m:sSub>
          <m:e>
            <m:r>
              <m:t>μ</m:t>
            </m:r>
          </m:e>
          <m:sub>
            <m:r>
              <m:t>k</m:t>
            </m:r>
          </m:sub>
        </m:sSub>
        <m:r>
          <m:rPr>
            <m:sty m:val="p"/>
          </m:rPr>
          <m:t>(</m:t>
        </m:r>
        <m:r>
          <m:rPr>
            <m:sty m:val="b"/>
          </m:rPr>
          <m:t>x</m:t>
        </m:r>
        <m:r>
          <m:rPr>
            <m:sty m:val="p"/>
          </m:rPr>
          <m:t>)</m:t>
        </m:r>
      </m:oMath>
      <w:r>
        <w:t xml:space="preserve"> </w:t>
      </w:r>
      <w:r>
        <w:t xml:space="preserve">and total logarithmic standard deviation</w:t>
      </w:r>
      <w:r>
        <w:t xml:space="preserve"> </w:t>
      </w:r>
      <m:oMath>
        <m:sSub>
          <m:e>
            <m:r>
              <m:t>σ</m:t>
            </m:r>
          </m:e>
          <m:sub>
            <m:r>
              <m:t>k</m:t>
            </m:r>
          </m:sub>
        </m:sSub>
        <m:r>
          <m:rPr>
            <m:sty m:val="p"/>
          </m:rPr>
          <m:t>(</m:t>
        </m:r>
        <m:r>
          <m:rPr>
            <m:sty m:val="b"/>
          </m:rPr>
          <m:t>x</m:t>
        </m:r>
        <m:r>
          <m:rPr>
            <m:sty m:val="p"/>
          </m:rPr>
          <m:t>)</m:t>
        </m:r>
      </m:oMath>
      <w:r>
        <w:t xml:space="preserve">. The cumulative distribution function of the weighted mixture is</w:t>
      </w:r>
    </w:p>
    <w:p>
      <w:pPr>
        <w:pStyle w:val="Equation"/>
      </w:pPr>
      <w:bookmarkStart w:id="49" w:name="eq-gmm-grid-mixture"/>
      <w:r>
        <w:tab/>
      </w:r>
      <m:oMath>
        <m:sSub>
          <m:e>
            <m:r>
              <m:t>F</m:t>
            </m:r>
          </m:e>
          <m:sub>
            <m:sSub>
              <m:e>
                <m:r>
                  <m:t>S</m:t>
                </m:r>
              </m:e>
              <m:sub>
                <m:r>
                  <m:t>a</m:t>
                </m:r>
              </m:sub>
            </m:sSub>
          </m:sub>
        </m:sSub>
        <m:r>
          <m:rPr>
            <m:sty m:val="p"/>
          </m:rPr>
          <m:t>(</m:t>
        </m:r>
        <m:r>
          <m:t>a</m:t>
        </m:r>
        <m:r>
          <m:rPr>
            <m:sty m:val="p"/>
          </m:rPr>
          <m:t>∣</m:t>
        </m:r>
        <m:r>
          <m:rPr>
            <m:sty m:val="b"/>
          </m:rPr>
          <m:t>x</m:t>
        </m:r>
        <m:r>
          <m:rPr>
            <m:sty m:val="p"/>
          </m:rPr>
          <m:t>)</m:t>
        </m:r>
        <m:r>
          <m:rPr>
            <m:sty m:val="p"/>
          </m:rPr>
          <m:t>=</m:t>
        </m:r>
        <m:nary>
          <m:naryPr>
            <m:chr m:val="∑"/>
            <m:limLoc m:val="undOvr"/>
            <m:subHide m:val="off"/>
            <m:supHide m:val="off"/>
          </m:naryPr>
          <m:sub>
            <m:r>
              <m:t>k</m:t>
            </m:r>
            <m:r>
              <m:rPr>
                <m:sty m:val="p"/>
              </m:rPr>
              <m:t>=</m:t>
            </m:r>
            <m:r>
              <m:t>1</m:t>
            </m:r>
          </m:sub>
          <m:sup>
            <m:r>
              <m:t>N</m:t>
            </m:r>
          </m:sup>
          <m:e>
            <m:sSub>
              <m:e>
                <m:r>
                  <m:t>w</m:t>
                </m:r>
              </m:e>
              <m:sub>
                <m:r>
                  <m:t>k</m:t>
                </m:r>
              </m:sub>
            </m:sSub>
          </m:e>
        </m:nary>
        <m:r>
          <m:t> </m:t>
        </m:r>
        <m:r>
          <m:rPr>
            <m:sty m:val="p"/>
          </m:rPr>
          <m:t>Φ</m:t>
        </m:r>
        <m:r>
          <m:t>​</m:t>
        </m:r>
        <m:d>
          <m:dPr>
            <m:begChr m:val="["/>
            <m:sepChr m:val=""/>
            <m:endChr m:val="]"/>
            <m:grow/>
          </m:dPr>
          <m:e>
            <m:f>
              <m:fPr>
                <m:type m:val="bar"/>
              </m:fPr>
              <m:num>
                <m:r>
                  <m:rPr>
                    <m:sty m:val="p"/>
                  </m:rPr>
                  <m:t>ln</m:t>
                </m:r>
                <m:r>
                  <m:t>a</m:t>
                </m:r>
                <m:r>
                  <m:rPr>
                    <m:sty m:val="p"/>
                  </m:rPr>
                  <m:t>−</m:t>
                </m:r>
                <m:sSub>
                  <m:e>
                    <m:r>
                      <m:t>μ</m:t>
                    </m:r>
                  </m:e>
                  <m:sub>
                    <m:r>
                      <m:t>k</m:t>
                    </m:r>
                  </m:sub>
                </m:sSub>
                <m:r>
                  <m:rPr>
                    <m:sty m:val="p"/>
                  </m:rPr>
                  <m:t>(</m:t>
                </m:r>
                <m:r>
                  <m:rPr>
                    <m:sty m:val="b"/>
                  </m:rPr>
                  <m:t>x</m:t>
                </m:r>
                <m:r>
                  <m:rPr>
                    <m:sty m:val="p"/>
                  </m:rPr>
                  <m:t>)</m:t>
                </m:r>
              </m:num>
              <m:den>
                <m:sSub>
                  <m:e>
                    <m:r>
                      <m:t>σ</m:t>
                    </m:r>
                  </m:e>
                  <m:sub>
                    <m:r>
                      <m:t>k</m:t>
                    </m:r>
                  </m:sub>
                </m:sSub>
                <m:r>
                  <m:rPr>
                    <m:sty m:val="p"/>
                  </m:rPr>
                  <m:t>(</m:t>
                </m:r>
                <m:r>
                  <m:rPr>
                    <m:sty m:val="b"/>
                  </m:rPr>
                  <m:t>x</m:t>
                </m:r>
                <m:r>
                  <m:rPr>
                    <m:sty m:val="p"/>
                  </m:rPr>
                  <m:t>)</m:t>
                </m:r>
              </m:den>
            </m:f>
          </m:e>
        </m:d>
        <m:r>
          <m:rPr>
            <m:sty m:val="p"/>
          </m:rPr>
          <m:t>.</m:t>
        </m:r>
      </m:oMath>
      <w:r>
        <w:tab/>
      </w:r>
      <w:r>
        <w:t xml:space="preserve">(3.18)</w:t>
      </w:r>
      <w:bookmarkEnd w:id="49"/>
    </w:p>
    <w:p>
      <w:pPr>
        <w:pStyle w:val="BodyText"/>
      </w:pPr>
      <w:r>
        <w:t xml:space="preserve">and the tabulated quantiles are obtained by numerically inverting this function for the seven probability levels</w:t>
      </w:r>
      <w:r>
        <w:t xml:space="preserve"> </w:t>
      </w:r>
      <m:oMath>
        <m:r>
          <m:t>p</m:t>
        </m:r>
      </m:oMath>
      <w:r>
        <w:t xml:space="preserve"> </w:t>
      </w:r>
      <w:r>
        <w:t xml:space="preserve">of the products, 0.05, 0.10, 0.16, 0.50, 0.84, 0.90, and 0.95,</w:t>
      </w:r>
    </w:p>
    <w:p>
      <w:pPr>
        <w:pStyle w:val="Equation"/>
      </w:pPr>
      <w:bookmarkStart w:id="50" w:name="eq-gmm-grid-quantile"/>
      <w:r>
        <w:tab/>
      </w:r>
      <m:oMath>
        <m:sSubSup>
          <m:e>
            <m:r>
              <m:t>S</m:t>
            </m:r>
          </m:e>
          <m:sub>
            <m:r>
              <m:t>a</m:t>
            </m:r>
          </m:sub>
          <m:sup>
            <m:r>
              <m:rPr>
                <m:sty m:val="p"/>
              </m:rPr>
              <m:t>(</m:t>
            </m:r>
            <m:r>
              <m:t>p</m:t>
            </m:r>
            <m:r>
              <m:rPr>
                <m:sty m:val="p"/>
              </m:rPr>
              <m:t>)</m:t>
            </m:r>
          </m:sup>
        </m:sSubSup>
        <m:r>
          <m:rPr>
            <m:sty m:val="p"/>
          </m:rPr>
          <m:t>(</m:t>
        </m:r>
        <m:r>
          <m:rPr>
            <m:sty m:val="b"/>
          </m:rPr>
          <m:t>x</m:t>
        </m:r>
        <m:r>
          <m:rPr>
            <m:sty m:val="p"/>
          </m:rPr>
          <m:t>)</m:t>
        </m:r>
        <m:r>
          <m:rPr>
            <m:sty m:val="p"/>
          </m:rPr>
          <m:t>=</m:t>
        </m:r>
        <m:sSubSup>
          <m:e>
            <m:r>
              <m:t>F</m:t>
            </m:r>
          </m:e>
          <m:sub>
            <m:sSub>
              <m:e>
                <m:r>
                  <m:t>S</m:t>
                </m:r>
              </m:e>
              <m:sub>
                <m:r>
                  <m:t>a</m:t>
                </m:r>
              </m:sub>
            </m:sSub>
          </m:sub>
          <m:sup>
            <m:r>
              <m:rPr>
                <m:sty m:val="p"/>
              </m:rPr>
              <m:t>−</m:t>
            </m:r>
            <m:r>
              <m:t>1</m:t>
            </m:r>
          </m:sup>
        </m:sSubSup>
        <m:r>
          <m:rPr>
            <m:sty m:val="p"/>
          </m:rPr>
          <m:t>(</m:t>
        </m:r>
        <m:r>
          <m:t>p</m:t>
        </m:r>
        <m:r>
          <m:rPr>
            <m:sty m:val="p"/>
          </m:rPr>
          <m:t>∣</m:t>
        </m:r>
        <m:r>
          <m:rPr>
            <m:sty m:val="b"/>
          </m:rPr>
          <m:t>x</m:t>
        </m:r>
        <m:r>
          <m:rPr>
            <m:sty m:val="p"/>
          </m:rPr>
          <m:t>)</m:t>
        </m:r>
        <m:r>
          <m:rPr>
            <m:sty m:val="p"/>
          </m:rPr>
          <m:t>.</m:t>
        </m:r>
      </m:oMath>
      <w:r>
        <w:tab/>
      </w:r>
      <w:r>
        <w:t xml:space="preserve">(3.19)</w:t>
      </w:r>
      <w:bookmarkEnd w:id="50"/>
    </w:p>
    <w:p>
      <w:pPr>
        <w:pStyle w:val="BodyText"/>
      </w:pPr>
      <w:r>
        <w:t xml:space="preserve">while the arithmetic mean of the mixture is evaluated directly from its lognormal components:</w:t>
      </w:r>
    </w:p>
    <w:p>
      <w:pPr>
        <w:pStyle w:val="Equation"/>
      </w:pPr>
      <w:bookmarkStart w:id="51" w:name="eq-gmm-grid-mean"/>
      <w:r>
        <w:tab/>
      </w:r>
      <m:oMath>
        <m:r>
          <m:t>E</m:t>
        </m:r>
        <m:r>
          <m:rPr>
            <m:sty m:val="p"/>
          </m:rPr>
          <m:t>[</m:t>
        </m:r>
        <m:sSub>
          <m:e>
            <m:r>
              <m:t>S</m:t>
            </m:r>
          </m:e>
          <m:sub>
            <m:r>
              <m:t>a</m:t>
            </m:r>
          </m:sub>
        </m:sSub>
        <m:r>
          <m:rPr>
            <m:sty m:val="p"/>
          </m:rPr>
          <m:t>∣</m:t>
        </m:r>
        <m:r>
          <m:rPr>
            <m:sty m:val="b"/>
          </m:rPr>
          <m:t>x</m:t>
        </m:r>
        <m:r>
          <m:rPr>
            <m:sty m:val="p"/>
          </m:rPr>
          <m:t>]</m:t>
        </m:r>
        <m:r>
          <m:rPr>
            <m:sty m:val="p"/>
          </m:rPr>
          <m:t>=</m:t>
        </m:r>
        <m:nary>
          <m:naryPr>
            <m:chr m:val="∑"/>
            <m:limLoc m:val="undOvr"/>
            <m:subHide m:val="off"/>
            <m:supHide m:val="off"/>
          </m:naryPr>
          <m:sub>
            <m:r>
              <m:t>k</m:t>
            </m:r>
            <m:r>
              <m:rPr>
                <m:sty m:val="p"/>
              </m:rPr>
              <m:t>=</m:t>
            </m:r>
            <m:r>
              <m:t>1</m:t>
            </m:r>
          </m:sub>
          <m:sup>
            <m:r>
              <m:t>N</m:t>
            </m:r>
          </m:sup>
          <m:e>
            <m:sSub>
              <m:e>
                <m:r>
                  <m:t>w</m:t>
                </m:r>
              </m:e>
              <m:sub>
                <m:r>
                  <m:t>k</m:t>
                </m:r>
              </m:sub>
            </m:sSub>
          </m:e>
        </m:nary>
        <m:r>
          <m:rPr>
            <m:sty m:val="p"/>
          </m:rPr>
          <m:t>exp</m:t>
        </m:r>
        <m:r>
          <m:t>​</m:t>
        </m:r>
        <m:d>
          <m:dPr>
            <m:begChr m:val="["/>
            <m:sepChr m:val=""/>
            <m:endChr m:val="]"/>
            <m:grow/>
          </m:dPr>
          <m:e>
            <m:sSub>
              <m:e>
                <m:r>
                  <m:t>μ</m:t>
                </m:r>
              </m:e>
              <m:sub>
                <m:r>
                  <m:t>k</m:t>
                </m:r>
              </m:sub>
            </m:sSub>
            <m:r>
              <m:rPr>
                <m:sty m:val="p"/>
              </m:rPr>
              <m:t>(</m:t>
            </m:r>
            <m:r>
              <m:rPr>
                <m:sty m:val="b"/>
              </m:rPr>
              <m:t>x</m:t>
            </m:r>
            <m:r>
              <m:rPr>
                <m:sty m:val="p"/>
              </m:rPr>
              <m:t>)</m:t>
            </m:r>
            <m:r>
              <m:rPr>
                <m:sty m:val="p"/>
              </m:rPr>
              <m:t>+</m:t>
            </m:r>
            <m:f>
              <m:fPr>
                <m:type m:val="bar"/>
              </m:fPr>
              <m:num>
                <m:sSubSup>
                  <m:e>
                    <m:r>
                      <m:t>σ</m:t>
                    </m:r>
                  </m:e>
                  <m:sub>
                    <m:r>
                      <m:t>k</m:t>
                    </m:r>
                  </m:sub>
                  <m:sup>
                    <m:r>
                      <m:t>2</m:t>
                    </m:r>
                  </m:sup>
                </m:sSubSup>
                <m:r>
                  <m:rPr>
                    <m:sty m:val="p"/>
                  </m:rPr>
                  <m:t>(</m:t>
                </m:r>
                <m:r>
                  <m:rPr>
                    <m:sty m:val="b"/>
                  </m:rPr>
                  <m:t>x</m:t>
                </m:r>
                <m:r>
                  <m:rPr>
                    <m:sty m:val="p"/>
                  </m:rPr>
                  <m:t>)</m:t>
                </m:r>
              </m:num>
              <m:den>
                <m:r>
                  <m:t>2</m:t>
                </m:r>
              </m:den>
            </m:f>
          </m:e>
        </m:d>
        <m:r>
          <m:rPr>
            <m:sty m:val="p"/>
          </m:rPr>
          <m:t>.</m:t>
        </m:r>
      </m:oMath>
      <w:r>
        <w:tab/>
      </w:r>
      <w:r>
        <w:t xml:space="preserve">(3.20)</w:t>
      </w:r>
      <w:bookmarkEnd w:id="51"/>
    </w:p>
    <w:p>
      <w:pPr>
        <w:pStyle w:val="BodyText"/>
      </w:pPr>
      <w:r>
        <w:t xml:space="preserve">The separation among the branch medians represents the epistemic dispersion across models, and each</w:t>
      </w:r>
      <w:r>
        <w:t xml:space="preserve"> </w:t>
      </w:r>
      <m:oMath>
        <m:sSub>
          <m:e>
            <m:r>
              <m:t>σ</m:t>
            </m:r>
          </m:e>
          <m:sub>
            <m:r>
              <m:t>k</m:t>
            </m:r>
          </m:sub>
        </m:sSub>
      </m:oMath>
      <w:r>
        <w:t xml:space="preserve"> </w:t>
      </w:r>
      <w:r>
        <w:t xml:space="preserve">retains the aleatory variability of its formulation; the p5–p95 band is bounded by the 5th and 95th percentiles of the mixed conditional distribution and gathers both contributions. This per-cell mixture is used in the attenuation curves, the comparative spectra, and the conditional scenario evaluations. In the PSHA, each branch is integrated separately before the hazard curves are weighted; the resulting uniform hazard spectra constitute the spectral input of the probabilistic estimation of Newmark displacements (Chapter</w:t>
      </w:r>
      <w:r>
        <w:t xml:space="preserve"> </w:t>
      </w:r>
      <w:hyperlink w:anchor="sec-coefficients">
        <w:r>
          <w:rPr>
            <w:rStyle w:val="Hyperlink"/>
          </w:rPr>
          <w:t xml:space="preserve">5.2</w:t>
        </w:r>
      </w:hyperlink>
      <w:r>
        <w:t xml:space="preserve">), so the influence of the GMMs reaches that stage through those spectra</w:t>
      </w:r>
      <w:r>
        <w:t xml:space="preserve"> </w:t>
      </w:r>
      <w:r>
        <w:t xml:space="preserve">(</w:t>
      </w:r>
      <w:hyperlink w:anchor="ref-VerriKozlowski2026Newmark">
        <w:r>
          <w:rPr>
            <w:rStyle w:val="Hyperlink"/>
          </w:rPr>
          <w:t xml:space="preserve">Verri Kozlowski, 2026a</w:t>
        </w:r>
      </w:hyperlink>
      <w:r>
        <w:t xml:space="preserve">)</w:t>
      </w:r>
      <w:r>
        <w:t xml:space="preserve">.</w:t>
      </w:r>
    </w:p>
    <w:p>
      <w:pPr>
        <w:pStyle w:val="BodyText"/>
      </w:pPr>
      <w:r>
        <w:t xml:space="preserve">The seismic hazard assessment is documented in the</w:t>
      </w:r>
      <w:r>
        <w:t xml:space="preserve"> </w:t>
      </w:r>
      <w:hyperlink r:id="rId9">
        <w:r>
          <w:rPr>
            <w:rStyle w:val="Hyperlink"/>
          </w:rPr>
          <w:t xml:space="preserve">Seismic Hazard Assessment</w:t>
        </w:r>
      </w:hyperlink>
      <w:r>
        <w:t xml:space="preserve"> </w:t>
      </w:r>
      <w:r>
        <w:t xml:space="preserve">annex.</w:t>
      </w:r>
    </w:p>
    <w:bookmarkEnd w:id="52"/>
    <w:bookmarkStart w:id="62" w:name="sec-mce"/>
    <w:p>
      <w:pPr>
        <w:pStyle w:val="Heading2"/>
      </w:pPr>
      <w:r>
        <w:t xml:space="preserve">3.4</w:t>
      </w:r>
      <w:r>
        <w:tab/>
      </w:r>
      <w:r>
        <w:t xml:space="preserve">Deterministic Seismic Hazard Assessment (DSHA)</w:t>
      </w:r>
    </w:p>
    <w:p>
      <w:pPr>
        <w:pStyle w:val="FirstParagraph"/>
      </w:pPr>
      <w:r>
        <w:t xml:space="preserve">The deterministic assessment characterizes the seismic demand through a finite set of postulated rupture scenarios. Each scenario represents the maximum credible earthquake (MCE) of one source: the largest earthquake reasonably conceivable along a recognized fault or within a geographically defined tectonic province, under the presently known tectonic framework</w:t>
      </w:r>
      <w:r>
        <w:t xml:space="preserve"> </w:t>
      </w:r>
      <w:r>
        <w:t xml:space="preserve">(</w:t>
      </w:r>
      <w:hyperlink w:anchor="ref-ICOLD2016">
        <w:r>
          <w:rPr>
            <w:rStyle w:val="Hyperlink"/>
          </w:rPr>
          <w:t xml:space="preserve">International Commission on Large Dams, 2016</w:t>
        </w:r>
      </w:hyperlink>
      <w:r>
        <w:t xml:space="preserve">)</w:t>
      </w:r>
      <w:r>
        <w:t xml:space="preserve">. Each scenario preserves the identity of the tectonic source, its tectonic regime, the adopted moment magnitude, the rupture geometry, and the source-to-site distances required by the ground-motion models. The objective is to obtain the conditional distribution of spectral acceleration for each scenario and to construct, period by period, the deterministic envelopes used in the comparison with the probabilistic hazard.</w:t>
      </w:r>
    </w:p>
    <w:p>
      <w:pPr>
        <w:pStyle w:val="BodyText"/>
      </w:pPr>
      <w:r>
        <w:t xml:space="preserve">The construction of the scenarios starts from the tectonic characterization adopted for each source: tectonic regime, magnitude, and explicit geometric rupture variants. Each realization represents one of those variants, receives the same weight, and supplies the distance vector required by the ground-motion models. The logic tree corresponding to the tectonic regime (Chapter</w:t>
      </w:r>
      <w:r>
        <w:t xml:space="preserve"> </w:t>
      </w:r>
      <w:hyperlink w:anchor="sec-gmm_appendix">
        <w:r>
          <w:rPr>
            <w:rStyle w:val="Hyperlink"/>
          </w:rPr>
          <w:t xml:space="preserve">3.3</w:t>
        </w:r>
      </w:hyperlink>
      <w:r>
        <w:t xml:space="preserve">) supplies the model branches and their weights; each combination of rupture realization and GMM branch constitutes a component of the scenario distribution</w:t>
      </w:r>
      <w:r>
        <w:t xml:space="preserve"> </w:t>
      </w:r>
      <w:r>
        <w:t xml:space="preserve">(</w:t>
      </w:r>
      <w:hyperlink w:anchor="ref-OpenQuakeEngine">
        <w:r>
          <w:rPr>
            <w:rStyle w:val="Hyperlink"/>
          </w:rPr>
          <w:t xml:space="preserve">GEM Foundation, 2023</w:t>
        </w:r>
      </w:hyperlink>
      <w:r>
        <w:t xml:space="preserve">)</w:t>
      </w:r>
      <w:r>
        <w:t xml:space="preserve">.</w:t>
      </w:r>
    </w:p>
    <w:p>
      <w:pPr>
        <w:pStyle w:val="BodyText"/>
      </w:pPr>
      <w:r>
        <w:t xml:space="preserve">The two assessments differ in the treatment of the conditional exceedance probability: the probabilistic assessment integrates it over the recurrence of the sources, whereas the deterministic assessment computes that same probability conditioned on the occurrence of the postulated scenario. For the scenario</w:t>
      </w:r>
      <w:r>
        <w:t xml:space="preserve"> </w:t>
      </w:r>
      <m:oMath>
        <m:r>
          <m:t>e</m:t>
        </m:r>
        <m:r>
          <m:rPr>
            <m:sty m:val="p"/>
          </m:rPr>
          <m:t>=</m:t>
        </m:r>
        <m:r>
          <m:rPr>
            <m:sty m:val="p"/>
          </m:rPr>
          <m:t>(</m:t>
        </m:r>
        <m:sSub>
          <m:e>
            <m:r>
              <m:t>m</m:t>
            </m:r>
          </m:e>
          <m:sub>
            <m:r>
              <m:t>e</m:t>
            </m:r>
          </m:sub>
        </m:sSub>
        <m:r>
          <m:rPr>
            <m:sty m:val="p"/>
          </m:rPr>
          <m:t>,</m:t>
        </m:r>
        <m:sSub>
          <m:e>
            <m:r>
              <m:rPr>
                <m:sty m:val="b"/>
              </m:rPr>
              <m:t>r</m:t>
            </m:r>
          </m:e>
          <m:sub>
            <m:r>
              <m:t>e</m:t>
            </m:r>
          </m:sub>
        </m:sSub>
        <m:r>
          <m:rPr>
            <m:sty m:val="p"/>
          </m:rPr>
          <m:t>,</m:t>
        </m:r>
        <m:sSub>
          <m:e>
            <m:r>
              <m:rPr>
                <m:sty m:val="b"/>
              </m:rPr>
              <m:t>θ</m:t>
            </m:r>
          </m:e>
          <m:sub>
            <m:r>
              <m:t>e</m:t>
            </m:r>
          </m:sub>
        </m:sSub>
        <m:r>
          <m:rPr>
            <m:sty m:val="p"/>
          </m:rPr>
          <m:t>)</m:t>
        </m:r>
      </m:oMath>
      <w:r>
        <w:t xml:space="preserve">,</w:t>
      </w:r>
      <w:r>
        <w:t xml:space="preserve"> </w:t>
      </w:r>
      <m:oMath>
        <m:sSub>
          <m:e>
            <m:r>
              <m:t>m</m:t>
            </m:r>
          </m:e>
          <m:sub>
            <m:r>
              <m:t>e</m:t>
            </m:r>
          </m:sub>
        </m:sSub>
      </m:oMath>
      <w:r>
        <w:t xml:space="preserve"> </w:t>
      </w:r>
      <w:r>
        <w:t xml:space="preserve">is the moment magnitude,</w:t>
      </w:r>
      <w:r>
        <w:t xml:space="preserve"> </w:t>
      </w:r>
      <m:oMath>
        <m:sSub>
          <m:e>
            <m:r>
              <m:rPr>
                <m:sty m:val="b"/>
              </m:rPr>
              <m:t>r</m:t>
            </m:r>
          </m:e>
          <m:sub>
            <m:r>
              <m:t>e</m:t>
            </m:r>
          </m:sub>
        </m:sSub>
      </m:oMath>
      <w:r>
        <w:t xml:space="preserve"> </w:t>
      </w:r>
      <w:r>
        <w:t xml:space="preserve">collects the source-to-site distances, and</w:t>
      </w:r>
      <w:r>
        <w:t xml:space="preserve"> </w:t>
      </w:r>
      <m:oMath>
        <m:sSub>
          <m:e>
            <m:r>
              <m:rPr>
                <m:sty m:val="b"/>
              </m:rPr>
              <m:t>θ</m:t>
            </m:r>
          </m:e>
          <m:sub>
            <m:r>
              <m:t>e</m:t>
            </m:r>
          </m:sub>
        </m:sSub>
      </m:oMath>
      <w:r>
        <w:t xml:space="preserve"> </w:t>
      </w:r>
      <w:r>
        <w:t xml:space="preserve">contains the remaining rupture parameters and the site condition. The intensity</w:t>
      </w:r>
      <w:r>
        <w:t xml:space="preserve"> </w:t>
      </w:r>
      <m:oMath>
        <m:r>
          <m:t>I</m:t>
        </m:r>
      </m:oMath>
      <w:r>
        <w:t xml:space="preserve"> </w:t>
      </w:r>
      <w:r>
        <w:t xml:space="preserve">represents the maximum horizontal ordinate</w:t>
      </w:r>
      <w:r>
        <w:t xml:space="preserve"> </w:t>
      </w:r>
      <m:oMath>
        <m:sSub>
          <m:e>
            <m:r>
              <m:t>S</m:t>
            </m:r>
          </m:e>
          <m:sub>
            <m:r>
              <m:t>a</m:t>
            </m:r>
          </m:sub>
        </m:sSub>
        <m:r>
          <m:rPr>
            <m:sty m:val="p"/>
          </m:rPr>
          <m:t>(</m:t>
        </m:r>
        <m:sSub>
          <m:e>
            <m:r>
              <m:t>T</m:t>
            </m:r>
          </m:e>
          <m:sub>
            <m:r>
              <m:t>n</m:t>
            </m:r>
          </m:sub>
        </m:sSub>
        <m:r>
          <m:rPr>
            <m:sty m:val="p"/>
          </m:rPr>
          <m:t>)</m:t>
        </m:r>
      </m:oMath>
      <w:r>
        <w:t xml:space="preserve"> </w:t>
      </w:r>
      <w:r>
        <w:t xml:space="preserve">at period</w:t>
      </w:r>
      <w:r>
        <w:t xml:space="preserve"> </w:t>
      </w:r>
      <m:oMath>
        <m:sSub>
          <m:e>
            <m:r>
              <m:t>T</m:t>
            </m:r>
          </m:e>
          <m:sub>
            <m:r>
              <m:t>n</m:t>
            </m:r>
          </m:sub>
        </m:sSub>
      </m:oMath>
      <w:r>
        <w:t xml:space="preserve">, and</w:t>
      </w:r>
      <w:r>
        <w:t xml:space="preserve"> </w:t>
      </w:r>
      <m:oMath>
        <m:sSup>
          <m:e>
            <m:r>
              <m:t>i</m:t>
            </m:r>
          </m:e>
          <m:sup>
            <m:r>
              <m:rPr>
                <m:sty m:val="p"/>
              </m:rPr>
              <m:t>*</m:t>
            </m:r>
          </m:sup>
        </m:sSup>
      </m:oMath>
      <w:r>
        <w:t xml:space="preserve"> </w:t>
      </w:r>
      <w:r>
        <w:t xml:space="preserve">is the level whose exceedance is evaluated. Each component of the scenario distribution is a lognormal prediction. For a rupture realization</w:t>
      </w:r>
      <w:r>
        <w:t xml:space="preserve"> </w:t>
      </w:r>
      <m:oMath>
        <m:r>
          <m:t>r</m:t>
        </m:r>
      </m:oMath>
      <w:r>
        <w:t xml:space="preserve"> </w:t>
      </w:r>
      <w:r>
        <w:t xml:space="preserve">and a GMM branch</w:t>
      </w:r>
      <w:r>
        <w:t xml:space="preserve"> </w:t>
      </w:r>
      <m:oMath>
        <m:r>
          <m:t>g</m:t>
        </m:r>
      </m:oMath>
      <w:r>
        <w:t xml:space="preserve">, the logarithm of the intensity is represented by a normal distribution with mean</w:t>
      </w:r>
      <w:r>
        <w:t xml:space="preserve"> </w:t>
      </w:r>
      <m:oMath>
        <m:sSub>
          <m:e>
            <m:r>
              <m:t>μ</m:t>
            </m:r>
          </m:e>
          <m:sub>
            <m:r>
              <m:t>r</m:t>
            </m:r>
            <m:r>
              <m:t>g</m:t>
            </m:r>
          </m:sub>
        </m:sSub>
        <m:r>
          <m:rPr>
            <m:sty m:val="p"/>
          </m:rPr>
          <m:t>=</m:t>
        </m:r>
        <m:r>
          <m:rPr>
            <m:sty m:val="p"/>
          </m:rPr>
          <m:t>ln</m:t>
        </m:r>
        <m:sSub>
          <m:e>
            <m:acc>
              <m:accPr>
                <m:chr m:val="̂"/>
              </m:accPr>
              <m:e>
                <m:r>
                  <m:t>η</m:t>
                </m:r>
              </m:e>
            </m:acc>
          </m:e>
          <m:sub>
            <m:r>
              <m:t>I</m:t>
            </m:r>
          </m:sub>
        </m:sSub>
        <m:r>
          <m:rPr>
            <m:sty m:val="p"/>
          </m:rPr>
          <m:t>(</m:t>
        </m:r>
        <m:sSub>
          <m:e>
            <m:r>
              <m:t>m</m:t>
            </m:r>
          </m:e>
          <m:sub>
            <m:r>
              <m:t>e</m:t>
            </m:r>
          </m:sub>
        </m:sSub>
        <m:r>
          <m:rPr>
            <m:sty m:val="p"/>
          </m:rPr>
          <m:t>,</m:t>
        </m:r>
        <m:sSub>
          <m:e>
            <m:r>
              <m:rPr>
                <m:sty m:val="b"/>
              </m:rPr>
              <m:t>r</m:t>
            </m:r>
          </m:e>
          <m:sub>
            <m:r>
              <m:t>r</m:t>
            </m:r>
          </m:sub>
        </m:sSub>
        <m:r>
          <m:rPr>
            <m:sty m:val="p"/>
          </m:rPr>
          <m:t>,</m:t>
        </m:r>
        <m:r>
          <m:t>F</m:t>
        </m:r>
        <m:r>
          <m:rPr>
            <m:sty m:val="p"/>
          </m:rPr>
          <m:t>,</m:t>
        </m:r>
        <m:r>
          <m:t>S</m:t>
        </m:r>
        <m:r>
          <m:rPr>
            <m:sty m:val="p"/>
          </m:rPr>
          <m:t>)</m:t>
        </m:r>
      </m:oMath>
      <w:r>
        <w:t xml:space="preserve">, evaluated with the corresponding formulation, and standard deviation</w:t>
      </w:r>
      <w:r>
        <w:t xml:space="preserve"> </w:t>
      </w:r>
      <m:oMath>
        <m:sSub>
          <m:e>
            <m:r>
              <m:t>σ</m:t>
            </m:r>
          </m:e>
          <m:sub>
            <m:r>
              <m:t>r</m:t>
            </m:r>
            <m:r>
              <m:t>g</m:t>
            </m:r>
          </m:sub>
        </m:sSub>
        <m:r>
          <m:rPr>
            <m:sty m:val="p"/>
          </m:rPr>
          <m:t>=</m:t>
        </m:r>
        <m:sSub>
          <m:e>
            <m:r>
              <m:t>σ</m:t>
            </m:r>
          </m:e>
          <m:sub>
            <m:r>
              <m:rPr>
                <m:sty m:val="p"/>
              </m:rPr>
              <m:t>ln</m:t>
            </m:r>
            <m:r>
              <m:t>I</m:t>
            </m:r>
          </m:sub>
        </m:sSub>
      </m:oMath>
      <w:r>
        <w:t xml:space="preserve">. In this expression,</w:t>
      </w:r>
      <w:r>
        <w:t xml:space="preserve"> </w:t>
      </w:r>
      <m:oMath>
        <m:sSub>
          <m:e>
            <m:acc>
              <m:accPr>
                <m:chr m:val="̂"/>
              </m:accPr>
              <m:e>
                <m:r>
                  <m:t>η</m:t>
                </m:r>
              </m:e>
            </m:acc>
          </m:e>
          <m:sub>
            <m:r>
              <m:t>I</m:t>
            </m:r>
          </m:sub>
        </m:sSub>
      </m:oMath>
      <w:r>
        <w:t xml:space="preserve"> </w:t>
      </w:r>
      <w:r>
        <w:t xml:space="preserve">is the median intensity in linear units,</w:t>
      </w:r>
      <w:r>
        <w:t xml:space="preserve"> </w:t>
      </w:r>
      <m:oMath>
        <m:sSub>
          <m:e>
            <m:r>
              <m:rPr>
                <m:sty m:val="b"/>
              </m:rPr>
              <m:t>r</m:t>
            </m:r>
          </m:e>
          <m:sub>
            <m:r>
              <m:t>r</m:t>
            </m:r>
          </m:sub>
        </m:sSub>
      </m:oMath>
      <w:r>
        <w:t xml:space="preserve"> </w:t>
      </w:r>
      <w:r>
        <w:t xml:space="preserve">is the distance vector of the realization,</w:t>
      </w:r>
      <w:r>
        <w:t xml:space="preserve"> </w:t>
      </w:r>
      <m:oMath>
        <m:r>
          <m:t>F</m:t>
        </m:r>
      </m:oMath>
      <w:r>
        <w:t xml:space="preserve"> </w:t>
      </w:r>
      <w:r>
        <w:t xml:space="preserve">represents the faulting style, and</w:t>
      </w:r>
      <w:r>
        <w:t xml:space="preserve"> </w:t>
      </w:r>
      <m:oMath>
        <m:r>
          <m:t>S</m:t>
        </m:r>
      </m:oMath>
      <w:r>
        <w:t xml:space="preserve"> </w:t>
      </w:r>
      <w:r>
        <w:t xml:space="preserve">the site condition. Identifying each pair</w:t>
      </w:r>
      <w:r>
        <w:t xml:space="preserve"> </w:t>
      </w:r>
      <m:oMath>
        <m:r>
          <m:rPr>
            <m:sty m:val="p"/>
          </m:rPr>
          <m:t>(</m:t>
        </m:r>
        <m:r>
          <m:t>r</m:t>
        </m:r>
        <m:r>
          <m:rPr>
            <m:sty m:val="p"/>
          </m:rPr>
          <m:t>,</m:t>
        </m:r>
        <m:r>
          <m:t>g</m:t>
        </m:r>
        <m:r>
          <m:rPr>
            <m:sty m:val="p"/>
          </m:rPr>
          <m:t>)</m:t>
        </m:r>
      </m:oMath>
      <w:r>
        <w:t xml:space="preserve"> </w:t>
      </w:r>
      <w:r>
        <w:t xml:space="preserve">by</w:t>
      </w:r>
      <w:r>
        <w:t xml:space="preserve"> </w:t>
      </w:r>
      <m:oMath>
        <m:r>
          <m:t>k</m:t>
        </m:r>
      </m:oMath>
      <w:r>
        <w:t xml:space="preserve">, the component weight is</w:t>
      </w:r>
    </w:p>
    <w:p>
      <w:pPr>
        <w:pStyle w:val="Equation"/>
      </w:pPr>
      <w:bookmarkStart w:id="53" w:name="eq-scenario-weights"/>
      <w:r>
        <w:tab/>
      </w:r>
      <m:oMath>
        <m:sSub>
          <m:e>
            <m:r>
              <m:t>w</m:t>
            </m:r>
          </m:e>
          <m:sub>
            <m:r>
              <m:t>k</m:t>
            </m:r>
          </m:sub>
        </m:sSub>
        <m:r>
          <m:rPr>
            <m:sty m:val="p"/>
          </m:rPr>
          <m:t>=</m:t>
        </m:r>
        <m:f>
          <m:fPr>
            <m:type m:val="bar"/>
          </m:fPr>
          <m:num>
            <m:sSub>
              <m:e>
                <m:r>
                  <m:t>v</m:t>
                </m:r>
              </m:e>
              <m:sub>
                <m:r>
                  <m:t>g</m:t>
                </m:r>
              </m:sub>
            </m:sSub>
          </m:num>
          <m:den>
            <m:sSub>
              <m:e>
                <m:r>
                  <m:t>N</m:t>
                </m:r>
              </m:e>
              <m:sub>
                <m:r>
                  <m:t>R</m:t>
                </m:r>
              </m:sub>
            </m:sSub>
          </m:den>
        </m:f>
        <m:r>
          <m:rPr>
            <m:sty m:val="p"/>
          </m:rPr>
          <m:t>,</m:t>
        </m:r>
        <m:r>
          <m:t>  </m:t>
        </m:r>
        <m:nary>
          <m:naryPr>
            <m:chr m:val="∑"/>
            <m:limLoc m:val="undOvr"/>
            <m:subHide m:val="off"/>
            <m:supHide m:val="on"/>
          </m:naryPr>
          <m:sub>
            <m:r>
              <m:t>k</m:t>
            </m:r>
          </m:sub>
          <m:sup>
            <m:r>
              <m:t>​</m:t>
            </m:r>
          </m:sup>
          <m:e>
            <m:sSub>
              <m:e>
                <m:r>
                  <m:t>w</m:t>
                </m:r>
              </m:e>
              <m:sub>
                <m:r>
                  <m:t>k</m:t>
                </m:r>
              </m:sub>
            </m:sSub>
          </m:e>
        </m:nary>
        <m:r>
          <m:rPr>
            <m:sty m:val="p"/>
          </m:rPr>
          <m:t>=</m:t>
        </m:r>
        <m:r>
          <m:t>1</m:t>
        </m:r>
        <m:r>
          <m:rPr>
            <m:sty m:val="p"/>
          </m:rPr>
          <m:t>,</m:t>
        </m:r>
      </m:oMath>
      <w:r>
        <w:tab/>
      </w:r>
      <w:r>
        <w:t xml:space="preserve">(3.21)</w:t>
      </w:r>
      <w:bookmarkEnd w:id="53"/>
    </w:p>
    <w:p>
      <w:pPr>
        <w:pStyle w:val="BodyText"/>
      </w:pPr>
      <w:r>
        <w:t xml:space="preserve">where</w:t>
      </w:r>
      <w:r>
        <w:t xml:space="preserve"> </w:t>
      </w:r>
      <m:oMath>
        <m:sSub>
          <m:e>
            <m:r>
              <m:t>v</m:t>
            </m:r>
          </m:e>
          <m:sub>
            <m:r>
              <m:t>g</m:t>
            </m:r>
          </m:sub>
        </m:sSub>
      </m:oMath>
      <w:r>
        <w:t xml:space="preserve"> </w:t>
      </w:r>
      <w:r>
        <w:t xml:space="preserve">is the weight of branch</w:t>
      </w:r>
      <w:r>
        <w:t xml:space="preserve"> </w:t>
      </w:r>
      <m:oMath>
        <m:r>
          <m:t>g</m:t>
        </m:r>
      </m:oMath>
      <w:r>
        <w:t xml:space="preserve"> </w:t>
      </w:r>
      <w:r>
        <w:t xml:space="preserve">of the logic tree and</w:t>
      </w:r>
      <w:r>
        <w:t xml:space="preserve"> </w:t>
      </w:r>
      <m:oMath>
        <m:sSub>
          <m:e>
            <m:r>
              <m:t>N</m:t>
            </m:r>
          </m:e>
          <m:sub>
            <m:r>
              <m:t>R</m:t>
            </m:r>
          </m:sub>
        </m:sSub>
      </m:oMath>
      <w:r>
        <w:t xml:space="preserve"> </w:t>
      </w:r>
      <w:r>
        <w:t xml:space="preserve">is the number of explicit rupture variants, represented by equally weighted realizations. With those weights, the conditional exceedance probability of the scenario is obtained as</w:t>
      </w:r>
    </w:p>
    <w:p>
      <w:pPr>
        <w:pStyle w:val="Equation"/>
      </w:pPr>
      <w:bookmarkStart w:id="54" w:name="eq-dsha-exceedance"/>
      <w:r>
        <w:tab/>
      </w:r>
      <m:oMath>
        <m:r>
          <m:t>P</m:t>
        </m:r>
        <m:r>
          <m:t>​</m:t>
        </m:r>
        <m:d>
          <m:dPr>
            <m:begChr m:val="["/>
            <m:sepChr m:val=""/>
            <m:endChr m:val="]"/>
            <m:grow/>
          </m:dPr>
          <m:e>
            <m:r>
              <m:t>I</m:t>
            </m:r>
            <m:r>
              <m:rPr>
                <m:sty m:val="p"/>
              </m:rPr>
              <m:t>&gt;</m:t>
            </m:r>
            <m:sSup>
              <m:e>
                <m:r>
                  <m:t>i</m:t>
                </m:r>
              </m:e>
              <m:sup>
                <m:r>
                  <m:rPr>
                    <m:sty m:val="p"/>
                  </m:rPr>
                  <m:t>*</m:t>
                </m:r>
              </m:sup>
            </m:sSup>
            <m:r>
              <m:rPr>
                <m:sty m:val="p"/>
              </m:rPr>
              <m:t>∣</m:t>
            </m:r>
            <m:r>
              <m:t>e</m:t>
            </m:r>
          </m:e>
        </m:d>
        <m:r>
          <m:rPr>
            <m:sty m:val="p"/>
          </m:rPr>
          <m:t>=</m:t>
        </m:r>
        <m:nary>
          <m:naryPr>
            <m:chr m:val="∑"/>
            <m:limLoc m:val="undOvr"/>
            <m:subHide m:val="off"/>
            <m:supHide m:val="on"/>
          </m:naryPr>
          <m:sub>
            <m:r>
              <m:t>k</m:t>
            </m:r>
          </m:sub>
          <m:sup>
            <m:r>
              <m:t>​</m:t>
            </m:r>
          </m:sup>
          <m:e>
            <m:sSub>
              <m:e>
                <m:r>
                  <m:t>w</m:t>
                </m:r>
              </m:e>
              <m:sub>
                <m:r>
                  <m:t>k</m:t>
                </m:r>
              </m:sub>
            </m:sSub>
          </m:e>
        </m:nary>
        <m:d>
          <m:dPr>
            <m:begChr m:val="["/>
            <m:sepChr m:val=""/>
            <m:endChr m:val="]"/>
            <m:grow/>
          </m:dPr>
          <m:e>
            <m:r>
              <m:t>1</m:t>
            </m:r>
            <m:r>
              <m:rPr>
                <m:sty m:val="p"/>
              </m:rPr>
              <m:t>−</m:t>
            </m:r>
            <m:r>
              <m:rPr>
                <m:sty m:val="p"/>
              </m:rPr>
              <m:t>Φ</m:t>
            </m:r>
            <m:r>
              <m:t>​</m:t>
            </m:r>
            <m:d>
              <m:dPr>
                <m:begChr m:val="("/>
                <m:sepChr m:val=""/>
                <m:endChr m:val=")"/>
                <m:grow/>
              </m:dPr>
              <m:e>
                <m:f>
                  <m:fPr>
                    <m:type m:val="bar"/>
                  </m:fPr>
                  <m:num>
                    <m:r>
                      <m:rPr>
                        <m:sty m:val="p"/>
                      </m:rPr>
                      <m:t>ln</m:t>
                    </m:r>
                    <m:sSup>
                      <m:e>
                        <m:r>
                          <m:t>i</m:t>
                        </m:r>
                      </m:e>
                      <m:sup>
                        <m:r>
                          <m:rPr>
                            <m:sty m:val="p"/>
                          </m:rPr>
                          <m:t>*</m:t>
                        </m:r>
                      </m:sup>
                    </m:sSup>
                    <m:r>
                      <m:rPr>
                        <m:sty m:val="p"/>
                      </m:rPr>
                      <m:t>−</m:t>
                    </m:r>
                    <m:sSub>
                      <m:e>
                        <m:r>
                          <m:t>μ</m:t>
                        </m:r>
                      </m:e>
                      <m:sub>
                        <m:r>
                          <m:t>k</m:t>
                        </m:r>
                      </m:sub>
                    </m:sSub>
                  </m:num>
                  <m:den>
                    <m:sSub>
                      <m:e>
                        <m:r>
                          <m:t>σ</m:t>
                        </m:r>
                      </m:e>
                      <m:sub>
                        <m:r>
                          <m:t>k</m:t>
                        </m:r>
                      </m:sub>
                    </m:sSub>
                  </m:den>
                </m:f>
              </m:e>
            </m:d>
          </m:e>
        </m:d>
        <m:r>
          <m:rPr>
            <m:sty m:val="p"/>
          </m:rPr>
          <m:t>,</m:t>
        </m:r>
      </m:oMath>
      <w:r>
        <w:tab/>
      </w:r>
      <w:r>
        <w:t xml:space="preserve">(3.22)</w:t>
      </w:r>
      <w:bookmarkEnd w:id="54"/>
    </w:p>
    <w:p>
      <w:pPr>
        <w:pStyle w:val="BodyText"/>
      </w:pPr>
      <w:r>
        <w:t xml:space="preserve">where</w:t>
      </w:r>
      <w:r>
        <w:t xml:space="preserve"> </w:t>
      </w:r>
      <m:oMath>
        <m:sSub>
          <m:e>
            <m:r>
              <m:t>μ</m:t>
            </m:r>
          </m:e>
          <m:sub>
            <m:r>
              <m:t>k</m:t>
            </m:r>
          </m:sub>
        </m:sSub>
      </m:oMath>
      <w:r>
        <w:t xml:space="preserve"> </w:t>
      </w:r>
      <w:r>
        <w:t xml:space="preserve">and</w:t>
      </w:r>
      <w:r>
        <w:t xml:space="preserve"> </w:t>
      </w:r>
      <m:oMath>
        <m:sSub>
          <m:e>
            <m:r>
              <m:t>σ</m:t>
            </m:r>
          </m:e>
          <m:sub>
            <m:r>
              <m:t>k</m:t>
            </m:r>
          </m:sub>
        </m:sSub>
      </m:oMath>
      <w:r>
        <w:t xml:space="preserve"> </w:t>
      </w:r>
      <w:r>
        <w:t xml:space="preserve">correspond to component</w:t>
      </w:r>
      <w:r>
        <w:t xml:space="preserve"> </w:t>
      </w:r>
      <m:oMath>
        <m:r>
          <m:t>k</m:t>
        </m:r>
      </m:oMath>
      <w:r>
        <w:t xml:space="preserve"> </w:t>
      </w:r>
      <w:r>
        <w:t xml:space="preserve">and</w:t>
      </w:r>
      <w:r>
        <w:t xml:space="preserve"> </w:t>
      </w:r>
      <m:oMath>
        <m:r>
          <m:rPr>
            <m:sty m:val="p"/>
          </m:rPr>
          <m:t>Φ</m:t>
        </m:r>
      </m:oMath>
      <w:r>
        <w:t xml:space="preserve"> </w:t>
      </w:r>
      <w:r>
        <w:t xml:space="preserve">is the standard normal cumulative distribution function, and the conditional cumulative distribution function of the intensity is the complement of the exceedance:</w:t>
      </w:r>
    </w:p>
    <w:p>
      <w:pPr>
        <w:pStyle w:val="Equation"/>
      </w:pPr>
      <w:bookmarkStart w:id="55" w:name="eq-scenario-mixture"/>
      <w:r>
        <w:tab/>
      </w:r>
      <m:oMath>
        <m:r>
          <m:t>G</m:t>
        </m:r>
        <m:r>
          <m:rPr>
            <m:sty m:val="p"/>
          </m:rPr>
          <m:t>(</m:t>
        </m:r>
        <m:r>
          <m:t>a</m:t>
        </m:r>
        <m:r>
          <m:rPr>
            <m:sty m:val="p"/>
          </m:rPr>
          <m:t>∣</m:t>
        </m:r>
        <m:r>
          <m:t>e</m:t>
        </m:r>
        <m:r>
          <m:rPr>
            <m:sty m:val="p"/>
          </m:rPr>
          <m:t>)</m:t>
        </m:r>
        <m:r>
          <m:rPr>
            <m:sty m:val="p"/>
          </m:rPr>
          <m:t>=</m:t>
        </m:r>
        <m:nary>
          <m:naryPr>
            <m:chr m:val="∑"/>
            <m:limLoc m:val="undOvr"/>
            <m:subHide m:val="off"/>
            <m:supHide m:val="on"/>
          </m:naryPr>
          <m:sub>
            <m:r>
              <m:t>k</m:t>
            </m:r>
          </m:sub>
          <m:sup>
            <m:r>
              <m:t>​</m:t>
            </m:r>
          </m:sup>
          <m:e>
            <m:sSub>
              <m:e>
                <m:r>
                  <m:t>w</m:t>
                </m:r>
              </m:e>
              <m:sub>
                <m:r>
                  <m:t>k</m:t>
                </m:r>
              </m:sub>
            </m:sSub>
          </m:e>
        </m:nary>
        <m:r>
          <m:t> </m:t>
        </m:r>
        <m:r>
          <m:rPr>
            <m:sty m:val="p"/>
          </m:rPr>
          <m:t>Φ</m:t>
        </m:r>
        <m:r>
          <m:t>​</m:t>
        </m:r>
        <m:d>
          <m:dPr>
            <m:begChr m:val="("/>
            <m:sepChr m:val=""/>
            <m:endChr m:val=")"/>
            <m:grow/>
          </m:dPr>
          <m:e>
            <m:f>
              <m:fPr>
                <m:type m:val="bar"/>
              </m:fPr>
              <m:num>
                <m:r>
                  <m:rPr>
                    <m:sty m:val="p"/>
                  </m:rPr>
                  <m:t>ln</m:t>
                </m:r>
                <m:r>
                  <m:t>a</m:t>
                </m:r>
                <m:r>
                  <m:rPr>
                    <m:sty m:val="p"/>
                  </m:rPr>
                  <m:t>−</m:t>
                </m:r>
                <m:sSub>
                  <m:e>
                    <m:r>
                      <m:t>μ</m:t>
                    </m:r>
                  </m:e>
                  <m:sub>
                    <m:r>
                      <m:t>k</m:t>
                    </m:r>
                  </m:sub>
                </m:sSub>
              </m:num>
              <m:den>
                <m:sSub>
                  <m:e>
                    <m:r>
                      <m:t>σ</m:t>
                    </m:r>
                  </m:e>
                  <m:sub>
                    <m:r>
                      <m:t>k</m:t>
                    </m:r>
                  </m:sub>
                </m:sSub>
              </m:den>
            </m:f>
          </m:e>
        </m:d>
        <m:r>
          <m:rPr>
            <m:sty m:val="p"/>
          </m:rPr>
          <m:t>.</m:t>
        </m:r>
      </m:oMath>
      <w:r>
        <w:tab/>
      </w:r>
      <w:r>
        <w:t xml:space="preserve">(3.23)</w:t>
      </w:r>
      <w:bookmarkEnd w:id="55"/>
    </w:p>
    <w:p>
      <w:pPr>
        <w:pStyle w:val="BodyText"/>
      </w:pPr>
      <w:r>
        <w:t xml:space="preserve">The fractiles are obtained by numerical inversion of</w:t>
      </w:r>
      <w:r>
        <w:t xml:space="preserve"> </w:t>
      </w:r>
      <m:oMath>
        <m:r>
          <m:t>G</m:t>
        </m:r>
        <m:r>
          <m:rPr>
            <m:sty m:val="p"/>
          </m:rPr>
          <m:t>(</m:t>
        </m:r>
        <m:r>
          <m:rPr>
            <m:sty m:val="p"/>
          </m:rPr>
          <m:t>⋅</m:t>
        </m:r>
        <m:r>
          <m:rPr>
            <m:sty m:val="p"/>
          </m:rPr>
          <m:t>∣</m:t>
        </m:r>
        <m:r>
          <m:t>e</m:t>
        </m:r>
        <m:r>
          <m:rPr>
            <m:sty m:val="p"/>
          </m:rPr>
          <m:t>)</m:t>
        </m:r>
      </m:oMath>
      <w:r>
        <w:t xml:space="preserve">,</w:t>
      </w:r>
    </w:p>
    <w:p>
      <w:pPr>
        <w:pStyle w:val="Equation"/>
      </w:pPr>
      <w:bookmarkStart w:id="56" w:name="eq-scenario-quantile"/>
      <w:r>
        <w:tab/>
      </w:r>
      <m:oMath>
        <m:r>
          <m:t>Q</m:t>
        </m:r>
        <m:r>
          <m:rPr>
            <m:sty m:val="p"/>
          </m:rPr>
          <m:t>(</m:t>
        </m:r>
        <m:r>
          <m:t>p</m:t>
        </m:r>
        <m:r>
          <m:rPr>
            <m:sty m:val="p"/>
          </m:rPr>
          <m:t>∣</m:t>
        </m:r>
        <m:r>
          <m:t>e</m:t>
        </m:r>
        <m:r>
          <m:rPr>
            <m:sty m:val="p"/>
          </m:rPr>
          <m:t>)</m:t>
        </m:r>
        <m:r>
          <m:rPr>
            <m:sty m:val="p"/>
          </m:rPr>
          <m:t>=</m:t>
        </m:r>
        <m:r>
          <m:rPr>
            <m:sty m:val="p"/>
          </m:rPr>
          <m:t>inf</m:t>
        </m:r>
        <m:r>
          <m:rPr>
            <m:sty m:val="p"/>
          </m:rPr>
          <m:t>{</m:t>
        </m:r>
        <m:r>
          <m:t>a</m:t>
        </m:r>
        <m:r>
          <m:rPr>
            <m:sty m:val="p"/>
          </m:rPr>
          <m:t>:</m:t>
        </m:r>
        <m:r>
          <m:t>G</m:t>
        </m:r>
        <m:r>
          <m:rPr>
            <m:sty m:val="p"/>
          </m:rPr>
          <m:t>(</m:t>
        </m:r>
        <m:r>
          <m:t>a</m:t>
        </m:r>
        <m:r>
          <m:rPr>
            <m:sty m:val="p"/>
          </m:rPr>
          <m:t>∣</m:t>
        </m:r>
        <m:r>
          <m:t>e</m:t>
        </m:r>
        <m:r>
          <m:rPr>
            <m:sty m:val="p"/>
          </m:rPr>
          <m:t>)</m:t>
        </m:r>
        <m:r>
          <m:rPr>
            <m:sty m:val="p"/>
          </m:rPr>
          <m:t>≥</m:t>
        </m:r>
        <m:r>
          <m:t>p</m:t>
        </m:r>
        <m:r>
          <m:rPr>
            <m:sty m:val="p"/>
          </m:rPr>
          <m:t>}</m:t>
        </m:r>
        <m:r>
          <m:rPr>
            <m:sty m:val="p"/>
          </m:rPr>
          <m:t>.</m:t>
        </m:r>
      </m:oMath>
      <w:r>
        <w:tab/>
      </w:r>
      <w:r>
        <w:t xml:space="preserve">(3.24)</w:t>
      </w:r>
      <w:bookmarkEnd w:id="56"/>
    </w:p>
    <w:p>
      <w:pPr>
        <w:pStyle w:val="BodyText"/>
      </w:pPr>
      <w:r>
        <w:t xml:space="preserve">and the mean is computed directly from the lognormal components:</w:t>
      </w:r>
    </w:p>
    <w:p>
      <w:pPr>
        <w:pStyle w:val="Equation"/>
      </w:pPr>
      <w:bookmarkStart w:id="57" w:name="eq-scenario-mean"/>
      <w:r>
        <w:tab/>
      </w:r>
      <m:oMath>
        <m:r>
          <m:t>E</m:t>
        </m:r>
        <m:r>
          <m:rPr>
            <m:sty m:val="p"/>
          </m:rPr>
          <m:t>[</m:t>
        </m:r>
        <m:sSub>
          <m:e>
            <m:r>
              <m:t>S</m:t>
            </m:r>
          </m:e>
          <m:sub>
            <m:r>
              <m:t>a</m:t>
            </m:r>
          </m:sub>
        </m:sSub>
        <m:r>
          <m:rPr>
            <m:sty m:val="p"/>
          </m:rPr>
          <m:t>∣</m:t>
        </m:r>
        <m:r>
          <m:t>e</m:t>
        </m:r>
        <m:r>
          <m:rPr>
            <m:sty m:val="p"/>
          </m:rPr>
          <m:t>]</m:t>
        </m:r>
        <m:r>
          <m:rPr>
            <m:sty m:val="p"/>
          </m:rPr>
          <m:t>=</m:t>
        </m:r>
        <m:nary>
          <m:naryPr>
            <m:chr m:val="∑"/>
            <m:limLoc m:val="undOvr"/>
            <m:subHide m:val="off"/>
            <m:supHide m:val="on"/>
          </m:naryPr>
          <m:sub>
            <m:r>
              <m:t>k</m:t>
            </m:r>
          </m:sub>
          <m:sup>
            <m:r>
              <m:t>​</m:t>
            </m:r>
          </m:sup>
          <m:e>
            <m:sSub>
              <m:e>
                <m:r>
                  <m:t>w</m:t>
                </m:r>
              </m:e>
              <m:sub>
                <m:r>
                  <m:t>k</m:t>
                </m:r>
              </m:sub>
            </m:sSub>
          </m:e>
        </m:nary>
        <m:r>
          <m:rPr>
            <m:sty m:val="p"/>
          </m:rPr>
          <m:t>exp</m:t>
        </m:r>
        <m:r>
          <m:t>​</m:t>
        </m:r>
        <m:d>
          <m:dPr>
            <m:begChr m:val="("/>
            <m:sepChr m:val=""/>
            <m:endChr m:val=")"/>
            <m:grow/>
          </m:dPr>
          <m:e>
            <m:sSub>
              <m:e>
                <m:r>
                  <m:t>μ</m:t>
                </m:r>
              </m:e>
              <m:sub>
                <m:r>
                  <m:t>k</m:t>
                </m:r>
              </m:sub>
            </m:sSub>
            <m:r>
              <m:rPr>
                <m:sty m:val="p"/>
              </m:rPr>
              <m:t>+</m:t>
            </m:r>
            <m:f>
              <m:fPr>
                <m:type m:val="lin"/>
              </m:fPr>
              <m:num>
                <m:r>
                  <m:t>1</m:t>
                </m:r>
              </m:num>
              <m:den>
                <m:r>
                  <m:t>2</m:t>
                </m:r>
              </m:den>
            </m:f>
            <m:sSubSup>
              <m:e>
                <m:r>
                  <m:t>σ</m:t>
                </m:r>
              </m:e>
              <m:sub>
                <m:r>
                  <m:t>k</m:t>
                </m:r>
              </m:sub>
              <m:sup>
                <m:r>
                  <m:t>2</m:t>
                </m:r>
              </m:sup>
            </m:sSubSup>
          </m:e>
        </m:d>
        <m:r>
          <m:rPr>
            <m:sty m:val="p"/>
          </m:rPr>
          <m:t>.</m:t>
        </m:r>
      </m:oMath>
      <w:r>
        <w:tab/>
      </w:r>
      <w:r>
        <w:t xml:space="preserve">(3.25)</w:t>
      </w:r>
      <w:bookmarkEnd w:id="57"/>
    </w:p>
    <w:p>
      <w:pPr>
        <w:pStyle w:val="BodyText"/>
      </w:pPr>
      <w:r>
        <w:t xml:space="preserve">The calculation obtains seven fractiles and the mean for each scenario, and the evaluation is carried out analytically from</w:t>
      </w:r>
      <w:r>
        <w:t xml:space="preserve"> </w:t>
      </w:r>
      <m:oMath>
        <m:r>
          <m:rPr>
            <m:sty m:val="p"/>
          </m:rPr>
          <m:t>(</m:t>
        </m:r>
        <m:sSub>
          <m:e>
            <m:r>
              <m:t>μ</m:t>
            </m:r>
          </m:e>
          <m:sub>
            <m:r>
              <m:t>k</m:t>
            </m:r>
          </m:sub>
        </m:sSub>
        <m:r>
          <m:rPr>
            <m:sty m:val="p"/>
          </m:rPr>
          <m:t>,</m:t>
        </m:r>
        <m:sSub>
          <m:e>
            <m:r>
              <m:t>σ</m:t>
            </m:r>
          </m:e>
          <m:sub>
            <m:r>
              <m:t>k</m:t>
            </m:r>
          </m:sub>
        </m:sSub>
        <m:r>
          <m:rPr>
            <m:sty m:val="p"/>
          </m:rPr>
          <m:t>,</m:t>
        </m:r>
        <m:sSub>
          <m:e>
            <m:r>
              <m:t>w</m:t>
            </m:r>
          </m:e>
          <m:sub>
            <m:r>
              <m:t>k</m:t>
            </m:r>
          </m:sub>
        </m:sSub>
        <m:r>
          <m:rPr>
            <m:sty m:val="p"/>
          </m:rPr>
          <m:t>)</m:t>
        </m:r>
      </m:oMath>
      <w:r>
        <w:t xml:space="preserve">; the comparison in this chapter presents the mean of each scenario and retains the 84th percentile only in the MCE (84%) envelope. The ordinates correspond to the maximum horizontal component at 5% of critical damping and are evaluated at the reference condition</w:t>
      </w:r>
      <w:r>
        <w:t xml:space="preserve"> </w:t>
      </w:r>
      <m:oMath>
        <m:sSub>
          <m:e>
            <m:r>
              <m:t>V</m:t>
            </m:r>
          </m:e>
          <m:sub>
            <m:r>
              <m:rPr>
                <m:sty m:val="p"/>
              </m:rPr>
              <m:t>r</m:t>
            </m:r>
            <m:r>
              <m:rPr>
                <m:sty m:val="p"/>
              </m:rPr>
              <m:t>e</m:t>
            </m:r>
            <m:r>
              <m:rPr>
                <m:sty m:val="p"/>
              </m:rPr>
              <m:t>f</m:t>
            </m:r>
          </m:sub>
        </m:sSub>
        <m:r>
          <m:rPr>
            <m:sty m:val="p"/>
          </m:rPr>
          <m:t>=</m:t>
        </m:r>
        <m:r>
          <m:t>760</m:t>
        </m:r>
      </m:oMath>
      <w:r>
        <w:t xml:space="preserve"> </w:t>
      </w:r>
      <w:r>
        <w:t xml:space="preserve">m/s; the PGA corresponds to</w:t>
      </w:r>
      <w:r>
        <w:t xml:space="preserve"> </w:t>
      </w:r>
      <m:oMath>
        <m:sSub>
          <m:e>
            <m:r>
              <m:t>T</m:t>
            </m:r>
          </m:e>
          <m:sub>
            <m:r>
              <m:t>n</m:t>
            </m:r>
          </m:sub>
        </m:sSub>
        <m:r>
          <m:rPr>
            <m:sty m:val="p"/>
          </m:rPr>
          <m:t>=</m:t>
        </m:r>
        <m:r>
          <m:t>0</m:t>
        </m:r>
      </m:oMath>
      <w:r>
        <w:t xml:space="preserve">. This condition provides the computational reference from which the site-response model derives the site conditions actually evaluated (Chapter</w:t>
      </w:r>
      <w:r>
        <w:t xml:space="preserve"> </w:t>
      </w:r>
      <w:hyperlink w:anchor="sec-site-response">
        <w:r>
          <w:rPr>
            <w:rStyle w:val="Hyperlink"/>
          </w:rPr>
          <w:t xml:space="preserve">4.1</w:t>
        </w:r>
      </w:hyperlink>
      <w:r>
        <w:t xml:space="preserve">).</w:t>
      </w:r>
    </w:p>
    <w:p>
      <w:pPr>
        <w:pStyle w:val="BodyText"/>
      </w:pPr>
      <w:r>
        <w:t xml:space="preserve">The scenario spectra remain separate and preserve the physical identity of each source’s earthquake across the period range. The report nomenclature defines two envelopes over the scenario set</w:t>
      </w:r>
      <w:r>
        <w:t xml:space="preserve"> </w:t>
      </w:r>
      <m:oMath>
        <m:r>
          <m:rPr>
            <m:scr m:val="script"/>
            <m:sty m:val="p"/>
          </m:rPr>
          <m:t>E</m:t>
        </m:r>
      </m:oMath>
      <w:r>
        <w:t xml:space="preserve"> </w:t>
      </w:r>
      <w:r>
        <w:t xml:space="preserve">through a single construction: the per-period maximum of the scenario ordinates for the reported statistic. The upper-fractile envelope, reported as MCE (84%), is</w:t>
      </w:r>
    </w:p>
    <w:p>
      <w:pPr>
        <w:pStyle w:val="Equation"/>
      </w:pPr>
      <w:bookmarkStart w:id="58" w:name="eq-dsha-envelope"/>
      <w:r>
        <w:tab/>
      </w:r>
      <m:oMath>
        <m:sSubSup>
          <m:e>
            <m:r>
              <m:t>S</m:t>
            </m:r>
          </m:e>
          <m:sub>
            <m:r>
              <m:t>a</m:t>
            </m:r>
          </m:sub>
          <m:sup>
            <m:r>
              <m:rPr>
                <m:sty m:val="p"/>
              </m:rPr>
              <m:t>(</m:t>
            </m:r>
            <m:r>
              <m:t>84</m:t>
            </m:r>
            <m:r>
              <m:rPr>
                <m:sty m:val="p"/>
              </m:rPr>
              <m:t>%</m:t>
            </m:r>
            <m:r>
              <m:rPr>
                <m:sty m:val="p"/>
              </m:rPr>
              <m:t>)</m:t>
            </m:r>
          </m:sup>
        </m:sSubSup>
        <m:r>
          <m:rPr>
            <m:sty m:val="p"/>
          </m:rPr>
          <m:t>(</m:t>
        </m:r>
        <m:sSub>
          <m:e>
            <m:r>
              <m:t>T</m:t>
            </m:r>
          </m:e>
          <m:sub>
            <m:r>
              <m:t>n</m:t>
            </m:r>
          </m:sub>
        </m:sSub>
        <m:r>
          <m:rPr>
            <m:sty m:val="p"/>
          </m:rPr>
          <m:t>)</m:t>
        </m:r>
        <m:r>
          <m:rPr>
            <m:sty m:val="p"/>
          </m:rPr>
          <m:t>=</m:t>
        </m:r>
        <m:sSub>
          <m:e>
            <m:r>
              <m:rPr>
                <m:sty m:val="p"/>
              </m:rPr>
              <m:t>max</m:t>
            </m:r>
          </m:e>
          <m:sub>
            <m:r>
              <m:t>e</m:t>
            </m:r>
            <m:r>
              <m:rPr>
                <m:sty m:val="p"/>
              </m:rPr>
              <m:t>∈</m:t>
            </m:r>
            <m:r>
              <m:rPr>
                <m:scr m:val="script"/>
                <m:sty m:val="p"/>
              </m:rPr>
              <m:t>E</m:t>
            </m:r>
          </m:sub>
        </m:sSub>
        <m:r>
          <m:t>Q</m:t>
        </m:r>
        <m:r>
          <m:rPr>
            <m:sty m:val="p"/>
          </m:rPr>
          <m:t>(</m:t>
        </m:r>
        <m:r>
          <m:t>0.84</m:t>
        </m:r>
        <m:r>
          <m:rPr>
            <m:sty m:val="p"/>
          </m:rPr>
          <m:t>∣</m:t>
        </m:r>
        <m:r>
          <m:t>e</m:t>
        </m:r>
        <m:r>
          <m:rPr>
            <m:sty m:val="p"/>
          </m:rPr>
          <m:t>)</m:t>
        </m:r>
        <m:r>
          <m:rPr>
            <m:sty m:val="p"/>
          </m:rPr>
          <m:t>,</m:t>
        </m:r>
      </m:oMath>
      <w:r>
        <w:tab/>
      </w:r>
      <w:r>
        <w:t xml:space="preserve">(3.26)</w:t>
      </w:r>
      <w:bookmarkEnd w:id="58"/>
    </w:p>
    <w:p>
      <w:pPr>
        <w:pStyle w:val="BodyText"/>
      </w:pPr>
      <w:r>
        <w:t xml:space="preserve">a maximum over values that does not select a scenario. The mean envelope, reported as MCE, applies the same construction to the scenario means, so its ordinates likewise belong to no individual scenario, and neither envelope identifies a controlling magnitude–distance pair. The comparison with the probabilistic hazard superimposes the deterministic envelopes MCE and MCE (84%) on the available mean uniform-hazard spectra and uses the mean spectrum for</w:t>
      </w:r>
      <w:r>
        <w:t xml:space="preserve"> </w:t>
      </w:r>
      <m:oMath>
        <m:sSub>
          <m:e>
            <m:r>
              <m:t>T</m:t>
            </m:r>
          </m:e>
          <m:sub>
            <m:r>
              <m:t>R</m:t>
            </m:r>
          </m:sub>
        </m:sSub>
        <m:r>
          <m:rPr>
            <m:sty m:val="p"/>
          </m:rPr>
          <m:t>=</m:t>
        </m:r>
        <m:r>
          <m:t>10</m:t>
        </m:r>
        <m:r>
          <m:rPr>
            <m:sty m:val="p"/>
          </m:rPr>
          <m:t>,</m:t>
        </m:r>
        <m:r>
          <m:t>000</m:t>
        </m:r>
      </m:oMath>
      <w:r>
        <w:t xml:space="preserve"> </w:t>
      </w:r>
      <w:r>
        <w:t xml:space="preserve">years as the comparison level at the selected periods.</w:t>
      </w:r>
    </w:p>
    <w:p>
      <w:pPr>
        <w:pStyle w:val="BodyText"/>
      </w:pPr>
      <w:r>
        <w:t xml:space="preserve">The distribution of each scenario integrates three sources of uncertainty, two epistemic and one aleatory. Epistemic rupture uncertainty is represented by the explicit physical variants adopted for the hypocentral depth, the dip, the rupture style, and the plane orientation; the</w:t>
      </w:r>
      <w:r>
        <w:t xml:space="preserve"> </w:t>
      </w:r>
      <m:oMath>
        <m:sSub>
          <m:e>
            <m:r>
              <m:t>N</m:t>
            </m:r>
          </m:e>
          <m:sub>
            <m:r>
              <m:t>R</m:t>
            </m:r>
          </m:sub>
        </m:sSub>
      </m:oMath>
      <w:r>
        <w:t xml:space="preserve"> </w:t>
      </w:r>
      <w:r>
        <w:t xml:space="preserve">realizations receive the same weight</w:t>
      </w:r>
      <w:r>
        <w:t xml:space="preserve"> </w:t>
      </w:r>
      <m:oMath>
        <m:r>
          <m:t>1</m:t>
        </m:r>
        <m:r>
          <m:rPr>
            <m:sty m:val="p"/>
          </m:rPr>
          <m:t>/</m:t>
        </m:r>
        <m:sSub>
          <m:e>
            <m:r>
              <m:t>N</m:t>
            </m:r>
          </m:e>
          <m:sub>
            <m:r>
              <m:t>R</m:t>
            </m:r>
          </m:sub>
        </m:sSub>
      </m:oMath>
      <w:r>
        <w:t xml:space="preserve">. Epistemic model uncertainty represents the differences among the GMM branches admitted for the tectonic regime of the scenario; each branch enters with the weight</w:t>
      </w:r>
      <w:r>
        <w:t xml:space="preserve"> </w:t>
      </w:r>
      <m:oMath>
        <m:sSub>
          <m:e>
            <m:r>
              <m:t>v</m:t>
            </m:r>
          </m:e>
          <m:sub>
            <m:r>
              <m:t>g</m:t>
            </m:r>
          </m:sub>
        </m:sSub>
      </m:oMath>
      <w:r>
        <w:t xml:space="preserve"> </w:t>
      </w:r>
      <w:r>
        <w:t xml:space="preserve">defined by the adopted logic tree. Aleatory variability represents the record-to-record dispersion for a fixed rupture realization and GMM branch, and in component</w:t>
      </w:r>
      <w:r>
        <w:t xml:space="preserve"> </w:t>
      </w:r>
      <m:oMath>
        <m:r>
          <m:t>k</m:t>
        </m:r>
        <m:r>
          <m:rPr>
            <m:sty m:val="p"/>
          </m:rPr>
          <m:t>=</m:t>
        </m:r>
        <m:r>
          <m:rPr>
            <m:sty m:val="p"/>
          </m:rPr>
          <m:t>(</m:t>
        </m:r>
        <m:r>
          <m:t>r</m:t>
        </m:r>
        <m:r>
          <m:rPr>
            <m:sty m:val="p"/>
          </m:rPr>
          <m:t>,</m:t>
        </m:r>
        <m:r>
          <m:t>g</m:t>
        </m:r>
        <m:r>
          <m:rPr>
            <m:sty m:val="p"/>
          </m:rPr>
          <m:t>)</m:t>
        </m:r>
      </m:oMath>
      <w:r>
        <w:t xml:space="preserve"> </w:t>
      </w:r>
      <w:r>
        <w:t xml:space="preserve">it is expressed through the logarithmic standard deviation</w:t>
      </w:r>
      <w:r>
        <w:t xml:space="preserve"> </w:t>
      </w:r>
      <m:oMath>
        <m:sSub>
          <m:e>
            <m:r>
              <m:t>σ</m:t>
            </m:r>
          </m:e>
          <m:sub>
            <m:r>
              <m:t>k</m:t>
            </m:r>
          </m:sub>
        </m:sSub>
      </m:oMath>
      <w:r>
        <w:t xml:space="preserve"> </w:t>
      </w:r>
      <w:r>
        <w:t xml:space="preserve">of branch</w:t>
      </w:r>
      <w:r>
        <w:t xml:space="preserve"> </w:t>
      </w:r>
      <m:oMath>
        <m:r>
          <m:t>g</m:t>
        </m:r>
      </m:oMath>
      <w:r>
        <w:t xml:space="preserve">, evaluated for realization</w:t>
      </w:r>
      <w:r>
        <w:t xml:space="preserve"> </w:t>
      </w:r>
      <m:oMath>
        <m:r>
          <m:t>r</m:t>
        </m:r>
      </m:oMath>
      <w:r>
        <w:t xml:space="preserve">.</w:t>
      </w:r>
    </w:p>
    <w:p>
      <w:pPr>
        <w:pStyle w:val="BodyText"/>
      </w:pPr>
      <w:r>
        <w:t xml:space="preserve">The mixture of</w:t>
      </w:r>
      <w:r>
        <w:t xml:space="preserve"> </w:t>
      </w:r>
      <w:hyperlink w:anchor="eq-scenario-mixture">
        <w:r>
          <w:rPr>
            <w:rStyle w:val="Hyperlink"/>
          </w:rPr>
          <w:t xml:space="preserve">3.23</w:t>
        </w:r>
      </w:hyperlink>
      <w:r>
        <w:t xml:space="preserve"> </w:t>
      </w:r>
      <w:r>
        <w:t xml:space="preserve">represents the three sources through its parameters. The combination</w:t>
      </w:r>
      <w:r>
        <w:t xml:space="preserve"> </w:t>
      </w:r>
      <m:oMath>
        <m:sSub>
          <m:e>
            <m:r>
              <m:t>w</m:t>
            </m:r>
          </m:e>
          <m:sub>
            <m:r>
              <m:t>k</m:t>
            </m:r>
          </m:sub>
        </m:sSub>
        <m:r>
          <m:rPr>
            <m:sty m:val="p"/>
          </m:rPr>
          <m:t>=</m:t>
        </m:r>
        <m:sSub>
          <m:e>
            <m:r>
              <m:t>v</m:t>
            </m:r>
          </m:e>
          <m:sub>
            <m:r>
              <m:t>g</m:t>
            </m:r>
          </m:sub>
        </m:sSub>
        <m:r>
          <m:rPr>
            <m:sty m:val="p"/>
          </m:rPr>
          <m:t>/</m:t>
        </m:r>
        <m:sSub>
          <m:e>
            <m:r>
              <m:t>N</m:t>
            </m:r>
          </m:e>
          <m:sub>
            <m:r>
              <m:t>R</m:t>
            </m:r>
          </m:sub>
        </m:sSub>
      </m:oMath>
      <w:r>
        <w:t xml:space="preserve"> </w:t>
      </w:r>
      <w:r>
        <w:t xml:space="preserve">simultaneously incorporates the rupture variation and the model weighting; the dispersion among the medians</w:t>
      </w:r>
      <w:r>
        <w:t xml:space="preserve"> </w:t>
      </w:r>
      <m:oMath>
        <m:sSub>
          <m:e>
            <m:r>
              <m:t>μ</m:t>
            </m:r>
          </m:e>
          <m:sub>
            <m:r>
              <m:t>k</m:t>
            </m:r>
          </m:sub>
        </m:sSub>
      </m:oMath>
      <w:r>
        <w:t xml:space="preserve"> </w:t>
      </w:r>
      <w:r>
        <w:t xml:space="preserve">characterizes the two epistemic contributions, while each</w:t>
      </w:r>
      <w:r>
        <w:t xml:space="preserve"> </w:t>
      </w:r>
      <m:oMath>
        <m:sSub>
          <m:e>
            <m:r>
              <m:t>σ</m:t>
            </m:r>
          </m:e>
          <m:sub>
            <m:r>
              <m:t>k</m:t>
            </m:r>
          </m:sub>
        </m:sSub>
      </m:oMath>
      <w:r>
        <w:t xml:space="preserve"> </w:t>
      </w:r>
      <w:r>
        <w:t xml:space="preserve">contributes the aleatory variability of its component. The resulting distribution is characterized through the fractiles of</w:t>
      </w:r>
      <w:r>
        <w:t xml:space="preserve"> </w:t>
      </w:r>
      <w:hyperlink w:anchor="eq-scenario-quantile">
        <w:r>
          <w:rPr>
            <w:rStyle w:val="Hyperlink"/>
          </w:rPr>
          <w:t xml:space="preserve">3.24</w:t>
        </w:r>
      </w:hyperlink>
      <w:r>
        <w:t xml:space="preserve">, and each component preserves the correspondence among the rupture geometry, the source-to-site distances, and the GMM branch that originated its prediction.</w:t>
      </w:r>
    </w:p>
    <w:p>
      <w:pPr>
        <w:pStyle w:val="BodyText"/>
      </w:pPr>
      <w:r>
        <w:t xml:space="preserve">The results of the deterministic assessment correspond to the maximum horizontal component of</w:t>
      </w:r>
      <w:r>
        <w:t xml:space="preserve"> </w:t>
      </w:r>
      <m:oMath>
        <m:sSub>
          <m:e>
            <m:r>
              <m:t>S</m:t>
            </m:r>
          </m:e>
          <m:sub>
            <m:r>
              <m:t>a</m:t>
            </m:r>
          </m:sub>
        </m:sSub>
        <m:r>
          <m:rPr>
            <m:sty m:val="p"/>
          </m:rPr>
          <m:t>(</m:t>
        </m:r>
        <m:sSub>
          <m:e>
            <m:r>
              <m:t>T</m:t>
            </m:r>
          </m:e>
          <m:sub>
            <m:r>
              <m:t>n</m:t>
            </m:r>
          </m:sub>
        </m:sSub>
        <m:r>
          <m:rPr>
            <m:sty m:val="p"/>
          </m:rPr>
          <m:t>)</m:t>
        </m:r>
      </m:oMath>
      <w:r>
        <w:t xml:space="preserve"> </w:t>
      </w:r>
      <w:r>
        <w:t xml:space="preserve">at 5% of critical damping on reference rock,</w:t>
      </w:r>
      <w:r>
        <w:t xml:space="preserve"> </w:t>
      </w:r>
      <m:oMath>
        <m:sSub>
          <m:e>
            <m:r>
              <m:t>V</m:t>
            </m:r>
          </m:e>
          <m:sub>
            <m:r>
              <m:t>S</m:t>
            </m:r>
            <m:r>
              <m:t>30</m:t>
            </m:r>
          </m:sub>
        </m:sSub>
        <m:r>
          <m:rPr>
            <m:sty m:val="p"/>
          </m:rPr>
          <m:t>=</m:t>
        </m:r>
        <m:r>
          <m:t>760</m:t>
        </m:r>
      </m:oMath>
      <w:r>
        <w:t xml:space="preserve"> </w:t>
      </w:r>
      <w:r>
        <w:t xml:space="preserve">m/s. The mean is presented for each scenario; the MCE and the MCE (84%) are obtained through independent per-period maxima. The table presents the spectral ordinates of the scenarios and their MCE envelopes; the graphical superposition of those spectra and the available mean uniform-hazard spectra is provided in the online results identified at the beginning of this section. The governing scenario is identified separately for each period and statistic, and that identification represents the changes of controlling source along the spectrum, so each envelope preserves the identity of the scenario contributing its ordinate at each period.</w:t>
      </w:r>
    </w:p>
    <w:p>
      <w:pPr>
        <w:pStyle w:val="BodyText"/>
      </w:pPr>
      <w:r>
        <w:t xml:space="preserve"> </w:t>
      </w:r>
    </w:p>
    <w:bookmarkStart w:id="59" w:name="tbl-scenarios-docx"/>
    <w:p>
      <w:pPr>
        <w:pStyle w:val="ImageCaption"/>
        <w:spacing w:before="200"/>
        <w:jc w:val="left"/>
      </w:pPr>
      <w:r>
        <w:t xml:space="preserve">Table 3.2: Deterministic scenarios for site</w:t>
      </w:r>
      <w:r>
        <w:t xml:space="preserve"> </w:t>
      </w:r>
      <w:r>
        <w:rPr>
          <w:rStyle w:val="VerbatimChar"/>
        </w:rPr>
        <w:t xml:space="preserve">CFD</w:t>
      </w:r>
      <w:r>
        <w:t xml:space="preserve">, as declared in the calculation specifications.</w:t>
      </w:r>
      <w:r>
        <w:t xml:space="preserve"> </w:t>
      </w:r>
      <m:oMath>
        <m:r>
          <m:t>e</m:t>
        </m:r>
      </m:oMath>
      <w:r>
        <w:t xml:space="preserve"> </w:t>
      </w:r>
      <w:r>
        <w:t xml:space="preserve">is the scenario identifier and TRT the tectonic region type that selects its ground-motion logic tree.</w:t>
      </w:r>
      <w:r>
        <w:t xml:space="preserve"> </w:t>
      </w:r>
      <m:oMath>
        <m:sSub>
          <m:e>
            <m:r>
              <m:t>M</m:t>
            </m:r>
          </m:e>
          <m:sub>
            <m:r>
              <m:t>w</m:t>
            </m:r>
          </m:sub>
        </m:sSub>
      </m:oMath>
      <w:r>
        <w:t xml:space="preserve"> </w:t>
      </w:r>
      <w:r>
        <w:t xml:space="preserve">is the moment magnitude of the rupture.</w:t>
      </w:r>
      <w:r>
        <w:t xml:space="preserve"> </w:t>
      </w:r>
      <m:oMath>
        <m:sSub>
          <m:e>
            <m:r>
              <m:t>R</m:t>
            </m:r>
          </m:e>
          <m:sub>
            <m:r>
              <m:t>e</m:t>
            </m:r>
            <m:r>
              <m:t>p</m:t>
            </m:r>
            <m:r>
              <m:t>i</m:t>
            </m:r>
          </m:sub>
        </m:sSub>
      </m:oMath>
      <w:r>
        <w:t xml:space="preserve"> </w:t>
      </w:r>
      <w:r>
        <w:t xml:space="preserve">is the epicentral distance (km), the median over the rupture variants. Depth is the hypocentral depth (km), reported as the min–max range across the declared rupture variants. Strike, Dip, and Rake are the rupture-plane angles (°); Rake lists the discrete values declared across variants. MSR is the magnitude scaling relation that sizes the rupture, coded as AH = AllenHayesInterfaceBilinear, L14 = Leonard2014_SCR, STF = StrasserInterface, STS = StrasserIntraslab, THR = ThingbaijamReverseFault, WC94 = WC1994. Aspect is the rupture length-to-width aspect ratio (min–max range across variants). Variants is the number of declared rupture variants of the scenario.</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e</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TRT</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w</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R</m:t>
                  </m:r>
                </m:e>
                <m:sub>
                  <m:r>
                    <m:t>epi</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Depth</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Strike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Dip</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Rake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MSR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Variants</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SCC</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WC94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SCC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WC94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bl>
    <w:bookmarkEnd w:id="59"/>
    <w:p/>
    <w:p>
      <w:pPr>
        <w:pStyle w:val="BodyText"/>
      </w:pPr>
      <w:r>
        <w:t xml:space="preserve"> </w:t>
      </w:r>
    </w:p>
    <w:p>
      <w:pPr>
        <w:pStyle w:val="BodyText"/>
      </w:pPr>
      <w:r>
        <w:t xml:space="preserve"> </w:t>
      </w:r>
    </w:p>
    <w:bookmarkStart w:id="60" w:name="tbl-dsha-docx"/>
    <w:p>
      <w:pPr>
        <w:pStyle w:val="ImageCaption"/>
        <w:spacing w:before="200"/>
        <w:jc w:val="left"/>
      </w:pPr>
      <w:r>
        <w:t xml:space="preserve">Table 3.3: Maximum horizontal spectral accelerations</w:t>
      </w:r>
      <w:r>
        <w:t xml:space="preserve"> </w:t>
      </w:r>
      <m:oMath>
        <m:sSub>
          <m:e>
            <m:r>
              <m:t>S</m:t>
            </m:r>
          </m:e>
          <m:sub>
            <m:r>
              <m:t>a</m:t>
            </m:r>
          </m:sub>
        </m:sSub>
        <m:r>
          <m:rPr>
            <m:sty m:val="p"/>
          </m:rPr>
          <m:t>(</m:t>
        </m:r>
        <m:sSub>
          <m:e>
            <m:r>
              <m:t>T</m:t>
            </m:r>
          </m:e>
          <m:sub>
            <m:r>
              <m:t>n</m:t>
            </m:r>
          </m:sub>
        </m:sSub>
        <m:r>
          <m:rPr>
            <m:sty m:val="p"/>
          </m:rPr>
          <m:t>)</m:t>
        </m:r>
      </m:oMath>
      <w:r>
        <w:t xml:space="preserve"> </w:t>
      </w:r>
      <w:r>
        <w:t xml:space="preserve">[g] for the deterministic scenarios at site</w:t>
      </w:r>
      <w:r>
        <w:t xml:space="preserve"> </w:t>
      </w:r>
      <w:r>
        <w:rPr>
          <w:rStyle w:val="VerbatimChar"/>
        </w:rPr>
        <w:t xml:space="preserve">CFD</w:t>
      </w:r>
      <w:r>
        <w:t xml:space="preserve">, with</w:t>
      </w:r>
      <w:r>
        <w:t xml:space="preserve"> </w:t>
      </w:r>
      <m:oMath>
        <m:sSub>
          <m:e>
            <m:r>
              <m:t>V</m:t>
            </m:r>
          </m:e>
          <m:sub>
            <m:r>
              <m:t>S</m:t>
            </m:r>
            <m:r>
              <m:t>30</m:t>
            </m:r>
          </m:sub>
        </m:sSub>
      </m:oMath>
      <w:r>
        <w:t xml:space="preserve"> </w:t>
      </w:r>
      <w:r>
        <w:t xml:space="preserve">= 760 m/s and 5% critical damping. Scenario columns report conditional means;</w:t>
      </w:r>
      <w:r>
        <w:t xml:space="preserve"> </w:t>
      </w:r>
      <w:r>
        <w:rPr>
          <w:rStyle w:val="VerbatimChar"/>
        </w:rPr>
        <w:t xml:space="preserve">MCE</w:t>
      </w:r>
      <w:r>
        <w:t xml:space="preserve"> </w:t>
      </w:r>
      <w:r>
        <w:t xml:space="preserve">and</w:t>
      </w:r>
      <w:r>
        <w:t xml:space="preserve"> </w:t>
      </w:r>
      <w:r>
        <w:rPr>
          <w:rStyle w:val="VerbatimChar"/>
        </w:rPr>
        <w:t xml:space="preserve">MCE (84%)</w:t>
      </w:r>
      <w:r>
        <w:t xml:space="preserve"> </w:t>
      </w:r>
      <w:r>
        <w:t xml:space="preserve">report the envelopes of the conditional means and 84th percentiles, respectively.</w:t>
      </w:r>
      <w:r>
        <w:t xml:space="preserve"> </w:t>
      </w:r>
      <m:oMath>
        <m:sSub>
          <m:e>
            <m:r>
              <m:t>T</m:t>
            </m:r>
          </m:e>
          <m:sub>
            <m:r>
              <m:t>n</m:t>
            </m:r>
          </m:sub>
        </m:sSub>
      </m:oMath>
      <w:r>
        <w:t xml:space="preserve"> </w:t>
      </w:r>
      <w:r>
        <w:t xml:space="preserve">is the oscillator period in seconds;</w:t>
      </w:r>
      <w:r>
        <w:t xml:space="preserve"> </w:t>
      </w:r>
      <m:oMath>
        <m:sSub>
          <m:e>
            <m:r>
              <m:t>T</m:t>
            </m:r>
          </m:e>
          <m:sub>
            <m:r>
              <m:t>n</m:t>
            </m:r>
          </m:sub>
        </m:sSub>
        <m:r>
          <m:rPr>
            <m:sty m:val="p"/>
          </m:rPr>
          <m:t>=</m:t>
        </m:r>
        <m:r>
          <m:t>0</m:t>
        </m:r>
      </m:oMath>
      <w:r>
        <w:t xml:space="preserve"> </w:t>
      </w:r>
      <w:r>
        <w:t xml:space="preserve">corresponds to</w:t>
      </w:r>
      <w:r>
        <w:t xml:space="preserve"> </w:t>
      </w:r>
      <m:oMath>
        <m:r>
          <m:rPr>
            <m:sty m:val="p"/>
          </m:rPr>
          <m:t>P</m:t>
        </m:r>
        <m:r>
          <m:rPr>
            <m:sty m:val="p"/>
          </m:rPr>
          <m:t>G</m:t>
        </m:r>
        <m:r>
          <m:rPr>
            <m:sty m:val="p"/>
          </m:rPr>
          <m:t>A</m:t>
        </m:r>
      </m:oMath>
      <w:r>
        <w:t xml:space="preserve">.</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S1</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S2</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MCE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MCE (84%)</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0.237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0.237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0.004</w:t>
            </w:r>
          </w:p>
        </w:tc>
      </w:tr>
    </w:tbl>
    <w:bookmarkEnd w:id="60"/>
    <w:p/>
    <w:p>
      <w:pPr>
        <w:pStyle w:val="BodyText"/>
      </w:pPr>
      <w:r>
        <w:t xml:space="preserve"> </w:t>
      </w:r>
    </w:p>
    <w:p>
      <w:pPr>
        <w:pStyle w:val="BodyText"/>
      </w:pPr>
      <w:r>
        <w:t xml:space="preserve"> </w:t>
      </w:r>
    </w:p>
    <w:bookmarkStart w:id="61" w:name="tbl-scenarios-pga-docx"/>
    <w:p>
      <w:pPr>
        <w:pStyle w:val="ImageCaption"/>
        <w:spacing w:before="200"/>
        <w:jc w:val="left"/>
      </w:pPr>
      <w:r>
        <w:t xml:space="preserve">Table 3.4: Peak ground acceleration of the deterministic scenarios for site</w:t>
      </w:r>
      <w:r>
        <w:t xml:space="preserve"> </w:t>
      </w:r>
      <w:r>
        <w:rPr>
          <w:rStyle w:val="VerbatimChar"/>
        </w:rPr>
        <w:t xml:space="preserve">CFD</w:t>
      </w:r>
      <w:r>
        <w:t xml:space="preserve">, by site condition. Each scenario</w:t>
      </w:r>
      <w:r>
        <w:t xml:space="preserve"> </w:t>
      </w:r>
      <m:oMath>
        <m:r>
          <m:t>e</m:t>
        </m:r>
      </m:oMath>
      <w:r>
        <w:t xml:space="preserve"> </w:t>
      </w:r>
      <w:r>
        <w:t xml:space="preserve">reports its mean PGA (g); the MCE rows report the mean and 84th-percentile deterministic envelope of the scenarios. Each remaining column is a site condition identified by its time-averaged shear-wave velocity</w:t>
      </w:r>
      <w:r>
        <w:t xml:space="preserve"> </w:t>
      </w:r>
      <m:oMath>
        <m:sSub>
          <m:e>
            <m:r>
              <m:t>V</m:t>
            </m:r>
          </m:e>
          <m:sub>
            <m:r>
              <m:t>S</m:t>
            </m:r>
            <m:r>
              <m:t>30</m:t>
            </m:r>
          </m:sub>
        </m:sSub>
      </m:oMath>
      <w:r>
        <w:t xml:space="preserve"> </w:t>
      </w:r>
      <w:r>
        <w:t xml:space="preserve">(m/s).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e</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180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270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360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800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1250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1500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0.094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0.087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 (84%)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0.480</w:t>
            </w:r>
          </w:p>
        </w:tc>
      </w:tr>
    </w:tbl>
    <w:bookmarkEnd w:id="61"/>
    <w:p/>
    <w:p>
      <w:pPr>
        <w:pStyle w:val="BodyText"/>
      </w:pPr>
      <w:r>
        <w:t xml:space="preserve"> </w:t>
      </w:r>
    </w:p>
    <w:p>
      <w:pPr>
        <w:pStyle w:val="BodyText"/>
      </w:pPr>
      <w:r>
        <w:t xml:space="preserve">The deterministic scenario spectra and their comparison with the probabilistic demand are developed in the</w:t>
      </w:r>
      <w:r>
        <w:t xml:space="preserve"> </w:t>
      </w:r>
      <w:hyperlink r:id="rId9">
        <w:r>
          <w:rPr>
            <w:rStyle w:val="Hyperlink"/>
          </w:rPr>
          <w:t xml:space="preserve">Seismic Hazard Assessment</w:t>
        </w:r>
      </w:hyperlink>
      <w:r>
        <w:t xml:space="preserve"> </w:t>
      </w:r>
      <w:r>
        <w:t xml:space="preserve">annex.</w:t>
      </w:r>
    </w:p>
    <w:bookmarkEnd w:id="62"/>
    <w:bookmarkStart w:id="74" w:name="sec-srs"/>
    <w:p>
      <w:pPr>
        <w:pStyle w:val="Heading2"/>
      </w:pPr>
      <w:r>
        <w:t xml:space="preserve">3.5</w:t>
      </w:r>
      <w:r>
        <w:tab/>
      </w:r>
      <w:r>
        <w:t xml:space="preserve">Seismic Record Selection</w:t>
      </w:r>
    </w:p>
    <w:p>
      <w:pPr>
        <w:pStyle w:val="FirstParagraph"/>
      </w:pPr>
      <w:r>
        <w:t xml:space="preserve">The time histories constitute the seismic demand used as input to the dynamic deformation analyses and represent simultaneously its amplitude, duration, and frequency content. PGA characterizes the peak amplitude; the significant duration, the number of cycles near the peak, and the distribution of energy across frequencies describe additional characteristics that contribute to the accumulated deformation of slopes and embankments of cohesionless materials</w:t>
      </w:r>
      <w:r>
        <w:t xml:space="preserve"> </w:t>
      </w:r>
      <w:r>
        <w:t xml:space="preserve">(</w:t>
      </w:r>
      <w:hyperlink w:anchor="ref-BrayTravasarou2007">
        <w:r>
          <w:rPr>
            <w:rStyle w:val="Hyperlink"/>
          </w:rPr>
          <w:t xml:space="preserve">Bray &amp; Travasarou, 2007</w:t>
        </w:r>
      </w:hyperlink>
      <w:r>
        <w:t xml:space="preserve">;</w:t>
      </w:r>
      <w:r>
        <w:t xml:space="preserve"> </w:t>
      </w:r>
      <w:hyperlink w:anchor="ref-Kramer1997">
        <w:r>
          <w:rPr>
            <w:rStyle w:val="Hyperlink"/>
          </w:rPr>
          <w:t xml:space="preserve">Kramer, 1997</w:t>
        </w:r>
      </w:hyperlink>
      <w:r>
        <w:t xml:space="preserve">)</w:t>
      </w:r>
      <w:r>
        <w:t xml:space="preserve">. Record selection establishes a suite of motions whose spectral demand is compatible with the target band, whose temporal characteristics remain available to the dynamic models, and whose source events, stations, and records are identified.</w:t>
      </w:r>
    </w:p>
    <w:p>
      <w:pPr>
        <w:pStyle w:val="BodyText"/>
      </w:pPr>
      <w:r>
        <w:t xml:space="preserve">The selected motions must be compatible with the hazard controlling the site, with the adopted target spectrum, and with the response variables of the dynamic model, and must represent the relevant record-to-record variability</w:t>
      </w:r>
      <w:r>
        <w:t xml:space="preserve"> </w:t>
      </w:r>
      <w:r>
        <w:t xml:space="preserve">(</w:t>
      </w:r>
      <w:hyperlink w:anchor="ref-NIST2011">
        <w:r>
          <w:rPr>
            <w:rStyle w:val="Hyperlink"/>
          </w:rPr>
          <w:t xml:space="preserve">NEHRP Consultants Joint Venture, 2011</w:t>
        </w:r>
      </w:hyperlink>
      <w:r>
        <w:t xml:space="preserve">)</w:t>
      </w:r>
      <w:r>
        <w:t xml:space="preserve">. The candidate set is delimited by magnitude and source–site distance windows tied to the scenarios controlling the hazard, identified from the hazard model and its disaggregation; the selection criteria further comprise the tectonic environment, the site conditions, component availability, usable frequency content, and record quality</w:t>
      </w:r>
      <w:r>
        <w:t xml:space="preserve"> </w:t>
      </w:r>
      <w:r>
        <w:t xml:space="preserve">(</w:t>
      </w:r>
      <w:hyperlink w:anchor="ref-BakerCornell2006">
        <w:r>
          <w:rPr>
            <w:rStyle w:val="Hyperlink"/>
          </w:rPr>
          <w:t xml:space="preserve">Baker &amp; Cornell, 2006</w:t>
        </w:r>
      </w:hyperlink>
      <w:r>
        <w:t xml:space="preserve">)</w:t>
      </w:r>
      <w:r>
        <w:t xml:space="preserve">. Within that set, spectral shape is evaluated by agreement with the target demand over the period range of the analysis – not through a separate conditional-spectrum or epsilon-based rule – and at most one record per event is retained. The target spectrum corresponds to the design ordinate of the demand adopted for the site – the mean or a design fractile, per the demand – and the lower and upper envelopes to low and high fractiles of that same demand; the envelopes define the admissible range around the target for the matched suite. The grid includes</w:t>
      </w:r>
      <w:r>
        <w:t xml:space="preserve"> </w:t>
      </w:r>
      <m:oMath>
        <m:sSub>
          <m:e>
            <m:r>
              <m:t>T</m:t>
            </m:r>
          </m:e>
          <m:sub>
            <m:r>
              <m:t>n</m:t>
            </m:r>
          </m:sub>
        </m:sSub>
        <m:r>
          <m:rPr>
            <m:sty m:val="p"/>
          </m:rPr>
          <m:t>=</m:t>
        </m:r>
        <m:r>
          <m:t>0</m:t>
        </m:r>
      </m:oMath>
      <w:r>
        <w:t xml:space="preserve"> </w:t>
      </w:r>
      <w:r>
        <w:t xml:space="preserve">as the PGA ordinate and the positive periods of the analysis. The evaluation retains the identifiers of the event, the station, the record, and the source network or database, together with the intensity measures used to characterize the suite. No additional filters are applied by tectonic environment or by station</w:t>
      </w:r>
      <w:r>
        <w:t xml:space="preserve"> </w:t>
      </w:r>
      <m:oMath>
        <m:sSub>
          <m:e>
            <m:r>
              <m:t>V</m:t>
            </m:r>
          </m:e>
          <m:sub>
            <m:r>
              <m:t>S</m:t>
            </m:r>
            <m:r>
              <m:t>30</m:t>
            </m:r>
          </m:sub>
        </m:sSub>
      </m:oMath>
      <w:r>
        <w:t xml:space="preserve">.</w:t>
      </w:r>
    </w:p>
    <w:p>
      <w:pPr>
        <w:pStyle w:val="BodyText"/>
      </w:pPr>
      <w:r>
        <w:t xml:space="preserve">Deterministic channel mapping classifies the three recorded directions into the canonical components H1, H2, and UP, and the rotation of the two horizontals to their principal axes defines H1 and H2, with the rotation angle recorded per record. Spectral matching and verification are performed on H1, so that the record table, the intensity measures, and the reported spectra correspond to a single definition of horizontal motion. The procedure does not modify the frequency content of the records to reproduce the target spectrum: the adjustment is limited to the amplitude of the retained modes and to one scale factor per record, so that each history preserves the phases, the sequence of cycles, and the non-stationarity of the recorded motion – the properties that contribute to the accumulated deformation of slopes and embankments – and the compatibility of the suite with the target band is achieved in the spectral mean and in the containment of the individual spectra.</w:t>
      </w:r>
    </w:p>
    <w:p>
      <w:pPr>
        <w:pStyle w:val="BodyText"/>
      </w:pPr>
      <w:r>
        <w:t xml:space="preserve">Empirical mode decomposition introduced intrinsic mode functions as data-adaptive components for nonlinear and non-stationary time series</w:t>
      </w:r>
      <w:r>
        <w:t xml:space="preserve"> </w:t>
      </w:r>
      <w:r>
        <w:t xml:space="preserve">(</w:t>
      </w:r>
      <w:hyperlink w:anchor="ref-HuangEtAl1998">
        <w:r>
          <w:rPr>
            <w:rStyle w:val="Hyperlink"/>
          </w:rPr>
          <w:t xml:space="preserve">Huang et al., 1998</w:t>
        </w:r>
      </w:hyperlink>
      <w:r>
        <w:t xml:space="preserve">)</w:t>
      </w:r>
      <w:r>
        <w:t xml:space="preserve">. The adopted procedure uses variational mode decomposition (VMD), which represents a non-stationary signal as a set of modes with compact frequency bands and a residue</w:t>
      </w:r>
      <w:r>
        <w:t xml:space="preserve"> </w:t>
      </w:r>
      <w:r>
        <w:t xml:space="preserve">(</w:t>
      </w:r>
      <w:hyperlink w:anchor="ref-DragomiretskiyZosso2014">
        <w:r>
          <w:rPr>
            <w:rStyle w:val="Hyperlink"/>
          </w:rPr>
          <w:t xml:space="preserve">Dragomiretskiy &amp; Zosso, 2014</w:t>
        </w:r>
      </w:hyperlink>
      <w:r>
        <w:t xml:space="preserve">)</w:t>
      </w:r>
      <w:r>
        <w:t xml:space="preserve">; the canonical histories of the full record are decomposed component by component. For the H1 component of record</w:t>
      </w:r>
      <w:r>
        <w:t xml:space="preserve"> </w:t>
      </w:r>
      <m:oMath>
        <m:r>
          <m:t>i</m:t>
        </m:r>
      </m:oMath>
      <w:r>
        <w:t xml:space="preserve">,</w:t>
      </w:r>
    </w:p>
    <w:p>
      <w:pPr>
        <w:pStyle w:val="Equation"/>
      </w:pPr>
      <w:bookmarkStart w:id="63" w:name="eq-srs-vmd"/>
      <w:r>
        <w:tab/>
      </w:r>
      <m:oMath>
        <m:sSub>
          <m:e>
            <m:r>
              <m:t>x</m:t>
            </m:r>
          </m:e>
          <m:sub>
            <m:r>
              <m:t>i</m:t>
            </m:r>
          </m:sub>
        </m:sSub>
        <m:r>
          <m:rPr>
            <m:sty m:val="p"/>
          </m:rPr>
          <m:t>(</m:t>
        </m:r>
        <m:r>
          <m:t>t</m:t>
        </m:r>
        <m:r>
          <m:rPr>
            <m:sty m:val="p"/>
          </m:rPr>
          <m:t>)</m:t>
        </m:r>
        <m:r>
          <m:rPr>
            <m:sty m:val="p"/>
          </m:rPr>
          <m:t>=</m:t>
        </m:r>
        <m:nary>
          <m:naryPr>
            <m:chr m:val="∑"/>
            <m:limLoc m:val="undOvr"/>
            <m:subHide m:val="off"/>
            <m:supHide m:val="off"/>
          </m:naryPr>
          <m:sub>
            <m:r>
              <m:t>m</m:t>
            </m:r>
            <m:r>
              <m:rPr>
                <m:sty m:val="p"/>
              </m:rPr>
              <m:t>=</m:t>
            </m:r>
            <m:r>
              <m:t>1</m:t>
            </m:r>
          </m:sub>
          <m:sup>
            <m:sSub>
              <m:e>
                <m:r>
                  <m:t>K</m:t>
                </m:r>
              </m:e>
              <m:sub>
                <m:r>
                  <m:t>i</m:t>
                </m:r>
              </m:sub>
            </m:sSub>
          </m:sup>
          <m:e>
            <m:sSubSup>
              <m:e>
                <m:r>
                  <m:t>x</m:t>
                </m:r>
              </m:e>
              <m:sub>
                <m:r>
                  <m:t>i</m:t>
                </m:r>
              </m:sub>
              <m:sup>
                <m:r>
                  <m:rPr>
                    <m:sty m:val="p"/>
                  </m:rPr>
                  <m:t>(</m:t>
                </m:r>
                <m:r>
                  <m:t>m</m:t>
                </m:r>
                <m:r>
                  <m:rPr>
                    <m:sty m:val="p"/>
                  </m:rPr>
                  <m:t>)</m:t>
                </m:r>
              </m:sup>
            </m:sSubSup>
          </m:e>
        </m:nary>
        <m:r>
          <m:rPr>
            <m:sty m:val="p"/>
          </m:rPr>
          <m:t>(</m:t>
        </m:r>
        <m:r>
          <m:t>t</m:t>
        </m:r>
        <m:r>
          <m:rPr>
            <m:sty m:val="p"/>
          </m:rPr>
          <m:t>)</m:t>
        </m:r>
        <m:r>
          <m:rPr>
            <m:sty m:val="p"/>
          </m:rPr>
          <m:t>+</m:t>
        </m:r>
        <m:sSub>
          <m:e>
            <m:r>
              <m:t>r</m:t>
            </m:r>
          </m:e>
          <m:sub>
            <m:r>
              <m:t>i</m:t>
            </m:r>
          </m:sub>
        </m:sSub>
        <m:r>
          <m:rPr>
            <m:sty m:val="p"/>
          </m:rPr>
          <m:t>(</m:t>
        </m:r>
        <m:r>
          <m:t>t</m:t>
        </m:r>
        <m:r>
          <m:rPr>
            <m:sty m:val="p"/>
          </m:rPr>
          <m:t>)</m:t>
        </m:r>
        <m:r>
          <m:rPr>
            <m:sty m:val="p"/>
          </m:rPr>
          <m:t>,</m:t>
        </m:r>
      </m:oMath>
      <w:r>
        <w:tab/>
      </w:r>
      <w:r>
        <w:t xml:space="preserve">(3.27)</w:t>
      </w:r>
      <w:bookmarkEnd w:id="63"/>
    </w:p>
    <w:p>
      <w:pPr>
        <w:pStyle w:val="BodyText"/>
      </w:pPr>
      <w:r>
        <w:t xml:space="preserve">where</w:t>
      </w:r>
      <w:r>
        <w:t xml:space="preserve"> </w:t>
      </w:r>
      <m:oMath>
        <m:sSub>
          <m:e>
            <m:r>
              <m:t>x</m:t>
            </m:r>
          </m:e>
          <m:sub>
            <m:r>
              <m:t>i</m:t>
            </m:r>
          </m:sub>
        </m:sSub>
        <m:r>
          <m:rPr>
            <m:sty m:val="p"/>
          </m:rPr>
          <m:t>(</m:t>
        </m:r>
        <m:r>
          <m:t>t</m:t>
        </m:r>
        <m:r>
          <m:rPr>
            <m:sty m:val="p"/>
          </m:rPr>
          <m:t>)</m:t>
        </m:r>
      </m:oMath>
      <w:r>
        <w:t xml:space="preserve"> </w:t>
      </w:r>
      <w:r>
        <w:t xml:space="preserve">is the recorded acceleration,</w:t>
      </w:r>
      <w:r>
        <w:t xml:space="preserve"> </w:t>
      </w:r>
      <m:oMath>
        <m:sSubSup>
          <m:e>
            <m:r>
              <m:t>x</m:t>
            </m:r>
          </m:e>
          <m:sub>
            <m:r>
              <m:t>i</m:t>
            </m:r>
          </m:sub>
          <m:sup>
            <m:r>
              <m:rPr>
                <m:sty m:val="p"/>
              </m:rPr>
              <m:t>(</m:t>
            </m:r>
            <m:r>
              <m:t>m</m:t>
            </m:r>
            <m:r>
              <m:rPr>
                <m:sty m:val="p"/>
              </m:rPr>
              <m:t>)</m:t>
            </m:r>
          </m:sup>
        </m:sSubSup>
        <m:r>
          <m:rPr>
            <m:sty m:val="p"/>
          </m:rPr>
          <m:t>(</m:t>
        </m:r>
        <m:r>
          <m:t>t</m:t>
        </m:r>
        <m:r>
          <m:rPr>
            <m:sty m:val="p"/>
          </m:rPr>
          <m:t>)</m:t>
        </m:r>
      </m:oMath>
      <w:r>
        <w:t xml:space="preserve"> </w:t>
      </w:r>
      <w:r>
        <w:t xml:space="preserve">is mode</w:t>
      </w:r>
      <w:r>
        <w:t xml:space="preserve"> </w:t>
      </w:r>
      <m:oMath>
        <m:r>
          <m:t>m</m:t>
        </m:r>
      </m:oMath>
      <w:r>
        <w:t xml:space="preserve"> </w:t>
      </w:r>
      <w:r>
        <w:t xml:space="preserve">of record</w:t>
      </w:r>
      <w:r>
        <w:t xml:space="preserve"> </w:t>
      </w:r>
      <m:oMath>
        <m:r>
          <m:t>i</m:t>
        </m:r>
      </m:oMath>
      <w:r>
        <w:t xml:space="preserve">,</w:t>
      </w:r>
      <w:r>
        <w:t xml:space="preserve"> </w:t>
      </w:r>
      <m:oMath>
        <m:sSub>
          <m:e>
            <m:r>
              <m:t>K</m:t>
            </m:r>
          </m:e>
          <m:sub>
            <m:r>
              <m:t>i</m:t>
            </m:r>
          </m:sub>
        </m:sSub>
      </m:oMath>
      <w:r>
        <w:t xml:space="preserve"> </w:t>
      </w:r>
      <w:r>
        <w:t xml:space="preserve">is the number of modes, and</w:t>
      </w:r>
      <w:r>
        <w:t xml:space="preserve"> </w:t>
      </w:r>
      <m:oMath>
        <m:sSub>
          <m:e>
            <m:r>
              <m:t>r</m:t>
            </m:r>
          </m:e>
          <m:sub>
            <m:r>
              <m:t>i</m:t>
            </m:r>
          </m:sub>
        </m:sSub>
        <m:r>
          <m:rPr>
            <m:sty m:val="p"/>
          </m:rPr>
          <m:t>(</m:t>
        </m:r>
        <m:r>
          <m:t>t</m:t>
        </m:r>
        <m:r>
          <m:rPr>
            <m:sty m:val="p"/>
          </m:rPr>
          <m:t>)</m:t>
        </m:r>
      </m:oMath>
      <w:r>
        <w:t xml:space="preserve"> </w:t>
      </w:r>
      <w:r>
        <w:t xml:space="preserve">is the residue. The procedure excludes IMF1, the low-frequency component associated with drift and noise, and defines the retained set</w:t>
      </w:r>
      <w:r>
        <w:t xml:space="preserve"> </w:t>
      </w:r>
      <m:oMath>
        <m:sSub>
          <m:e>
            <m:r>
              <m:rPr>
                <m:scr m:val="script"/>
                <m:sty m:val="p"/>
              </m:rPr>
              <m:t>M</m:t>
            </m:r>
          </m:e>
          <m:sub>
            <m:r>
              <m:t>i</m:t>
            </m:r>
          </m:sub>
        </m:sSub>
      </m:oMath>
      <w:r>
        <w:t xml:space="preserve"> </w:t>
      </w:r>
      <w:r>
        <w:t xml:space="preserve">with the remaining modes; the adjustment applies bounded amplitude multipliers</w:t>
      </w:r>
      <w:r>
        <w:t xml:space="preserve"> </w:t>
      </w:r>
      <m:oMath>
        <m:sSubSup>
          <m:e>
            <m:r>
              <m:t>b</m:t>
            </m:r>
          </m:e>
          <m:sub>
            <m:r>
              <m:t>i</m:t>
            </m:r>
          </m:sub>
          <m:sup>
            <m:r>
              <m:rPr>
                <m:sty m:val="p"/>
              </m:rPr>
              <m:t>(</m:t>
            </m:r>
            <m:r>
              <m:t>m</m:t>
            </m:r>
            <m:r>
              <m:rPr>
                <m:sty m:val="p"/>
              </m:rPr>
              <m:t>)</m:t>
            </m:r>
          </m:sup>
        </m:sSubSup>
      </m:oMath>
      <w:r>
        <w:t xml:space="preserve"> </w:t>
      </w:r>
      <w:r>
        <w:t xml:space="preserve">per record,</w:t>
      </w:r>
    </w:p>
    <w:p>
      <w:pPr>
        <w:pStyle w:val="Equation"/>
      </w:pPr>
      <w:bookmarkStart w:id="64" w:name="eq-srs-reconstruction"/>
      <w:r>
        <w:tab/>
      </w:r>
      <m:oMath>
        <m:sSub>
          <m:e>
            <m:acc>
              <m:accPr>
                <m:chr m:val="̃"/>
              </m:accPr>
              <m:e>
                <m:r>
                  <m:t>x</m:t>
                </m:r>
              </m:e>
            </m:acc>
          </m:e>
          <m:sub>
            <m:r>
              <m:t>i</m:t>
            </m:r>
          </m:sub>
        </m:sSub>
        <m:r>
          <m:rPr>
            <m:sty m:val="p"/>
          </m:rPr>
          <m:t>(</m:t>
        </m:r>
        <m:r>
          <m:t>t</m:t>
        </m:r>
        <m:r>
          <m:rPr>
            <m:sty m:val="p"/>
          </m:rPr>
          <m:t>;</m:t>
        </m:r>
        <m:sSub>
          <m:e>
            <m:r>
              <m:rPr>
                <m:sty m:val="b"/>
              </m:rPr>
              <m:t>b</m:t>
            </m:r>
          </m:e>
          <m:sub>
            <m:r>
              <m:t>i</m:t>
            </m:r>
          </m:sub>
        </m:sSub>
        <m:r>
          <m:rPr>
            <m:sty m:val="p"/>
          </m:rPr>
          <m:t>)</m:t>
        </m:r>
        <m:r>
          <m:rPr>
            <m:sty m:val="p"/>
          </m:rPr>
          <m:t>=</m:t>
        </m:r>
        <m:nary>
          <m:naryPr>
            <m:chr m:val="∑"/>
            <m:limLoc m:val="undOvr"/>
            <m:subHide m:val="off"/>
            <m:supHide m:val="on"/>
          </m:naryPr>
          <m:sub>
            <m:r>
              <m:t>m</m:t>
            </m:r>
            <m:r>
              <m:rPr>
                <m:sty m:val="p"/>
              </m:rPr>
              <m:t>∈</m:t>
            </m:r>
            <m:sSub>
              <m:e>
                <m:r>
                  <m:rPr>
                    <m:scr m:val="script"/>
                    <m:sty m:val="p"/>
                  </m:rPr>
                  <m:t>M</m:t>
                </m:r>
              </m:e>
              <m:sub>
                <m:r>
                  <m:t>i</m:t>
                </m:r>
              </m:sub>
            </m:sSub>
          </m:sub>
          <m:sup>
            <m:r>
              <m:t>​</m:t>
            </m:r>
          </m:sup>
          <m:e>
            <m:sSubSup>
              <m:e>
                <m:r>
                  <m:t>b</m:t>
                </m:r>
              </m:e>
              <m:sub>
                <m:r>
                  <m:t>i</m:t>
                </m:r>
              </m:sub>
              <m:sup>
                <m:r>
                  <m:rPr>
                    <m:sty m:val="p"/>
                  </m:rPr>
                  <m:t>(</m:t>
                </m:r>
                <m:r>
                  <m:t>m</m:t>
                </m:r>
                <m:r>
                  <m:rPr>
                    <m:sty m:val="p"/>
                  </m:rPr>
                  <m:t>)</m:t>
                </m:r>
              </m:sup>
            </m:sSubSup>
          </m:e>
        </m:nary>
        <m:r>
          <m:t> </m:t>
        </m:r>
        <m:sSubSup>
          <m:e>
            <m:r>
              <m:t>x</m:t>
            </m:r>
          </m:e>
          <m:sub>
            <m:r>
              <m:t>i</m:t>
            </m:r>
          </m:sub>
          <m:sup>
            <m:r>
              <m:rPr>
                <m:sty m:val="p"/>
              </m:rPr>
              <m:t>(</m:t>
            </m:r>
            <m:r>
              <m:t>m</m:t>
            </m:r>
            <m:r>
              <m:rPr>
                <m:sty m:val="p"/>
              </m:rPr>
              <m:t>)</m:t>
            </m:r>
          </m:sup>
        </m:sSubSup>
        <m:r>
          <m:rPr>
            <m:sty m:val="p"/>
          </m:rPr>
          <m:t>(</m:t>
        </m:r>
        <m:r>
          <m:t>t</m:t>
        </m:r>
        <m:r>
          <m:rPr>
            <m:sty m:val="p"/>
          </m:rPr>
          <m:t>)</m:t>
        </m:r>
        <m:r>
          <m:rPr>
            <m:sty m:val="p"/>
          </m:rPr>
          <m:t>,</m:t>
        </m:r>
      </m:oMath>
      <w:r>
        <w:tab/>
      </w:r>
      <w:r>
        <w:t xml:space="preserve">(3.28)</w:t>
      </w:r>
      <w:bookmarkEnd w:id="64"/>
    </w:p>
    <w:p>
      <w:pPr>
        <w:pStyle w:val="BodyText"/>
      </w:pPr>
      <w:r>
        <w:t xml:space="preserve">and preserves the central frequencies and the phases of the retained modes. Compatibility is evaluated with the pseudo-spectral acceleration operator</w:t>
      </w:r>
    </w:p>
    <w:p>
      <w:pPr>
        <w:pStyle w:val="Equation"/>
      </w:pPr>
      <w:bookmarkStart w:id="65" w:name="eq-srs-sa"/>
      <w:r>
        <w:tab/>
      </w:r>
      <m:oMath>
        <m:sSub>
          <m:e>
            <m:r>
              <m:t>S</m:t>
            </m:r>
          </m:e>
          <m:sub>
            <m:r>
              <m:t>a</m:t>
            </m:r>
            <m:r>
              <m:rPr>
                <m:sty m:val="p"/>
              </m:rPr>
              <m:t>,</m:t>
            </m:r>
            <m:r>
              <m:t>j</m:t>
            </m:r>
          </m:sub>
        </m:sSub>
        <m:r>
          <m:rPr>
            <m:sty m:val="p"/>
          </m:rPr>
          <m:t>[</m:t>
        </m:r>
        <m:r>
          <m:t>z</m:t>
        </m:r>
        <m:r>
          <m:rPr>
            <m:sty m:val="p"/>
          </m:rPr>
          <m:t>]</m:t>
        </m:r>
        <m:r>
          <m:rPr>
            <m:sty m:val="p"/>
          </m:rPr>
          <m:t>=</m:t>
        </m:r>
        <m:sSub>
          <m:e>
            <m:r>
              <m:t>S</m:t>
            </m:r>
          </m:e>
          <m:sub>
            <m:r>
              <m:t>a</m:t>
            </m:r>
          </m:sub>
        </m:sSub>
        <m:r>
          <m:rPr>
            <m:sty m:val="p"/>
          </m:rPr>
          <m:t>[</m:t>
        </m:r>
        <m:r>
          <m:t>z</m:t>
        </m:r>
        <m:r>
          <m:rPr>
            <m:sty m:val="p"/>
          </m:rPr>
          <m:t>]</m:t>
        </m:r>
        <m:r>
          <m:rPr>
            <m:sty m:val="p"/>
          </m:rPr>
          <m:t>(</m:t>
        </m:r>
        <m:sSub>
          <m:e>
            <m:r>
              <m:t>T</m:t>
            </m:r>
          </m:e>
          <m:sub>
            <m:r>
              <m:t>j</m:t>
            </m:r>
          </m:sub>
        </m:sSub>
        <m:r>
          <m:rPr>
            <m:sty m:val="p"/>
          </m:rPr>
          <m:t>,</m:t>
        </m:r>
        <m:r>
          <m:t>ξ</m:t>
        </m:r>
        <m:r>
          <m:rPr>
            <m:sty m:val="p"/>
          </m:rPr>
          <m:t>)</m:t>
        </m:r>
        <m:r>
          <m:rPr>
            <m:sty m:val="p"/>
          </m:rPr>
          <m:t>,</m:t>
        </m:r>
      </m:oMath>
      <w:r>
        <w:tab/>
      </w:r>
      <w:r>
        <w:t xml:space="preserve">(3.29)</w:t>
      </w:r>
      <w:bookmarkEnd w:id="65"/>
    </w:p>
    <w:p>
      <w:pPr>
        <w:pStyle w:val="BodyText"/>
      </w:pPr>
      <w:r>
        <w:t xml:space="preserve">where</w:t>
      </w:r>
      <w:r>
        <w:t xml:space="preserve"> </w:t>
      </w:r>
      <m:oMath>
        <m:r>
          <m:t>z</m:t>
        </m:r>
        <m:r>
          <m:rPr>
            <m:sty m:val="p"/>
          </m:rPr>
          <m:t>(</m:t>
        </m:r>
        <m:r>
          <m:t>t</m:t>
        </m:r>
        <m:r>
          <m:rPr>
            <m:sty m:val="p"/>
          </m:rPr>
          <m:t>)</m:t>
        </m:r>
      </m:oMath>
      <w:r>
        <w:t xml:space="preserve"> </w:t>
      </w:r>
      <w:r>
        <w:t xml:space="preserve">is an acceleration history,</w:t>
      </w:r>
      <w:r>
        <w:t xml:space="preserve"> </w:t>
      </w:r>
      <m:oMath>
        <m:sSub>
          <m:e>
            <m:r>
              <m:t>T</m:t>
            </m:r>
          </m:e>
          <m:sub>
            <m:r>
              <m:t>j</m:t>
            </m:r>
          </m:sub>
        </m:sSub>
      </m:oMath>
      <w:r>
        <w:t xml:space="preserve"> </w:t>
      </w:r>
      <w:r>
        <w:t xml:space="preserve">is a target period, and</w:t>
      </w:r>
      <w:r>
        <w:t xml:space="preserve"> </w:t>
      </w:r>
      <m:oMath>
        <m:r>
          <m:t>ξ</m:t>
        </m:r>
        <m:r>
          <m:rPr>
            <m:sty m:val="p"/>
          </m:rPr>
          <m:t>=</m:t>
        </m:r>
        <m:r>
          <m:t>5</m:t>
        </m:r>
        <m:r>
          <m:rPr>
            <m:sty m:val="p"/>
          </m:rPr>
          <m:t>%</m:t>
        </m:r>
      </m:oMath>
      <w:r>
        <w:t xml:space="preserve"> </w:t>
      </w:r>
      <w:r>
        <w:t xml:space="preserve">is the damping ratio;</w:t>
      </w:r>
      <w:r>
        <w:t xml:space="preserve"> </w:t>
      </w:r>
      <m:oMath>
        <m:sSub>
          <m:e>
            <m:r>
              <m:t>s</m:t>
            </m:r>
          </m:e>
          <m:sub>
            <m:r>
              <m:t>i</m:t>
            </m:r>
            <m:r>
              <m:t>j</m:t>
            </m:r>
          </m:sub>
        </m:sSub>
        <m:r>
          <m:rPr>
            <m:sty m:val="p"/>
          </m:rPr>
          <m:t>(</m:t>
        </m:r>
        <m:sSub>
          <m:e>
            <m:r>
              <m:rPr>
                <m:sty m:val="b"/>
              </m:rPr>
              <m:t>b</m:t>
            </m:r>
          </m:e>
          <m:sub>
            <m:r>
              <m:t>i</m:t>
            </m:r>
          </m:sub>
        </m:sSub>
        <m:r>
          <m:rPr>
            <m:sty m:val="p"/>
          </m:rPr>
          <m:t>)</m:t>
        </m:r>
        <m:r>
          <m:rPr>
            <m:sty m:val="p"/>
          </m:rPr>
          <m:t>=</m:t>
        </m:r>
        <m:sSub>
          <m:e>
            <m:r>
              <m:t>S</m:t>
            </m:r>
          </m:e>
          <m:sub>
            <m:r>
              <m:t>a</m:t>
            </m:r>
            <m:r>
              <m:rPr>
                <m:sty m:val="p"/>
              </m:rPr>
              <m:t>,</m:t>
            </m:r>
            <m:r>
              <m:t>j</m:t>
            </m:r>
          </m:sub>
        </m:sSub>
        <m:r>
          <m:t>​</m:t>
        </m:r>
        <m:d>
          <m:dPr>
            <m:begChr m:val="["/>
            <m:sepChr m:val=""/>
            <m:endChr m:val="]"/>
            <m:grow/>
          </m:dPr>
          <m:e>
            <m:sSub>
              <m:e>
                <m:acc>
                  <m:accPr>
                    <m:chr m:val="̃"/>
                  </m:accPr>
                  <m:e>
                    <m:r>
                      <m:t>x</m:t>
                    </m:r>
                  </m:e>
                </m:acc>
              </m:e>
              <m:sub>
                <m:r>
                  <m:t>i</m:t>
                </m:r>
              </m:sub>
            </m:sSub>
            <m:r>
              <m:rPr>
                <m:sty m:val="p"/>
              </m:rPr>
              <m:t>(</m:t>
            </m:r>
            <m:sSub>
              <m:e>
                <m:r>
                  <m:rPr>
                    <m:sty m:val="b"/>
                  </m:rPr>
                  <m:t>b</m:t>
                </m:r>
              </m:e>
              <m:sub>
                <m:r>
                  <m:t>i</m:t>
                </m:r>
              </m:sub>
            </m:sSub>
            <m:r>
              <m:rPr>
                <m:sty m:val="p"/>
              </m:rPr>
              <m:t>)</m:t>
            </m:r>
          </m:e>
        </m:d>
      </m:oMath>
      <w:r>
        <w:t xml:space="preserve"> </w:t>
      </w:r>
      <w:r>
        <w:t xml:space="preserve">is the reconstructed ordinate of record</w:t>
      </w:r>
      <w:r>
        <w:t xml:space="preserve"> </w:t>
      </w:r>
      <m:oMath>
        <m:r>
          <m:t>i</m:t>
        </m:r>
      </m:oMath>
      <w:r>
        <w:t xml:space="preserve">. With</w:t>
      </w:r>
      <w:r>
        <w:t xml:space="preserve"> </w:t>
      </w:r>
      <m:oMath>
        <m:sSub>
          <m:e>
            <m:r>
              <m:t>y</m:t>
            </m:r>
          </m:e>
          <m:sub>
            <m:r>
              <m:t>j</m:t>
            </m:r>
          </m:sub>
        </m:sSub>
      </m:oMath>
      <w:r>
        <w:t xml:space="preserve">,</w:t>
      </w:r>
      <w:r>
        <w:t xml:space="preserve"> </w:t>
      </w:r>
      <m:oMath>
        <m:sSub>
          <m:e>
            <m:r>
              <m:t>l</m:t>
            </m:r>
          </m:e>
          <m:sub>
            <m:r>
              <m:t>j</m:t>
            </m:r>
          </m:sub>
        </m:sSub>
      </m:oMath>
      <w:r>
        <w:t xml:space="preserve">, and</w:t>
      </w:r>
      <w:r>
        <w:t xml:space="preserve"> </w:t>
      </w:r>
      <m:oMath>
        <m:sSub>
          <m:e>
            <m:r>
              <m:t>u</m:t>
            </m:r>
          </m:e>
          <m:sub>
            <m:r>
              <m:t>j</m:t>
            </m:r>
          </m:sub>
        </m:sSub>
      </m:oMath>
      <w:r>
        <w:t xml:space="preserve"> </w:t>
      </w:r>
      <w:r>
        <w:t xml:space="preserve">as the target and the lower and upper envelopes at</w:t>
      </w:r>
      <w:r>
        <w:t xml:space="preserve"> </w:t>
      </w:r>
      <m:oMath>
        <m:sSub>
          <m:e>
            <m:r>
              <m:t>T</m:t>
            </m:r>
          </m:e>
          <m:sub>
            <m:r>
              <m:t>j</m:t>
            </m:r>
          </m:sub>
        </m:sSub>
      </m:oMath>
      <w:r>
        <w:t xml:space="preserve">, the target-normalized misfit of the record is</w:t>
      </w:r>
    </w:p>
    <w:p>
      <w:pPr>
        <w:pStyle w:val="Equation"/>
      </w:pPr>
      <w:bookmarkStart w:id="66" w:name="eq-srs-modal-rmse"/>
      <w:r>
        <w:tab/>
      </w:r>
      <m:oMath>
        <m:sSub>
          <m:e>
            <m:r>
              <m:rPr>
                <m:sty m:val="p"/>
              </m:rPr>
              <m:t>R</m:t>
            </m:r>
            <m:r>
              <m:rPr>
                <m:sty m:val="p"/>
              </m:rPr>
              <m:t>M</m:t>
            </m:r>
            <m:r>
              <m:rPr>
                <m:sty m:val="p"/>
              </m:rPr>
              <m:t>S</m:t>
            </m:r>
            <m:r>
              <m:rPr>
                <m:sty m:val="p"/>
              </m:rPr>
              <m:t>E</m:t>
            </m:r>
          </m:e>
          <m:sub>
            <m:r>
              <m:t>i</m:t>
            </m:r>
          </m:sub>
        </m:sSub>
        <m:r>
          <m:rPr>
            <m:sty m:val="p"/>
          </m:rPr>
          <m:t>(</m:t>
        </m:r>
        <m:sSub>
          <m:e>
            <m:r>
              <m:rPr>
                <m:sty m:val="b"/>
              </m:rPr>
              <m:t>b</m:t>
            </m:r>
          </m:e>
          <m:sub>
            <m:r>
              <m:t>i</m:t>
            </m:r>
          </m:sub>
        </m:sSub>
        <m:r>
          <m:rPr>
            <m:sty m:val="p"/>
          </m:rPr>
          <m:t>)</m:t>
        </m:r>
        <m:r>
          <m:rPr>
            <m:sty m:val="p"/>
          </m:rPr>
          <m:t>=</m:t>
        </m:r>
        <m:sSup>
          <m:e>
            <m:d>
              <m:dPr>
                <m:begChr m:val="["/>
                <m:sepChr m:val=""/>
                <m:endChr m:val="]"/>
                <m:grow/>
              </m:dPr>
              <m:e>
                <m:f>
                  <m:fPr>
                    <m:type m:val="bar"/>
                  </m:fPr>
                  <m:num>
                    <m:r>
                      <m:t>1</m:t>
                    </m:r>
                  </m:num>
                  <m:den>
                    <m:r>
                      <m:t>J</m:t>
                    </m:r>
                  </m:den>
                </m:f>
                <m:nary>
                  <m:naryPr>
                    <m:chr m:val="∑"/>
                    <m:limLoc m:val="undOvr"/>
                    <m:subHide m:val="off"/>
                    <m:supHide m:val="off"/>
                  </m:naryPr>
                  <m:sub>
                    <m:r>
                      <m:t>j</m:t>
                    </m:r>
                    <m:r>
                      <m:rPr>
                        <m:sty m:val="p"/>
                      </m:rPr>
                      <m:t>=</m:t>
                    </m:r>
                    <m:r>
                      <m:t>1</m:t>
                    </m:r>
                  </m:sub>
                  <m:sup>
                    <m:r>
                      <m:t>J</m:t>
                    </m:r>
                  </m:sup>
                  <m:e>
                    <m:sSup>
                      <m:e>
                        <m:d>
                          <m:dPr>
                            <m:begChr m:val="("/>
                            <m:sepChr m:val=""/>
                            <m:endChr m:val=")"/>
                            <m:grow/>
                          </m:dPr>
                          <m:e>
                            <m:f>
                              <m:fPr>
                                <m:type m:val="bar"/>
                              </m:fPr>
                              <m:num>
                                <m:sSub>
                                  <m:e>
                                    <m:r>
                                      <m:t>s</m:t>
                                    </m:r>
                                  </m:e>
                                  <m:sub>
                                    <m:r>
                                      <m:t>i</m:t>
                                    </m:r>
                                    <m:r>
                                      <m:t>j</m:t>
                                    </m:r>
                                  </m:sub>
                                </m:sSub>
                                <m:r>
                                  <m:rPr>
                                    <m:sty m:val="p"/>
                                  </m:rPr>
                                  <m:t>(</m:t>
                                </m:r>
                                <m:sSub>
                                  <m:e>
                                    <m:r>
                                      <m:rPr>
                                        <m:sty m:val="b"/>
                                      </m:rPr>
                                      <m:t>b</m:t>
                                    </m:r>
                                  </m:e>
                                  <m:sub>
                                    <m:r>
                                      <m:t>i</m:t>
                                    </m:r>
                                  </m:sub>
                                </m:sSub>
                                <m:r>
                                  <m:rPr>
                                    <m:sty m:val="p"/>
                                  </m:rPr>
                                  <m:t>)</m:t>
                                </m:r>
                                <m:r>
                                  <m:rPr>
                                    <m:sty m:val="p"/>
                                  </m:rPr>
                                  <m:t>−</m:t>
                                </m:r>
                                <m:sSub>
                                  <m:e>
                                    <m:r>
                                      <m:t>y</m:t>
                                    </m:r>
                                  </m:e>
                                  <m:sub>
                                    <m:r>
                                      <m:t>j</m:t>
                                    </m:r>
                                  </m:sub>
                                </m:sSub>
                              </m:num>
                              <m:den>
                                <m:sSub>
                                  <m:e>
                                    <m:r>
                                      <m:t>y</m:t>
                                    </m:r>
                                  </m:e>
                                  <m:sub>
                                    <m:r>
                                      <m:t>j</m:t>
                                    </m:r>
                                  </m:sub>
                                </m:sSub>
                              </m:den>
                            </m:f>
                          </m:e>
                        </m:d>
                      </m:e>
                      <m:sup>
                        <m:r>
                          <m:t>2</m:t>
                        </m:r>
                      </m:sup>
                    </m:sSup>
                  </m:e>
                </m:nary>
              </m:e>
            </m:d>
          </m:e>
          <m:sup>
            <m:r>
              <m:t>1</m:t>
            </m:r>
            <m:r>
              <m:rPr>
                <m:sty m:val="p"/>
              </m:rPr>
              <m:t>/</m:t>
            </m:r>
            <m:r>
              <m:t>2</m:t>
            </m:r>
          </m:sup>
        </m:sSup>
        <m:r>
          <m:rPr>
            <m:sty m:val="p"/>
          </m:rPr>
          <m:t>.</m:t>
        </m:r>
      </m:oMath>
      <w:r>
        <w:tab/>
      </w:r>
      <w:r>
        <w:t xml:space="preserve">(3.30)</w:t>
      </w:r>
      <w:bookmarkEnd w:id="66"/>
    </w:p>
    <w:p>
      <w:pPr>
        <w:pStyle w:val="BodyText"/>
      </w:pPr>
      <w:r>
        <w:t xml:space="preserve">and the out-of-band excursion of the record at</w:t>
      </w:r>
      <w:r>
        <w:t xml:space="preserve"> </w:t>
      </w:r>
      <m:oMath>
        <m:sSub>
          <m:e>
            <m:r>
              <m:t>T</m:t>
            </m:r>
          </m:e>
          <m:sub>
            <m:r>
              <m:t>j</m:t>
            </m:r>
          </m:sub>
        </m:sSub>
      </m:oMath>
      <w:r>
        <w:t xml:space="preserve"> </w:t>
      </w:r>
      <w:r>
        <w:t xml:space="preserve">is</w:t>
      </w:r>
    </w:p>
    <w:p>
      <w:pPr>
        <w:pStyle w:val="Equation"/>
      </w:pPr>
      <w:bookmarkStart w:id="67" w:name="eq-srs-modal-excursion"/>
      <w:r>
        <w:tab/>
      </w:r>
      <m:oMath>
        <m:sSub>
          <m:e>
            <m:r>
              <m:t>v</m:t>
            </m:r>
          </m:e>
          <m:sub>
            <m:r>
              <m:t>i</m:t>
            </m:r>
            <m:r>
              <m:t>j</m:t>
            </m:r>
          </m:sub>
        </m:sSub>
        <m:r>
          <m:rPr>
            <m:sty m:val="p"/>
          </m:rPr>
          <m:t>(</m:t>
        </m:r>
        <m:sSub>
          <m:e>
            <m:r>
              <m:rPr>
                <m:sty m:val="b"/>
              </m:rPr>
              <m:t>b</m:t>
            </m:r>
          </m:e>
          <m:sub>
            <m:r>
              <m:t>i</m:t>
            </m:r>
          </m:sub>
        </m:sSub>
        <m:r>
          <m:rPr>
            <m:sty m:val="p"/>
          </m:rPr>
          <m:t>)</m:t>
        </m:r>
        <m:r>
          <m:rPr>
            <m:sty m:val="p"/>
          </m:rPr>
          <m:t>=</m:t>
        </m:r>
        <m:r>
          <m:rPr>
            <m:sty m:val="p"/>
          </m:rPr>
          <m:t>max</m:t>
        </m:r>
        <m:r>
          <m:t>​</m:t>
        </m:r>
        <m:d>
          <m:dPr>
            <m:begChr m:val="{"/>
            <m:sepChr m:val=""/>
            <m:endChr m:val="}"/>
            <m:grow/>
          </m:dPr>
          <m:e>
            <m:f>
              <m:fPr>
                <m:type m:val="bar"/>
              </m:fPr>
              <m:num>
                <m:sSub>
                  <m:e>
                    <m:r>
                      <m:t>l</m:t>
                    </m:r>
                  </m:e>
                  <m:sub>
                    <m:r>
                      <m:t>j</m:t>
                    </m:r>
                  </m:sub>
                </m:sSub>
                <m:r>
                  <m:rPr>
                    <m:sty m:val="p"/>
                  </m:rPr>
                  <m:t>−</m:t>
                </m:r>
                <m:sSub>
                  <m:e>
                    <m:r>
                      <m:t>s</m:t>
                    </m:r>
                  </m:e>
                  <m:sub>
                    <m:r>
                      <m:t>i</m:t>
                    </m:r>
                    <m:r>
                      <m:t>j</m:t>
                    </m:r>
                  </m:sub>
                </m:sSub>
                <m:r>
                  <m:rPr>
                    <m:sty m:val="p"/>
                  </m:rPr>
                  <m:t>(</m:t>
                </m:r>
                <m:sSub>
                  <m:e>
                    <m:r>
                      <m:rPr>
                        <m:sty m:val="b"/>
                      </m:rPr>
                      <m:t>b</m:t>
                    </m:r>
                  </m:e>
                  <m:sub>
                    <m:r>
                      <m:t>i</m:t>
                    </m:r>
                  </m:sub>
                </m:sSub>
                <m:r>
                  <m:rPr>
                    <m:sty m:val="p"/>
                  </m:rPr>
                  <m:t>)</m:t>
                </m:r>
              </m:num>
              <m:den>
                <m:sSub>
                  <m:e>
                    <m:r>
                      <m:t>l</m:t>
                    </m:r>
                  </m:e>
                  <m:sub>
                    <m:r>
                      <m:t>j</m:t>
                    </m:r>
                  </m:sub>
                </m:sSub>
              </m:den>
            </m:f>
            <m:r>
              <m:rPr>
                <m:sty m:val="p"/>
              </m:rPr>
              <m:t>,</m:t>
            </m:r>
            <m:r>
              <m:t> </m:t>
            </m:r>
            <m:f>
              <m:fPr>
                <m:type m:val="bar"/>
              </m:fPr>
              <m:num>
                <m:sSub>
                  <m:e>
                    <m:r>
                      <m:t>s</m:t>
                    </m:r>
                  </m:e>
                  <m:sub>
                    <m:r>
                      <m:t>i</m:t>
                    </m:r>
                    <m:r>
                      <m:t>j</m:t>
                    </m:r>
                  </m:sub>
                </m:sSub>
                <m:r>
                  <m:rPr>
                    <m:sty m:val="p"/>
                  </m:rPr>
                  <m:t>(</m:t>
                </m:r>
                <m:sSub>
                  <m:e>
                    <m:r>
                      <m:rPr>
                        <m:sty m:val="b"/>
                      </m:rPr>
                      <m:t>b</m:t>
                    </m:r>
                  </m:e>
                  <m:sub>
                    <m:r>
                      <m:t>i</m:t>
                    </m:r>
                  </m:sub>
                </m:sSub>
                <m:r>
                  <m:rPr>
                    <m:sty m:val="p"/>
                  </m:rPr>
                  <m:t>)</m:t>
                </m:r>
                <m:r>
                  <m:rPr>
                    <m:sty m:val="p"/>
                  </m:rPr>
                  <m:t>−</m:t>
                </m:r>
                <m:sSub>
                  <m:e>
                    <m:r>
                      <m:t>u</m:t>
                    </m:r>
                  </m:e>
                  <m:sub>
                    <m:r>
                      <m:t>j</m:t>
                    </m:r>
                  </m:sub>
                </m:sSub>
              </m:num>
              <m:den>
                <m:sSub>
                  <m:e>
                    <m:r>
                      <m:t>u</m:t>
                    </m:r>
                  </m:e>
                  <m:sub>
                    <m:r>
                      <m:t>j</m:t>
                    </m:r>
                  </m:sub>
                </m:sSub>
              </m:den>
            </m:f>
            <m:r>
              <m:rPr>
                <m:sty m:val="p"/>
              </m:rPr>
              <m:t>,</m:t>
            </m:r>
            <m:r>
              <m:t> </m:t>
            </m:r>
            <m:r>
              <m:t>0</m:t>
            </m:r>
          </m:e>
        </m:d>
        <m:r>
          <m:rPr>
            <m:sty m:val="p"/>
          </m:rPr>
          <m:t>.</m:t>
        </m:r>
      </m:oMath>
      <w:r>
        <w:tab/>
      </w:r>
      <w:r>
        <w:t xml:space="preserve">(3.31)</w:t>
      </w:r>
      <w:bookmarkEnd w:id="67"/>
    </w:p>
    <w:p>
      <w:pPr>
        <w:pStyle w:val="BodyText"/>
      </w:pPr>
      <w:r>
        <w:t xml:space="preserve">The multipliers are obtained by minimizing, with</w:t>
      </w:r>
      <w:r>
        <w:t xml:space="preserve"> </w:t>
      </w:r>
      <m:oMath>
        <m:sSubSup>
          <m:e>
            <m:r>
              <m:t>b</m:t>
            </m:r>
          </m:e>
          <m:sub>
            <m:r>
              <m:t>i</m:t>
            </m:r>
          </m:sub>
          <m:sup>
            <m:r>
              <m:rPr>
                <m:sty m:val="p"/>
              </m:rPr>
              <m:t>(</m:t>
            </m:r>
            <m:r>
              <m:t>m</m:t>
            </m:r>
            <m:r>
              <m:rPr>
                <m:sty m:val="p"/>
              </m:rPr>
              <m:t>)</m:t>
            </m:r>
          </m:sup>
        </m:sSubSup>
        <m:r>
          <m:rPr>
            <m:sty m:val="p"/>
          </m:rPr>
          <m:t>=</m:t>
        </m:r>
        <m:sSubSup>
          <m:e>
            <m:r>
              <m:t>b</m:t>
            </m:r>
          </m:e>
          <m:sub>
            <m:r>
              <m:t>i</m:t>
            </m:r>
            <m:r>
              <m:rPr>
                <m:sty m:val="p"/>
              </m:rPr>
              <m:t>,</m:t>
            </m:r>
            <m:r>
              <m:t>0</m:t>
            </m:r>
          </m:sub>
          <m:sup>
            <m:r>
              <m:rPr>
                <m:sty m:val="p"/>
              </m:rPr>
              <m:t>(</m:t>
            </m:r>
            <m:r>
              <m:t>m</m:t>
            </m:r>
            <m:r>
              <m:rPr>
                <m:sty m:val="p"/>
              </m:rPr>
              <m:t>)</m:t>
            </m:r>
          </m:sup>
        </m:sSubSup>
        <m:r>
          <m:t> </m:t>
        </m:r>
        <m:sSup>
          <m:e>
            <m:r>
              <m:t>e</m:t>
            </m:r>
          </m:e>
          <m:sup>
            <m:sSubSup>
              <m:e>
                <m:r>
                  <m:t>θ</m:t>
                </m:r>
              </m:e>
              <m:sub>
                <m:r>
                  <m:t>i</m:t>
                </m:r>
              </m:sub>
              <m:sup>
                <m:r>
                  <m:rPr>
                    <m:sty m:val="p"/>
                  </m:rPr>
                  <m:t>(</m:t>
                </m:r>
                <m:r>
                  <m:t>m</m:t>
                </m:r>
                <m:r>
                  <m:rPr>
                    <m:sty m:val="p"/>
                  </m:rPr>
                  <m:t>)</m:t>
                </m:r>
              </m:sup>
            </m:sSubSup>
          </m:sup>
        </m:sSup>
      </m:oMath>
      <w:r>
        <w:t xml:space="preserve"> </w:t>
      </w:r>
      <w:r>
        <w:t xml:space="preserve">and within their bounds, the regularized objective</w:t>
      </w:r>
    </w:p>
    <w:p>
      <w:pPr>
        <w:pStyle w:val="Equation"/>
      </w:pPr>
      <w:bookmarkStart w:id="68" w:name="eq-srs-modal-objective"/>
      <w:r>
        <w:tab/>
      </w:r>
      <m:oMath>
        <m:sSub>
          <m:e>
            <m:r>
              <m:t>L</m:t>
            </m:r>
          </m:e>
          <m:sub>
            <m:r>
              <m:t>i</m:t>
            </m:r>
          </m:sub>
        </m:sSub>
        <m:r>
          <m:rPr>
            <m:sty m:val="p"/>
          </m:rPr>
          <m:t>(</m:t>
        </m:r>
        <m:sSub>
          <m:e>
            <m:r>
              <m:rPr>
                <m:sty m:val="b"/>
              </m:rPr>
              <m:t>θ</m:t>
            </m:r>
          </m:e>
          <m:sub>
            <m:r>
              <m:t>i</m:t>
            </m:r>
          </m:sub>
        </m:sSub>
        <m:r>
          <m:rPr>
            <m:sty m:val="p"/>
          </m:rPr>
          <m:t>)</m:t>
        </m:r>
        <m:r>
          <m:rPr>
            <m:sty m:val="p"/>
          </m:rPr>
          <m:t>=</m:t>
        </m:r>
        <m:sSubSup>
          <m:e>
            <m:r>
              <m:rPr>
                <m:sty m:val="p"/>
              </m:rPr>
              <m:t>R</m:t>
            </m:r>
            <m:r>
              <m:rPr>
                <m:sty m:val="p"/>
              </m:rPr>
              <m:t>M</m:t>
            </m:r>
            <m:r>
              <m:rPr>
                <m:sty m:val="p"/>
              </m:rPr>
              <m:t>S</m:t>
            </m:r>
            <m:r>
              <m:rPr>
                <m:sty m:val="p"/>
              </m:rPr>
              <m:t>E</m:t>
            </m:r>
          </m:e>
          <m:sub>
            <m:r>
              <m:t>i</m:t>
            </m:r>
          </m:sub>
          <m:sup>
            <m:r>
              <m:t>2</m:t>
            </m:r>
          </m:sup>
        </m:sSubSup>
        <m:r>
          <m:rPr>
            <m:sty m:val="p"/>
          </m:rPr>
          <m:t>(</m:t>
        </m:r>
        <m:sSub>
          <m:e>
            <m:r>
              <m:rPr>
                <m:sty m:val="b"/>
              </m:rPr>
              <m:t>θ</m:t>
            </m:r>
          </m:e>
          <m:sub>
            <m:r>
              <m:t>i</m:t>
            </m:r>
          </m:sub>
        </m:sSub>
        <m:r>
          <m:rPr>
            <m:sty m:val="p"/>
          </m:rPr>
          <m:t>)</m:t>
        </m:r>
        <m:r>
          <m:rPr>
            <m:sty m:val="p"/>
          </m:rPr>
          <m:t>+</m:t>
        </m:r>
        <m:sSub>
          <m:e>
            <m:r>
              <m:t>λ</m:t>
            </m:r>
          </m:e>
          <m:sub>
            <m:r>
              <m:rPr>
                <m:sty m:val="p"/>
              </m:rPr>
              <m:t>e</m:t>
            </m:r>
            <m:r>
              <m:rPr>
                <m:sty m:val="p"/>
              </m:rPr>
              <m:t>n</m:t>
            </m:r>
            <m:r>
              <m:rPr>
                <m:sty m:val="p"/>
              </m:rPr>
              <m:t>v</m:t>
            </m:r>
          </m:sub>
        </m:sSub>
        <m:r>
          <m:t> </m:t>
        </m:r>
        <m:f>
          <m:fPr>
            <m:type m:val="bar"/>
          </m:fPr>
          <m:num>
            <m:r>
              <m:t>1</m:t>
            </m:r>
          </m:num>
          <m:den>
            <m:r>
              <m:t>J</m:t>
            </m:r>
          </m:den>
        </m:f>
        <m:nary>
          <m:naryPr>
            <m:chr m:val="∑"/>
            <m:limLoc m:val="undOvr"/>
            <m:subHide m:val="off"/>
            <m:supHide m:val="off"/>
          </m:naryPr>
          <m:sub>
            <m:r>
              <m:t>j</m:t>
            </m:r>
            <m:r>
              <m:rPr>
                <m:sty m:val="p"/>
              </m:rPr>
              <m:t>=</m:t>
            </m:r>
            <m:r>
              <m:t>1</m:t>
            </m:r>
          </m:sub>
          <m:sup>
            <m:r>
              <m:t>J</m:t>
            </m:r>
          </m:sup>
          <m:e>
            <m:sSubSup>
              <m:e>
                <m:r>
                  <m:t>v</m:t>
                </m:r>
              </m:e>
              <m:sub>
                <m:r>
                  <m:t>i</m:t>
                </m:r>
                <m:r>
                  <m:t>j</m:t>
                </m:r>
              </m:sub>
              <m:sup>
                <m:r>
                  <m:t>2</m:t>
                </m:r>
              </m:sup>
            </m:sSubSup>
          </m:e>
        </m:nary>
        <m:r>
          <m:rPr>
            <m:sty m:val="p"/>
          </m:rPr>
          <m:t>(</m:t>
        </m:r>
        <m:sSub>
          <m:e>
            <m:r>
              <m:rPr>
                <m:sty m:val="b"/>
              </m:rPr>
              <m:t>θ</m:t>
            </m:r>
          </m:e>
          <m:sub>
            <m:r>
              <m:t>i</m:t>
            </m:r>
          </m:sub>
        </m:sSub>
        <m:r>
          <m:rPr>
            <m:sty m:val="p"/>
          </m:rPr>
          <m:t>)</m:t>
        </m:r>
        <m:r>
          <m:rPr>
            <m:sty m:val="p"/>
          </m:rPr>
          <m:t>+</m:t>
        </m:r>
        <m:sSub>
          <m:e>
            <m:r>
              <m:t>λ</m:t>
            </m:r>
          </m:e>
          <m:sub>
            <m:r>
              <m:rPr>
                <m:sty m:val="p"/>
              </m:rPr>
              <m:t>m</m:t>
            </m:r>
            <m:r>
              <m:rPr>
                <m:sty m:val="p"/>
              </m:rPr>
              <m:t>o</m:t>
            </m:r>
            <m:r>
              <m:rPr>
                <m:sty m:val="p"/>
              </m:rPr>
              <m:t>v</m:t>
            </m:r>
          </m:sub>
        </m:sSub>
        <m:r>
          <m:t> </m:t>
        </m:r>
        <m:f>
          <m:fPr>
            <m:type m:val="bar"/>
          </m:fPr>
          <m:num>
            <m:r>
              <m:t>1</m:t>
            </m:r>
          </m:num>
          <m:den>
            <m:r>
              <m:rPr>
                <m:sty m:val="p"/>
              </m:rPr>
              <m:t>|</m:t>
            </m:r>
            <m:sSub>
              <m:e>
                <m:r>
                  <m:rPr>
                    <m:scr m:val="script"/>
                    <m:sty m:val="p"/>
                  </m:rPr>
                  <m:t>M</m:t>
                </m:r>
              </m:e>
              <m:sub>
                <m:r>
                  <m:t>i</m:t>
                </m:r>
              </m:sub>
            </m:sSub>
            <m:r>
              <m:rPr>
                <m:sty m:val="p"/>
              </m:rPr>
              <m:t>|</m:t>
            </m:r>
          </m:den>
        </m:f>
        <m:nary>
          <m:naryPr>
            <m:chr m:val="∑"/>
            <m:limLoc m:val="undOvr"/>
            <m:subHide m:val="off"/>
            <m:supHide m:val="on"/>
          </m:naryPr>
          <m:sub>
            <m:r>
              <m:t>m</m:t>
            </m:r>
            <m:r>
              <m:rPr>
                <m:sty m:val="p"/>
              </m:rPr>
              <m:t>∈</m:t>
            </m:r>
            <m:sSub>
              <m:e>
                <m:r>
                  <m:rPr>
                    <m:scr m:val="script"/>
                    <m:sty m:val="p"/>
                  </m:rPr>
                  <m:t>M</m:t>
                </m:r>
              </m:e>
              <m:sub>
                <m:r>
                  <m:t>i</m:t>
                </m:r>
              </m:sub>
            </m:sSub>
          </m:sub>
          <m:sup>
            <m:r>
              <m:t>​</m:t>
            </m:r>
          </m:sup>
          <m:e>
            <m:r>
              <m:rPr>
                <m:sty m:val="p"/>
              </m:rPr>
              <m:t>(</m:t>
            </m:r>
          </m:e>
        </m:nary>
        <m:sSubSup>
          <m:e>
            <m:r>
              <m:t>θ</m:t>
            </m:r>
          </m:e>
          <m:sub>
            <m:r>
              <m:t>i</m:t>
            </m:r>
          </m:sub>
          <m:sup>
            <m:r>
              <m:rPr>
                <m:sty m:val="p"/>
              </m:rPr>
              <m:t>(</m:t>
            </m:r>
            <m:r>
              <m:t>m</m:t>
            </m:r>
            <m:r>
              <m:rPr>
                <m:sty m:val="p"/>
              </m:rPr>
              <m:t>)</m:t>
            </m:r>
          </m:sup>
        </m:sSubSup>
        <m:sSup>
          <m:e>
            <m:r>
              <m:rPr>
                <m:sty m:val="p"/>
              </m:rPr>
              <m:t>)</m:t>
            </m:r>
          </m:e>
          <m:sup>
            <m:r>
              <m:t>2</m:t>
            </m:r>
          </m:sup>
        </m:sSup>
        <m:r>
          <m:rPr>
            <m:sty m:val="p"/>
          </m:rPr>
          <m:t>,</m:t>
        </m:r>
      </m:oMath>
      <w:r>
        <w:tab/>
      </w:r>
      <w:r>
        <w:t xml:space="preserve">(3.32)</w:t>
      </w:r>
      <w:bookmarkEnd w:id="68"/>
    </w:p>
    <w:p>
      <w:pPr>
        <w:pStyle w:val="BodyText"/>
      </w:pPr>
      <w:r>
        <w:t xml:space="preserve">where</w:t>
      </w:r>
      <w:r>
        <w:t xml:space="preserve"> </w:t>
      </w:r>
      <m:oMath>
        <m:sSubSup>
          <m:e>
            <m:r>
              <m:t>b</m:t>
            </m:r>
          </m:e>
          <m:sub>
            <m:r>
              <m:t>i</m:t>
            </m:r>
            <m:r>
              <m:rPr>
                <m:sty m:val="p"/>
              </m:rPr>
              <m:t>,</m:t>
            </m:r>
            <m:r>
              <m:t>0</m:t>
            </m:r>
          </m:sub>
          <m:sup>
            <m:r>
              <m:rPr>
                <m:sty m:val="p"/>
              </m:rPr>
              <m:t>(</m:t>
            </m:r>
            <m:r>
              <m:t>m</m:t>
            </m:r>
            <m:r>
              <m:rPr>
                <m:sty m:val="p"/>
              </m:rPr>
              <m:t>)</m:t>
            </m:r>
          </m:sup>
        </m:sSubSup>
      </m:oMath>
      <w:r>
        <w:t xml:space="preserve"> </w:t>
      </w:r>
      <w:r>
        <w:t xml:space="preserve">is the initial value of the multiplier: the first term reduces the misfit with respect to the target, the second penalizes the excursions outside the band, and the third limits unnecessary movement of the retained multipliers. The minimization applies a deliberately bounded number of iterations, so that the adjustment remains close to the recorded motion. After the modal adjustment, the factor</w:t>
      </w:r>
    </w:p>
    <w:p>
      <w:pPr>
        <w:pStyle w:val="Equation"/>
      </w:pPr>
      <w:bookmarkStart w:id="69" w:name="eq-srs-energy"/>
      <w:r>
        <w:tab/>
      </w:r>
      <m:oMath>
        <m:sSub>
          <m:e>
            <m:r>
              <m:t>e</m:t>
            </m:r>
          </m:e>
          <m:sub>
            <m:r>
              <m:t>i</m:t>
            </m:r>
          </m:sub>
        </m:sSub>
        <m:r>
          <m:rPr>
            <m:sty m:val="p"/>
          </m:rPr>
          <m:t>=</m:t>
        </m:r>
        <m:sSup>
          <m:e>
            <m:d>
              <m:dPr>
                <m:begChr m:val="["/>
                <m:sepChr m:val=""/>
                <m:endChr m:val="]"/>
                <m:grow/>
              </m:dPr>
              <m:e>
                <m:f>
                  <m:fPr>
                    <m:type m:val="bar"/>
                  </m:fPr>
                  <m:num>
                    <m:nary>
                      <m:naryPr>
                        <m:chr m:val="∑"/>
                        <m:limLoc m:val="undOvr"/>
                        <m:subHide m:val="off"/>
                        <m:supHide m:val="on"/>
                      </m:naryPr>
                      <m:sub>
                        <m:r>
                          <m:t>t</m:t>
                        </m:r>
                      </m:sub>
                      <m:sup>
                        <m:r>
                          <m:t>​</m:t>
                        </m:r>
                      </m:sup>
                      <m:e>
                        <m:sSubSup>
                          <m:e>
                            <m:r>
                              <m:t>x</m:t>
                            </m:r>
                          </m:e>
                          <m:sub>
                            <m:r>
                              <m:t>i</m:t>
                            </m:r>
                          </m:sub>
                          <m:sup>
                            <m:r>
                              <m:t>2</m:t>
                            </m:r>
                          </m:sup>
                        </m:sSubSup>
                      </m:e>
                    </m:nary>
                    <m:r>
                      <m:rPr>
                        <m:sty m:val="p"/>
                      </m:rPr>
                      <m:t>(</m:t>
                    </m:r>
                    <m:r>
                      <m:t>t</m:t>
                    </m:r>
                    <m:r>
                      <m:rPr>
                        <m:sty m:val="p"/>
                      </m:rPr>
                      <m:t>)</m:t>
                    </m:r>
                  </m:num>
                  <m:den>
                    <m:nary>
                      <m:naryPr>
                        <m:chr m:val="∑"/>
                        <m:limLoc m:val="undOvr"/>
                        <m:subHide m:val="off"/>
                        <m:supHide m:val="on"/>
                      </m:naryPr>
                      <m:sub>
                        <m:r>
                          <m:t>t</m:t>
                        </m:r>
                      </m:sub>
                      <m:sup>
                        <m:r>
                          <m:t>​</m:t>
                        </m:r>
                      </m:sup>
                      <m:e>
                        <m:sSubSup>
                          <m:e>
                            <m:acc>
                              <m:accPr>
                                <m:chr m:val="̃"/>
                              </m:accPr>
                              <m:e>
                                <m:r>
                                  <m:t>x</m:t>
                                </m:r>
                              </m:e>
                            </m:acc>
                          </m:e>
                          <m:sub>
                            <m:r>
                              <m:t>i</m:t>
                            </m:r>
                          </m:sub>
                          <m:sup>
                            <m:r>
                              <m:t>2</m:t>
                            </m:r>
                          </m:sup>
                        </m:sSubSup>
                      </m:e>
                    </m:nary>
                    <m:r>
                      <m:rPr>
                        <m:sty m:val="p"/>
                      </m:rPr>
                      <m:t>(</m:t>
                    </m:r>
                    <m:r>
                      <m:t>t</m:t>
                    </m:r>
                    <m:r>
                      <m:rPr>
                        <m:sty m:val="p"/>
                      </m:rPr>
                      <m:t>;</m:t>
                    </m:r>
                    <m:sSub>
                      <m:e>
                        <m:r>
                          <m:rPr>
                            <m:sty m:val="b"/>
                          </m:rPr>
                          <m:t>b</m:t>
                        </m:r>
                      </m:e>
                      <m:sub>
                        <m:r>
                          <m:t>i</m:t>
                        </m:r>
                      </m:sub>
                    </m:sSub>
                    <m:r>
                      <m:rPr>
                        <m:sty m:val="p"/>
                      </m:rPr>
                      <m:t>)</m:t>
                    </m:r>
                  </m:den>
                </m:f>
              </m:e>
            </m:d>
          </m:e>
          <m:sup>
            <m:r>
              <m:t>1</m:t>
            </m:r>
            <m:r>
              <m:rPr>
                <m:sty m:val="p"/>
              </m:rPr>
              <m:t>/</m:t>
            </m:r>
            <m:r>
              <m:t>2</m:t>
            </m:r>
          </m:sup>
        </m:sSup>
        <m:r>
          <m:rPr>
            <m:sty m:val="p"/>
          </m:rPr>
          <m:t>,</m:t>
        </m:r>
        <m:r>
          <m:t>  </m:t>
        </m:r>
        <m:sSub>
          <m:e>
            <m:r>
              <m:t>y</m:t>
            </m:r>
          </m:e>
          <m:sub>
            <m:r>
              <m:t>i</m:t>
            </m:r>
          </m:sub>
        </m:sSub>
        <m:r>
          <m:rPr>
            <m:sty m:val="p"/>
          </m:rPr>
          <m:t>(</m:t>
        </m:r>
        <m:r>
          <m:t>t</m:t>
        </m:r>
        <m:r>
          <m:rPr>
            <m:sty m:val="p"/>
          </m:rPr>
          <m:t>)</m:t>
        </m:r>
        <m:r>
          <m:rPr>
            <m:sty m:val="p"/>
          </m:rPr>
          <m:t>=</m:t>
        </m:r>
        <m:sSub>
          <m:e>
            <m:r>
              <m:t>e</m:t>
            </m:r>
          </m:e>
          <m:sub>
            <m:r>
              <m:t>i</m:t>
            </m:r>
          </m:sub>
        </m:sSub>
        <m:sSub>
          <m:e>
            <m:acc>
              <m:accPr>
                <m:chr m:val="̃"/>
              </m:accPr>
              <m:e>
                <m:r>
                  <m:t>x</m:t>
                </m:r>
              </m:e>
            </m:acc>
          </m:e>
          <m:sub>
            <m:r>
              <m:t>i</m:t>
            </m:r>
          </m:sub>
        </m:sSub>
        <m:r>
          <m:rPr>
            <m:sty m:val="p"/>
          </m:rPr>
          <m:t>(</m:t>
        </m:r>
        <m:r>
          <m:t>t</m:t>
        </m:r>
        <m:r>
          <m:rPr>
            <m:sty m:val="p"/>
          </m:rPr>
          <m:t>;</m:t>
        </m:r>
        <m:sSub>
          <m:e>
            <m:r>
              <m:rPr>
                <m:sty m:val="b"/>
              </m:rPr>
              <m:t>b</m:t>
            </m:r>
          </m:e>
          <m:sub>
            <m:r>
              <m:t>i</m:t>
            </m:r>
          </m:sub>
        </m:sSub>
        <m:r>
          <m:rPr>
            <m:sty m:val="p"/>
          </m:rPr>
          <m:t>)</m:t>
        </m:r>
        <m:r>
          <m:rPr>
            <m:sty m:val="p"/>
          </m:rPr>
          <m:t>,</m:t>
        </m:r>
      </m:oMath>
      <w:r>
        <w:tab/>
      </w:r>
      <w:r>
        <w:t xml:space="preserve">(3.33)</w:t>
      </w:r>
      <w:bookmarkEnd w:id="69"/>
    </w:p>
    <w:p>
      <w:pPr>
        <w:pStyle w:val="BodyText"/>
      </w:pPr>
      <w:r>
        <w:t xml:space="preserve">normalizes the quadratic energy of the reconstructed signal with respect to the recorded history; the normalization preserves the discrete quadratic norm of the record’s acceleration after reconstruction, and the effective contribution of mode</w:t>
      </w:r>
      <w:r>
        <w:t xml:space="preserve"> </w:t>
      </w:r>
      <m:oMath>
        <m:r>
          <m:t>m</m:t>
        </m:r>
      </m:oMath>
      <w:r>
        <w:t xml:space="preserve"> </w:t>
      </w:r>
      <w:r>
        <w:t xml:space="preserve">is</w:t>
      </w:r>
      <w:r>
        <w:t xml:space="preserve"> </w:t>
      </w:r>
      <m:oMath>
        <m:sSub>
          <m:e>
            <m:r>
              <m:t>e</m:t>
            </m:r>
          </m:e>
          <m:sub>
            <m:r>
              <m:t>i</m:t>
            </m:r>
          </m:sub>
        </m:sSub>
        <m:r>
          <m:t> </m:t>
        </m:r>
        <m:sSubSup>
          <m:e>
            <m:r>
              <m:t>b</m:t>
            </m:r>
          </m:e>
          <m:sub>
            <m:r>
              <m:t>i</m:t>
            </m:r>
          </m:sub>
          <m:sup>
            <m:r>
              <m:rPr>
                <m:sty m:val="p"/>
              </m:rPr>
              <m:t>(</m:t>
            </m:r>
            <m:r>
              <m:t>m</m:t>
            </m:r>
            <m:r>
              <m:rPr>
                <m:sty m:val="p"/>
              </m:rPr>
              <m:t>)</m:t>
            </m:r>
          </m:sup>
        </m:sSubSup>
        <m:r>
          <m:t> </m:t>
        </m:r>
        <m:sSubSup>
          <m:e>
            <m:r>
              <m:t>x</m:t>
            </m:r>
          </m:e>
          <m:sub>
            <m:r>
              <m:t>i</m:t>
            </m:r>
          </m:sub>
          <m:sup>
            <m:r>
              <m:rPr>
                <m:sty m:val="p"/>
              </m:rPr>
              <m:t>(</m:t>
            </m:r>
            <m:r>
              <m:t>m</m:t>
            </m:r>
            <m:r>
              <m:rPr>
                <m:sty m:val="p"/>
              </m:rPr>
              <m:t>)</m:t>
            </m:r>
          </m:sup>
        </m:sSubSup>
        <m:r>
          <m:rPr>
            <m:sty m:val="p"/>
          </m:rPr>
          <m:t>(</m:t>
        </m:r>
        <m:r>
          <m:t>t</m:t>
        </m:r>
        <m:r>
          <m:rPr>
            <m:sty m:val="p"/>
          </m:rPr>
          <m:t>)</m:t>
        </m:r>
      </m:oMath>
      <w:r>
        <w:t xml:space="preserve">. This stage removes the low-frequency component associated with drift and noise and maintains the temporal structure of the modes that represent the motion at the reference condition</w:t>
      </w:r>
      <w:r>
        <w:t xml:space="preserve"> </w:t>
      </w:r>
      <w:r>
        <w:t xml:space="preserve">(</w:t>
      </w:r>
      <w:hyperlink w:anchor="ref-VerriKozlowskiInPress">
        <w:r>
          <w:rPr>
            <w:rStyle w:val="Hyperlink"/>
          </w:rPr>
          <w:t xml:space="preserve">Verri Kozlowski, 2026b</w:t>
        </w:r>
      </w:hyperlink>
      <w:r>
        <w:t xml:space="preserve">)</w:t>
      </w:r>
      <w:r>
        <w:t xml:space="preserve">.</w:t>
      </w:r>
    </w:p>
    <w:p>
      <w:pPr>
        <w:pStyle w:val="BodyText"/>
      </w:pPr>
      <w:r>
        <w:t xml:space="preserve">Each reconstructed and normalized history receives a positive coefficient</w:t>
      </w:r>
      <w:r>
        <w:t xml:space="preserve"> </w:t>
      </w:r>
      <m:oMath>
        <m:sSub>
          <m:e>
            <m:r>
              <m:t>c</m:t>
            </m:r>
          </m:e>
          <m:sub>
            <m:r>
              <m:t>i</m:t>
            </m:r>
          </m:sub>
        </m:sSub>
      </m:oMath>
      <w:r>
        <w:t xml:space="preserve">,</w:t>
      </w:r>
    </w:p>
    <w:p>
      <w:pPr>
        <w:pStyle w:val="Equation"/>
      </w:pPr>
      <w:bookmarkStart w:id="70" w:name="eq-srs-final"/>
      <w:r>
        <w:tab/>
      </w:r>
      <m:oMath>
        <m:sSub>
          <m:e>
            <m:r>
              <m:t>Y</m:t>
            </m:r>
          </m:e>
          <m:sub>
            <m:r>
              <m:t>i</m:t>
            </m:r>
          </m:sub>
        </m:sSub>
        <m:r>
          <m:rPr>
            <m:sty m:val="p"/>
          </m:rPr>
          <m:t>(</m:t>
        </m:r>
        <m:r>
          <m:t>t</m:t>
        </m:r>
        <m:r>
          <m:rPr>
            <m:sty m:val="p"/>
          </m:rPr>
          <m:t>)</m:t>
        </m:r>
        <m:r>
          <m:rPr>
            <m:sty m:val="p"/>
          </m:rPr>
          <m:t>=</m:t>
        </m:r>
        <m:sSub>
          <m:e>
            <m:r>
              <m:t>c</m:t>
            </m:r>
          </m:e>
          <m:sub>
            <m:r>
              <m:t>i</m:t>
            </m:r>
          </m:sub>
        </m:sSub>
        <m:sSub>
          <m:e>
            <m:r>
              <m:t>y</m:t>
            </m:r>
          </m:e>
          <m:sub>
            <m:r>
              <m:t>i</m:t>
            </m:r>
          </m:sub>
        </m:sSub>
        <m:r>
          <m:rPr>
            <m:sty m:val="p"/>
          </m:rPr>
          <m:t>(</m:t>
        </m:r>
        <m:r>
          <m:t>t</m:t>
        </m:r>
        <m:r>
          <m:rPr>
            <m:sty m:val="p"/>
          </m:rPr>
          <m:t>)</m:t>
        </m:r>
        <m:r>
          <m:rPr>
            <m:sty m:val="p"/>
          </m:rPr>
          <m:t>=</m:t>
        </m:r>
        <m:sSub>
          <m:e>
            <m:r>
              <m:t>c</m:t>
            </m:r>
          </m:e>
          <m:sub>
            <m:r>
              <m:t>i</m:t>
            </m:r>
          </m:sub>
        </m:sSub>
        <m:sSub>
          <m:e>
            <m:r>
              <m:t>e</m:t>
            </m:r>
          </m:e>
          <m:sub>
            <m:r>
              <m:t>i</m:t>
            </m:r>
          </m:sub>
        </m:sSub>
        <m:nary>
          <m:naryPr>
            <m:chr m:val="∑"/>
            <m:limLoc m:val="undOvr"/>
            <m:subHide m:val="off"/>
            <m:supHide m:val="on"/>
          </m:naryPr>
          <m:sub>
            <m:r>
              <m:t>m</m:t>
            </m:r>
            <m:r>
              <m:rPr>
                <m:sty m:val="p"/>
              </m:rPr>
              <m:t>∈</m:t>
            </m:r>
            <m:sSub>
              <m:e>
                <m:r>
                  <m:rPr>
                    <m:scr m:val="script"/>
                    <m:sty m:val="p"/>
                  </m:rPr>
                  <m:t>M</m:t>
                </m:r>
              </m:e>
              <m:sub>
                <m:r>
                  <m:t>i</m:t>
                </m:r>
              </m:sub>
            </m:sSub>
          </m:sub>
          <m:sup>
            <m:r>
              <m:t>​</m:t>
            </m:r>
          </m:sup>
          <m:e>
            <m:sSubSup>
              <m:e>
                <m:r>
                  <m:t>b</m:t>
                </m:r>
              </m:e>
              <m:sub>
                <m:r>
                  <m:t>i</m:t>
                </m:r>
              </m:sub>
              <m:sup>
                <m:r>
                  <m:rPr>
                    <m:sty m:val="p"/>
                  </m:rPr>
                  <m:t>(</m:t>
                </m:r>
                <m:r>
                  <m:t>m</m:t>
                </m:r>
                <m:r>
                  <m:rPr>
                    <m:sty m:val="p"/>
                  </m:rPr>
                  <m:t>)</m:t>
                </m:r>
              </m:sup>
            </m:sSubSup>
          </m:e>
        </m:nary>
        <m:sSubSup>
          <m:e>
            <m:r>
              <m:t>x</m:t>
            </m:r>
          </m:e>
          <m:sub>
            <m:r>
              <m:t>i</m:t>
            </m:r>
          </m:sub>
          <m:sup>
            <m:r>
              <m:rPr>
                <m:sty m:val="p"/>
              </m:rPr>
              <m:t>(</m:t>
            </m:r>
            <m:r>
              <m:t>m</m:t>
            </m:r>
            <m:r>
              <m:rPr>
                <m:sty m:val="p"/>
              </m:rPr>
              <m:t>)</m:t>
            </m:r>
          </m:sup>
        </m:sSubSup>
        <m:r>
          <m:rPr>
            <m:sty m:val="p"/>
          </m:rPr>
          <m:t>(</m:t>
        </m:r>
        <m:r>
          <m:t>t</m:t>
        </m:r>
        <m:r>
          <m:rPr>
            <m:sty m:val="p"/>
          </m:rPr>
          <m:t>)</m:t>
        </m:r>
        <m:r>
          <m:rPr>
            <m:sty m:val="p"/>
          </m:rPr>
          <m:t>,</m:t>
        </m:r>
      </m:oMath>
      <w:r>
        <w:tab/>
      </w:r>
      <w:r>
        <w:t xml:space="preserve">(3.34)</w:t>
      </w:r>
      <w:bookmarkEnd w:id="70"/>
    </w:p>
    <w:p>
      <w:pPr>
        <w:pStyle w:val="BodyText"/>
      </w:pPr>
      <w:r>
        <w:t xml:space="preserve">so that</w:t>
      </w:r>
      <w:r>
        <w:t xml:space="preserve"> </w:t>
      </w:r>
      <m:oMath>
        <m:sSub>
          <m:e>
            <m:r>
              <m:t>Y</m:t>
            </m:r>
          </m:e>
          <m:sub>
            <m:r>
              <m:t>i</m:t>
            </m:r>
          </m:sub>
        </m:sSub>
        <m:r>
          <m:rPr>
            <m:sty m:val="p"/>
          </m:rPr>
          <m:t>(</m:t>
        </m:r>
        <m:r>
          <m:t>t</m:t>
        </m:r>
        <m:r>
          <m:rPr>
            <m:sty m:val="p"/>
          </m:rPr>
          <m:t>)</m:t>
        </m:r>
      </m:oMath>
      <w:r>
        <w:t xml:space="preserve"> </w:t>
      </w:r>
      <w:r>
        <w:t xml:space="preserve">is the final H1 component employed in the analyses. The coefficients</w:t>
      </w:r>
      <w:r>
        <w:t xml:space="preserve"> </w:t>
      </w:r>
      <m:oMath>
        <m:sSub>
          <m:e>
            <m:r>
              <m:t>c</m:t>
            </m:r>
          </m:e>
          <m:sub>
            <m:r>
              <m:t>i</m:t>
            </m:r>
          </m:sub>
        </m:sSub>
      </m:oMath>
      <w:r>
        <w:t xml:space="preserve"> </w:t>
      </w:r>
      <w:r>
        <w:t xml:space="preserve">are determined jointly, as a bounded quadratic problem over the complete suite, to reproduce the target spectral mean and to contain the individual spectra within the prescribed band. The objective function is</w:t>
      </w:r>
    </w:p>
    <w:p>
      <w:pPr>
        <w:pStyle w:val="Equation"/>
      </w:pPr>
      <w:bookmarkStart w:id="71" w:name="eq-srs-objective"/>
      <w:r>
        <w:tab/>
      </w:r>
      <m:oMath>
        <m:eqArr>
          <m:e>
            <m:sSub>
              <m:e>
                <m:r>
                  <m:rPr>
                    <m:sty m:val="p"/>
                  </m:rPr>
                  <m:t>min</m:t>
                </m:r>
              </m:e>
              <m:sub>
                <m:sSub>
                  <m:e>
                    <m:r>
                      <m:t>c</m:t>
                    </m:r>
                  </m:e>
                  <m:sub>
                    <m:r>
                      <m:t>i</m:t>
                    </m:r>
                  </m:sub>
                </m:sSub>
                <m:r>
                  <m:rPr>
                    <m:sty m:val="p"/>
                  </m:rPr>
                  <m:t>&gt;</m:t>
                </m:r>
                <m:r>
                  <m:t>0</m:t>
                </m:r>
              </m:sub>
            </m:sSub>
            <m:r>
              <m:t> </m:t>
            </m:r>
            <m:r>
              <m:t>&amp;</m:t>
            </m:r>
            <m:f>
              <m:fPr>
                <m:type m:val="bar"/>
              </m:fPr>
              <m:num>
                <m:r>
                  <m:t>1</m:t>
                </m:r>
              </m:num>
              <m:den>
                <m:r>
                  <m:t>J</m:t>
                </m:r>
              </m:den>
            </m:f>
            <m:nary>
              <m:naryPr>
                <m:chr m:val="∑"/>
                <m:limLoc m:val="undOvr"/>
                <m:subHide m:val="off"/>
                <m:supHide m:val="off"/>
              </m:naryPr>
              <m:sub>
                <m:r>
                  <m:t>j</m:t>
                </m:r>
                <m:r>
                  <m:rPr>
                    <m:sty m:val="p"/>
                  </m:rPr>
                  <m:t>=</m:t>
                </m:r>
                <m:r>
                  <m:t>1</m:t>
                </m:r>
              </m:sub>
              <m:sup>
                <m:r>
                  <m:t>J</m:t>
                </m:r>
              </m:sup>
              <m:e>
                <m:sSub>
                  <m:e>
                    <m:r>
                      <m:t>w</m:t>
                    </m:r>
                  </m:e>
                  <m:sub>
                    <m:r>
                      <m:t>j</m:t>
                    </m:r>
                  </m:sub>
                </m:sSub>
              </m:e>
            </m:nary>
            <m:sSubSup>
              <m:e>
                <m:r>
                  <m:t>r</m:t>
                </m:r>
              </m:e>
              <m:sub>
                <m:r>
                  <m:t>j</m:t>
                </m:r>
              </m:sub>
              <m:sup>
                <m:r>
                  <m:t>2</m:t>
                </m:r>
              </m:sup>
            </m:sSubSup>
            <m:r>
              <m:rPr>
                <m:sty m:val="p"/>
              </m:rPr>
              <m:t>+</m:t>
            </m:r>
            <m:f>
              <m:fPr>
                <m:type m:val="bar"/>
              </m:fPr>
              <m:num>
                <m:sSub>
                  <m:e>
                    <m:r>
                      <m:t>λ</m:t>
                    </m:r>
                  </m:e>
                  <m:sub>
                    <m:r>
                      <m:t>B</m:t>
                    </m:r>
                  </m:sub>
                </m:sSub>
              </m:num>
              <m:den>
                <m:r>
                  <m:t>N</m:t>
                </m:r>
                <m:r>
                  <m:t>J</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J</m:t>
                    </m:r>
                  </m:sup>
                  <m:e>
                    <m:sSubSup>
                      <m:e>
                        <m:r>
                          <m:t>v</m:t>
                        </m:r>
                      </m:e>
                      <m:sub>
                        <m:r>
                          <m:t>i</m:t>
                        </m:r>
                        <m:r>
                          <m:t>j</m:t>
                        </m:r>
                      </m:sub>
                      <m:sup>
                        <m:r>
                          <m:t>2</m:t>
                        </m:r>
                      </m:sup>
                    </m:sSubSup>
                  </m:e>
                </m:nary>
              </m:e>
            </m:nary>
            <m:r>
              <m:rPr>
                <m:sty m:val="p"/>
              </m:rPr>
              <m:t>,</m:t>
            </m:r>
          </m:e>
          <m:e>
            <m:r>
              <m:t>&amp;</m:t>
            </m:r>
            <m:sSub>
              <m:e>
                <m:r>
                  <m:t>w</m:t>
                </m:r>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D</m:t>
                          </m:r>
                        </m:sub>
                      </m:sSub>
                      <m:r>
                        <m:rPr>
                          <m:sty m:val="p"/>
                        </m:rPr>
                        <m:t>,</m:t>
                      </m:r>
                    </m:e>
                    <m:e>
                      <m:sSub>
                        <m:e>
                          <m:r>
                            <m:t>r</m:t>
                          </m:r>
                        </m:e>
                        <m:sub>
                          <m:r>
                            <m:t>j</m:t>
                          </m:r>
                        </m:sub>
                      </m:sSub>
                      <m:r>
                        <m:rPr>
                          <m:sty m:val="p"/>
                        </m:rPr>
                        <m:t>&lt;</m:t>
                      </m:r>
                      <m:r>
                        <m:t>0</m:t>
                      </m:r>
                      <m:r>
                        <m:rPr>
                          <m:sty m:val="p"/>
                        </m:rPr>
                        <m:t>,</m:t>
                      </m:r>
                    </m:e>
                  </m:mr>
                  <m:mr>
                    <m:e>
                      <m:r>
                        <m:t>1</m:t>
                      </m:r>
                      <m:r>
                        <m:rPr>
                          <m:sty m:val="p"/>
                        </m:rPr>
                        <m:t>,</m:t>
                      </m:r>
                    </m:e>
                    <m:e>
                      <m:sSub>
                        <m:e>
                          <m:r>
                            <m:t>r</m:t>
                          </m:r>
                        </m:e>
                        <m:sub>
                          <m:r>
                            <m:t>j</m:t>
                          </m:r>
                        </m:sub>
                      </m:sSub>
                      <m:r>
                        <m:rPr>
                          <m:sty m:val="p"/>
                        </m:rPr>
                        <m:t>≥</m:t>
                      </m:r>
                      <m:r>
                        <m:t>0</m:t>
                      </m:r>
                      <m:r>
                        <m:rPr>
                          <m:sty m:val="p"/>
                        </m:rPr>
                        <m:t>,</m:t>
                      </m:r>
                    </m:e>
                  </m:mr>
                </m:m>
              </m:e>
            </m:d>
          </m:e>
        </m:eqArr>
      </m:oMath>
      <w:r>
        <w:tab/>
      </w:r>
      <w:r>
        <w:t xml:space="preserve">(3.35)</w:t>
      </w:r>
      <w:bookmarkEnd w:id="71"/>
    </w:p>
    <w:p>
      <w:pPr>
        <w:pStyle w:val="BodyText"/>
      </w:pPr>
      <w:r>
        <w:t xml:space="preserve">where the residual of the suite mean and the suite mean itself at each target period are</w:t>
      </w:r>
    </w:p>
    <w:p>
      <w:pPr>
        <w:pStyle w:val="Equation"/>
      </w:pPr>
      <w:bookmarkStart w:id="72" w:name="eq-srs-residual"/>
      <w:r>
        <w:tab/>
      </w:r>
      <m:oMath>
        <m:sSub>
          <m:e>
            <m:r>
              <m:t>r</m:t>
            </m:r>
          </m:e>
          <m:sub>
            <m:r>
              <m:t>j</m:t>
            </m:r>
          </m:sub>
        </m:sSub>
        <m:r>
          <m:rPr>
            <m:sty m:val="p"/>
          </m:rPr>
          <m:t>=</m:t>
        </m:r>
        <m:f>
          <m:fPr>
            <m:type m:val="bar"/>
          </m:fPr>
          <m:num>
            <m:sSub>
              <m:e>
                <m:bar>
                  <m:barPr>
                    <m:pos m:val="top"/>
                  </m:barPr>
                  <m:e>
                    <m:r>
                      <m:t>S</m:t>
                    </m:r>
                  </m:e>
                </m:bar>
              </m:e>
              <m:sub>
                <m:r>
                  <m:t>a</m:t>
                </m:r>
              </m:sub>
            </m:sSub>
            <m:r>
              <m:rPr>
                <m:sty m:val="p"/>
              </m:rPr>
              <m:t>(</m:t>
            </m:r>
            <m:sSub>
              <m:e>
                <m:r>
                  <m:t>T</m:t>
                </m:r>
              </m:e>
              <m:sub>
                <m:r>
                  <m:t>j</m:t>
                </m:r>
              </m:sub>
            </m:sSub>
            <m:r>
              <m:rPr>
                <m:sty m:val="p"/>
              </m:rPr>
              <m:t>)</m:t>
            </m:r>
            <m:r>
              <m:rPr>
                <m:sty m:val="p"/>
              </m:rPr>
              <m:t>−</m:t>
            </m:r>
            <m:sSubSup>
              <m:e>
                <m:r>
                  <m:t>S</m:t>
                </m:r>
              </m:e>
              <m:sub>
                <m:r>
                  <m:t>a</m:t>
                </m:r>
              </m:sub>
              <m:sup>
                <m:r>
                  <m:t>t</m:t>
                </m:r>
              </m:sup>
            </m:sSubSup>
            <m:r>
              <m:rPr>
                <m:sty m:val="p"/>
              </m:rPr>
              <m:t>(</m:t>
            </m:r>
            <m:sSub>
              <m:e>
                <m:r>
                  <m:t>T</m:t>
                </m:r>
              </m:e>
              <m:sub>
                <m:r>
                  <m:t>j</m:t>
                </m:r>
              </m:sub>
            </m:sSub>
            <m:r>
              <m:rPr>
                <m:sty m:val="p"/>
              </m:rPr>
              <m:t>)</m:t>
            </m:r>
          </m:num>
          <m:den>
            <m:sSubSup>
              <m:e>
                <m:r>
                  <m:t>S</m:t>
                </m:r>
              </m:e>
              <m:sub>
                <m:r>
                  <m:t>a</m:t>
                </m:r>
              </m:sub>
              <m:sup>
                <m:r>
                  <m:t>t</m:t>
                </m:r>
              </m:sup>
            </m:sSubSup>
            <m:r>
              <m:rPr>
                <m:sty m:val="p"/>
              </m:rPr>
              <m:t>(</m:t>
            </m:r>
            <m:sSub>
              <m:e>
                <m:r>
                  <m:t>T</m:t>
                </m:r>
              </m:e>
              <m:sub>
                <m:r>
                  <m:t>j</m:t>
                </m:r>
              </m:sub>
            </m:sSub>
            <m:r>
              <m:rPr>
                <m:sty m:val="p"/>
              </m:rPr>
              <m:t>)</m:t>
            </m:r>
          </m:den>
        </m:f>
        <m:r>
          <m:rPr>
            <m:sty m:val="p"/>
          </m:rPr>
          <m:t>,</m:t>
        </m:r>
        <m:r>
          <m:t>  </m:t>
        </m:r>
        <m:sSub>
          <m:e>
            <m:bar>
              <m:barPr>
                <m:pos m:val="top"/>
              </m:barPr>
              <m:e>
                <m:r>
                  <m:t>S</m:t>
                </m:r>
              </m:e>
            </m:bar>
          </m:e>
          <m:sub>
            <m:r>
              <m:t>a</m:t>
            </m:r>
          </m:sub>
        </m:sSub>
        <m:r>
          <m:rPr>
            <m:sty m:val="p"/>
          </m:rPr>
          <m:t>(</m:t>
        </m:r>
        <m:sSub>
          <m:e>
            <m:r>
              <m:t>T</m:t>
            </m:r>
          </m:e>
          <m:sub>
            <m:r>
              <m:t>j</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c</m:t>
                </m:r>
              </m:e>
              <m:sub>
                <m:r>
                  <m:t>i</m:t>
                </m:r>
              </m:sub>
            </m:sSub>
          </m:e>
        </m:nary>
        <m:sSub>
          <m:e>
            <m:r>
              <m:t>S</m:t>
            </m:r>
          </m:e>
          <m:sub>
            <m:r>
              <m:t>a</m:t>
            </m:r>
            <m:r>
              <m:rPr>
                <m:sty m:val="p"/>
              </m:rPr>
              <m:t>,</m:t>
            </m:r>
            <m:r>
              <m:t>j</m:t>
            </m:r>
          </m:sub>
        </m:sSub>
        <m:r>
          <m:rPr>
            <m:sty m:val="p"/>
          </m:rPr>
          <m:t>[</m:t>
        </m:r>
        <m:sSub>
          <m:e>
            <m:r>
              <m:t>y</m:t>
            </m:r>
          </m:e>
          <m:sub>
            <m:r>
              <m:t>i</m:t>
            </m:r>
          </m:sub>
        </m:sSub>
        <m:r>
          <m:rPr>
            <m:sty m:val="p"/>
          </m:rPr>
          <m:t>]</m:t>
        </m:r>
        <m:r>
          <m:rPr>
            <m:sty m:val="p"/>
          </m:rPr>
          <m:t>,</m:t>
        </m:r>
      </m:oMath>
      <w:r>
        <w:tab/>
      </w:r>
      <w:r>
        <w:t xml:space="preserve">(3.36)</w:t>
      </w:r>
      <w:bookmarkEnd w:id="72"/>
    </w:p>
    <w:p>
      <w:pPr>
        <w:pStyle w:val="BodyText"/>
      </w:pPr>
      <w:r>
        <w:t xml:space="preserve">and the out-of-band excursion is evaluated on the scaled spectra</w:t>
      </w:r>
      <w:r>
        <w:t xml:space="preserve"> </w:t>
      </w:r>
      <m:oMath>
        <m:sSub>
          <m:e>
            <m:r>
              <m:t>c</m:t>
            </m:r>
          </m:e>
          <m:sub>
            <m:r>
              <m:t>i</m:t>
            </m:r>
          </m:sub>
        </m:sSub>
        <m:sSub>
          <m:e>
            <m:r>
              <m:t>S</m:t>
            </m:r>
          </m:e>
          <m:sub>
            <m:r>
              <m:t>a</m:t>
            </m:r>
            <m:r>
              <m:rPr>
                <m:sty m:val="p"/>
              </m:rPr>
              <m:t>,</m:t>
            </m:r>
            <m:r>
              <m:t>j</m:t>
            </m:r>
          </m:sub>
        </m:sSub>
        <m:r>
          <m:rPr>
            <m:sty m:val="p"/>
          </m:rPr>
          <m:t>[</m:t>
        </m:r>
        <m:sSub>
          <m:e>
            <m:r>
              <m:t>y</m:t>
            </m:r>
          </m:e>
          <m:sub>
            <m:r>
              <m:t>i</m:t>
            </m:r>
          </m:sub>
        </m:sSub>
        <m:r>
          <m:rPr>
            <m:sty m:val="p"/>
          </m:rPr>
          <m:t>]</m:t>
        </m:r>
      </m:oMath>
      <w:r>
        <w:t xml:space="preserve"> </w:t>
      </w:r>
      <w:r>
        <w:t xml:space="preserve">with the same form as in the modal adjustment. Here,</w:t>
      </w:r>
      <w:r>
        <w:t xml:space="preserve"> </w:t>
      </w:r>
      <m:oMath>
        <m:r>
          <m:t>N</m:t>
        </m:r>
      </m:oMath>
      <w:r>
        <w:t xml:space="preserve"> </w:t>
      </w:r>
      <w:r>
        <w:t xml:space="preserve">is the number of records,</w:t>
      </w:r>
      <w:r>
        <w:t xml:space="preserve"> </w:t>
      </w:r>
      <m:oMath>
        <m:r>
          <m:t>J</m:t>
        </m:r>
      </m:oMath>
      <w:r>
        <w:t xml:space="preserve"> </w:t>
      </w:r>
      <w:r>
        <w:t xml:space="preserve">is the number of target periods,</w:t>
      </w:r>
      <w:r>
        <w:t xml:space="preserve"> </w:t>
      </w:r>
      <m:oMath>
        <m:sSubSup>
          <m:e>
            <m:r>
              <m:t>S</m:t>
            </m:r>
          </m:e>
          <m:sub>
            <m:r>
              <m:t>a</m:t>
            </m:r>
          </m:sub>
          <m:sup>
            <m:r>
              <m:t>t</m:t>
            </m:r>
          </m:sup>
        </m:sSubSup>
      </m:oMath>
      <w:r>
        <w:t xml:space="preserve"> </w:t>
      </w:r>
      <w:r>
        <w:t xml:space="preserve">is the target spectrum,</w:t>
      </w:r>
      <w:r>
        <w:t xml:space="preserve"> </w:t>
      </w:r>
      <m:oMath>
        <m:sSub>
          <m:e>
            <m:r>
              <m:t>λ</m:t>
            </m:r>
          </m:e>
          <m:sub>
            <m:r>
              <m:t>B</m:t>
            </m:r>
          </m:sub>
        </m:sSub>
      </m:oMath>
      <w:r>
        <w:t xml:space="preserve"> </w:t>
      </w:r>
      <w:r>
        <w:t xml:space="preserve">weights the containment of the individual spectra, and</w:t>
      </w:r>
      <w:r>
        <w:t xml:space="preserve"> </w:t>
      </w:r>
      <m:oMath>
        <m:sSub>
          <m:e>
            <m:r>
              <m:t>λ</m:t>
            </m:r>
          </m:e>
          <m:sub>
            <m:r>
              <m:t>D</m:t>
            </m:r>
          </m:sub>
        </m:sSub>
        <m:r>
          <m:rPr>
            <m:sty m:val="p"/>
          </m:rPr>
          <m:t>≥</m:t>
        </m:r>
        <m:r>
          <m:t>1</m:t>
        </m:r>
      </m:oMath>
      <w:r>
        <w:t xml:space="preserve"> </w:t>
      </w:r>
      <w:r>
        <w:t xml:space="preserve">weights the deficits of the suite mean. The value</w:t>
      </w:r>
      <w:r>
        <w:t xml:space="preserve"> </w:t>
      </w:r>
      <m:oMath>
        <m:sSub>
          <m:e>
            <m:r>
              <m:t>λ</m:t>
            </m:r>
          </m:e>
          <m:sub>
            <m:r>
              <m:t>D</m:t>
            </m:r>
          </m:sub>
        </m:sSub>
        <m:r>
          <m:rPr>
            <m:sty m:val="p"/>
          </m:rPr>
          <m:t>=</m:t>
        </m:r>
        <m:r>
          <m:t>1</m:t>
        </m:r>
      </m:oMath>
      <w:r>
        <w:t xml:space="preserve"> </w:t>
      </w:r>
      <w:r>
        <w:t xml:space="preserve">produces a symmetric weighting of positive and negative residuals.</w:t>
      </w:r>
    </w:p>
    <w:p>
      <w:pPr>
        <w:pStyle w:val="BodyText"/>
      </w:pPr>
      <w:r>
        <w:t xml:space="preserve">The final verification computes the relative RMSE of</w:t>
      </w:r>
      <w:r>
        <w:t xml:space="preserve"> </w:t>
      </w:r>
      <m:oMath>
        <m:sSub>
          <m:e>
            <m:bar>
              <m:barPr>
                <m:pos m:val="top"/>
              </m:barPr>
              <m:e>
                <m:r>
                  <m:t>S</m:t>
                </m:r>
              </m:e>
            </m:bar>
          </m:e>
          <m:sub>
            <m:r>
              <m:t>a</m:t>
            </m:r>
          </m:sub>
        </m:sSub>
      </m:oMath>
      <w:r>
        <w:t xml:space="preserve"> </w:t>
      </w:r>
      <w:r>
        <w:t xml:space="preserve">with respect to</w:t>
      </w:r>
      <w:r>
        <w:t xml:space="preserve"> </w:t>
      </w:r>
      <m:oMath>
        <m:sSubSup>
          <m:e>
            <m:r>
              <m:t>S</m:t>
            </m:r>
          </m:e>
          <m:sub>
            <m:r>
              <m:t>a</m:t>
            </m:r>
          </m:sub>
          <m:sup>
            <m:r>
              <m:t>t</m:t>
            </m:r>
          </m:sup>
        </m:sSubSup>
      </m:oMath>
      <w:r>
        <w:t xml:space="preserve">, the ratio of the suite-mean PGA to the target PGA, the fraction of record–period ordinates contained by the envelopes, and the range of the coefficients</w:t>
      </w:r>
      <w:r>
        <w:t xml:space="preserve"> </w:t>
      </w:r>
      <m:oMath>
        <m:sSub>
          <m:e>
            <m:r>
              <m:t>c</m:t>
            </m:r>
          </m:e>
          <m:sub>
            <m:r>
              <m:t>i</m:t>
            </m:r>
          </m:sub>
        </m:sSub>
      </m:oMath>
      <w:r>
        <w:t xml:space="preserve">. The delivered suite retains the acceleration, velocity, and displacement histories used in the dynamic analyses, the cumulative and scalar intensity measures, the significant durations, the PSA spectra, and the provenance metadata of events and stations. This chapter reports the table of selected records and the PSA comparison of H1 with the target spectrum.</w:t>
      </w:r>
    </w:p>
    <w:p>
      <w:pPr>
        <w:pStyle w:val="BodyText"/>
      </w:pPr>
      <w:r>
        <w:t xml:space="preserve"> </w:t>
      </w:r>
    </w:p>
    <w:bookmarkStart w:id="73" w:name="tbl-srs-records"/>
    <w:p>
      <w:pPr>
        <w:pStyle w:val="ImageCaption"/>
        <w:spacing w:before="200"/>
        <w:jc w:val="left"/>
      </w:pPr>
      <w:r>
        <w:t xml:space="preserve">Table 3.5: Selected ground motions for site</w:t>
      </w:r>
      <w:r>
        <w:t xml:space="preserve"> </w:t>
      </w:r>
      <w:r>
        <w:rPr>
          <w:rStyle w:val="VerbatimChar"/>
        </w:rPr>
        <w:t xml:space="preserve">CFD</w:t>
      </w:r>
      <w:r>
        <w:t xml:space="preserve">.</w:t>
      </w:r>
      <w:r>
        <w:t xml:space="preserve"> </w:t>
      </w:r>
      <m:oMath>
        <m:sSub>
          <m:e>
            <m:r>
              <m:rPr>
                <m:sty m:val="p"/>
              </m:rPr>
              <m:t>I</m:t>
            </m:r>
            <m:r>
              <m:rPr>
                <m:sty m:val="p"/>
              </m:rPr>
              <m:t>D</m:t>
            </m:r>
          </m:e>
          <m:sub>
            <m:r>
              <m:t>i</m:t>
            </m:r>
          </m:sub>
        </m:sSub>
      </m:oMath>
      <w:r>
        <w:t xml:space="preserve"> </w:t>
      </w:r>
      <w:r>
        <w:t xml:space="preserve">identifies the record and the</w:t>
      </w:r>
      <w:r>
        <w:t xml:space="preserve"> </w:t>
      </w:r>
      <w:r>
        <w:rPr>
          <w:rStyle w:val="VerbatimChar"/>
        </w:rPr>
        <w:t xml:space="preserve">Event</w:t>
      </w:r>
      <w:r>
        <w:t xml:space="preserve"> </w:t>
      </w:r>
      <w:r>
        <w:t xml:space="preserve">column the originating earthquake;</w:t>
      </w:r>
      <w:r>
        <w:t xml:space="preserve"> </w:t>
      </w:r>
      <m:oMath>
        <m:sSub>
          <m:e>
            <m:r>
              <m:t>M</m:t>
            </m:r>
          </m:e>
          <m:sub>
            <m:r>
              <m:t>w</m:t>
            </m:r>
          </m:sub>
        </m:sSub>
      </m:oMath>
      <w:r>
        <w:t xml:space="preserve"> </w:t>
      </w:r>
      <w:r>
        <w:t xml:space="preserve">is the moment magnitude, dimensionless;</w:t>
      </w:r>
      <w:r>
        <w:t xml:space="preserve"> </w:t>
      </w:r>
      <m:oMath>
        <m:sSub>
          <m:e>
            <m:r>
              <m:t>R</m:t>
            </m:r>
          </m:e>
          <m:sub>
            <m:r>
              <m:t>e</m:t>
            </m:r>
            <m:r>
              <m:t>p</m:t>
            </m:r>
            <m:r>
              <m:t>i</m:t>
            </m:r>
          </m:sub>
        </m:sSub>
      </m:oMath>
      <w:r>
        <w:t xml:space="preserve"> </w:t>
      </w:r>
      <w:r>
        <w:t xml:space="preserve">is the epicentral distance, in km;</w:t>
      </w:r>
      <w:r>
        <w:t xml:space="preserve"> </w:t>
      </w:r>
      <m:oMath>
        <m:r>
          <m:rPr>
            <m:sty m:val="p"/>
          </m:rPr>
          <m:t>P</m:t>
        </m:r>
        <m:r>
          <m:rPr>
            <m:sty m:val="p"/>
          </m:rPr>
          <m:t>G</m:t>
        </m:r>
        <m:r>
          <m:rPr>
            <m:sty m:val="p"/>
          </m:rPr>
          <m:t>A</m:t>
        </m:r>
      </m:oMath>
      <w:r>
        <w:t xml:space="preserve"> </w:t>
      </w:r>
      <w:r>
        <w:t xml:space="preserve">is the peak ground acceleration, in</w:t>
      </w:r>
      <w:r>
        <w:t xml:space="preserve"> </w:t>
      </w:r>
      <m:oMath>
        <m:r>
          <m:t>g</m:t>
        </m:r>
      </m:oMath>
      <w:r>
        <w:t xml:space="preserve">;</w:t>
      </w:r>
      <w:r>
        <w:t xml:space="preserve"> </w:t>
      </w:r>
      <m:oMath>
        <m:sSub>
          <m:e>
            <m:r>
              <m:t>I</m:t>
            </m:r>
          </m:e>
          <m:sub>
            <m:r>
              <m:t>A</m:t>
            </m:r>
          </m:sub>
        </m:sSub>
      </m:oMath>
      <w:r>
        <w:t xml:space="preserve"> </w:t>
      </w:r>
      <w:r>
        <w:t xml:space="preserve">is the Arias intensity,</w:t>
      </w:r>
      <w:r>
        <w:t xml:space="preserve"> </w:t>
      </w:r>
      <m:oMath>
        <m:r>
          <m:rPr>
            <m:sty m:val="p"/>
          </m:rPr>
          <m:t>C</m:t>
        </m:r>
        <m:r>
          <m:rPr>
            <m:sty m:val="p"/>
          </m:rPr>
          <m:t>A</m:t>
        </m:r>
        <m:r>
          <m:rPr>
            <m:sty m:val="p"/>
          </m:rPr>
          <m:t>V</m:t>
        </m:r>
      </m:oMath>
      <w:r>
        <w:t xml:space="preserve"> </w:t>
      </w:r>
      <w:r>
        <w:t xml:space="preserve">the cumulative absolute velocity and</w:t>
      </w:r>
      <w:r>
        <w:t xml:space="preserve"> </w:t>
      </w:r>
      <m:oMath>
        <m:sSub>
          <m:e>
            <m:r>
              <m:rPr>
                <m:sty m:val="p"/>
              </m:rPr>
              <m:t>C</m:t>
            </m:r>
            <m:r>
              <m:rPr>
                <m:sty m:val="p"/>
              </m:rPr>
              <m:t>A</m:t>
            </m:r>
            <m:r>
              <m:rPr>
                <m:sty m:val="p"/>
              </m:rPr>
              <m:t>V</m:t>
            </m:r>
          </m:e>
          <m:sub>
            <m:r>
              <m:t>5</m:t>
            </m:r>
          </m:sub>
        </m:sSub>
      </m:oMath>
      <w:r>
        <w:t xml:space="preserve"> </w:t>
      </w:r>
      <w:r>
        <w:t xml:space="preserve">the thresholded cumulative absolute velocity, the three in mm/s; and</w:t>
      </w:r>
      <w:r>
        <w:t xml:space="preserve"> </w:t>
      </w:r>
      <m:oMath>
        <m:sSub>
          <m:e>
            <m:r>
              <m:t>c</m:t>
            </m:r>
          </m:e>
          <m:sub>
            <m:r>
              <m:t>i</m:t>
            </m:r>
          </m:sub>
        </m:sSub>
      </m:oMath>
      <w:r>
        <w:t xml:space="preserve"> </w:t>
      </w:r>
      <w:r>
        <w:t xml:space="preserve">is the scale coefficient applied to each record of the suite after modal reconstruction and energy normalization, dimensionless. The total change relative to the original recording combines those three operations. Intensity measures are reported for the H1 component of each record, on which the spectral matching and the verification are performed.</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rPr>
                      <m:sty m:val="p"/>
                    </m:rPr>
                    <m:t>ID</m:t>
                  </m:r>
                </m:e>
                <m:sub>
                  <m:r>
                    <m:t>i</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Event</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w</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R</m:t>
                  </m:r>
                </m:e>
                <m:sub>
                  <m:r>
                    <m:t>epi</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rPr>
                  <m:sty m:val="p"/>
                </m:rPr>
                <m:t>PGA</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I</m:t>
                  </m:r>
                </m:e>
                <m:sub>
                  <m:r>
                    <m:t>A</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rPr>
                  <m:sty m:val="p"/>
                </m:rPr>
                <m:t>CAV</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rPr>
                      <m:sty m:val="p"/>
                    </m:rPr>
                    <m:t>CAV</m:t>
                  </m:r>
                </m:e>
                <m:sub>
                  <m:r>
                    <m:t>5</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c</m:t>
                  </m:r>
                </m:e>
                <m:sub>
                  <m:r>
                    <m:t>i</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7fc739394f8514e7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 km W of Cushing, Oklahoma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0.473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1,790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0dbcb847262d1446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 km NNW of Coalinga, California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504ad228238b7aaf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 km ENE of Novi di Modena, Italy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5ee93d2d7e1f3ec8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20100903T163717Z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b12abf045d51ff12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 km ESE of Christchurch,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4368bec7b5408390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 km ENE of Amberley,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9e55774aadb09712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8km NE of Gonzales, 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7f9008ec725865ad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8km SW of Holtville, 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51206aef7e9998b1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 km W of Gemlik, Turkey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11e3599a48322bdc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4km NE of Westmorland, 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f55d48cdd87f7346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 km NE of Oía, Greece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bc3928a34bfbd2d0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20100903T164849Z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4cd6aa9d1cc15096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20100903T163842Z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b9ccad75fdeaa8fb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 km SSW of Ferndale, California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71ba579f3aaba372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 km SE of Puli, Taiwan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c7da6a6286087e55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 km ESE of Managua, Nicaragua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06caa95385e8f518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 km SE of Puli, Taiwan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4238698ef454ef45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 km E of Christchurch,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bcb0006cec5e8f77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 km SW of Ölüdeniz, Turkey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f98cc58424a371f4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 km ESE of Prebbleton,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15770e935a5882b9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 km SE of Christchurch,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56e233ac014318d9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19760911T163110Z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25cbaa1db812694c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 km SSE of Prebbleton,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c9af922310a1caba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 km E of Rolleston,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24540f0a9a3fc39d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South Island of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3a1a681c09756f5e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20111223T010053Z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03a89db298564354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 km WNW of Fylí, Greece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dccd23395fb5ff0f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1992 Big Bear, California Earthquake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467bdc929d351885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South Island of New Zealand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1.206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172516bb571001fa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 km ESE of Christchurch, New Zealand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1.212</w:t>
            </w:r>
          </w:p>
        </w:tc>
      </w:tr>
    </w:tbl>
    <w:bookmarkEnd w:id="73"/>
    <w:p/>
    <w:p>
      <w:pPr>
        <w:pStyle w:val="BodyText"/>
      </w:pPr>
      <w:r>
        <w:t xml:space="preserve"> </w:t>
      </w:r>
    </w:p>
    <w:p>
      <w:pPr>
        <w:pStyle w:val="BodyText"/>
      </w:pPr>
      <w:r>
        <w:t xml:space="preserve">The selected records and their verifications are presented in the</w:t>
      </w:r>
      <w:r>
        <w:t xml:space="preserve"> </w:t>
      </w:r>
      <w:hyperlink r:id="rId10">
        <w:r>
          <w:rPr>
            <w:rStyle w:val="Hyperlink"/>
          </w:rPr>
          <w:t xml:space="preserve">Seismic Record Selection</w:t>
        </w:r>
      </w:hyperlink>
      <w:r>
        <w:t xml:space="preserve"> </w:t>
      </w:r>
      <w:r>
        <w:t xml:space="preserve">annex.</w:t>
      </w:r>
    </w:p>
    <w:bookmarkEnd w:id="74"/>
    <w:bookmarkEnd w:id="75"/>
    <w:bookmarkStart w:id="115" w:name="design-earthquakes"/>
    <w:p>
      <w:pPr>
        <w:pStyle w:val="Heading1"/>
      </w:pPr>
      <w:r>
        <w:t xml:space="preserve">4</w:t>
      </w:r>
      <w:r>
        <w:tab/>
      </w:r>
      <w:r>
        <w:t xml:space="preserve">Design Earthquakes</w:t>
      </w:r>
    </w:p>
    <w:bookmarkStart w:id="96" w:name="sec-site-response"/>
    <w:p>
      <w:pPr>
        <w:pStyle w:val="Heading2"/>
      </w:pPr>
      <w:r>
        <w:t xml:space="preserve">4.1</w:t>
      </w:r>
      <w:r>
        <w:tab/>
      </w:r>
      <w:r>
        <w:t xml:space="preserve">Site-Response</w:t>
      </w:r>
    </w:p>
    <w:p>
      <w:pPr>
        <w:pStyle w:val="FirstParagraph"/>
      </w:pPr>
      <w:r>
        <w:t xml:space="preserve">The design ground motions are defined for the</w:t>
      </w:r>
      <w:r>
        <w:t xml:space="preserve"> </w:t>
      </w:r>
      <m:oMath>
        <m:sSub>
          <m:e>
            <m:r>
              <m:t>V</m:t>
            </m:r>
          </m:e>
          <m:sub>
            <m:r>
              <m:t>S</m:t>
            </m:r>
            <m:r>
              <m:t>30</m:t>
            </m:r>
          </m:sub>
        </m:sSub>
      </m:oMath>
      <w:r>
        <w:t xml:space="preserve"> </w:t>
      </w:r>
      <w:r>
        <w:t xml:space="preserve">conditions evaluated at the site from the spectral demand at the surface. The assessment represents these effects through two alternative estimates of the surface spectral demand and combines the corresponding probability distributions to define the design demand at each structural period, return period, and</w:t>
      </w:r>
      <w:r>
        <w:t xml:space="preserve"> </w:t>
      </w:r>
      <m:oMath>
        <m:sSub>
          <m:e>
            <m:r>
              <m:t>V</m:t>
            </m:r>
          </m:e>
          <m:sub>
            <m:r>
              <m:t>S</m:t>
            </m:r>
            <m:r>
              <m:t>30</m:t>
            </m:r>
          </m:sub>
        </m:sSub>
      </m:oMath>
      <w:r>
        <w:t xml:space="preserve"> </w:t>
      </w:r>
      <w:r>
        <w:t xml:space="preserve">condition. The GMM logic tree is evaluated in the hazard model for the project</w:t>
      </w:r>
      <w:r>
        <w:t xml:space="preserve"> </w:t>
      </w:r>
      <m:oMath>
        <m:sSub>
          <m:e>
            <m:r>
              <m:t>V</m:t>
            </m:r>
          </m:e>
          <m:sub>
            <m:r>
              <m:t>S</m:t>
            </m:r>
            <m:r>
              <m:t>30</m:t>
            </m:r>
          </m:sub>
        </m:sSub>
      </m:oMath>
      <w:r>
        <w:t xml:space="preserve"> </w:t>
      </w:r>
      <w:r>
        <w:t xml:space="preserve">conditions (180, 270, 360, 560, 800, 1250, 1500 m/s). Each model incorporates its empirical site term when estimating</w:t>
      </w:r>
      <w:r>
        <w:t xml:space="preserve"> </w:t>
      </w:r>
      <m:oMath>
        <m:sSub>
          <m:e>
            <m:r>
              <m:t>S</m:t>
            </m:r>
          </m:e>
          <m:sub>
            <m:r>
              <m:t>a</m:t>
            </m:r>
          </m:sub>
        </m:sSub>
        <m:r>
          <m:rPr>
            <m:sty m:val="p"/>
          </m:rPr>
          <m:t>(</m:t>
        </m:r>
        <m:sSub>
          <m:e>
            <m:r>
              <m:t>T</m:t>
            </m:r>
          </m:e>
          <m:sub>
            <m:r>
              <m:t>n</m:t>
            </m:r>
          </m:sub>
        </m:sSub>
        <m:r>
          <m:rPr>
            <m:sty m:val="p"/>
          </m:rPr>
          <m:t>,</m:t>
        </m:r>
        <m:sSub>
          <m:e>
            <m:r>
              <m:t>V</m:t>
            </m:r>
          </m:e>
          <m:sub>
            <m:r>
              <m:t>S</m:t>
            </m:r>
            <m:r>
              <m:t>30</m:t>
            </m:r>
          </m:sub>
        </m:sSub>
        <m:r>
          <m:rPr>
            <m:sty m:val="p"/>
          </m:rPr>
          <m:t>)</m:t>
        </m:r>
      </m:oMath>
      <w:r>
        <w:t xml:space="preserve">; the logic-tree weights represent the adopted epistemic alternatives, and the aleatory variability of each model is integrated into the exceedance curves. The assessment therefore retains the same source and ground-motion characterization used in the rock assessment; the site terms are evaluated for each</w:t>
      </w:r>
      <w:r>
        <w:t xml:space="preserve"> </w:t>
      </w:r>
      <m:oMath>
        <m:sSub>
          <m:e>
            <m:r>
              <m:t>V</m:t>
            </m:r>
          </m:e>
          <m:sub>
            <m:r>
              <m:t>S</m:t>
            </m:r>
            <m:r>
              <m:t>30</m:t>
            </m:r>
          </m:sub>
        </m:sSub>
      </m:oMath>
      <w:r>
        <w:t xml:space="preserve"> </w:t>
      </w:r>
      <w:r>
        <w:t xml:space="preserve">value analyzed. The GMM site term and the external model represent mean ergodic responses derived from sets of records.</w:t>
      </w:r>
    </w:p>
    <w:p>
      <w:pPr>
        <w:pStyle w:val="BodyText"/>
      </w:pPr>
      <w:r>
        <w:t xml:space="preserve">The demand calculated for the reference condition</w:t>
      </w:r>
      <w:r>
        <w:t xml:space="preserve"> </w:t>
      </w:r>
      <m:oMath>
        <m:sSub>
          <m:e>
            <m:r>
              <m:t>V</m:t>
            </m:r>
          </m:e>
          <m:sub>
            <m:r>
              <m:rPr>
                <m:sty m:val="p"/>
              </m:rPr>
              <m:t>r</m:t>
            </m:r>
            <m:r>
              <m:rPr>
                <m:sty m:val="p"/>
              </m:rPr>
              <m:t>e</m:t>
            </m:r>
            <m:r>
              <m:rPr>
                <m:sty m:val="p"/>
              </m:rPr>
              <m:t>f</m:t>
            </m:r>
          </m:sub>
        </m:sSub>
        <m:r>
          <m:rPr>
            <m:sty m:val="p"/>
          </m:rPr>
          <m:t>=</m:t>
        </m:r>
        <m:r>
          <m:t>760</m:t>
        </m:r>
        <m:r>
          <m:t> </m:t>
        </m:r>
        <m:r>
          <m:rPr>
            <m:sty m:val="p"/>
          </m:rPr>
          <m:t>m</m:t>
        </m:r>
        <m:r>
          <m:rPr>
            <m:sty m:val="p"/>
          </m:rPr>
          <m:t>/</m:t>
        </m:r>
        <m:r>
          <m:rPr>
            <m:sty m:val="p"/>
          </m:rPr>
          <m:t>s</m:t>
        </m:r>
      </m:oMath>
      <w:r>
        <w:t xml:space="preserve"> </w:t>
      </w:r>
      <w:r>
        <w:t xml:space="preserve">constitutes the input to the NGA-East ergodic site-amplification model (ST20), developed by Stewart</w:t>
      </w:r>
      <w:r>
        <w:t xml:space="preserve"> </w:t>
      </w:r>
      <w:r>
        <w:rPr>
          <w:i/>
          <w:iCs/>
        </w:rPr>
        <w:t xml:space="preserve">et al.</w:t>
      </w:r>
      <w:r>
        <w:t xml:space="preserve"> </w:t>
      </w:r>
      <w:r>
        <w:t xml:space="preserve">(</w:t>
      </w:r>
      <w:hyperlink w:anchor="ref-Stewart2020">
        <w:r>
          <w:rPr>
            <w:rStyle w:val="Hyperlink"/>
          </w:rPr>
          <w:t xml:space="preserve">2020</w:t>
        </w:r>
      </w:hyperlink>
      <w:r>
        <w:t xml:space="preserve">)</w:t>
      </w:r>
      <w:r>
        <w:t xml:space="preserve"> </w:t>
      </w:r>
      <w:r>
        <w:t xml:space="preserve">and Hashash</w:t>
      </w:r>
      <w:r>
        <w:t xml:space="preserve"> </w:t>
      </w:r>
      <w:r>
        <w:rPr>
          <w:i/>
          <w:iCs/>
        </w:rPr>
        <w:t xml:space="preserve">et al.</w:t>
      </w:r>
      <w:r>
        <w:t xml:space="preserve"> </w:t>
      </w:r>
      <w:r>
        <w:t xml:space="preserve">(</w:t>
      </w:r>
      <w:hyperlink w:anchor="ref-Hashash2020">
        <w:r>
          <w:rPr>
            <w:rStyle w:val="Hyperlink"/>
          </w:rPr>
          <w:t xml:space="preserve">2020</w:t>
        </w:r>
      </w:hyperlink>
      <w:r>
        <w:t xml:space="preserve">)</w:t>
      </w:r>
      <w:r>
        <w:t xml:space="preserve">. For each period</w:t>
      </w:r>
      <w:r>
        <w:t xml:space="preserve"> </w:t>
      </w:r>
      <m:oMath>
        <m:sSub>
          <m:e>
            <m:r>
              <m:t>T</m:t>
            </m:r>
          </m:e>
          <m:sub>
            <m:r>
              <m:t>n</m:t>
            </m:r>
          </m:sub>
        </m:sSub>
      </m:oMath>
      <w:r>
        <w:t xml:space="preserve">, condition</w:t>
      </w:r>
      <w:r>
        <w:t xml:space="preserve"> </w:t>
      </w:r>
      <m:oMath>
        <m:sSub>
          <m:e>
            <m:r>
              <m:t>V</m:t>
            </m:r>
          </m:e>
          <m:sub>
            <m:r>
              <m:t>S</m:t>
            </m:r>
            <m:r>
              <m:t>30</m:t>
            </m:r>
          </m:sub>
        </m:sSub>
      </m:oMath>
      <w:r>
        <w:t xml:space="preserve">, and realization of the input PGA</w:t>
      </w:r>
      <w:r>
        <w:t xml:space="preserve"> </w:t>
      </w:r>
      <m:oMath>
        <m:r>
          <m:t>p</m:t>
        </m:r>
        <m:r>
          <m:t>g</m:t>
        </m:r>
        <m:sSup>
          <m:e>
            <m:r>
              <m:t>a</m:t>
            </m:r>
          </m:e>
          <m:sup>
            <m:r>
              <m:rPr>
                <m:sty m:val="p"/>
              </m:rPr>
              <m:t>*</m:t>
            </m:r>
          </m:sup>
        </m:sSup>
      </m:oMath>
      <w:r>
        <w:t xml:space="preserve">, the factor</w:t>
      </w:r>
      <w:r>
        <w:t xml:space="preserve"> </w:t>
      </w:r>
      <m:oMath>
        <m:r>
          <m:t>F</m:t>
        </m:r>
      </m:oMath>
      <w:r>
        <w:t xml:space="preserve"> </w:t>
      </w:r>
      <w:r>
        <w:t xml:space="preserve">is modeled as a lognormal random variable whose natural logarithm has mean</w:t>
      </w:r>
      <w:r>
        <w:t xml:space="preserve"> </w:t>
      </w:r>
      <m:oMath>
        <m:sSub>
          <m:e>
            <m:r>
              <m:t>μ</m:t>
            </m:r>
          </m:e>
          <m:sub>
            <m:r>
              <m:rPr>
                <m:sty m:val="p"/>
              </m:rPr>
              <m:t>ln</m:t>
            </m:r>
            <m:r>
              <m:t>F</m:t>
            </m:r>
          </m:sub>
        </m:sSub>
      </m:oMath>
      <w:r>
        <w:t xml:space="preserve"> </w:t>
      </w:r>
      <w:r>
        <w:t xml:space="preserve">and standard deviation</w:t>
      </w:r>
      <w:r>
        <w:t xml:space="preserve"> </w:t>
      </w:r>
      <m:oMath>
        <m:sSub>
          <m:e>
            <m:r>
              <m:t>σ</m:t>
            </m:r>
          </m:e>
          <m:sub>
            <m:r>
              <m:rPr>
                <m:sty m:val="p"/>
              </m:rPr>
              <m:t>ln</m:t>
            </m:r>
            <m:r>
              <m:t>F</m:t>
            </m:r>
          </m:sub>
        </m:sSub>
      </m:oMath>
      <w:r>
        <w:t xml:space="preserve">,</w:t>
      </w:r>
    </w:p>
    <w:p>
      <w:pPr>
        <w:pStyle w:val="Equation"/>
      </w:pPr>
      <w:bookmarkStart w:id="76" w:name="eq-site-lnf"/>
      <w:r>
        <w:tab/>
      </w:r>
      <m:oMath>
        <m:r>
          <m:rPr>
            <m:sty m:val="p"/>
          </m:rPr>
          <m:t>ln</m:t>
        </m:r>
        <m:r>
          <m:t>F</m:t>
        </m:r>
        <m:r>
          <m:rPr>
            <m:sty m:val="p"/>
          </m:rPr>
          <m:t>∼</m:t>
        </m:r>
        <m:r>
          <m:rPr>
            <m:scr m:val="script"/>
            <m:sty m:val="p"/>
          </m:rPr>
          <m:t>N</m:t>
        </m:r>
        <m:r>
          <m:t>​</m:t>
        </m:r>
        <m:d>
          <m:dPr>
            <m:begChr m:val="("/>
            <m:sepChr m:val=""/>
            <m:endChr m:val=")"/>
            <m:grow/>
          </m:dPr>
          <m:e>
            <m:sSub>
              <m:e>
                <m:r>
                  <m:t>μ</m:t>
                </m:r>
              </m:e>
              <m:sub>
                <m:r>
                  <m:rPr>
                    <m:sty m:val="p"/>
                  </m:rPr>
                  <m:t>ln</m:t>
                </m:r>
                <m:r>
                  <m:t>F</m:t>
                </m:r>
              </m:sub>
            </m:sSub>
            <m:r>
              <m:rPr>
                <m:sty m:val="p"/>
              </m:rPr>
              <m:t>,</m:t>
            </m:r>
            <m:r>
              <m:t> </m:t>
            </m:r>
            <m:sSubSup>
              <m:e>
                <m:r>
                  <m:t>σ</m:t>
                </m:r>
              </m:e>
              <m:sub>
                <m:r>
                  <m:rPr>
                    <m:sty m:val="p"/>
                  </m:rPr>
                  <m:t>ln</m:t>
                </m:r>
                <m:r>
                  <m:t>F</m:t>
                </m:r>
              </m:sub>
              <m:sup>
                <m:r>
                  <m:t>2</m:t>
                </m:r>
              </m:sup>
            </m:sSubSup>
          </m:e>
        </m:d>
        <m:r>
          <m:rPr>
            <m:sty m:val="p"/>
          </m:rPr>
          <m:t>,</m:t>
        </m:r>
      </m:oMath>
      <w:r>
        <w:tab/>
      </w:r>
      <w:r>
        <w:t xml:space="preserve">(4.1)</w:t>
      </w:r>
      <w:bookmarkEnd w:id="76"/>
    </w:p>
    <w:p>
      <w:pPr>
        <w:pStyle w:val="BodyText"/>
      </w:pPr>
      <w:r>
        <w:t xml:space="preserve">where</w:t>
      </w:r>
      <w:r>
        <w:t xml:space="preserve"> </w:t>
      </w:r>
      <m:oMath>
        <m:sSub>
          <m:e>
            <m:r>
              <m:t>μ</m:t>
            </m:r>
          </m:e>
          <m:sub>
            <m:r>
              <m:rPr>
                <m:sty m:val="p"/>
              </m:rPr>
              <m:t>ln</m:t>
            </m:r>
            <m:r>
              <m:t>F</m:t>
            </m:r>
          </m:sub>
        </m:sSub>
      </m:oMath>
      <w:r>
        <w:t xml:space="preserve"> </w:t>
      </w:r>
      <w:r>
        <w:t xml:space="preserve">is the conditional mean log-amplification and</w:t>
      </w:r>
      <w:r>
        <w:t xml:space="preserve"> </w:t>
      </w:r>
      <m:oMath>
        <m:sSub>
          <m:e>
            <m:r>
              <m:t>σ</m:t>
            </m:r>
          </m:e>
          <m:sub>
            <m:r>
              <m:rPr>
                <m:sty m:val="p"/>
              </m:rPr>
              <m:t>ln</m:t>
            </m:r>
            <m:r>
              <m:t>F</m:t>
            </m:r>
          </m:sub>
        </m:sSub>
      </m:oMath>
      <w:r>
        <w:t xml:space="preserve"> </w:t>
      </w:r>
      <w:r>
        <w:t xml:space="preserve">is the total dispersion of the model. The mean combines the adjustment between the 760 and 3000 m/s references, the linear term dependent on</w:t>
      </w:r>
      <w:r>
        <w:t xml:space="preserve"> </w:t>
      </w:r>
      <m:oMath>
        <m:sSub>
          <m:e>
            <m:r>
              <m:t>V</m:t>
            </m:r>
          </m:e>
          <m:sub>
            <m:r>
              <m:t>S</m:t>
            </m:r>
            <m:r>
              <m:t>30</m:t>
            </m:r>
          </m:sub>
        </m:sSub>
      </m:oMath>
      <w:r>
        <w:t xml:space="preserve">, and the nonlinear term dependent on</w:t>
      </w:r>
      <w:r>
        <w:t xml:space="preserve"> </w:t>
      </w:r>
      <m:oMath>
        <m:r>
          <m:t>p</m:t>
        </m:r>
        <m:r>
          <m:t>g</m:t>
        </m:r>
        <m:sSup>
          <m:e>
            <m:r>
              <m:t>a</m:t>
            </m:r>
          </m:e>
          <m:sup>
            <m:r>
              <m:rPr>
                <m:sty m:val="p"/>
              </m:rPr>
              <m:t>*</m:t>
            </m:r>
          </m:sup>
        </m:sSup>
      </m:oMath>
      <w:r>
        <w:t xml:space="preserve">, and the dispersion is expressed as</w:t>
      </w:r>
    </w:p>
    <w:p>
      <w:pPr>
        <w:pStyle w:val="Equation"/>
      </w:pPr>
      <w:bookmarkStart w:id="77" w:name="eq-site-sigma-decomp"/>
      <w:r>
        <w:tab/>
      </w:r>
      <m:oMath>
        <m:sSubSup>
          <m:e>
            <m:r>
              <m:t>σ</m:t>
            </m:r>
          </m:e>
          <m:sub>
            <m:r>
              <m:rPr>
                <m:sty m:val="p"/>
              </m:rPr>
              <m:t>ln</m:t>
            </m:r>
            <m:r>
              <m:t>F</m:t>
            </m:r>
          </m:sub>
          <m:sup>
            <m:r>
              <m:t>2</m:t>
            </m:r>
          </m:sup>
        </m:sSubSup>
        <m:r>
          <m:rPr>
            <m:sty m:val="p"/>
          </m:rPr>
          <m:t>=</m:t>
        </m:r>
        <m:sSubSup>
          <m:e>
            <m:r>
              <m:t>σ</m:t>
            </m:r>
          </m:e>
          <m:sub>
            <m:r>
              <m:t>L</m:t>
            </m:r>
          </m:sub>
          <m:sup>
            <m:r>
              <m:t>2</m:t>
            </m:r>
          </m:sup>
        </m:sSubSup>
        <m:r>
          <m:rPr>
            <m:sty m:val="p"/>
          </m:rPr>
          <m:t>+</m:t>
        </m:r>
        <m:sSubSup>
          <m:e>
            <m:r>
              <m:t>σ</m:t>
            </m:r>
          </m:e>
          <m:sub>
            <m:r>
              <m:t>I</m:t>
            </m:r>
          </m:sub>
          <m:sup>
            <m:r>
              <m:t>2</m:t>
            </m:r>
          </m:sup>
        </m:sSubSup>
        <m:r>
          <m:rPr>
            <m:sty m:val="p"/>
          </m:rPr>
          <m:t>+</m:t>
        </m:r>
        <m:sSubSup>
          <m:e>
            <m:r>
              <m:t>σ</m:t>
            </m:r>
          </m:e>
          <m:sub>
            <m:r>
              <m:t>N</m:t>
            </m:r>
            <m:r>
              <m:t>L</m:t>
            </m:r>
          </m:sub>
          <m:sup>
            <m:r>
              <m:t>2</m:t>
            </m:r>
          </m:sup>
        </m:sSubSup>
        <m:r>
          <m:rPr>
            <m:sty m:val="p"/>
          </m:rPr>
          <m:t>,</m:t>
        </m:r>
      </m:oMath>
      <w:r>
        <w:tab/>
      </w:r>
      <w:r>
        <w:t xml:space="preserve">(4.2)</w:t>
      </w:r>
      <w:bookmarkEnd w:id="77"/>
    </w:p>
    <w:p>
      <w:pPr>
        <w:pStyle w:val="BodyText"/>
      </w:pPr>
      <w:r>
        <w:t xml:space="preserve">where</w:t>
      </w:r>
      <w:r>
        <w:t xml:space="preserve"> </w:t>
      </w:r>
      <m:oMath>
        <m:sSub>
          <m:e>
            <m:r>
              <m:t>σ</m:t>
            </m:r>
          </m:e>
          <m:sub>
            <m:r>
              <m:t>L</m:t>
            </m:r>
          </m:sub>
        </m:sSub>
      </m:oMath>
      <w:r>
        <w:t xml:space="preserve"> </w:t>
      </w:r>
      <w:r>
        <w:t xml:space="preserve">corresponds to the linear site term,</w:t>
      </w:r>
      <w:r>
        <w:t xml:space="preserve"> </w:t>
      </w:r>
      <m:oMath>
        <m:sSub>
          <m:e>
            <m:r>
              <m:t>σ</m:t>
            </m:r>
          </m:e>
          <m:sub>
            <m:r>
              <m:t>I</m:t>
            </m:r>
          </m:sub>
        </m:sSub>
      </m:oMath>
      <w:r>
        <w:t xml:space="preserve"> </w:t>
      </w:r>
      <w:r>
        <w:t xml:space="preserve">to the change between reference horizons, and</w:t>
      </w:r>
      <w:r>
        <w:t xml:space="preserve"> </w:t>
      </w:r>
      <m:oMath>
        <m:sSub>
          <m:e>
            <m:r>
              <m:t>σ</m:t>
            </m:r>
          </m:e>
          <m:sub>
            <m:r>
              <m:t>N</m:t>
            </m:r>
            <m:r>
              <m:t>L</m:t>
            </m:r>
          </m:sub>
        </m:sSub>
      </m:oMath>
      <w:r>
        <w:t xml:space="preserve"> </w:t>
      </w:r>
      <w:r>
        <w:t xml:space="preserve">to the intensity-dependent nonlinear term. The formulation of the components and the treatment of the reference are detailed below.</w:t>
      </w:r>
    </w:p>
    <w:p>
      <w:pPr>
        <w:pStyle w:val="BodyText"/>
      </w:pPr>
      <m:oMath>
        <m:sSubSup>
          <m:e>
            <m:r>
              <m:t>S</m:t>
            </m:r>
          </m:e>
          <m:sub>
            <m:r>
              <m:t>a</m:t>
            </m:r>
          </m:sub>
          <m:sup>
            <m:r>
              <m:t>o</m:t>
            </m:r>
          </m:sup>
        </m:sSubSup>
        <m:r>
          <m:rPr>
            <m:sty m:val="p"/>
          </m:rPr>
          <m:t>(</m:t>
        </m:r>
        <m:sSub>
          <m:e>
            <m:r>
              <m:t>T</m:t>
            </m:r>
          </m:e>
          <m:sub>
            <m:r>
              <m:t>n</m:t>
            </m:r>
          </m:sub>
        </m:sSub>
        <m:r>
          <m:rPr>
            <m:sty m:val="p"/>
          </m:rPr>
          <m:t>)</m:t>
        </m:r>
      </m:oMath>
      <w:r>
        <w:t xml:space="preserve"> </w:t>
      </w:r>
      <w:r>
        <w:t xml:space="preserve">and</w:t>
      </w:r>
      <w:r>
        <w:t xml:space="preserve"> </w:t>
      </w:r>
      <m:oMath>
        <m:sSup>
          <m:e>
            <m:r>
              <m:rPr>
                <m:sty m:val="p"/>
              </m:rPr>
              <m:t>P</m:t>
            </m:r>
            <m:r>
              <m:rPr>
                <m:sty m:val="p"/>
              </m:rPr>
              <m:t>G</m:t>
            </m:r>
            <m:r>
              <m:rPr>
                <m:sty m:val="p"/>
              </m:rPr>
              <m:t>A</m:t>
            </m:r>
          </m:e>
          <m:sup>
            <m:r>
              <m:t>o</m:t>
            </m:r>
          </m:sup>
        </m:sSup>
      </m:oMath>
      <w:r>
        <w:t xml:space="preserve"> </w:t>
      </w:r>
      <w:r>
        <w:t xml:space="preserve">denote the ordinates calculated by OpenQuake with the GMMs for the adopted reference condition; this condition is 760 m/s in the current assessment and may be 3000 m/s when the input corresponds to the hard-rock reference. For each period and return period, the distribution of</w:t>
      </w:r>
      <w:r>
        <w:t xml:space="preserve"> </w:t>
      </w:r>
      <m:oMath>
        <m:sSubSup>
          <m:e>
            <m:r>
              <m:t>S</m:t>
            </m:r>
          </m:e>
          <m:sub>
            <m:r>
              <m:t>a</m:t>
            </m:r>
          </m:sub>
          <m:sup>
            <m:r>
              <m:t>o</m:t>
            </m:r>
          </m:sup>
        </m:sSubSup>
      </m:oMath>
      <w:r>
        <w:t xml:space="preserve"> </w:t>
      </w:r>
      <w:r>
        <w:t xml:space="preserve">is represented by a lognormal surrogate calibrated with the arithmetic mean and the seven quantiles published by the hazard calculation: the mean is preserved exactly and the logarithmic deviation</w:t>
      </w:r>
      <w:r>
        <w:t xml:space="preserve"> </w:t>
      </w:r>
      <m:oMath>
        <m:sSub>
          <m:e>
            <m:r>
              <m:t>σ</m:t>
            </m:r>
          </m:e>
          <m:sub>
            <m:r>
              <m:t>o</m:t>
            </m:r>
          </m:sub>
        </m:sSub>
      </m:oMath>
      <w:r>
        <w:t xml:space="preserve"> </w:t>
      </w:r>
      <w:r>
        <w:t xml:space="preserve">is fitted to the quantiles,</w:t>
      </w:r>
    </w:p>
    <w:p>
      <w:pPr>
        <w:pStyle w:val="Equation"/>
      </w:pPr>
      <w:bookmarkStart w:id="78" w:name="eq-site-oq-surrogate"/>
      <w:r>
        <w:tab/>
      </w:r>
      <m:oMath>
        <m:r>
          <m:rPr>
            <m:sty m:val="p"/>
          </m:rPr>
          <m:t>ln</m:t>
        </m:r>
        <m:sSubSup>
          <m:e>
            <m:r>
              <m:t>S</m:t>
            </m:r>
          </m:e>
          <m:sub>
            <m:r>
              <m:t>a</m:t>
            </m:r>
          </m:sub>
          <m:sup>
            <m:r>
              <m:t>o</m:t>
            </m:r>
          </m:sup>
        </m:sSubSup>
        <m:r>
          <m:rPr>
            <m:sty m:val="p"/>
          </m:rPr>
          <m:t>∼</m:t>
        </m:r>
        <m:r>
          <m:rPr>
            <m:scr m:val="script"/>
            <m:sty m:val="p"/>
          </m:rPr>
          <m:t>N</m:t>
        </m:r>
        <m:r>
          <m:t>​</m:t>
        </m:r>
        <m:d>
          <m:dPr>
            <m:begChr m:val="("/>
            <m:sepChr m:val=""/>
            <m:endChr m:val=")"/>
            <m:grow/>
          </m:dPr>
          <m:e>
            <m:r>
              <m:rPr>
                <m:sty m:val="p"/>
              </m:rPr>
              <m:t>ln</m:t>
            </m:r>
            <m:sSup>
              <m:e>
                <m:r>
                  <m:t>μ</m:t>
                </m:r>
              </m:e>
              <m:sup>
                <m:r>
                  <m:t>o</m:t>
                </m:r>
              </m:sup>
            </m:sSup>
            <m:r>
              <m:rPr>
                <m:sty m:val="p"/>
              </m:rPr>
              <m:t>−</m:t>
            </m:r>
            <m:f>
              <m:fPr>
                <m:type m:val="lin"/>
              </m:fPr>
              <m:num>
                <m:sSubSup>
                  <m:e>
                    <m:r>
                      <m:t>σ</m:t>
                    </m:r>
                  </m:e>
                  <m:sub>
                    <m:r>
                      <m:t>o</m:t>
                    </m:r>
                  </m:sub>
                  <m:sup>
                    <m:r>
                      <m:t>2</m:t>
                    </m:r>
                  </m:sup>
                </m:sSubSup>
              </m:num>
              <m:den>
                <m:r>
                  <m:t>2</m:t>
                </m:r>
              </m:den>
            </m:f>
            <m:r>
              <m:rPr>
                <m:sty m:val="p"/>
              </m:rPr>
              <m:t>,</m:t>
            </m:r>
            <m:r>
              <m:t> </m:t>
            </m:r>
            <m:sSubSup>
              <m:e>
                <m:r>
                  <m:t>σ</m:t>
                </m:r>
              </m:e>
              <m:sub>
                <m:r>
                  <m:t>o</m:t>
                </m:r>
              </m:sub>
              <m:sup>
                <m:r>
                  <m:t>2</m:t>
                </m:r>
              </m:sup>
            </m:sSubSup>
          </m:e>
        </m:d>
        <m:r>
          <m:rPr>
            <m:sty m:val="p"/>
          </m:rPr>
          <m:t>,</m:t>
        </m:r>
      </m:oMath>
      <w:r>
        <w:tab/>
      </w:r>
      <w:r>
        <w:t xml:space="preserve">(4.3)</w:t>
      </w:r>
      <w:bookmarkEnd w:id="78"/>
    </w:p>
    <w:p>
      <w:pPr>
        <w:pStyle w:val="BodyText"/>
      </w:pPr>
      <w:r>
        <w:t xml:space="preserve">where</w:t>
      </w:r>
      <w:r>
        <w:t xml:space="preserve"> </w:t>
      </w:r>
      <m:oMath>
        <m:sSup>
          <m:e>
            <m:r>
              <m:t>μ</m:t>
            </m:r>
          </m:e>
          <m:sup>
            <m:r>
              <m:t>o</m:t>
            </m:r>
          </m:sup>
        </m:sSup>
        <m:r>
          <m:rPr>
            <m:sty m:val="p"/>
          </m:rPr>
          <m:t>=</m:t>
        </m:r>
        <m:r>
          <m:t>E</m:t>
        </m:r>
        <m:r>
          <m:rPr>
            <m:sty m:val="p"/>
          </m:rPr>
          <m:t>[</m:t>
        </m:r>
        <m:sSubSup>
          <m:e>
            <m:r>
              <m:t>S</m:t>
            </m:r>
          </m:e>
          <m:sub>
            <m:r>
              <m:t>a</m:t>
            </m:r>
          </m:sub>
          <m:sup>
            <m:r>
              <m:t>o</m:t>
            </m:r>
          </m:sup>
        </m:sSubSup>
        <m:r>
          <m:rPr>
            <m:sty m:val="p"/>
          </m:rPr>
          <m:t>]</m:t>
        </m:r>
      </m:oMath>
      <w:r>
        <w:t xml:space="preserve"> </w:t>
      </w:r>
      <w:r>
        <w:t xml:space="preserve">is the reported arithmetic mean. The published quantiles of the direct assessment correspond to this surrogate and not to the raw fractiles of the logic tree. The ordinate obtained with ST20 is</w:t>
      </w:r>
    </w:p>
    <w:p>
      <w:pPr>
        <w:pStyle w:val="Equation"/>
      </w:pPr>
      <w:bookmarkStart w:id="79" w:name="eq-site-af"/>
      <w:r>
        <w:tab/>
      </w:r>
      <m:oMath>
        <m:sSubSup>
          <m:e>
            <m:r>
              <m:t>S</m:t>
            </m:r>
          </m:e>
          <m:sub>
            <m:r>
              <m:t>a</m:t>
            </m:r>
          </m:sub>
          <m:sup>
            <m:r>
              <m:t>s</m:t>
            </m:r>
          </m:sup>
        </m:sSubSup>
        <m:r>
          <m:t>​</m:t>
        </m:r>
        <m:d>
          <m:dPr>
            <m:begChr m:val="("/>
            <m:sepChr m:val=""/>
            <m:endChr m:val=")"/>
            <m:grow/>
          </m:dPr>
          <m:e>
            <m:sSub>
              <m:e>
                <m:r>
                  <m:t>T</m:t>
                </m:r>
              </m:e>
              <m:sub>
                <m:r>
                  <m:t>n</m:t>
                </m:r>
              </m:sub>
            </m:sSub>
            <m:r>
              <m:rPr>
                <m:sty m:val="p"/>
              </m:rPr>
              <m:t>,</m:t>
            </m:r>
            <m:sSub>
              <m:e>
                <m:r>
                  <m:t>V</m:t>
                </m:r>
              </m:e>
              <m:sub>
                <m:r>
                  <m:t>S</m:t>
                </m:r>
                <m:r>
                  <m:t>30</m:t>
                </m:r>
              </m:sub>
            </m:sSub>
          </m:e>
        </m:d>
        <m:r>
          <m:rPr>
            <m:sty m:val="p"/>
          </m:rPr>
          <m:t>=</m:t>
        </m:r>
        <m:r>
          <m:t>F</m:t>
        </m:r>
        <m:r>
          <m:t>​</m:t>
        </m:r>
        <m:d>
          <m:dPr>
            <m:begChr m:val="("/>
            <m:sepChr m:val=""/>
            <m:endChr m:val=")"/>
            <m:grow/>
          </m:dPr>
          <m:e>
            <m:sSub>
              <m:e>
                <m:r>
                  <m:t>T</m:t>
                </m:r>
              </m:e>
              <m:sub>
                <m:r>
                  <m:t>n</m:t>
                </m:r>
              </m:sub>
            </m:sSub>
            <m:r>
              <m:rPr>
                <m:sty m:val="p"/>
              </m:rPr>
              <m:t>,</m:t>
            </m:r>
            <m:sSub>
              <m:e>
                <m:r>
                  <m:t>V</m:t>
                </m:r>
              </m:e>
              <m:sub>
                <m:r>
                  <m:t>S</m:t>
                </m:r>
                <m:r>
                  <m:t>30</m:t>
                </m:r>
              </m:sub>
            </m:sSub>
            <m:r>
              <m:rPr>
                <m:sty m:val="p"/>
              </m:rPr>
              <m:t>,</m:t>
            </m:r>
            <m:sSup>
              <m:e>
                <m:r>
                  <m:rPr>
                    <m:sty m:val="p"/>
                  </m:rPr>
                  <m:t>P</m:t>
                </m:r>
                <m:r>
                  <m:rPr>
                    <m:sty m:val="p"/>
                  </m:rPr>
                  <m:t>G</m:t>
                </m:r>
                <m:r>
                  <m:rPr>
                    <m:sty m:val="p"/>
                  </m:rPr>
                  <m:t>A</m:t>
                </m:r>
              </m:e>
              <m:sup>
                <m:r>
                  <m:t>o</m:t>
                </m:r>
              </m:sup>
            </m:sSup>
          </m:e>
        </m:d>
        <m:r>
          <m:t> </m:t>
        </m:r>
        <m:sSubSup>
          <m:e>
            <m:r>
              <m:t>S</m:t>
            </m:r>
          </m:e>
          <m:sub>
            <m:r>
              <m:t>a</m:t>
            </m:r>
          </m:sub>
          <m:sup>
            <m:r>
              <m:t>o</m:t>
            </m:r>
          </m:sup>
        </m:sSubSup>
        <m:r>
          <m:t>​</m:t>
        </m:r>
        <m:d>
          <m:dPr>
            <m:begChr m:val="("/>
            <m:sepChr m:val=""/>
            <m:endChr m:val=")"/>
            <m:grow/>
          </m:dPr>
          <m:e>
            <m:sSub>
              <m:e>
                <m:r>
                  <m:t>T</m:t>
                </m:r>
              </m:e>
              <m:sub>
                <m:r>
                  <m:t>n</m:t>
                </m:r>
              </m:sub>
            </m:sSub>
          </m:e>
        </m:d>
        <m:r>
          <m:rPr>
            <m:sty m:val="p"/>
          </m:rPr>
          <m:t>.</m:t>
        </m:r>
      </m:oMath>
      <w:r>
        <w:tab/>
      </w:r>
      <w:r>
        <w:t xml:space="preserve">(4.4)</w:t>
      </w:r>
      <w:bookmarkEnd w:id="79"/>
    </w:p>
    <w:p>
      <w:pPr>
        <w:pStyle w:val="BodyText"/>
      </w:pPr>
      <w:r>
        <w:t xml:space="preserve">The assessment considers separately the distribution of</w:t>
      </w:r>
      <w:r>
        <w:t xml:space="preserve"> </w:t>
      </w:r>
      <m:oMath>
        <m:sSubSup>
          <m:e>
            <m:r>
              <m:t>S</m:t>
            </m:r>
          </m:e>
          <m:sub>
            <m:r>
              <m:t>a</m:t>
            </m:r>
          </m:sub>
          <m:sup>
            <m:r>
              <m:t>o</m:t>
            </m:r>
          </m:sup>
        </m:sSubSup>
      </m:oMath>
      <w:r>
        <w:t xml:space="preserve">, obtained with the GMMs for the</w:t>
      </w:r>
      <w:r>
        <w:t xml:space="preserve"> </w:t>
      </w:r>
      <m:oMath>
        <m:sSub>
          <m:e>
            <m:r>
              <m:t>V</m:t>
            </m:r>
          </m:e>
          <m:sub>
            <m:r>
              <m:t>S</m:t>
            </m:r>
            <m:r>
              <m:t>30</m:t>
            </m:r>
          </m:sub>
        </m:sSub>
      </m:oMath>
      <w:r>
        <w:t xml:space="preserve"> </w:t>
      </w:r>
      <w:r>
        <w:t xml:space="preserve">analyzed, and the distribution of</w:t>
      </w:r>
      <w:r>
        <w:t xml:space="preserve"> </w:t>
      </w:r>
      <m:oMath>
        <m:sSubSup>
          <m:e>
            <m:r>
              <m:t>S</m:t>
            </m:r>
          </m:e>
          <m:sub>
            <m:r>
              <m:t>a</m:t>
            </m:r>
          </m:sub>
          <m:sup>
            <m:r>
              <m:t>s</m:t>
            </m:r>
          </m:sup>
        </m:sSubSup>
      </m:oMath>
      <w:r>
        <w:t xml:space="preserve">, obtained with ST20. The resulting distribution is defined as a finite mixture of the two; its formulation and its statistics are presented in the uncertainty section.</w:t>
      </w:r>
    </w:p>
    <w:p>
      <w:pPr>
        <w:pStyle w:val="BodyText"/>
      </w:pPr>
      <w:r>
        <w:t xml:space="preserve">The factor</w:t>
      </w:r>
      <w:r>
        <w:t xml:space="preserve"> </w:t>
      </w:r>
      <m:oMath>
        <m:r>
          <m:t>F</m:t>
        </m:r>
      </m:oMath>
      <w:r>
        <w:t xml:space="preserve"> </w:t>
      </w:r>
      <w:r>
        <w:t xml:space="preserve">of</w:t>
      </w:r>
      <w:r>
        <w:t xml:space="preserve"> </w:t>
      </w:r>
      <w:hyperlink w:anchor="eq-site-af">
        <w:r>
          <w:rPr>
            <w:rStyle w:val="Hyperlink"/>
          </w:rPr>
          <w:t xml:space="preserve">4.4</w:t>
        </w:r>
      </w:hyperlink>
      <w:r>
        <w:t xml:space="preserve"> </w:t>
      </w:r>
      <w:r>
        <w:t xml:space="preserve">follows the ergodic site-amplification framework developed for central and eastern North America. Stewart</w:t>
      </w:r>
      <w:r>
        <w:t xml:space="preserve"> </w:t>
      </w:r>
      <w:r>
        <w:rPr>
          <w:i/>
          <w:iCs/>
        </w:rPr>
        <w:t xml:space="preserve">et al.</w:t>
      </w:r>
      <w:r>
        <w:t xml:space="preserve"> </w:t>
      </w:r>
      <w:r>
        <w:t xml:space="preserve">(</w:t>
      </w:r>
      <w:hyperlink w:anchor="ref-Stewart2020">
        <w:r>
          <w:rPr>
            <w:rStyle w:val="Hyperlink"/>
          </w:rPr>
          <w:t xml:space="preserve">2020</w:t>
        </w:r>
      </w:hyperlink>
      <w:r>
        <w:t xml:space="preserve">)</w:t>
      </w:r>
      <w:r>
        <w:t xml:space="preserve"> </w:t>
      </w:r>
      <w:r>
        <w:t xml:space="preserve">establish the linear response and the reference-condition change; Hashash</w:t>
      </w:r>
      <w:r>
        <w:t xml:space="preserve"> </w:t>
      </w:r>
      <w:r>
        <w:rPr>
          <w:i/>
          <w:iCs/>
        </w:rPr>
        <w:t xml:space="preserve">et al.</w:t>
      </w:r>
      <w:r>
        <w:t xml:space="preserve"> </w:t>
      </w:r>
      <w:r>
        <w:t xml:space="preserve">(</w:t>
      </w:r>
      <w:hyperlink w:anchor="ref-Hashash2020">
        <w:r>
          <w:rPr>
            <w:rStyle w:val="Hyperlink"/>
          </w:rPr>
          <w:t xml:space="preserve">2020</w:t>
        </w:r>
      </w:hyperlink>
      <w:r>
        <w:t xml:space="preserve">)</w:t>
      </w:r>
      <w:r>
        <w:t xml:space="preserve"> </w:t>
      </w:r>
      <w:r>
        <w:t xml:space="preserve">formulate the intensity-dependent nonlinear modification. The model is expressed with respect to a 3000 m/s hard-rock condition. Its composite log-amplification</w:t>
      </w:r>
      <w:r>
        <w:t xml:space="preserve"> </w:t>
      </w:r>
      <m:oMath>
        <m:r>
          <m:t>f</m:t>
        </m:r>
      </m:oMath>
      <w:r>
        <w:t xml:space="preserve"> </w:t>
      </w:r>
      <w:r>
        <w:t xml:space="preserve">at a site condition</w:t>
      </w:r>
      <w:r>
        <w:t xml:space="preserve"> </w:t>
      </w:r>
      <m:oMath>
        <m:sSub>
          <m:e>
            <m:r>
              <m:t>V</m:t>
            </m:r>
          </m:e>
          <m:sub>
            <m:r>
              <m:t>S</m:t>
            </m:r>
            <m:r>
              <m:t>30</m:t>
            </m:r>
          </m:sub>
        </m:sSub>
      </m:oMath>
      <w:r>
        <w:t xml:space="preserve">, for the oscillator period</w:t>
      </w:r>
      <w:r>
        <w:t xml:space="preserve"> </w:t>
      </w:r>
      <m:oMath>
        <m:sSub>
          <m:e>
            <m:r>
              <m:t>T</m:t>
            </m:r>
          </m:e>
          <m:sub>
            <m:r>
              <m:t>n</m:t>
            </m:r>
          </m:sub>
        </m:sSub>
      </m:oMath>
      <w:r>
        <w:t xml:space="preserve"> </w:t>
      </w:r>
      <w:r>
        <w:t xml:space="preserve">and the input PGA</w:t>
      </w:r>
      <w:r>
        <w:t xml:space="preserve"> </w:t>
      </w:r>
      <m:oMath>
        <m:r>
          <m:t>p</m:t>
        </m:r>
        <m:r>
          <m:t>g</m:t>
        </m:r>
        <m:sSup>
          <m:e>
            <m:r>
              <m:t>a</m:t>
            </m:r>
          </m:e>
          <m:sup>
            <m:r>
              <m:rPr>
                <m:sty m:val="p"/>
              </m:rPr>
              <m:t>*</m:t>
            </m:r>
          </m:sup>
        </m:sSup>
      </m:oMath>
      <w:r>
        <w:t xml:space="preserve">, is the sum of three components:</w:t>
      </w:r>
    </w:p>
    <w:p>
      <w:pPr>
        <w:pStyle w:val="Equation"/>
      </w:pPr>
      <w:bookmarkStart w:id="80" w:name="eq-site-composite"/>
      <w:r>
        <w:tab/>
      </w:r>
      <m:oMath>
        <m:r>
          <m:t>f</m:t>
        </m:r>
        <m:r>
          <m:rPr>
            <m:sty m:val="p"/>
          </m:rPr>
          <m:t>(</m:t>
        </m:r>
        <m:sSub>
          <m:e>
            <m:r>
              <m:t>T</m:t>
            </m:r>
          </m:e>
          <m:sub>
            <m:r>
              <m:t>n</m:t>
            </m:r>
          </m:sub>
        </m:sSub>
        <m:r>
          <m:rPr>
            <m:sty m:val="p"/>
          </m:rPr>
          <m:t>,</m:t>
        </m:r>
        <m:sSub>
          <m:e>
            <m:r>
              <m:t>V</m:t>
            </m:r>
          </m:e>
          <m:sub>
            <m:r>
              <m:t>S</m:t>
            </m:r>
            <m:r>
              <m:t>30</m:t>
            </m:r>
          </m:sub>
        </m:sSub>
        <m:r>
          <m:rPr>
            <m:sty m:val="p"/>
          </m:rPr>
          <m:t>,</m:t>
        </m:r>
        <m:r>
          <m:t>p</m:t>
        </m:r>
        <m:r>
          <m:t>g</m:t>
        </m:r>
        <m:sSup>
          <m:e>
            <m:r>
              <m:t>a</m:t>
            </m:r>
          </m:e>
          <m:sup>
            <m:r>
              <m:rPr>
                <m:sty m:val="p"/>
              </m:rPr>
              <m:t>*</m:t>
            </m:r>
          </m:sup>
        </m:sSup>
        <m:r>
          <m:rPr>
            <m:sty m:val="p"/>
          </m:rPr>
          <m:t>)</m:t>
        </m:r>
        <m:r>
          <m:rPr>
            <m:sty m:val="p"/>
          </m:rPr>
          <m:t>=</m:t>
        </m:r>
        <m:r>
          <m:rPr>
            <m:sty m:val="p"/>
          </m:rPr>
          <m:t>ln</m:t>
        </m:r>
        <m:sSub>
          <m:e>
            <m:r>
              <m:t>F</m:t>
            </m:r>
          </m:e>
          <m:sub>
            <m:r>
              <m:t>760</m:t>
            </m:r>
          </m:sub>
        </m:sSub>
        <m:r>
          <m:rPr>
            <m:sty m:val="p"/>
          </m:rPr>
          <m:t>(</m:t>
        </m:r>
        <m:sSub>
          <m:e>
            <m:r>
              <m:t>T</m:t>
            </m:r>
          </m:e>
          <m:sub>
            <m:r>
              <m:t>n</m:t>
            </m:r>
          </m:sub>
        </m:sSub>
        <m:r>
          <m:rPr>
            <m:sty m:val="p"/>
          </m:rPr>
          <m:t>,</m:t>
        </m:r>
        <m:sSub>
          <m:e>
            <m:r>
              <m:t>V</m:t>
            </m:r>
          </m:e>
          <m:sub>
            <m:r>
              <m:t>S</m:t>
            </m:r>
            <m:r>
              <m:t>30</m:t>
            </m:r>
          </m:sub>
        </m:sSub>
        <m:r>
          <m:rPr>
            <m:sty m:val="p"/>
          </m:rPr>
          <m:t>)</m:t>
        </m:r>
        <m:r>
          <m:rPr>
            <m:sty m:val="p"/>
          </m:rPr>
          <m:t>+</m:t>
        </m:r>
        <m:r>
          <m:rPr>
            <m:sty m:val="p"/>
          </m:rPr>
          <m:t>ln</m:t>
        </m:r>
        <m:sSub>
          <m:e>
            <m:r>
              <m:t>F</m:t>
            </m:r>
          </m:e>
          <m:sub>
            <m:r>
              <m:t>V</m:t>
            </m:r>
          </m:sub>
        </m:sSub>
        <m:r>
          <m:rPr>
            <m:sty m:val="p"/>
          </m:rPr>
          <m:t>(</m:t>
        </m:r>
        <m:sSub>
          <m:e>
            <m:r>
              <m:t>T</m:t>
            </m:r>
          </m:e>
          <m:sub>
            <m:r>
              <m:t>n</m:t>
            </m:r>
          </m:sub>
        </m:sSub>
        <m:r>
          <m:rPr>
            <m:sty m:val="p"/>
          </m:rPr>
          <m:t>,</m:t>
        </m:r>
        <m:sSub>
          <m:e>
            <m:r>
              <m:t>V</m:t>
            </m:r>
          </m:e>
          <m:sub>
            <m:r>
              <m:t>S</m:t>
            </m:r>
            <m:r>
              <m:t>30</m:t>
            </m:r>
          </m:sub>
        </m:sSub>
        <m:r>
          <m:rPr>
            <m:sty m:val="p"/>
          </m:rPr>
          <m:t>)</m:t>
        </m:r>
        <m:r>
          <m:rPr>
            <m:sty m:val="p"/>
          </m:rPr>
          <m:t>+</m:t>
        </m:r>
        <m:r>
          <m:rPr>
            <m:sty m:val="p"/>
          </m:rPr>
          <m:t>ln</m:t>
        </m:r>
        <m:sSub>
          <m:e>
            <m:r>
              <m:t>F</m:t>
            </m:r>
          </m:e>
          <m:sub>
            <m:r>
              <m:t>n</m:t>
            </m:r>
            <m:r>
              <m:t>l</m:t>
            </m:r>
          </m:sub>
        </m:sSub>
        <m:r>
          <m:rPr>
            <m:sty m:val="p"/>
          </m:rPr>
          <m:t>(</m:t>
        </m:r>
        <m:sSub>
          <m:e>
            <m:r>
              <m:t>T</m:t>
            </m:r>
          </m:e>
          <m:sub>
            <m:r>
              <m:t>n</m:t>
            </m:r>
          </m:sub>
        </m:sSub>
        <m:r>
          <m:rPr>
            <m:sty m:val="p"/>
          </m:rPr>
          <m:t>,</m:t>
        </m:r>
        <m:sSub>
          <m:e>
            <m:r>
              <m:t>V</m:t>
            </m:r>
          </m:e>
          <m:sub>
            <m:r>
              <m:t>S</m:t>
            </m:r>
            <m:r>
              <m:t>30</m:t>
            </m:r>
          </m:sub>
        </m:sSub>
        <m:r>
          <m:rPr>
            <m:sty m:val="p"/>
          </m:rPr>
          <m:t>,</m:t>
        </m:r>
        <m:r>
          <m:t>p</m:t>
        </m:r>
        <m:r>
          <m:t>g</m:t>
        </m:r>
        <m:sSup>
          <m:e>
            <m:r>
              <m:t>a</m:t>
            </m:r>
          </m:e>
          <m:sup>
            <m:r>
              <m:rPr>
                <m:sty m:val="p"/>
              </m:rPr>
              <m:t>*</m:t>
            </m:r>
          </m:sup>
        </m:sSup>
        <m:r>
          <m:rPr>
            <m:sty m:val="p"/>
          </m:rPr>
          <m:t>)</m:t>
        </m:r>
        <m:r>
          <m:rPr>
            <m:sty m:val="p"/>
          </m:rPr>
          <m:t>.</m:t>
        </m:r>
      </m:oMath>
      <w:r>
        <w:tab/>
      </w:r>
      <w:r>
        <w:t xml:space="preserve">(4.5)</w:t>
      </w:r>
      <w:bookmarkEnd w:id="80"/>
    </w:p>
    <w:p>
      <w:pPr>
        <w:pStyle w:val="BodyText"/>
      </w:pPr>
      <w:r>
        <w:t xml:space="preserve">To transform an input at</w:t>
      </w:r>
      <w:r>
        <w:t xml:space="preserve"> </w:t>
      </w:r>
      <m:oMath>
        <m:sSub>
          <m:e>
            <m:r>
              <m:t>V</m:t>
            </m:r>
          </m:e>
          <m:sub>
            <m:r>
              <m:rPr>
                <m:sty m:val="p"/>
              </m:rPr>
              <m:t>r</m:t>
            </m:r>
            <m:r>
              <m:rPr>
                <m:sty m:val="p"/>
              </m:rPr>
              <m:t>e</m:t>
            </m:r>
            <m:r>
              <m:rPr>
                <m:sty m:val="p"/>
              </m:rPr>
              <m:t>f</m:t>
            </m:r>
          </m:sub>
        </m:sSub>
        <m:r>
          <m:rPr>
            <m:sty m:val="p"/>
          </m:rPr>
          <m:t>=</m:t>
        </m:r>
        <m:r>
          <m:t>760</m:t>
        </m:r>
        <m:r>
          <m:t> </m:t>
        </m:r>
        <m:r>
          <m:rPr>
            <m:sty m:val="p"/>
          </m:rPr>
          <m:t>m</m:t>
        </m:r>
        <m:r>
          <m:rPr>
            <m:sty m:val="p"/>
          </m:rPr>
          <m:t>/</m:t>
        </m:r>
        <m:r>
          <m:rPr>
            <m:sty m:val="p"/>
          </m:rPr>
          <m:t>s</m:t>
        </m:r>
      </m:oMath>
      <w:r>
        <w:t xml:space="preserve">, the calculation applies the exact difference between the composite model evaluated at the target condition and at the reference condition, for the same period and input intensity:</w:t>
      </w:r>
    </w:p>
    <w:p>
      <w:pPr>
        <w:pStyle w:val="Equation"/>
      </w:pPr>
      <w:bookmarkStart w:id="81" w:name="eq-site-decomp"/>
      <w:r>
        <w:tab/>
      </w:r>
      <m:oMath>
        <m:sSub>
          <m:e>
            <m:r>
              <m:t>μ</m:t>
            </m:r>
          </m:e>
          <m:sub>
            <m:r>
              <m:rPr>
                <m:sty m:val="p"/>
              </m:rPr>
              <m:t>ln</m:t>
            </m:r>
            <m:r>
              <m:t>F</m:t>
            </m:r>
          </m:sub>
        </m:sSub>
        <m:r>
          <m:rPr>
            <m:sty m:val="p"/>
          </m:rPr>
          <m:t>(</m:t>
        </m:r>
        <m:sSub>
          <m:e>
            <m:r>
              <m:t>T</m:t>
            </m:r>
          </m:e>
          <m:sub>
            <m:r>
              <m:t>n</m:t>
            </m:r>
          </m:sub>
        </m:sSub>
        <m:r>
          <m:rPr>
            <m:sty m:val="p"/>
          </m:rPr>
          <m:t>,</m:t>
        </m:r>
        <m:sSub>
          <m:e>
            <m:r>
              <m:t>V</m:t>
            </m:r>
          </m:e>
          <m:sub>
            <m:r>
              <m:t>S</m:t>
            </m:r>
            <m:r>
              <m:t>30</m:t>
            </m:r>
          </m:sub>
        </m:sSub>
        <m:r>
          <m:rPr>
            <m:sty m:val="p"/>
          </m:rPr>
          <m:t>,</m:t>
        </m:r>
        <m:r>
          <m:t>p</m:t>
        </m:r>
        <m:r>
          <m:t>g</m:t>
        </m:r>
        <m:sSup>
          <m:e>
            <m:r>
              <m:t>a</m:t>
            </m:r>
          </m:e>
          <m:sup>
            <m:r>
              <m:rPr>
                <m:sty m:val="p"/>
              </m:rPr>
              <m:t>*</m:t>
            </m:r>
          </m:sup>
        </m:sSup>
        <m:r>
          <m:rPr>
            <m:sty m:val="p"/>
          </m:rPr>
          <m:t>)</m:t>
        </m:r>
        <m:r>
          <m:rPr>
            <m:sty m:val="p"/>
          </m:rPr>
          <m:t>=</m:t>
        </m:r>
        <m:r>
          <m:t>f</m:t>
        </m:r>
        <m:r>
          <m:rPr>
            <m:sty m:val="p"/>
          </m:rPr>
          <m:t>(</m:t>
        </m:r>
        <m:sSub>
          <m:e>
            <m:r>
              <m:t>T</m:t>
            </m:r>
          </m:e>
          <m:sub>
            <m:r>
              <m:t>n</m:t>
            </m:r>
          </m:sub>
        </m:sSub>
        <m:r>
          <m:rPr>
            <m:sty m:val="p"/>
          </m:rPr>
          <m:t>,</m:t>
        </m:r>
        <m:sSub>
          <m:e>
            <m:r>
              <m:t>V</m:t>
            </m:r>
          </m:e>
          <m:sub>
            <m:r>
              <m:t>S</m:t>
            </m:r>
            <m:r>
              <m:t>30</m:t>
            </m:r>
          </m:sub>
        </m:sSub>
        <m:r>
          <m:rPr>
            <m:sty m:val="p"/>
          </m:rPr>
          <m:t>,</m:t>
        </m:r>
        <m:r>
          <m:t>p</m:t>
        </m:r>
        <m:r>
          <m:t>g</m:t>
        </m:r>
        <m:sSup>
          <m:e>
            <m:r>
              <m:t>a</m:t>
            </m:r>
          </m:e>
          <m:sup>
            <m:r>
              <m:rPr>
                <m:sty m:val="p"/>
              </m:rPr>
              <m:t>*</m:t>
            </m:r>
          </m:sup>
        </m:sSup>
        <m:r>
          <m:rPr>
            <m:sty m:val="p"/>
          </m:rPr>
          <m:t>)</m:t>
        </m:r>
        <m:r>
          <m:rPr>
            <m:sty m:val="p"/>
          </m:rPr>
          <m:t>−</m:t>
        </m:r>
        <m:r>
          <m:t>f</m:t>
        </m:r>
        <m:r>
          <m:rPr>
            <m:sty m:val="p"/>
          </m:rPr>
          <m:t>(</m:t>
        </m:r>
        <m:sSub>
          <m:e>
            <m:r>
              <m:t>T</m:t>
            </m:r>
          </m:e>
          <m:sub>
            <m:r>
              <m:t>n</m:t>
            </m:r>
          </m:sub>
        </m:sSub>
        <m:r>
          <m:rPr>
            <m:sty m:val="p"/>
          </m:rPr>
          <m:t>,</m:t>
        </m:r>
        <m:sSub>
          <m:e>
            <m:r>
              <m:t>V</m:t>
            </m:r>
          </m:e>
          <m:sub>
            <m:r>
              <m:rPr>
                <m:sty m:val="p"/>
              </m:rPr>
              <m:t>r</m:t>
            </m:r>
            <m:r>
              <m:rPr>
                <m:sty m:val="p"/>
              </m:rPr>
              <m:t>e</m:t>
            </m:r>
            <m:r>
              <m:rPr>
                <m:sty m:val="p"/>
              </m:rPr>
              <m:t>f</m:t>
            </m:r>
          </m:sub>
        </m:sSub>
        <m:r>
          <m:rPr>
            <m:sty m:val="p"/>
          </m:rPr>
          <m:t>,</m:t>
        </m:r>
        <m:r>
          <m:t>p</m:t>
        </m:r>
        <m:r>
          <m:t>g</m:t>
        </m:r>
        <m:sSup>
          <m:e>
            <m:r>
              <m:t>a</m:t>
            </m:r>
          </m:e>
          <m:sup>
            <m:r>
              <m:rPr>
                <m:sty m:val="p"/>
              </m:rPr>
              <m:t>*</m:t>
            </m:r>
          </m:sup>
        </m:sSup>
        <m:r>
          <m:rPr>
            <m:sty m:val="p"/>
          </m:rPr>
          <m:t>)</m:t>
        </m:r>
        <m:r>
          <m:rPr>
            <m:sty m:val="p"/>
          </m:rPr>
          <m:t>.</m:t>
        </m:r>
      </m:oMath>
      <w:r>
        <w:tab/>
      </w:r>
      <w:r>
        <w:t xml:space="preserve">(4.6)</w:t>
      </w:r>
      <w:bookmarkEnd w:id="81"/>
    </w:p>
    <w:p>
      <w:pPr>
        <w:pStyle w:val="BodyText"/>
      </w:pPr>
      <m:oMath>
        <m:sSub>
          <m:e>
            <m:r>
              <m:t>V</m:t>
            </m:r>
          </m:e>
          <m:sub>
            <m:r>
              <m:t>S</m:t>
            </m:r>
            <m:r>
              <m:t>30</m:t>
            </m:r>
          </m:sub>
        </m:sSub>
      </m:oMath>
      <w:r>
        <w:t xml:space="preserve"> </w:t>
      </w:r>
      <w:r>
        <w:t xml:space="preserve">is the travel-time-averaged shear-wave velocity in the uppermost 30 m,</w:t>
      </w:r>
      <w:r>
        <w:t xml:space="preserve"> </w:t>
      </w:r>
      <m:oMath>
        <m:sSub>
          <m:e>
            <m:r>
              <m:t>T</m:t>
            </m:r>
          </m:e>
          <m:sub>
            <m:r>
              <m:t>n</m:t>
            </m:r>
          </m:sub>
        </m:sSub>
      </m:oMath>
      <w:r>
        <w:t xml:space="preserve"> </w:t>
      </w:r>
      <w:r>
        <w:t xml:space="preserve">is the oscillator period, and</w:t>
      </w:r>
      <w:r>
        <w:t xml:space="preserve"> </w:t>
      </w:r>
      <m:oMath>
        <m:r>
          <m:t>p</m:t>
        </m:r>
        <m:r>
          <m:t>g</m:t>
        </m:r>
        <m:sSup>
          <m:e>
            <m:r>
              <m:t>a</m:t>
            </m:r>
          </m:e>
          <m:sup>
            <m:r>
              <m:rPr>
                <m:sty m:val="p"/>
              </m:rPr>
              <m:t>*</m:t>
            </m:r>
          </m:sup>
        </m:sSup>
      </m:oMath>
      <w:r>
        <w:t xml:space="preserve"> </w:t>
      </w:r>
      <w:r>
        <w:t xml:space="preserve">is the input PGA. In each evaluation of the composite model,</w:t>
      </w:r>
      <w:r>
        <w:t xml:space="preserve"> </w:t>
      </w:r>
      <m:oMath>
        <m:sSub>
          <m:e>
            <m:r>
              <m:t>F</m:t>
            </m:r>
          </m:e>
          <m:sub>
            <m:r>
              <m:rPr>
                <m:sty m:val="p"/>
              </m:rPr>
              <m:t>c</m:t>
            </m:r>
            <m:r>
              <m:rPr>
                <m:sty m:val="p"/>
              </m:rPr>
              <m:t>o</m:t>
            </m:r>
            <m:r>
              <m:rPr>
                <m:sty m:val="p"/>
              </m:rPr>
              <m:t>m</m:t>
            </m:r>
            <m:r>
              <m:rPr>
                <m:sty m:val="p"/>
              </m:rPr>
              <m:t>p</m:t>
            </m:r>
          </m:sub>
        </m:sSub>
        <m:r>
          <m:rPr>
            <m:sty m:val="p"/>
          </m:rPr>
          <m:t>=</m:t>
        </m:r>
        <m:sSub>
          <m:e>
            <m:r>
              <m:t>F</m:t>
            </m:r>
          </m:e>
          <m:sub>
            <m:r>
              <m:t>760</m:t>
            </m:r>
          </m:sub>
        </m:sSub>
        <m:sSub>
          <m:e>
            <m:r>
              <m:t>F</m:t>
            </m:r>
          </m:e>
          <m:sub>
            <m:r>
              <m:t>V</m:t>
            </m:r>
          </m:sub>
        </m:sSub>
        <m:sSub>
          <m:e>
            <m:r>
              <m:t>F</m:t>
            </m:r>
          </m:e>
          <m:sub>
            <m:r>
              <m:t>n</m:t>
            </m:r>
            <m:r>
              <m:t>l</m:t>
            </m:r>
          </m:sub>
        </m:sSub>
      </m:oMath>
      <w:r>
        <w:t xml:space="preserve">; the factor applied from 760 m/s is therefore the ratio between</w:t>
      </w:r>
      <w:r>
        <w:t xml:space="preserve"> </w:t>
      </w:r>
      <m:oMath>
        <m:sSub>
          <m:e>
            <m:r>
              <m:t>F</m:t>
            </m:r>
          </m:e>
          <m:sub>
            <m:r>
              <m:rPr>
                <m:sty m:val="p"/>
              </m:rPr>
              <m:t>c</m:t>
            </m:r>
            <m:r>
              <m:rPr>
                <m:sty m:val="p"/>
              </m:rPr>
              <m:t>o</m:t>
            </m:r>
            <m:r>
              <m:rPr>
                <m:sty m:val="p"/>
              </m:rPr>
              <m:t>m</m:t>
            </m:r>
            <m:r>
              <m:rPr>
                <m:sty m:val="p"/>
              </m:rPr>
              <m:t>p</m:t>
            </m:r>
          </m:sub>
        </m:sSub>
      </m:oMath>
      <w:r>
        <w:t xml:space="preserve"> </w:t>
      </w:r>
      <w:r>
        <w:t xml:space="preserve">at the target condition and at the reference condition. The linear term</w:t>
      </w:r>
      <w:r>
        <w:t xml:space="preserve"> </w:t>
      </w:r>
      <m:oMath>
        <m:sSub>
          <m:e>
            <m:r>
              <m:t>F</m:t>
            </m:r>
          </m:e>
          <m:sub>
            <m:r>
              <m:t>V</m:t>
            </m:r>
          </m:sub>
        </m:sSub>
      </m:oMath>
      <w:r>
        <w:t xml:space="preserve"> </w:t>
      </w:r>
      <w:r>
        <w:t xml:space="preserve">represents the stiffness change with respect to the reference condition and varies with</w:t>
      </w:r>
      <w:r>
        <w:t xml:space="preserve"> </w:t>
      </w:r>
      <m:oMath>
        <m:sSub>
          <m:e>
            <m:r>
              <m:t>V</m:t>
            </m:r>
          </m:e>
          <m:sub>
            <m:r>
              <m:t>S</m:t>
            </m:r>
            <m:r>
              <m:t>30</m:t>
            </m:r>
          </m:sub>
        </m:sSub>
      </m:oMath>
      <w:r>
        <w:t xml:space="preserve"> </w:t>
      </w:r>
      <w:r>
        <w:t xml:space="preserve">and</w:t>
      </w:r>
      <w:r>
        <w:t xml:space="preserve"> </w:t>
      </w:r>
      <m:oMath>
        <m:sSub>
          <m:e>
            <m:r>
              <m:t>T</m:t>
            </m:r>
          </m:e>
          <m:sub>
            <m:r>
              <m:t>n</m:t>
            </m:r>
          </m:sub>
        </m:sSub>
      </m:oMath>
      <w:r>
        <w:t xml:space="preserve">; it equals unity at 760 m/s and decreases gradually toward stiffer conditions. The term</w:t>
      </w:r>
      <w:r>
        <w:t xml:space="preserve"> </w:t>
      </w:r>
      <m:oMath>
        <m:sSub>
          <m:e>
            <m:r>
              <m:t>F</m:t>
            </m:r>
          </m:e>
          <m:sub>
            <m:r>
              <m:t>760</m:t>
            </m:r>
          </m:sub>
        </m:sSub>
      </m:oMath>
      <w:r>
        <w:t xml:space="preserve"> </w:t>
      </w:r>
      <w:r>
        <w:t xml:space="preserve">links the 760 m/s reference to the model’s native 3000 m/s hard rock; it depends on the period, generally exceeds unity, and weights reference profiles with impedance contrast and with velocity gradient. The difference in</w:t>
      </w:r>
      <w:r>
        <w:t xml:space="preserve"> </w:t>
      </w:r>
      <w:hyperlink w:anchor="eq-site-decomp">
        <w:r>
          <w:rPr>
            <w:rStyle w:val="Hyperlink"/>
          </w:rPr>
          <w:t xml:space="preserve">4.6</w:t>
        </w:r>
      </w:hyperlink>
      <w:r>
        <w:t xml:space="preserve"> </w:t>
      </w:r>
      <w:r>
        <w:t xml:space="preserve">preserves that weighting in both evaluations, including its transition for velocities below 600 m/s.</w:t>
      </w:r>
    </w:p>
    <w:p>
      <w:pPr>
        <w:pStyle w:val="BodyText"/>
      </w:pPr>
      <w:r>
        <w:t xml:space="preserve">The term</w:t>
      </w:r>
      <w:r>
        <w:t xml:space="preserve"> </w:t>
      </w:r>
      <m:oMath>
        <m:sSub>
          <m:e>
            <m:r>
              <m:t>F</m:t>
            </m:r>
          </m:e>
          <m:sub>
            <m:r>
              <m:t>n</m:t>
            </m:r>
            <m:r>
              <m:t>l</m:t>
            </m:r>
          </m:sub>
        </m:sSub>
      </m:oMath>
      <w:r>
        <w:t xml:space="preserve"> </w:t>
      </w:r>
      <w:r>
        <w:t xml:space="preserve">represents the variation of amplification with ground-motion intensity and depends on</w:t>
      </w:r>
      <w:r>
        <w:t xml:space="preserve"> </w:t>
      </w:r>
      <m:oMath>
        <m:sSub>
          <m:e>
            <m:r>
              <m:t>V</m:t>
            </m:r>
          </m:e>
          <m:sub>
            <m:r>
              <m:t>S</m:t>
            </m:r>
            <m:r>
              <m:t>30</m:t>
            </m:r>
          </m:sub>
        </m:sSub>
      </m:oMath>
      <w:r>
        <w:t xml:space="preserve">,</w:t>
      </w:r>
      <w:r>
        <w:t xml:space="preserve"> </w:t>
      </w:r>
      <m:oMath>
        <m:sSub>
          <m:e>
            <m:r>
              <m:t>T</m:t>
            </m:r>
          </m:e>
          <m:sub>
            <m:r>
              <m:t>n</m:t>
            </m:r>
          </m:sub>
        </m:sSub>
      </m:oMath>
      <w:r>
        <w:t xml:space="preserve">, and the input PGA</w:t>
      </w:r>
      <w:r>
        <w:t xml:space="preserve"> </w:t>
      </w:r>
      <m:oMath>
        <m:r>
          <m:t>p</m:t>
        </m:r>
        <m:r>
          <m:t>g</m:t>
        </m:r>
        <m:sSup>
          <m:e>
            <m:r>
              <m:t>a</m:t>
            </m:r>
          </m:e>
          <m:sup>
            <m:r>
              <m:rPr>
                <m:sty m:val="p"/>
              </m:rPr>
              <m:t>*</m:t>
            </m:r>
          </m:sup>
        </m:sSup>
      </m:oMath>
      <w:r>
        <w:t xml:space="preserve">. The formulation uses a period-dependent reference – 760 m/s for</w:t>
      </w:r>
      <w:r>
        <w:t xml:space="preserve"> </w:t>
      </w:r>
      <m:oMath>
        <m:sSub>
          <m:e>
            <m:r>
              <m:t>T</m:t>
            </m:r>
          </m:e>
          <m:sub>
            <m:r>
              <m:t>n</m:t>
            </m:r>
          </m:sub>
        </m:sSub>
        <m:r>
          <m:rPr>
            <m:sty m:val="p"/>
          </m:rPr>
          <m:t>&lt;</m:t>
        </m:r>
        <m:r>
          <m:t>0.4</m:t>
        </m:r>
      </m:oMath>
      <w:r>
        <w:t xml:space="preserve"> </w:t>
      </w:r>
      <w:r>
        <w:t xml:space="preserve">s and 3000 m/s for longer periods – and converts the input PGA at 760 m/s to the hard-rock reference through</w:t>
      </w:r>
      <w:r>
        <w:t xml:space="preserve"> </w:t>
      </w:r>
      <m:oMath>
        <m:r>
          <m:t>p</m:t>
        </m:r>
        <m:r>
          <m:t>g</m:t>
        </m:r>
        <m:sSubSup>
          <m:e>
            <m:r>
              <m:t>a</m:t>
            </m:r>
          </m:e>
          <m:sub>
            <m:r>
              <m:t>3000</m:t>
            </m:r>
          </m:sub>
          <m:sup>
            <m:r>
              <m:rPr>
                <m:sty m:val="p"/>
              </m:rPr>
              <m:t>*</m:t>
            </m:r>
          </m:sup>
        </m:sSubSup>
        <m:r>
          <m:rPr>
            <m:sty m:val="p"/>
          </m:rPr>
          <m:t>=</m:t>
        </m:r>
        <m:r>
          <m:t>p</m:t>
        </m:r>
        <m:r>
          <m:t>g</m:t>
        </m:r>
        <m:sSubSup>
          <m:e>
            <m:r>
              <m:t>a</m:t>
            </m:r>
          </m:e>
          <m:sub>
            <m:r>
              <m:t>760</m:t>
            </m:r>
          </m:sub>
          <m:sup>
            <m:r>
              <m:rPr>
                <m:sty m:val="p"/>
              </m:rPr>
              <m:t>*</m:t>
            </m:r>
          </m:sup>
        </m:sSubSup>
        <m:r>
          <m:rPr>
            <m:sty m:val="p"/>
          </m:rPr>
          <m:t>/</m:t>
        </m:r>
        <m:r>
          <m:t>2.275</m:t>
        </m:r>
      </m:oMath>
      <w:r>
        <w:t xml:space="preserve"> </w:t>
      </w:r>
      <w:r>
        <w:t xml:space="preserve">(</w:t>
      </w:r>
      <w:hyperlink w:anchor="ref-Hashash2020">
        <w:r>
          <w:rPr>
            <w:rStyle w:val="Hyperlink"/>
          </w:rPr>
          <w:t xml:space="preserve">Hashash et al., 2020</w:t>
        </w:r>
      </w:hyperlink>
      <w:r>
        <w:t xml:space="preserve">;</w:t>
      </w:r>
      <w:r>
        <w:t xml:space="preserve"> </w:t>
      </w:r>
      <w:hyperlink w:anchor="ref-Stewart2020">
        <w:r>
          <w:rPr>
            <w:rStyle w:val="Hyperlink"/>
          </w:rPr>
          <w:t xml:space="preserve">Stewart et al., 2020</w:t>
        </w:r>
      </w:hyperlink>
      <w:r>
        <w:t xml:space="preserve">)</w:t>
      </w:r>
      <w:r>
        <w:t xml:space="preserve">. At low intensities the response approaches the linear regime; as</w:t>
      </w:r>
      <w:r>
        <w:t xml:space="preserve"> </w:t>
      </w:r>
      <m:oMath>
        <m:r>
          <m:t>p</m:t>
        </m:r>
        <m:r>
          <m:t>g</m:t>
        </m:r>
        <m:sSup>
          <m:e>
            <m:r>
              <m:t>a</m:t>
            </m:r>
          </m:e>
          <m:sup>
            <m:r>
              <m:rPr>
                <m:sty m:val="p"/>
              </m:rPr>
              <m:t>*</m:t>
            </m:r>
          </m:sup>
        </m:sSup>
      </m:oMath>
      <w:r>
        <w:t xml:space="preserve"> </w:t>
      </w:r>
      <w:r>
        <w:t xml:space="preserve">increases, the term reproduces the reduction in amplification associated with nonlinear soil response. The balance between</w:t>
      </w:r>
      <w:r>
        <w:t xml:space="preserve"> </w:t>
      </w:r>
      <m:oMath>
        <m:sSub>
          <m:e>
            <m:r>
              <m:t>F</m:t>
            </m:r>
          </m:e>
          <m:sub>
            <m:r>
              <m:t>V</m:t>
            </m:r>
          </m:sub>
        </m:sSub>
      </m:oMath>
      <w:r>
        <w:t xml:space="preserve"> </w:t>
      </w:r>
      <w:r>
        <w:t xml:space="preserve">and</w:t>
      </w:r>
      <w:r>
        <w:t xml:space="preserve"> </w:t>
      </w:r>
      <m:oMath>
        <m:sSub>
          <m:e>
            <m:r>
              <m:t>F</m:t>
            </m:r>
          </m:e>
          <m:sub>
            <m:r>
              <m:t>n</m:t>
            </m:r>
            <m:r>
              <m:t>l</m:t>
            </m:r>
          </m:sub>
        </m:sSub>
      </m:oMath>
      <w:r>
        <w:t xml:space="preserve"> </w:t>
      </w:r>
      <w:r>
        <w:t xml:space="preserve">makes it possible to represent amplification at intermediate and long periods and reduction at short periods for softer soils, while the transformation approaches unity when the target condition coincides with the reference.</w:t>
      </w:r>
    </w:p>
    <w:p>
      <w:pPr>
        <w:pStyle w:val="BodyText"/>
      </w:pPr>
      <w:r>
        <w:t xml:space="preserve">The dispersion of</w:t>
      </w:r>
      <w:r>
        <w:t xml:space="preserve"> </w:t>
      </w:r>
      <w:hyperlink w:anchor="eq-site-sigma-decomp">
        <w:r>
          <w:rPr>
            <w:rStyle w:val="Hyperlink"/>
          </w:rPr>
          <w:t xml:space="preserve">4.2</w:t>
        </w:r>
      </w:hyperlink>
      <w:r>
        <w:t xml:space="preserve"> </w:t>
      </w:r>
      <w:r>
        <w:t xml:space="preserve">accompanies the same evaluation by period, velocity, and intensity.</w:t>
      </w:r>
      <w:r>
        <w:t xml:space="preserve"> </w:t>
      </w:r>
      <m:oMath>
        <m:sSub>
          <m:e>
            <m:r>
              <m:t>σ</m:t>
            </m:r>
          </m:e>
          <m:sub>
            <m:r>
              <m:t>L</m:t>
            </m:r>
          </m:sub>
        </m:sSub>
      </m:oMath>
      <w:r>
        <w:t xml:space="preserve"> </w:t>
      </w:r>
      <w:r>
        <w:t xml:space="preserve">represents the dispersion of the linear term;</w:t>
      </w:r>
      <w:r>
        <w:t xml:space="preserve"> </w:t>
      </w:r>
      <m:oMath>
        <m:sSub>
          <m:e>
            <m:r>
              <m:t>σ</m:t>
            </m:r>
          </m:e>
          <m:sub>
            <m:r>
              <m:t>I</m:t>
            </m:r>
          </m:sub>
        </m:sSub>
      </m:oMath>
      <w:r>
        <w:t xml:space="preserve"> </w:t>
      </w:r>
      <w:r>
        <w:t xml:space="preserve">enters the conversion from the 3000 m/s reference and vanishes when the input is already expressed at 760 m/s; and</w:t>
      </w:r>
      <w:r>
        <w:t xml:space="preserve"> </w:t>
      </w:r>
      <m:oMath>
        <m:sSub>
          <m:e>
            <m:r>
              <m:t>σ</m:t>
            </m:r>
          </m:e>
          <m:sub>
            <m:r>
              <m:t>N</m:t>
            </m:r>
            <m:r>
              <m:t>L</m:t>
            </m:r>
          </m:sub>
        </m:sSub>
        <m:r>
          <m:rPr>
            <m:sty m:val="p"/>
          </m:rPr>
          <m:t>=</m:t>
        </m:r>
        <m:sSub>
          <m:e>
            <m:r>
              <m:t>σ</m:t>
            </m:r>
          </m:e>
          <m:sub>
            <m:r>
              <m:t>f</m:t>
            </m:r>
            <m:r>
              <m:t>2</m:t>
            </m:r>
          </m:sub>
        </m:sSub>
        <m:r>
          <m:rPr>
            <m:sty m:val="p"/>
          </m:rPr>
          <m:t>ln</m:t>
        </m:r>
        <m:r>
          <m:rPr>
            <m:sty m:val="p"/>
          </m:rPr>
          <m:t>[</m:t>
        </m:r>
        <m:r>
          <m:rPr>
            <m:sty m:val="p"/>
          </m:rPr>
          <m:t>(</m:t>
        </m:r>
        <m:r>
          <m:t>p</m:t>
        </m:r>
        <m:r>
          <m:t>g</m:t>
        </m:r>
        <m:sSubSup>
          <m:e>
            <m:r>
              <m:t>a</m:t>
            </m:r>
          </m:e>
          <m:sub>
            <m:r>
              <m:t>3000</m:t>
            </m:r>
          </m:sub>
          <m:sup>
            <m:r>
              <m:rPr>
                <m:sty m:val="p"/>
              </m:rPr>
              <m:t>*</m:t>
            </m:r>
          </m:sup>
        </m:sSubSup>
        <m:r>
          <m:rPr>
            <m:sty m:val="p"/>
          </m:rPr>
          <m:t>+</m:t>
        </m:r>
        <m:sSub>
          <m:e>
            <m:r>
              <m:t>f</m:t>
            </m:r>
          </m:e>
          <m:sub>
            <m:r>
              <m:t>3</m:t>
            </m:r>
          </m:sub>
        </m:sSub>
        <m:r>
          <m:rPr>
            <m:sty m:val="p"/>
          </m:rPr>
          <m:t>)</m:t>
        </m:r>
        <m:r>
          <m:rPr>
            <m:sty m:val="p"/>
          </m:rPr>
          <m:t>/</m:t>
        </m:r>
        <m:sSub>
          <m:e>
            <m:r>
              <m:t>f</m:t>
            </m:r>
          </m:e>
          <m:sub>
            <m:r>
              <m:t>3</m:t>
            </m:r>
          </m:sub>
        </m:sSub>
        <m:r>
          <m:rPr>
            <m:sty m:val="p"/>
          </m:rPr>
          <m:t>]</m:t>
        </m:r>
      </m:oMath>
      <w:r>
        <w:t xml:space="preserve"> </w:t>
      </w:r>
      <w:r>
        <w:t xml:space="preserve">represents the dispersion of the nonlinear term. The coefficients and the transitions with</w:t>
      </w:r>
      <w:r>
        <w:t xml:space="preserve"> </w:t>
      </w:r>
      <m:oMath>
        <m:sSub>
          <m:e>
            <m:r>
              <m:t>T</m:t>
            </m:r>
          </m:e>
          <m:sub>
            <m:r>
              <m:t>n</m:t>
            </m:r>
          </m:sub>
        </m:sSub>
      </m:oMath>
      <w:r>
        <w:t xml:space="preserve"> </w:t>
      </w:r>
      <w:r>
        <w:t xml:space="preserve">and</w:t>
      </w:r>
      <w:r>
        <w:t xml:space="preserve"> </w:t>
      </w:r>
      <m:oMath>
        <m:sSub>
          <m:e>
            <m:r>
              <m:t>V</m:t>
            </m:r>
          </m:e>
          <m:sub>
            <m:r>
              <m:t>S</m:t>
            </m:r>
            <m:r>
              <m:t>30</m:t>
            </m:r>
          </m:sub>
        </m:sSub>
      </m:oMath>
      <w:r>
        <w:t xml:space="preserve"> </w:t>
      </w:r>
      <w:r>
        <w:t xml:space="preserve">are those tabulated by Stewart</w:t>
      </w:r>
      <w:r>
        <w:t xml:space="preserve"> </w:t>
      </w:r>
      <w:r>
        <w:rPr>
          <w:i/>
          <w:iCs/>
        </w:rPr>
        <w:t xml:space="preserve">et al.</w:t>
      </w:r>
      <w:r>
        <w:t xml:space="preserve"> </w:t>
      </w:r>
      <w:r>
        <w:t xml:space="preserve">(</w:t>
      </w:r>
      <w:hyperlink w:anchor="ref-Stewart2020">
        <w:r>
          <w:rPr>
            <w:rStyle w:val="Hyperlink"/>
          </w:rPr>
          <w:t xml:space="preserve">2020</w:t>
        </w:r>
      </w:hyperlink>
      <w:r>
        <w:t xml:space="preserve">)</w:t>
      </w:r>
      <w:r>
        <w:t xml:space="preserve">.</w:t>
      </w:r>
    </w:p>
    <w:p>
      <w:pPr>
        <w:pStyle w:val="BodyText"/>
      </w:pPr>
      <w:r>
        <w:t xml:space="preserve">The 760 and 3000 m/s references serve distinct roles in the calculation. The former corresponds to the B/C boundary of the NEHRP classification and is a customary reference condition in United States ground-motion models and design criteria; moreover, much of the recorded data supporting these models concentrates approximately between 200 and 800 m/s. The latter represents the shallow crystalline basement of central and eastern North America used by NGA-East and by regional hard-rock assessments. Stewart</w:t>
      </w:r>
      <w:r>
        <w:t xml:space="preserve"> </w:t>
      </w:r>
      <w:r>
        <w:rPr>
          <w:i/>
          <w:iCs/>
        </w:rPr>
        <w:t xml:space="preserve">et al.</w:t>
      </w:r>
      <w:r>
        <w:t xml:space="preserve"> </w:t>
      </w:r>
      <w:r>
        <w:t xml:space="preserve">(</w:t>
      </w:r>
      <w:hyperlink w:anchor="ref-Stewart2020">
        <w:r>
          <w:rPr>
            <w:rStyle w:val="Hyperlink"/>
          </w:rPr>
          <w:t xml:space="preserve">2020</w:t>
        </w:r>
      </w:hyperlink>
      <w:r>
        <w:t xml:space="preserve">)</w:t>
      </w:r>
      <w:r>
        <w:t xml:space="preserve"> </w:t>
      </w:r>
      <w:r>
        <w:t xml:space="preserve">establish the conversion between the two references while maintaining compatibility with the empirical data and the site classes. The model is calibrated primarily for</w:t>
      </w:r>
      <w:r>
        <w:t xml:space="preserve"> </w:t>
      </w:r>
      <m:oMath>
        <m:sSub>
          <m:e>
            <m:r>
              <m:t>V</m:t>
            </m:r>
          </m:e>
          <m:sub>
            <m:r>
              <m:t>S</m:t>
            </m:r>
            <m:r>
              <m:t>30</m:t>
            </m:r>
          </m:sub>
        </m:sSub>
      </m:oMath>
      <w:r>
        <w:t xml:space="preserve"> </w:t>
      </w:r>
      <w:r>
        <w:t xml:space="preserve">between approximately 200 and 1500–2000 m/s and applies gradual transitions toward the limits of its domain.</w:t>
      </w:r>
    </w:p>
    <w:p>
      <w:pPr>
        <w:pStyle w:val="BodyText"/>
      </w:pPr>
      <w:r>
        <w:t xml:space="preserve">The evaluation with ST20 is performed period by period and is conditioned on the PGA of the same realization through the nonlinear term of</w:t>
      </w:r>
      <w:r>
        <w:t xml:space="preserve"> </w:t>
      </w:r>
      <m:oMath>
        <m:r>
          <m:t>F</m:t>
        </m:r>
      </m:oMath>
      <w:r>
        <w:t xml:space="preserve">. In logarithmic scale,</w:t>
      </w:r>
      <w:r>
        <w:t xml:space="preserve"> </w:t>
      </w:r>
      <w:hyperlink w:anchor="eq-site-af">
        <w:r>
          <w:rPr>
            <w:rStyle w:val="Hyperlink"/>
          </w:rPr>
          <w:t xml:space="preserve">4.4</w:t>
        </w:r>
      </w:hyperlink>
      <w:r>
        <w:t xml:space="preserve"> </w:t>
      </w:r>
      <w:r>
        <w:t xml:space="preserve">is expressed as</w:t>
      </w:r>
      <w:r>
        <w:t xml:space="preserve"> </w:t>
      </w:r>
      <m:oMath>
        <m:r>
          <m:rPr>
            <m:sty m:val="p"/>
          </m:rPr>
          <m:t>ln</m:t>
        </m:r>
        <m:sSubSup>
          <m:e>
            <m:r>
              <m:t>S</m:t>
            </m:r>
          </m:e>
          <m:sub>
            <m:r>
              <m:t>a</m:t>
            </m:r>
          </m:sub>
          <m:sup>
            <m:r>
              <m:t>s</m:t>
            </m:r>
          </m:sup>
        </m:sSubSup>
        <m:r>
          <m:rPr>
            <m:sty m:val="p"/>
          </m:rPr>
          <m:t>=</m:t>
        </m:r>
        <m:r>
          <m:rPr>
            <m:sty m:val="p"/>
          </m:rPr>
          <m:t>ln</m:t>
        </m:r>
        <m:sSubSup>
          <m:e>
            <m:r>
              <m:t>S</m:t>
            </m:r>
          </m:e>
          <m:sub>
            <m:r>
              <m:t>a</m:t>
            </m:r>
          </m:sub>
          <m:sup>
            <m:r>
              <m:t>o</m:t>
            </m:r>
          </m:sup>
        </m:sSubSup>
        <m:r>
          <m:rPr>
            <m:sty m:val="p"/>
          </m:rPr>
          <m:t>+</m:t>
        </m:r>
        <m:r>
          <m:rPr>
            <m:sty m:val="p"/>
          </m:rPr>
          <m:t>ln</m:t>
        </m:r>
        <m:r>
          <m:t>F</m:t>
        </m:r>
      </m:oMath>
      <w:r>
        <w:t xml:space="preserve">. For a component</w:t>
      </w:r>
      <w:r>
        <w:t xml:space="preserve"> </w:t>
      </w:r>
      <m:oMath>
        <m:r>
          <m:t>k</m:t>
        </m:r>
      </m:oMath>
      <w:r>
        <w:t xml:space="preserve"> </w:t>
      </w:r>
      <w:r>
        <w:t xml:space="preserve">of the distribution of</w:t>
      </w:r>
      <w:r>
        <w:t xml:space="preserve"> </w:t>
      </w:r>
      <m:oMath>
        <m:sSubSup>
          <m:e>
            <m:r>
              <m:t>S</m:t>
            </m:r>
          </m:e>
          <m:sub>
            <m:r>
              <m:t>a</m:t>
            </m:r>
          </m:sub>
          <m:sup>
            <m:r>
              <m:t>o</m:t>
            </m:r>
          </m:sup>
        </m:sSubSup>
      </m:oMath>
      <w:r>
        <w:t xml:space="preserve"> </w:t>
      </w:r>
      <w:r>
        <w:t xml:space="preserve">and a realization</w:t>
      </w:r>
      <w:r>
        <w:t xml:space="preserve"> </w:t>
      </w:r>
      <m:oMath>
        <m:sSup>
          <m:e>
            <m:r>
              <m:rPr>
                <m:sty m:val="p"/>
              </m:rPr>
              <m:t>P</m:t>
            </m:r>
            <m:r>
              <m:rPr>
                <m:sty m:val="p"/>
              </m:rPr>
              <m:t>G</m:t>
            </m:r>
            <m:r>
              <m:rPr>
                <m:sty m:val="p"/>
              </m:rPr>
              <m:t>A</m:t>
            </m:r>
          </m:e>
          <m:sup>
            <m:r>
              <m:t>o</m:t>
            </m:r>
          </m:sup>
        </m:sSup>
        <m:r>
          <m:rPr>
            <m:sty m:val="p"/>
          </m:rPr>
          <m:t>=</m:t>
        </m:r>
        <m:r>
          <m:t>p</m:t>
        </m:r>
        <m:r>
          <m:t>g</m:t>
        </m:r>
        <m:sSup>
          <m:e>
            <m:r>
              <m:t>a</m:t>
            </m:r>
          </m:e>
          <m:sup>
            <m:r>
              <m:rPr>
                <m:sty m:val="p"/>
              </m:rPr>
              <m:t>*</m:t>
            </m:r>
          </m:sup>
        </m:sSup>
      </m:oMath>
      <w:r>
        <w:t xml:space="preserve">, with</w:t>
      </w:r>
      <w:r>
        <w:t xml:space="preserve"> </w:t>
      </w:r>
      <m:oMath>
        <m:r>
          <m:t>q</m:t>
        </m:r>
        <m:r>
          <m:rPr>
            <m:sty m:val="p"/>
          </m:rPr>
          <m:t>=</m:t>
        </m:r>
        <m:r>
          <m:rPr>
            <m:sty m:val="p"/>
          </m:rPr>
          <m:t>ln</m:t>
        </m:r>
        <m:r>
          <m:t>p</m:t>
        </m:r>
        <m:r>
          <m:t>g</m:t>
        </m:r>
        <m:sSup>
          <m:e>
            <m:r>
              <m:t>a</m:t>
            </m:r>
          </m:e>
          <m:sup>
            <m:r>
              <m:rPr>
                <m:sty m:val="p"/>
              </m:rPr>
              <m:t>*</m:t>
            </m:r>
          </m:sup>
        </m:sSup>
      </m:oMath>
      <w:r>
        <w:t xml:space="preserve">,</w:t>
      </w:r>
      <w:r>
        <w:t xml:space="preserve"> </w:t>
      </w:r>
      <m:oMath>
        <m:sSub>
          <m:e>
            <m:r>
              <m:t>σ</m:t>
            </m:r>
          </m:e>
          <m:sub>
            <m:r>
              <m:t>k</m:t>
            </m:r>
          </m:sub>
        </m:sSub>
      </m:oMath>
      <w:r>
        <w:t xml:space="preserve"> </w:t>
      </w:r>
      <w:r>
        <w:t xml:space="preserve">is the standard deviation of</w:t>
      </w:r>
      <w:r>
        <w:t xml:space="preserve"> </w:t>
      </w:r>
      <m:oMath>
        <m:r>
          <m:rPr>
            <m:sty m:val="p"/>
          </m:rPr>
          <m:t>ln</m:t>
        </m:r>
        <m:sSubSup>
          <m:e>
            <m:r>
              <m:t>S</m:t>
            </m:r>
          </m:e>
          <m:sub>
            <m:r>
              <m:t>a</m:t>
            </m:r>
          </m:sub>
          <m:sup>
            <m:r>
              <m:t>o</m:t>
            </m:r>
          </m:sup>
        </m:sSubSup>
        <m:r>
          <m:rPr>
            <m:sty m:val="p"/>
          </m:rPr>
          <m:t>(</m:t>
        </m:r>
        <m:sSub>
          <m:e>
            <m:r>
              <m:t>T</m:t>
            </m:r>
          </m:e>
          <m:sub>
            <m:r>
              <m:t>n</m:t>
            </m:r>
          </m:sub>
        </m:sSub>
        <m:r>
          <m:rPr>
            <m:sty m:val="p"/>
          </m:rPr>
          <m:t>)</m:t>
        </m:r>
      </m:oMath>
      <w:r>
        <w:t xml:space="preserve"> </w:t>
      </w:r>
      <w:r>
        <w:t xml:space="preserve">in the component,</w:t>
      </w:r>
      <w:r>
        <w:t xml:space="preserve"> </w:t>
      </w:r>
      <m:oMath>
        <m:r>
          <m:t>ρ</m:t>
        </m:r>
        <m:r>
          <m:rPr>
            <m:sty m:val="p"/>
          </m:rPr>
          <m:t>=</m:t>
        </m:r>
        <m:r>
          <m:rPr>
            <m:sty m:val="p"/>
          </m:rPr>
          <m:t>Corr</m:t>
        </m:r>
        <m:r>
          <m:t>​</m:t>
        </m:r>
        <m:d>
          <m:dPr>
            <m:begChr m:val="["/>
            <m:sepChr m:val=""/>
            <m:endChr m:val="]"/>
            <m:grow/>
          </m:dPr>
          <m:e>
            <m:r>
              <m:rPr>
                <m:sty m:val="p"/>
              </m:rPr>
              <m:t>ln</m:t>
            </m:r>
            <m:sSubSup>
              <m:e>
                <m:r>
                  <m:t>S</m:t>
                </m:r>
              </m:e>
              <m:sub>
                <m:r>
                  <m:t>a</m:t>
                </m:r>
              </m:sub>
              <m:sup>
                <m:r>
                  <m:t>o</m:t>
                </m:r>
              </m:sup>
            </m:sSubSup>
            <m:r>
              <m:rPr>
                <m:sty m:val="p"/>
              </m:rPr>
              <m:t>(</m:t>
            </m:r>
            <m:sSub>
              <m:e>
                <m:r>
                  <m:t>T</m:t>
                </m:r>
              </m:e>
              <m:sub>
                <m:r>
                  <m:t>n</m:t>
                </m:r>
              </m:sub>
            </m:sSub>
            <m:r>
              <m:rPr>
                <m:sty m:val="p"/>
              </m:rPr>
              <m:t>)</m:t>
            </m:r>
            <m:r>
              <m:rPr>
                <m:sty m:val="p"/>
              </m:rPr>
              <m:t>,</m:t>
            </m:r>
            <m:r>
              <m:rPr>
                <m:sty m:val="p"/>
              </m:rPr>
              <m:t>ln</m:t>
            </m:r>
            <m:sSup>
              <m:e>
                <m:r>
                  <m:rPr>
                    <m:sty m:val="p"/>
                  </m:rPr>
                  <m:t>P</m:t>
                </m:r>
                <m:r>
                  <m:rPr>
                    <m:sty m:val="p"/>
                  </m:rPr>
                  <m:t>G</m:t>
                </m:r>
                <m:r>
                  <m:rPr>
                    <m:sty m:val="p"/>
                  </m:rPr>
                  <m:t>A</m:t>
                </m:r>
              </m:e>
              <m:sup>
                <m:r>
                  <m:t>o</m:t>
                </m:r>
              </m:sup>
            </m:sSup>
          </m:e>
        </m:d>
      </m:oMath>
      <w:r>
        <w:t xml:space="preserve"> </w:t>
      </w:r>
      <w:r>
        <w:t xml:space="preserve">is the within-event correlation between the spectral ordinate and the PGA, and</w:t>
      </w:r>
      <w:r>
        <w:t xml:space="preserve"> </w:t>
      </w:r>
      <m:oMath>
        <m:sSub>
          <m:e>
            <m:r>
              <m:t>σ</m:t>
            </m:r>
          </m:e>
          <m:sub>
            <m:r>
              <m:rPr>
                <m:sty m:val="p"/>
              </m:rPr>
              <m:t>ln</m:t>
            </m:r>
            <m:r>
              <m:t>F</m:t>
            </m:r>
          </m:sub>
        </m:sSub>
        <m:r>
          <m:rPr>
            <m:sty m:val="p"/>
          </m:rPr>
          <m:t>=</m:t>
        </m:r>
        <m:sSub>
          <m:e>
            <m:r>
              <m:t>σ</m:t>
            </m:r>
          </m:e>
          <m:sub>
            <m:r>
              <m:rPr>
                <m:sty m:val="p"/>
              </m:rPr>
              <m:t>ln</m:t>
            </m:r>
            <m:r>
              <m:t>F</m:t>
            </m:r>
          </m:sub>
        </m:sSub>
        <m:r>
          <m:rPr>
            <m:sty m:val="p"/>
          </m:rPr>
          <m:t>(</m:t>
        </m:r>
        <m:sSub>
          <m:e>
            <m:r>
              <m:t>T</m:t>
            </m:r>
          </m:e>
          <m:sub>
            <m:r>
              <m:t>n</m:t>
            </m:r>
          </m:sub>
        </m:sSub>
        <m:r>
          <m:rPr>
            <m:sty m:val="p"/>
          </m:rPr>
          <m:t>,</m:t>
        </m:r>
        <m:sSub>
          <m:e>
            <m:r>
              <m:t>V</m:t>
            </m:r>
          </m:e>
          <m:sub>
            <m:r>
              <m:t>S</m:t>
            </m:r>
            <m:r>
              <m:t>30</m:t>
            </m:r>
          </m:sub>
        </m:sSub>
        <m:r>
          <m:rPr>
            <m:sty m:val="p"/>
          </m:rPr>
          <m:t>,</m:t>
        </m:r>
        <m:sSup>
          <m:e>
            <m:r>
              <m:t>e</m:t>
            </m:r>
          </m:e>
          <m:sup>
            <m:r>
              <m:t>q</m:t>
            </m:r>
          </m:sup>
        </m:sSup>
        <m:r>
          <m:rPr>
            <m:sty m:val="p"/>
          </m:rPr>
          <m:t>)</m:t>
        </m:r>
      </m:oMath>
      <w:r>
        <w:t xml:space="preserve"> </w:t>
      </w:r>
      <w:r>
        <w:t xml:space="preserve">is the standard deviation of</w:t>
      </w:r>
      <w:r>
        <w:t xml:space="preserve"> </w:t>
      </w:r>
      <m:oMath>
        <m:r>
          <m:rPr>
            <m:sty m:val="p"/>
          </m:rPr>
          <m:t>ln</m:t>
        </m:r>
        <m:r>
          <m:t>F</m:t>
        </m:r>
      </m:oMath>
      <w:r>
        <w:t xml:space="preserve"> </w:t>
      </w:r>
      <w:r>
        <w:t xml:space="preserve">for the period, the site condition, and the conditioning PGA</w:t>
      </w:r>
      <w:r>
        <w:t xml:space="preserve"> </w:t>
      </w:r>
      <m:oMath>
        <m:r>
          <m:t>p</m:t>
        </m:r>
        <m:r>
          <m:t>g</m:t>
        </m:r>
        <m:sSup>
          <m:e>
            <m:r>
              <m:t>a</m:t>
            </m:r>
          </m:e>
          <m:sup>
            <m:r>
              <m:rPr>
                <m:sty m:val="p"/>
              </m:rPr>
              <m:t>*</m:t>
            </m:r>
          </m:sup>
        </m:sSup>
        <m:r>
          <m:rPr>
            <m:sty m:val="p"/>
          </m:rPr>
          <m:t>=</m:t>
        </m:r>
        <m:sSup>
          <m:e>
            <m:r>
              <m:t>e</m:t>
            </m:r>
          </m:e>
          <m:sup>
            <m:r>
              <m:t>q</m:t>
            </m:r>
          </m:sup>
        </m:sSup>
      </m:oMath>
      <w:r>
        <w:t xml:space="preserve">; the conditional variance of</w:t>
      </w:r>
      <w:r>
        <w:t xml:space="preserve"> </w:t>
      </w:r>
      <m:oMath>
        <m:r>
          <m:rPr>
            <m:sty m:val="p"/>
          </m:rPr>
          <m:t>ln</m:t>
        </m:r>
        <m:sSubSup>
          <m:e>
            <m:r>
              <m:t>S</m:t>
            </m:r>
          </m:e>
          <m:sub>
            <m:r>
              <m:t>a</m:t>
            </m:r>
          </m:sub>
          <m:sup>
            <m:r>
              <m:t>s</m:t>
            </m:r>
          </m:sup>
        </m:sSubSup>
      </m:oMath>
      <w:r>
        <w:t xml:space="preserve"> </w:t>
      </w:r>
      <w:r>
        <w:t xml:space="preserve">is</w:t>
      </w:r>
    </w:p>
    <w:p>
      <w:pPr>
        <w:pStyle w:val="Equation"/>
      </w:pPr>
      <w:bookmarkStart w:id="82" w:name="eq-site-var"/>
      <w:r>
        <w:tab/>
      </w:r>
      <m:oMath>
        <m:r>
          <m:rPr>
            <m:sty m:val="p"/>
          </m:rPr>
          <m:t>Var</m:t>
        </m:r>
        <m:r>
          <m:t>​</m:t>
        </m:r>
        <m:d>
          <m:dPr>
            <m:begChr m:val="["/>
            <m:sepChr m:val=""/>
            <m:endChr m:val="]"/>
            <m:grow/>
          </m:dPr>
          <m:e>
            <m:r>
              <m:rPr>
                <m:sty m:val="p"/>
              </m:rPr>
              <m:t>ln</m:t>
            </m:r>
            <m:sSubSup>
              <m:e>
                <m:r>
                  <m:t>S</m:t>
                </m:r>
              </m:e>
              <m:sub>
                <m:r>
                  <m:t>a</m:t>
                </m:r>
              </m:sub>
              <m:sup>
                <m:r>
                  <m:t>s</m:t>
                </m:r>
              </m:sup>
            </m:sSubSup>
            <m:r>
              <m:rPr>
                <m:sty m:val="p"/>
              </m:rPr>
              <m:t>∣</m:t>
            </m:r>
            <m:r>
              <m:t>k</m:t>
            </m:r>
            <m:r>
              <m:rPr>
                <m:sty m:val="p"/>
              </m:rPr>
              <m:t>,</m:t>
            </m:r>
            <m:r>
              <m:t>q</m:t>
            </m:r>
          </m:e>
        </m:d>
        <m:r>
          <m:rPr>
            <m:sty m:val="p"/>
          </m:rPr>
          <m:t>=</m:t>
        </m:r>
        <m:d>
          <m:dPr>
            <m:begChr m:val="("/>
            <m:sepChr m:val=""/>
            <m:endChr m:val=")"/>
            <m:grow/>
          </m:dPr>
          <m:e>
            <m:r>
              <m:t>1</m:t>
            </m:r>
            <m:r>
              <m:rPr>
                <m:sty m:val="p"/>
              </m:rPr>
              <m:t>−</m:t>
            </m:r>
            <m:sSup>
              <m:e>
                <m:r>
                  <m:t>ρ</m:t>
                </m:r>
              </m:e>
              <m:sup>
                <m:r>
                  <m:t>2</m:t>
                </m:r>
              </m:sup>
            </m:sSup>
          </m:e>
        </m:d>
        <m:sSubSup>
          <m:e>
            <m:r>
              <m:t>σ</m:t>
            </m:r>
          </m:e>
          <m:sub>
            <m:r>
              <m:t>k</m:t>
            </m:r>
          </m:sub>
          <m:sup>
            <m:r>
              <m:t>2</m:t>
            </m:r>
          </m:sup>
        </m:sSubSup>
        <m:r>
          <m:rPr>
            <m:sty m:val="p"/>
          </m:rPr>
          <m:t>+</m:t>
        </m:r>
        <m:sSubSup>
          <m:e>
            <m:r>
              <m:t>σ</m:t>
            </m:r>
          </m:e>
          <m:sub>
            <m:r>
              <m:rPr>
                <m:sty m:val="p"/>
              </m:rPr>
              <m:t>ln</m:t>
            </m:r>
            <m:r>
              <m:t>F</m:t>
            </m:r>
          </m:sub>
          <m:sup>
            <m:r>
              <m:t>2</m:t>
            </m:r>
          </m:sup>
        </m:sSubSup>
        <m:r>
          <m:rPr>
            <m:sty m:val="p"/>
          </m:rPr>
          <m:t>.</m:t>
        </m:r>
      </m:oMath>
      <w:r>
        <w:tab/>
      </w:r>
      <w:r>
        <w:t xml:space="preserve">(4.7)</w:t>
      </w:r>
      <w:bookmarkEnd w:id="82"/>
    </w:p>
    <w:p>
      <w:pPr>
        <w:pStyle w:val="BodyText"/>
      </w:pPr>
      <w:r>
        <w:t xml:space="preserve">The dependence between</w:t>
      </w:r>
      <w:r>
        <w:t xml:space="preserve"> </w:t>
      </w:r>
      <m:oMath>
        <m:sSubSup>
          <m:e>
            <m:r>
              <m:t>S</m:t>
            </m:r>
          </m:e>
          <m:sub>
            <m:r>
              <m:t>a</m:t>
            </m:r>
          </m:sub>
          <m:sup>
            <m:r>
              <m:t>o</m:t>
            </m:r>
          </m:sup>
        </m:sSubSup>
        <m:r>
          <m:rPr>
            <m:sty m:val="p"/>
          </m:rPr>
          <m:t>(</m:t>
        </m:r>
        <m:sSub>
          <m:e>
            <m:r>
              <m:t>T</m:t>
            </m:r>
          </m:e>
          <m:sub>
            <m:r>
              <m:t>n</m:t>
            </m:r>
          </m:sub>
        </m:sSub>
        <m:r>
          <m:rPr>
            <m:sty m:val="p"/>
          </m:rPr>
          <m:t>)</m:t>
        </m:r>
      </m:oMath>
      <w:r>
        <w:t xml:space="preserve"> </w:t>
      </w:r>
      <w:r>
        <w:t xml:space="preserve">and</w:t>
      </w:r>
      <w:r>
        <w:t xml:space="preserve"> </w:t>
      </w:r>
      <m:oMath>
        <m:r>
          <m:t>F</m:t>
        </m:r>
      </m:oMath>
      <w:r>
        <w:t xml:space="preserve"> </w:t>
      </w:r>
      <w:r>
        <w:t xml:space="preserve">is incorporated through the PGA of the same realization, which conditions the nonlinear term of ST20. Once the component</w:t>
      </w:r>
      <w:r>
        <w:t xml:space="preserve"> </w:t>
      </w:r>
      <m:oMath>
        <m:r>
          <m:t>k</m:t>
        </m:r>
      </m:oMath>
      <w:r>
        <w:t xml:space="preserve"> </w:t>
      </w:r>
      <w:r>
        <w:t xml:space="preserve">and that PGA are fixed, the model does not provide a parameter representing an additional residual correlation between the spectral ordinate and the amplification factor. The evaluation therefore adopts conditional independence between the two residuals, avoiding the introduction of an uncalibrated covariance. For the deterministic scenarios, the spectral demand at the reference condition is represented by the analytic mixture of</w:t>
      </w:r>
      <w:r>
        <w:t xml:space="preserve"> </w:t>
      </w:r>
      <w:hyperlink w:anchor="eq-scenario-mixture">
        <w:r>
          <w:rPr>
            <w:rStyle w:val="Hyperlink"/>
          </w:rPr>
          <w:t xml:space="preserve">3.23</w:t>
        </w:r>
      </w:hyperlink>
      <w:r>
        <w:t xml:space="preserve">. In each component</w:t>
      </w:r>
      <w:r>
        <w:t xml:space="preserve"> </w:t>
      </w:r>
      <m:oMath>
        <m:r>
          <m:t>k</m:t>
        </m:r>
      </m:oMath>
      <w:r>
        <w:t xml:space="preserve">,</w:t>
      </w:r>
      <w:r>
        <w:t xml:space="preserve"> </w:t>
      </w:r>
      <m:oMath>
        <m:r>
          <m:rPr>
            <m:sty m:val="p"/>
          </m:rPr>
          <m:t>(</m:t>
        </m:r>
        <m:sSub>
          <m:e>
            <m:r>
              <m:t>μ</m:t>
            </m:r>
          </m:e>
          <m:sub>
            <m:r>
              <m:t>P</m:t>
            </m:r>
            <m:r>
              <m:rPr>
                <m:sty m:val="p"/>
              </m:rPr>
              <m:t>,</m:t>
            </m:r>
            <m:r>
              <m:t>k</m:t>
            </m:r>
          </m:sub>
        </m:sSub>
        <m:r>
          <m:rPr>
            <m:sty m:val="p"/>
          </m:rPr>
          <m:t>,</m:t>
        </m:r>
        <m:sSub>
          <m:e>
            <m:r>
              <m:t>σ</m:t>
            </m:r>
          </m:e>
          <m:sub>
            <m:r>
              <m:t>P</m:t>
            </m:r>
            <m:r>
              <m:rPr>
                <m:sty m:val="p"/>
              </m:rPr>
              <m:t>,</m:t>
            </m:r>
            <m:r>
              <m:t>k</m:t>
            </m:r>
          </m:sub>
        </m:sSub>
        <m:r>
          <m:rPr>
            <m:sty m:val="p"/>
          </m:rPr>
          <m:t>)</m:t>
        </m:r>
      </m:oMath>
      <w:r>
        <w:t xml:space="preserve"> </w:t>
      </w:r>
      <w:r>
        <w:t xml:space="preserve">are the mean and standard deviation of</w:t>
      </w:r>
      <w:r>
        <w:t xml:space="preserve"> </w:t>
      </w:r>
      <m:oMath>
        <m:r>
          <m:rPr>
            <m:sty m:val="p"/>
          </m:rPr>
          <m:t>ln</m:t>
        </m:r>
        <m:sSup>
          <m:e>
            <m:r>
              <m:rPr>
                <m:sty m:val="p"/>
              </m:rPr>
              <m:t>P</m:t>
            </m:r>
            <m:r>
              <m:rPr>
                <m:sty m:val="p"/>
              </m:rPr>
              <m:t>G</m:t>
            </m:r>
            <m:r>
              <m:rPr>
                <m:sty m:val="p"/>
              </m:rPr>
              <m:t>A</m:t>
            </m:r>
          </m:e>
          <m:sup>
            <m:r>
              <m:t>o</m:t>
            </m:r>
          </m:sup>
        </m:sSup>
      </m:oMath>
      <w:r>
        <w:t xml:space="preserve">, while</w:t>
      </w:r>
      <w:r>
        <w:t xml:space="preserve"> </w:t>
      </w:r>
      <m:oMath>
        <m:r>
          <m:rPr>
            <m:sty m:val="p"/>
          </m:rPr>
          <m:t>(</m:t>
        </m:r>
        <m:sSub>
          <m:e>
            <m:r>
              <m:t>μ</m:t>
            </m:r>
          </m:e>
          <m:sub>
            <m:r>
              <m:t>k</m:t>
            </m:r>
          </m:sub>
        </m:sSub>
        <m:r>
          <m:rPr>
            <m:sty m:val="p"/>
          </m:rPr>
          <m:t>,</m:t>
        </m:r>
        <m:sSub>
          <m:e>
            <m:r>
              <m:t>σ</m:t>
            </m:r>
          </m:e>
          <m:sub>
            <m:r>
              <m:t>k</m:t>
            </m:r>
          </m:sub>
        </m:sSub>
        <m:r>
          <m:rPr>
            <m:sty m:val="p"/>
          </m:rPr>
          <m:t>)</m:t>
        </m:r>
      </m:oMath>
      <w:r>
        <w:t xml:space="preserve"> </w:t>
      </w:r>
      <w:r>
        <w:t xml:space="preserve">are the mean and standard deviation of</w:t>
      </w:r>
      <w:r>
        <w:t xml:space="preserve"> </w:t>
      </w:r>
      <m:oMath>
        <m:r>
          <m:rPr>
            <m:sty m:val="p"/>
          </m:rPr>
          <m:t>ln</m:t>
        </m:r>
        <m:sSubSup>
          <m:e>
            <m:r>
              <m:t>S</m:t>
            </m:r>
          </m:e>
          <m:sub>
            <m:r>
              <m:t>a</m:t>
            </m:r>
          </m:sub>
          <m:sup>
            <m:r>
              <m:t>o</m:t>
            </m:r>
          </m:sup>
        </m:sSubSup>
        <m:r>
          <m:rPr>
            <m:sty m:val="p"/>
          </m:rPr>
          <m:t>(</m:t>
        </m:r>
        <m:sSub>
          <m:e>
            <m:r>
              <m:t>T</m:t>
            </m:r>
          </m:e>
          <m:sub>
            <m:r>
              <m:t>n</m:t>
            </m:r>
          </m:sub>
        </m:sSub>
        <m:r>
          <m:rPr>
            <m:sty m:val="p"/>
          </m:rPr>
          <m:t>)</m:t>
        </m:r>
      </m:oMath>
      <w:r>
        <w:t xml:space="preserve">. Conditional on the component and on a realization</w:t>
      </w:r>
      <w:r>
        <w:t xml:space="preserve"> </w:t>
      </w:r>
      <m:oMath>
        <m:sSup>
          <m:e>
            <m:r>
              <m:rPr>
                <m:sty m:val="p"/>
              </m:rPr>
              <m:t>P</m:t>
            </m:r>
            <m:r>
              <m:rPr>
                <m:sty m:val="p"/>
              </m:rPr>
              <m:t>G</m:t>
            </m:r>
            <m:r>
              <m:rPr>
                <m:sty m:val="p"/>
              </m:rPr>
              <m:t>A</m:t>
            </m:r>
          </m:e>
          <m:sup>
            <m:r>
              <m:t>o</m:t>
            </m:r>
          </m:sup>
        </m:sSup>
        <m:r>
          <m:rPr>
            <m:sty m:val="p"/>
          </m:rPr>
          <m:t>=</m:t>
        </m:r>
        <m:r>
          <m:t>p</m:t>
        </m:r>
        <m:r>
          <m:t>g</m:t>
        </m:r>
        <m:sSup>
          <m:e>
            <m:r>
              <m:t>a</m:t>
            </m:r>
          </m:e>
          <m:sup>
            <m:r>
              <m:rPr>
                <m:sty m:val="p"/>
              </m:rPr>
              <m:t>*</m:t>
            </m:r>
          </m:sup>
        </m:sSup>
      </m:oMath>
      <w:r>
        <w:t xml:space="preserve">, with</w:t>
      </w:r>
      <w:r>
        <w:t xml:space="preserve"> </w:t>
      </w:r>
      <m:oMath>
        <m:r>
          <m:t>q</m:t>
        </m:r>
        <m:r>
          <m:rPr>
            <m:sty m:val="p"/>
          </m:rPr>
          <m:t>=</m:t>
        </m:r>
        <m:r>
          <m:rPr>
            <m:sty m:val="p"/>
          </m:rPr>
          <m:t>ln</m:t>
        </m:r>
        <m:r>
          <m:t>p</m:t>
        </m:r>
        <m:r>
          <m:t>g</m:t>
        </m:r>
        <m:sSup>
          <m:e>
            <m:r>
              <m:t>a</m:t>
            </m:r>
          </m:e>
          <m:sup>
            <m:r>
              <m:rPr>
                <m:sty m:val="p"/>
              </m:rPr>
              <m:t>*</m:t>
            </m:r>
          </m:sup>
        </m:sSup>
      </m:oMath>
      <w:r>
        <w:t xml:space="preserve">, and with</w:t>
      </w:r>
      <w:r>
        <w:t xml:space="preserve"> </w:t>
      </w:r>
      <m:oMath>
        <m:sSub>
          <m:e>
            <m:r>
              <m:t>μ</m:t>
            </m:r>
          </m:e>
          <m:sub>
            <m:r>
              <m:rPr>
                <m:sty m:val="p"/>
              </m:rPr>
              <m:t>ln</m:t>
            </m:r>
            <m:r>
              <m:t>F</m:t>
            </m:r>
          </m:sub>
        </m:sSub>
        <m:r>
          <m:rPr>
            <m:sty m:val="p"/>
          </m:rPr>
          <m:t>=</m:t>
        </m:r>
        <m:sSub>
          <m:e>
            <m:r>
              <m:t>μ</m:t>
            </m:r>
          </m:e>
          <m:sub>
            <m:r>
              <m:rPr>
                <m:sty m:val="p"/>
              </m:rPr>
              <m:t>ln</m:t>
            </m:r>
            <m:r>
              <m:t>F</m:t>
            </m:r>
          </m:sub>
        </m:sSub>
        <m:r>
          <m:rPr>
            <m:sty m:val="p"/>
          </m:rPr>
          <m:t>(</m:t>
        </m:r>
        <m:sSub>
          <m:e>
            <m:r>
              <m:t>T</m:t>
            </m:r>
          </m:e>
          <m:sub>
            <m:r>
              <m:t>n</m:t>
            </m:r>
          </m:sub>
        </m:sSub>
        <m:r>
          <m:rPr>
            <m:sty m:val="p"/>
          </m:rPr>
          <m:t>,</m:t>
        </m:r>
        <m:sSub>
          <m:e>
            <m:r>
              <m:t>V</m:t>
            </m:r>
          </m:e>
          <m:sub>
            <m:r>
              <m:t>S</m:t>
            </m:r>
            <m:r>
              <m:t>30</m:t>
            </m:r>
          </m:sub>
        </m:sSub>
        <m:r>
          <m:rPr>
            <m:sty m:val="p"/>
          </m:rPr>
          <m:t>,</m:t>
        </m:r>
        <m:sSup>
          <m:e>
            <m:r>
              <m:t>e</m:t>
            </m:r>
          </m:e>
          <m:sup>
            <m:r>
              <m:t>q</m:t>
            </m:r>
          </m:sup>
        </m:sSup>
        <m:r>
          <m:rPr>
            <m:sty m:val="p"/>
          </m:rPr>
          <m:t>)</m:t>
        </m:r>
      </m:oMath>
      <w:r>
        <w:t xml:space="preserve"> </w:t>
      </w:r>
      <w:r>
        <w:t xml:space="preserve">and</w:t>
      </w:r>
      <w:r>
        <w:t xml:space="preserve"> </w:t>
      </w:r>
      <m:oMath>
        <m:sSub>
          <m:e>
            <m:r>
              <m:t>σ</m:t>
            </m:r>
          </m:e>
          <m:sub>
            <m:r>
              <m:rPr>
                <m:sty m:val="p"/>
              </m:rPr>
              <m:t>ln</m:t>
            </m:r>
            <m:r>
              <m:t>F</m:t>
            </m:r>
          </m:sub>
        </m:sSub>
        <m:r>
          <m:rPr>
            <m:sty m:val="p"/>
          </m:rPr>
          <m:t>=</m:t>
        </m:r>
        <m:sSub>
          <m:e>
            <m:r>
              <m:t>σ</m:t>
            </m:r>
          </m:e>
          <m:sub>
            <m:r>
              <m:rPr>
                <m:sty m:val="p"/>
              </m:rPr>
              <m:t>ln</m:t>
            </m:r>
            <m:r>
              <m:t>F</m:t>
            </m:r>
          </m:sub>
        </m:sSub>
        <m:r>
          <m:rPr>
            <m:sty m:val="p"/>
          </m:rPr>
          <m:t>(</m:t>
        </m:r>
        <m:sSub>
          <m:e>
            <m:r>
              <m:t>T</m:t>
            </m:r>
          </m:e>
          <m:sub>
            <m:r>
              <m:t>n</m:t>
            </m:r>
          </m:sub>
        </m:sSub>
        <m:r>
          <m:rPr>
            <m:sty m:val="p"/>
          </m:rPr>
          <m:t>,</m:t>
        </m:r>
        <m:sSub>
          <m:e>
            <m:r>
              <m:t>V</m:t>
            </m:r>
          </m:e>
          <m:sub>
            <m:r>
              <m:t>S</m:t>
            </m:r>
            <m:r>
              <m:t>30</m:t>
            </m:r>
          </m:sub>
        </m:sSub>
        <m:r>
          <m:rPr>
            <m:sty m:val="p"/>
          </m:rPr>
          <m:t>,</m:t>
        </m:r>
        <m:sSup>
          <m:e>
            <m:r>
              <m:t>e</m:t>
            </m:r>
          </m:e>
          <m:sup>
            <m:r>
              <m:t>q</m:t>
            </m:r>
          </m:sup>
        </m:sSup>
        <m:r>
          <m:rPr>
            <m:sty m:val="p"/>
          </m:rPr>
          <m:t>)</m:t>
        </m:r>
      </m:oMath>
      <w:r>
        <w:t xml:space="preserve"> </w:t>
      </w:r>
      <w:r>
        <w:t xml:space="preserve">evaluated for the period, the site condition, and the conditioning PGA, the ordinate obtained with ST20 has the distribution</w:t>
      </w:r>
    </w:p>
    <w:p>
      <w:pPr>
        <w:pStyle w:val="Equation"/>
      </w:pPr>
      <w:bookmarkStart w:id="83" w:name="eq-site-conditional"/>
      <w:r>
        <w:tab/>
      </w:r>
      <m:oMath>
        <m:r>
          <m:rPr>
            <m:sty m:val="p"/>
          </m:rPr>
          <m:t>ln</m:t>
        </m:r>
        <m:sSubSup>
          <m:e>
            <m:r>
              <m:t>S</m:t>
            </m:r>
          </m:e>
          <m:sub>
            <m:r>
              <m:t>a</m:t>
            </m:r>
          </m:sub>
          <m:sup>
            <m:r>
              <m:t>s</m:t>
            </m:r>
          </m:sup>
        </m:sSubSup>
        <m:r>
          <m:rPr>
            <m:sty m:val="p"/>
          </m:rPr>
          <m:t>∣</m:t>
        </m:r>
        <m:r>
          <m:rPr>
            <m:sty m:val="p"/>
          </m:rPr>
          <m:t>(</m:t>
        </m:r>
        <m:r>
          <m:t>k</m:t>
        </m:r>
        <m:r>
          <m:rPr>
            <m:sty m:val="p"/>
          </m:rPr>
          <m:t>,</m:t>
        </m:r>
        <m:r>
          <m:t>q</m:t>
        </m:r>
        <m:r>
          <m:rPr>
            <m:sty m:val="p"/>
          </m:rPr>
          <m:t>)</m:t>
        </m:r>
        <m:r>
          <m:rPr>
            <m:sty m:val="p"/>
          </m:rPr>
          <m:t>∼</m:t>
        </m:r>
        <m:r>
          <m:rPr>
            <m:scr m:val="script"/>
            <m:sty m:val="p"/>
          </m:rPr>
          <m:t>N</m:t>
        </m:r>
        <m:r>
          <m:t>​</m:t>
        </m:r>
        <m:d>
          <m:dPr>
            <m:begChr m:val="("/>
            <m:sepChr m:val=""/>
            <m:endChr m:val=")"/>
            <m:grow/>
          </m:dPr>
          <m:e>
            <m:sSub>
              <m:e>
                <m:r>
                  <m:t>μ</m:t>
                </m:r>
              </m:e>
              <m:sub>
                <m:r>
                  <m:t>k</m:t>
                </m:r>
              </m:sub>
            </m:sSub>
            <m:r>
              <m:rPr>
                <m:sty m:val="p"/>
              </m:rPr>
              <m:t>(</m:t>
            </m:r>
            <m:r>
              <m:t>q</m:t>
            </m:r>
            <m:r>
              <m:rPr>
                <m:sty m:val="p"/>
              </m:rPr>
              <m:t>)</m:t>
            </m:r>
            <m:r>
              <m:rPr>
                <m:sty m:val="p"/>
              </m:rPr>
              <m:t>,</m:t>
            </m:r>
            <m:sSubSup>
              <m:e>
                <m:r>
                  <m:t>𝜍</m:t>
                </m:r>
              </m:e>
              <m:sub>
                <m:r>
                  <m:t>k</m:t>
                </m:r>
              </m:sub>
              <m:sup>
                <m:r>
                  <m:t>2</m:t>
                </m:r>
              </m:sup>
            </m:sSubSup>
            <m:r>
              <m:rPr>
                <m:sty m:val="p"/>
              </m:rPr>
              <m:t>(</m:t>
            </m:r>
            <m:r>
              <m:t>q</m:t>
            </m:r>
            <m:r>
              <m:rPr>
                <m:sty m:val="p"/>
              </m:rPr>
              <m:t>)</m:t>
            </m:r>
          </m:e>
        </m:d>
        <m:r>
          <m:rPr>
            <m:sty m:val="p"/>
          </m:rPr>
          <m:t>.</m:t>
        </m:r>
      </m:oMath>
      <w:r>
        <w:tab/>
      </w:r>
      <w:r>
        <w:t xml:space="preserve">(4.8)</w:t>
      </w:r>
      <w:bookmarkEnd w:id="83"/>
    </w:p>
    <w:p>
      <w:pPr>
        <w:pStyle w:val="BodyText"/>
      </w:pPr>
      <w:r>
        <w:t xml:space="preserve">Its conditional mean is the mean of the spectral ordinate conditioned on the PGA of the same realization, plus the mean log-amplification,</w:t>
      </w:r>
    </w:p>
    <w:p>
      <w:pPr>
        <w:pStyle w:val="Equation"/>
      </w:pPr>
      <w:bookmarkStart w:id="84" w:name="eq-site-conditional-mean"/>
      <w:r>
        <w:tab/>
      </w:r>
      <m:oMath>
        <m:sSub>
          <m:e>
            <m:r>
              <m:t>μ</m:t>
            </m:r>
          </m:e>
          <m:sub>
            <m:r>
              <m:t>k</m:t>
            </m:r>
          </m:sub>
        </m:sSub>
        <m:r>
          <m:rPr>
            <m:sty m:val="p"/>
          </m:rPr>
          <m:t>(</m:t>
        </m:r>
        <m:r>
          <m:t>q</m:t>
        </m:r>
        <m:r>
          <m:rPr>
            <m:sty m:val="p"/>
          </m:rPr>
          <m:t>)</m:t>
        </m:r>
        <m:r>
          <m:rPr>
            <m:sty m:val="p"/>
          </m:rPr>
          <m:t>=</m:t>
        </m:r>
        <m:sSub>
          <m:e>
            <m:r>
              <m:t>μ</m:t>
            </m:r>
          </m:e>
          <m:sub>
            <m:r>
              <m:t>k</m:t>
            </m:r>
          </m:sub>
        </m:sSub>
        <m:r>
          <m:rPr>
            <m:sty m:val="p"/>
          </m:rPr>
          <m:t>+</m:t>
        </m:r>
        <m:r>
          <m:t>ρ</m:t>
        </m:r>
        <m:f>
          <m:fPr>
            <m:type m:val="bar"/>
          </m:fPr>
          <m:num>
            <m:sSub>
              <m:e>
                <m:r>
                  <m:t>σ</m:t>
                </m:r>
              </m:e>
              <m:sub>
                <m:r>
                  <m:t>k</m:t>
                </m:r>
              </m:sub>
            </m:sSub>
          </m:num>
          <m:den>
            <m:sSub>
              <m:e>
                <m:r>
                  <m:t>σ</m:t>
                </m:r>
              </m:e>
              <m:sub>
                <m:r>
                  <m:t>P</m:t>
                </m:r>
                <m:r>
                  <m:rPr>
                    <m:sty m:val="p"/>
                  </m:rPr>
                  <m:t>,</m:t>
                </m:r>
                <m:r>
                  <m:t>k</m:t>
                </m:r>
              </m:sub>
            </m:sSub>
          </m:den>
        </m:f>
        <m:r>
          <m:rPr>
            <m:sty m:val="p"/>
          </m:rPr>
          <m:t>(</m:t>
        </m:r>
        <m:r>
          <m:t>q</m:t>
        </m:r>
        <m:r>
          <m:rPr>
            <m:sty m:val="p"/>
          </m:rPr>
          <m:t>−</m:t>
        </m:r>
        <m:sSub>
          <m:e>
            <m:r>
              <m:t>μ</m:t>
            </m:r>
          </m:e>
          <m:sub>
            <m:r>
              <m:t>P</m:t>
            </m:r>
            <m:r>
              <m:rPr>
                <m:sty m:val="p"/>
              </m:rPr>
              <m:t>,</m:t>
            </m:r>
            <m:r>
              <m:t>k</m:t>
            </m:r>
          </m:sub>
        </m:sSub>
        <m:r>
          <m:rPr>
            <m:sty m:val="p"/>
          </m:rPr>
          <m:t>)</m:t>
        </m:r>
        <m:r>
          <m:rPr>
            <m:sty m:val="p"/>
          </m:rPr>
          <m:t>+</m:t>
        </m:r>
        <m:sSub>
          <m:e>
            <m:r>
              <m:t>μ</m:t>
            </m:r>
          </m:e>
          <m:sub>
            <m:r>
              <m:rPr>
                <m:sty m:val="p"/>
              </m:rPr>
              <m:t>ln</m:t>
            </m:r>
            <m:r>
              <m:t>F</m:t>
            </m:r>
          </m:sub>
        </m:sSub>
        <m:r>
          <m:rPr>
            <m:sty m:val="p"/>
          </m:rPr>
          <m:t>.</m:t>
        </m:r>
      </m:oMath>
      <w:r>
        <w:tab/>
      </w:r>
      <w:r>
        <w:t xml:space="preserve">(4.9)</w:t>
      </w:r>
      <w:bookmarkEnd w:id="84"/>
    </w:p>
    <w:p>
      <w:pPr>
        <w:pStyle w:val="BodyText"/>
      </w:pPr>
      <w:r>
        <w:t xml:space="preserve">and its conditional variance adds the variance of the log-amplification factor to the part of the spectral variance that the conditioning PGA does not explain, under the conditional independence adopted above:</w:t>
      </w:r>
    </w:p>
    <w:p>
      <w:pPr>
        <w:pStyle w:val="Equation"/>
      </w:pPr>
      <w:bookmarkStart w:id="85" w:name="eq-site-conditional-variance"/>
      <w:r>
        <w:tab/>
      </w:r>
      <m:oMath>
        <m:sSubSup>
          <m:e>
            <m:r>
              <m:t>𝜍</m:t>
            </m:r>
          </m:e>
          <m:sub>
            <m:r>
              <m:t>k</m:t>
            </m:r>
          </m:sub>
          <m:sup>
            <m:r>
              <m:t>2</m:t>
            </m:r>
          </m:sup>
        </m:sSubSup>
        <m:r>
          <m:rPr>
            <m:sty m:val="p"/>
          </m:rPr>
          <m:t>(</m:t>
        </m:r>
        <m:r>
          <m:t>q</m:t>
        </m:r>
        <m:r>
          <m:rPr>
            <m:sty m:val="p"/>
          </m:rPr>
          <m:t>)</m:t>
        </m:r>
        <m:r>
          <m:rPr>
            <m:sty m:val="p"/>
          </m:rPr>
          <m:t>=</m:t>
        </m:r>
        <m:d>
          <m:dPr>
            <m:begChr m:val="("/>
            <m:sepChr m:val=""/>
            <m:endChr m:val=")"/>
            <m:grow/>
          </m:dPr>
          <m:e>
            <m:r>
              <m:t>1</m:t>
            </m:r>
            <m:r>
              <m:rPr>
                <m:sty m:val="p"/>
              </m:rPr>
              <m:t>−</m:t>
            </m:r>
            <m:sSup>
              <m:e>
                <m:r>
                  <m:t>ρ</m:t>
                </m:r>
              </m:e>
              <m:sup>
                <m:r>
                  <m:t>2</m:t>
                </m:r>
              </m:sup>
            </m:sSup>
          </m:e>
        </m:d>
        <m:sSubSup>
          <m:e>
            <m:r>
              <m:t>σ</m:t>
            </m:r>
          </m:e>
          <m:sub>
            <m:r>
              <m:t>k</m:t>
            </m:r>
          </m:sub>
          <m:sup>
            <m:r>
              <m:t>2</m:t>
            </m:r>
          </m:sup>
        </m:sSubSup>
        <m:r>
          <m:rPr>
            <m:sty m:val="p"/>
          </m:rPr>
          <m:t>+</m:t>
        </m:r>
        <m:sSubSup>
          <m:e>
            <m:r>
              <m:t>σ</m:t>
            </m:r>
          </m:e>
          <m:sub>
            <m:r>
              <m:rPr>
                <m:sty m:val="p"/>
              </m:rPr>
              <m:t>ln</m:t>
            </m:r>
            <m:r>
              <m:t>F</m:t>
            </m:r>
          </m:sub>
          <m:sup>
            <m:r>
              <m:t>2</m:t>
            </m:r>
          </m:sup>
        </m:sSubSup>
        <m:r>
          <m:rPr>
            <m:sty m:val="p"/>
          </m:rPr>
          <m:t>.</m:t>
        </m:r>
      </m:oMath>
      <w:r>
        <w:tab/>
      </w:r>
      <w:r>
        <w:t xml:space="preserve">(4.10)</w:t>
      </w:r>
      <w:bookmarkEnd w:id="85"/>
    </w:p>
    <w:p>
      <w:pPr>
        <w:pStyle w:val="BodyText"/>
      </w:pPr>
      <w:r>
        <w:t xml:space="preserve">The cumulative distribution function of</w:t>
      </w:r>
      <w:r>
        <w:t xml:space="preserve"> </w:t>
      </w:r>
      <m:oMath>
        <m:sSubSup>
          <m:e>
            <m:r>
              <m:t>S</m:t>
            </m:r>
          </m:e>
          <m:sub>
            <m:r>
              <m:t>a</m:t>
            </m:r>
          </m:sub>
          <m:sup>
            <m:r>
              <m:t>s</m:t>
            </m:r>
          </m:sup>
        </m:sSubSup>
      </m:oMath>
      <w:r>
        <w:t xml:space="preserve"> </w:t>
      </w:r>
      <w:r>
        <w:t xml:space="preserve">is obtained by integrating its conditional distribution with respect to</w:t>
      </w:r>
      <w:r>
        <w:t xml:space="preserve"> </w:t>
      </w:r>
      <m:oMath>
        <m:r>
          <m:t>q</m:t>
        </m:r>
        <m:r>
          <m:rPr>
            <m:sty m:val="p"/>
          </m:rPr>
          <m:t>=</m:t>
        </m:r>
        <m:r>
          <m:rPr>
            <m:sty m:val="p"/>
          </m:rPr>
          <m:t>ln</m:t>
        </m:r>
        <m:r>
          <m:t>p</m:t>
        </m:r>
        <m:r>
          <m:t>g</m:t>
        </m:r>
        <m:sSup>
          <m:e>
            <m:r>
              <m:t>a</m:t>
            </m:r>
          </m:e>
          <m:sup>
            <m:r>
              <m:rPr>
                <m:sty m:val="p"/>
              </m:rPr>
              <m:t>*</m:t>
            </m:r>
          </m:sup>
        </m:sSup>
      </m:oMath>
      <w:r>
        <w:t xml:space="preserve"> </w:t>
      </w:r>
      <w:r>
        <w:t xml:space="preserve">in each component, where</w:t>
      </w:r>
      <w:r>
        <w:t xml:space="preserve"> </w:t>
      </w:r>
      <m:oMath>
        <m:r>
          <m:t>y</m:t>
        </m:r>
        <m:r>
          <m:rPr>
            <m:sty m:val="p"/>
          </m:rPr>
          <m:t>&gt;</m:t>
        </m:r>
        <m:r>
          <m:t>0</m:t>
        </m:r>
      </m:oMath>
      <w:r>
        <w:t xml:space="preserve"> </w:t>
      </w:r>
      <w:r>
        <w:t xml:space="preserve">is a spectral-acceleration value in the same units as</w:t>
      </w:r>
      <w:r>
        <w:t xml:space="preserve"> </w:t>
      </w:r>
      <m:oMath>
        <m:sSubSup>
          <m:e>
            <m:r>
              <m:t>S</m:t>
            </m:r>
          </m:e>
          <m:sub>
            <m:r>
              <m:t>a</m:t>
            </m:r>
          </m:sub>
          <m:sup>
            <m:r>
              <m:t>s</m:t>
            </m:r>
          </m:sup>
        </m:sSubSup>
      </m:oMath>
      <w:r>
        <w:t xml:space="preserve">,</w:t>
      </w:r>
      <w:r>
        <w:t xml:space="preserve"> </w:t>
      </w:r>
      <m:oMath>
        <m:sSub>
          <m:e>
            <m:r>
              <m:t>w</m:t>
            </m:r>
          </m:e>
          <m:sub>
            <m:r>
              <m:t>k</m:t>
            </m:r>
          </m:sub>
        </m:sSub>
      </m:oMath>
      <w:r>
        <w:t xml:space="preserve"> </w:t>
      </w:r>
      <w:r>
        <w:t xml:space="preserve">is the component weight,</w:t>
      </w:r>
      <w:r>
        <w:t xml:space="preserve"> </w:t>
      </w:r>
      <m:oMath>
        <m:sSub>
          <m:e>
            <m:r>
              <m:t>μ</m:t>
            </m:r>
          </m:e>
          <m:sub>
            <m:r>
              <m:t>k</m:t>
            </m:r>
          </m:sub>
        </m:sSub>
        <m:r>
          <m:rPr>
            <m:sty m:val="p"/>
          </m:rPr>
          <m:t>(</m:t>
        </m:r>
        <m:r>
          <m:t>q</m:t>
        </m:r>
        <m:r>
          <m:rPr>
            <m:sty m:val="p"/>
          </m:rPr>
          <m:t>)</m:t>
        </m:r>
      </m:oMath>
      <w:r>
        <w:t xml:space="preserve"> </w:t>
      </w:r>
      <w:r>
        <w:t xml:space="preserve">and</w:t>
      </w:r>
      <w:r>
        <w:t xml:space="preserve"> </w:t>
      </w:r>
      <m:oMath>
        <m:sSub>
          <m:e>
            <m:r>
              <m:t>𝜍</m:t>
            </m:r>
          </m:e>
          <m:sub>
            <m:r>
              <m:t>k</m:t>
            </m:r>
          </m:sub>
        </m:sSub>
        <m:r>
          <m:rPr>
            <m:sty m:val="p"/>
          </m:rPr>
          <m:t>(</m:t>
        </m:r>
        <m:r>
          <m:t>q</m:t>
        </m:r>
        <m:r>
          <m:rPr>
            <m:sty m:val="p"/>
          </m:rPr>
          <m:t>)</m:t>
        </m:r>
      </m:oMath>
      <w:r>
        <w:t xml:space="preserve"> </w:t>
      </w:r>
      <w:r>
        <w:t xml:space="preserve">are, respectively, the conditional mean and standard deviation of</w:t>
      </w:r>
      <w:r>
        <w:t xml:space="preserve"> </w:t>
      </w:r>
      <m:oMath>
        <m:r>
          <m:rPr>
            <m:sty m:val="p"/>
          </m:rPr>
          <m:t>ln</m:t>
        </m:r>
        <m:sSubSup>
          <m:e>
            <m:r>
              <m:t>S</m:t>
            </m:r>
          </m:e>
          <m:sub>
            <m:r>
              <m:t>a</m:t>
            </m:r>
          </m:sub>
          <m:sup>
            <m:r>
              <m:t>s</m:t>
            </m:r>
          </m:sup>
        </m:sSubSup>
      </m:oMath>
      <w:r>
        <w:t xml:space="preserve"> </w:t>
      </w:r>
      <w:r>
        <w:t xml:space="preserve">defined in</w:t>
      </w:r>
      <w:r>
        <w:t xml:space="preserve"> </w:t>
      </w:r>
      <w:hyperlink w:anchor="eq-site-conditional-mean">
        <w:r>
          <w:rPr>
            <w:rStyle w:val="Hyperlink"/>
          </w:rPr>
          <w:t xml:space="preserve">4.9</w:t>
        </w:r>
      </w:hyperlink>
      <w:r>
        <w:t xml:space="preserve"> </w:t>
      </w:r>
      <w:r>
        <w:t xml:space="preserve">and</w:t>
      </w:r>
      <w:r>
        <w:t xml:space="preserve"> </w:t>
      </w:r>
      <w:hyperlink w:anchor="eq-site-conditional-variance">
        <w:r>
          <w:rPr>
            <w:rStyle w:val="Hyperlink"/>
          </w:rPr>
          <w:t xml:space="preserve">4.10</w:t>
        </w:r>
      </w:hyperlink>
      <w:r>
        <w:t xml:space="preserve">, and</w:t>
      </w:r>
      <w:r>
        <w:t xml:space="preserve"> </w:t>
      </w:r>
      <m:oMath>
        <m:r>
          <m:rPr>
            <m:sty m:val="p"/>
          </m:rPr>
          <m:t>Φ</m:t>
        </m:r>
      </m:oMath>
      <w:r>
        <w:t xml:space="preserve"> </w:t>
      </w:r>
      <w:r>
        <w:t xml:space="preserve">and</w:t>
      </w:r>
      <w:r>
        <w:t xml:space="preserve"> </w:t>
      </w:r>
      <m:oMath>
        <m:r>
          <m:t>φ</m:t>
        </m:r>
      </m:oMath>
      <w:r>
        <w:t xml:space="preserve"> </w:t>
      </w:r>
      <w:r>
        <w:t xml:space="preserve">are the standard-normal cumulative distribution function and density:</w:t>
      </w:r>
    </w:p>
    <w:p>
      <w:pPr>
        <w:pStyle w:val="Equation"/>
      </w:pPr>
      <w:bookmarkStart w:id="86" w:name="eq-site-mixture"/>
      <w:r>
        <w:tab/>
      </w:r>
      <m:oMath>
        <m:sSup>
          <m:e>
            <m:r>
              <m:t>G</m:t>
            </m:r>
          </m:e>
          <m:sup>
            <m:r>
              <m:t>s</m:t>
            </m:r>
          </m:sup>
        </m:sSup>
        <m:r>
          <m:rPr>
            <m:sty m:val="p"/>
          </m:rPr>
          <m:t>(</m:t>
        </m:r>
        <m:r>
          <m:t>y</m:t>
        </m:r>
        <m:r>
          <m:rPr>
            <m:sty m:val="p"/>
          </m:rPr>
          <m:t>)</m:t>
        </m:r>
        <m:r>
          <m:rPr>
            <m:sty m:val="p"/>
          </m:rPr>
          <m:t>=</m:t>
        </m:r>
        <m:r>
          <m:t>P</m:t>
        </m:r>
        <m:r>
          <m:t>​</m:t>
        </m:r>
        <m:d>
          <m:dPr>
            <m:begChr m:val="["/>
            <m:sepChr m:val=""/>
            <m:endChr m:val="]"/>
            <m:grow/>
          </m:dPr>
          <m:e>
            <m:sSubSup>
              <m:e>
                <m:r>
                  <m:t>S</m:t>
                </m:r>
              </m:e>
              <m:sub>
                <m:r>
                  <m:t>a</m:t>
                </m:r>
              </m:sub>
              <m:sup>
                <m:r>
                  <m:t>s</m:t>
                </m:r>
              </m:sup>
            </m:sSubSup>
            <m:r>
              <m:rPr>
                <m:sty m:val="p"/>
              </m:rPr>
              <m:t>≤</m:t>
            </m:r>
            <m:r>
              <m:t>y</m:t>
            </m:r>
          </m:e>
        </m:d>
        <m:r>
          <m:rPr>
            <m:sty m:val="p"/>
          </m:rPr>
          <m:t>=</m:t>
        </m:r>
        <m:nary>
          <m:naryPr>
            <m:chr m:val="∑"/>
            <m:limLoc m:val="undOvr"/>
            <m:subHide m:val="off"/>
            <m:supHide m:val="on"/>
          </m:naryPr>
          <m:sub>
            <m:r>
              <m:t>k</m:t>
            </m:r>
          </m:sub>
          <m:sup>
            <m:r>
              <m:t>​</m:t>
            </m:r>
          </m:sup>
          <m:e>
            <m:sSub>
              <m:e>
                <m:r>
                  <m:t>w</m:t>
                </m:r>
              </m:e>
              <m:sub>
                <m:r>
                  <m:t>k</m:t>
                </m:r>
              </m:sub>
            </m:sSub>
          </m:e>
        </m:nary>
        <m:nary>
          <m:naryPr>
            <m:chr m:val="∫"/>
            <m:limLoc m:val="subSup"/>
            <m:subHide m:val="off"/>
            <m:supHide m:val="off"/>
          </m:naryPr>
          <m:sub>
            <m:r>
              <m:rPr>
                <m:sty m:val="p"/>
              </m:rPr>
              <m:t>−</m:t>
            </m:r>
            <m:r>
              <m:rPr>
                <m:sty m:val="p"/>
              </m:rPr>
              <m:t>∞</m:t>
            </m:r>
          </m:sub>
          <m:sup>
            <m:r>
              <m:rPr>
                <m:sty m:val="p"/>
              </m:rPr>
              <m:t>∞</m:t>
            </m:r>
          </m:sup>
          <m:e>
            <m:r>
              <m:rPr>
                <m:sty m:val="p"/>
              </m:rPr>
              <m:t>Φ</m:t>
            </m:r>
          </m:e>
        </m:nary>
        <m:r>
          <m:t>​</m:t>
        </m:r>
        <m:d>
          <m:dPr>
            <m:begChr m:val="("/>
            <m:sepChr m:val=""/>
            <m:endChr m:val=")"/>
            <m:grow/>
          </m:dPr>
          <m:e>
            <m:f>
              <m:fPr>
                <m:type m:val="bar"/>
              </m:fPr>
              <m:num>
                <m:r>
                  <m:rPr>
                    <m:sty m:val="p"/>
                  </m:rPr>
                  <m:t>ln</m:t>
                </m:r>
                <m:r>
                  <m:t>y</m:t>
                </m:r>
                <m:r>
                  <m:rPr>
                    <m:sty m:val="p"/>
                  </m:rPr>
                  <m:t>−</m:t>
                </m:r>
                <m:sSub>
                  <m:e>
                    <m:r>
                      <m:t>μ</m:t>
                    </m:r>
                  </m:e>
                  <m:sub>
                    <m:r>
                      <m:t>k</m:t>
                    </m:r>
                  </m:sub>
                </m:sSub>
                <m:r>
                  <m:rPr>
                    <m:sty m:val="p"/>
                  </m:rPr>
                  <m:t>(</m:t>
                </m:r>
                <m:r>
                  <m:t>q</m:t>
                </m:r>
                <m:r>
                  <m:rPr>
                    <m:sty m:val="p"/>
                  </m:rPr>
                  <m:t>)</m:t>
                </m:r>
              </m:num>
              <m:den>
                <m:sSub>
                  <m:e>
                    <m:r>
                      <m:t>𝜍</m:t>
                    </m:r>
                  </m:e>
                  <m:sub>
                    <m:r>
                      <m:t>k</m:t>
                    </m:r>
                  </m:sub>
                </m:sSub>
                <m:r>
                  <m:rPr>
                    <m:sty m:val="p"/>
                  </m:rPr>
                  <m:t>(</m:t>
                </m:r>
                <m:r>
                  <m:t>q</m:t>
                </m:r>
                <m:r>
                  <m:rPr>
                    <m:sty m:val="p"/>
                  </m:rPr>
                  <m:t>)</m:t>
                </m:r>
              </m:den>
            </m:f>
          </m:e>
        </m:d>
        <m:r>
          <m:t>φ</m:t>
        </m:r>
        <m:r>
          <m:t>​</m:t>
        </m:r>
        <m:d>
          <m:dPr>
            <m:begChr m:val="("/>
            <m:sepChr m:val=""/>
            <m:endChr m:val=")"/>
            <m:grow/>
          </m:dPr>
          <m:e>
            <m:f>
              <m:fPr>
                <m:type m:val="bar"/>
              </m:fPr>
              <m:num>
                <m:r>
                  <m:t>q</m:t>
                </m:r>
                <m:r>
                  <m:rPr>
                    <m:sty m:val="p"/>
                  </m:rPr>
                  <m:t>−</m:t>
                </m:r>
                <m:sSub>
                  <m:e>
                    <m:r>
                      <m:t>μ</m:t>
                    </m:r>
                  </m:e>
                  <m:sub>
                    <m:r>
                      <m:t>P</m:t>
                    </m:r>
                    <m:r>
                      <m:rPr>
                        <m:sty m:val="p"/>
                      </m:rPr>
                      <m:t>,</m:t>
                    </m:r>
                    <m:r>
                      <m:t>k</m:t>
                    </m:r>
                  </m:sub>
                </m:sSub>
              </m:num>
              <m:den>
                <m:sSub>
                  <m:e>
                    <m:r>
                      <m:t>σ</m:t>
                    </m:r>
                  </m:e>
                  <m:sub>
                    <m:r>
                      <m:t>P</m:t>
                    </m:r>
                    <m:r>
                      <m:rPr>
                        <m:sty m:val="p"/>
                      </m:rPr>
                      <m:t>,</m:t>
                    </m:r>
                    <m:r>
                      <m:t>k</m:t>
                    </m:r>
                  </m:sub>
                </m:sSub>
              </m:den>
            </m:f>
          </m:e>
        </m:d>
        <m:f>
          <m:fPr>
            <m:type m:val="bar"/>
          </m:fPr>
          <m:num>
            <m:r>
              <m:rPr>
                <m:sty m:val="p"/>
              </m:rPr>
              <m:t>d</m:t>
            </m:r>
            <m:r>
              <m:t>q</m:t>
            </m:r>
          </m:num>
          <m:den>
            <m:sSub>
              <m:e>
                <m:r>
                  <m:t>σ</m:t>
                </m:r>
              </m:e>
              <m:sub>
                <m:r>
                  <m:t>P</m:t>
                </m:r>
                <m:r>
                  <m:rPr>
                    <m:sty m:val="p"/>
                  </m:rPr>
                  <m:t>,</m:t>
                </m:r>
                <m:r>
                  <m:t>k</m:t>
                </m:r>
              </m:sub>
            </m:sSub>
          </m:den>
        </m:f>
        <m:r>
          <m:rPr>
            <m:sty m:val="p"/>
          </m:rPr>
          <m:t>.</m:t>
        </m:r>
      </m:oMath>
      <w:r>
        <w:tab/>
      </w:r>
      <w:r>
        <w:t xml:space="preserve">(4.11)</w:t>
      </w:r>
      <w:bookmarkEnd w:id="86"/>
    </w:p>
    <w:p>
      <w:pPr>
        <w:pStyle w:val="BodyText"/>
      </w:pPr>
      <w:r>
        <w:t xml:space="preserve">The quantiles of</w:t>
      </w:r>
      <w:r>
        <w:t xml:space="preserve"> </w:t>
      </w:r>
      <m:oMath>
        <m:sSup>
          <m:e>
            <m:r>
              <m:t>G</m:t>
            </m:r>
          </m:e>
          <m:sup>
            <m:r>
              <m:t>s</m:t>
            </m:r>
          </m:sup>
        </m:sSup>
      </m:oMath>
      <w:r>
        <w:t xml:space="preserve"> </w:t>
      </w:r>
      <w:r>
        <w:t xml:space="preserve">define the deterministic fractiles of</w:t>
      </w:r>
      <w:r>
        <w:t xml:space="preserve"> </w:t>
      </w:r>
      <m:oMath>
        <m:sSubSup>
          <m:e>
            <m:r>
              <m:t>S</m:t>
            </m:r>
          </m:e>
          <m:sub>
            <m:r>
              <m:t>a</m:t>
            </m:r>
          </m:sub>
          <m:sup>
            <m:r>
              <m:t>s</m:t>
            </m:r>
          </m:sup>
        </m:sSubSup>
      </m:oMath>
      <w:r>
        <w:t xml:space="preserve">, and its mean is evaluated with the corresponding conditional moments of</w:t>
      </w:r>
      <w:r>
        <w:t xml:space="preserve"> </w:t>
      </w:r>
      <w:hyperlink w:anchor="eq-scenario-mean">
        <w:r>
          <w:rPr>
            <w:rStyle w:val="Hyperlink"/>
          </w:rPr>
          <w:t xml:space="preserve">3.25</w:t>
        </w:r>
      </w:hyperlink>
      <w:r>
        <w:t xml:space="preserve">. In the probabilistic assessment, the surface spectral demand is characterized, for each period</w:t>
      </w:r>
      <w:r>
        <w:t xml:space="preserve"> </w:t>
      </w:r>
      <m:oMath>
        <m:sSub>
          <m:e>
            <m:r>
              <m:t>T</m:t>
            </m:r>
          </m:e>
          <m:sub>
            <m:r>
              <m:t>n</m:t>
            </m:r>
          </m:sub>
        </m:sSub>
      </m:oMath>
      <w:r>
        <w:t xml:space="preserve">, return period</w:t>
      </w:r>
      <w:r>
        <w:t xml:space="preserve"> </w:t>
      </w:r>
      <m:oMath>
        <m:sSub>
          <m:e>
            <m:r>
              <m:t>T</m:t>
            </m:r>
          </m:e>
          <m:sub>
            <m:r>
              <m:t>R</m:t>
            </m:r>
          </m:sub>
        </m:sSub>
      </m:oMath>
      <w:r>
        <w:t xml:space="preserve">, and</w:t>
      </w:r>
      <w:r>
        <w:t xml:space="preserve"> </w:t>
      </w:r>
      <m:oMath>
        <m:sSub>
          <m:e>
            <m:r>
              <m:t>V</m:t>
            </m:r>
          </m:e>
          <m:sub>
            <m:r>
              <m:t>S</m:t>
            </m:r>
            <m:r>
              <m:t>30</m:t>
            </m:r>
          </m:sub>
        </m:sSub>
      </m:oMath>
      <w:r>
        <w:t xml:space="preserve"> </w:t>
      </w:r>
      <w:r>
        <w:t xml:space="preserve">condition, by two probability distributions. The first corresponds to the site response that the ground-motion models (GMMs) evaluate directly for that</w:t>
      </w:r>
      <w:r>
        <w:t xml:space="preserve"> </w:t>
      </w:r>
      <m:oMath>
        <m:sSub>
          <m:e>
            <m:r>
              <m:t>V</m:t>
            </m:r>
          </m:e>
          <m:sub>
            <m:r>
              <m:t>S</m:t>
            </m:r>
            <m:r>
              <m:t>30</m:t>
            </m:r>
          </m:sub>
        </m:sSub>
      </m:oMath>
      <w:r>
        <w:t xml:space="preserve"> </w:t>
      </w:r>
      <w:r>
        <w:t xml:space="preserve">value, represented by the lognormal surrogate of</w:t>
      </w:r>
      <w:r>
        <w:t xml:space="preserve"> </w:t>
      </w:r>
      <w:hyperlink w:anchor="eq-site-oq-surrogate">
        <w:r>
          <w:rPr>
            <w:rStyle w:val="Hyperlink"/>
          </w:rPr>
          <w:t xml:space="preserve">4.3</w:t>
        </w:r>
      </w:hyperlink>
      <w:r>
        <w:t xml:space="preserve">; the second results from applying ST20 to the demand calculated at the reference condition</w:t>
      </w:r>
      <w:r>
        <w:t xml:space="preserve"> </w:t>
      </w:r>
      <m:oMath>
        <m:sSub>
          <m:e>
            <m:r>
              <m:t>V</m:t>
            </m:r>
          </m:e>
          <m:sub>
            <m:r>
              <m:rPr>
                <m:sty m:val="p"/>
              </m:rPr>
              <m:t>r</m:t>
            </m:r>
            <m:r>
              <m:rPr>
                <m:sty m:val="p"/>
              </m:rPr>
              <m:t>e</m:t>
            </m:r>
            <m:r>
              <m:rPr>
                <m:sty m:val="p"/>
              </m:rPr>
              <m:t>f</m:t>
            </m:r>
          </m:sub>
        </m:sSub>
        <m:r>
          <m:rPr>
            <m:sty m:val="p"/>
          </m:rPr>
          <m:t>=</m:t>
        </m:r>
        <m:r>
          <m:t>760</m:t>
        </m:r>
        <m:r>
          <m:t> </m:t>
        </m:r>
        <m:r>
          <m:rPr>
            <m:sty m:val="p"/>
          </m:rPr>
          <m:t>m</m:t>
        </m:r>
        <m:r>
          <m:rPr>
            <m:sty m:val="p"/>
          </m:rPr>
          <m:t>/</m:t>
        </m:r>
        <m:r>
          <m:rPr>
            <m:sty m:val="p"/>
          </m:rPr>
          <m:t>s</m:t>
        </m:r>
      </m:oMath>
      <w:r>
        <w:t xml:space="preserve">. The random variables</w:t>
      </w:r>
      <w:r>
        <w:t xml:space="preserve"> </w:t>
      </w:r>
      <m:oMath>
        <m:sSubSup>
          <m:e>
            <m:r>
              <m:t>S</m:t>
            </m:r>
          </m:e>
          <m:sub>
            <m:r>
              <m:t>a</m:t>
            </m:r>
          </m:sub>
          <m:sup>
            <m:r>
              <m:t>o</m:t>
            </m:r>
          </m:sup>
        </m:sSubSup>
      </m:oMath>
      <w:r>
        <w:t xml:space="preserve"> </w:t>
      </w:r>
      <w:r>
        <w:t xml:space="preserve">and</w:t>
      </w:r>
      <w:r>
        <w:t xml:space="preserve"> </w:t>
      </w:r>
      <m:oMath>
        <m:sSubSup>
          <m:e>
            <m:r>
              <m:t>S</m:t>
            </m:r>
          </m:e>
          <m:sub>
            <m:r>
              <m:t>a</m:t>
            </m:r>
          </m:sub>
          <m:sup>
            <m:r>
              <m:t>s</m:t>
            </m:r>
          </m:sup>
        </m:sSubSup>
      </m:oMath>
      <w:r>
        <w:t xml:space="preserve"> </w:t>
      </w:r>
      <w:r>
        <w:t xml:space="preserve">represent the resulting spectral accelerations, and</w:t>
      </w:r>
      <w:r>
        <w:t xml:space="preserve"> </w:t>
      </w:r>
      <m:oMath>
        <m:sSup>
          <m:e>
            <m:r>
              <m:t>G</m:t>
            </m:r>
          </m:e>
          <m:sup>
            <m:r>
              <m:t>o</m:t>
            </m:r>
          </m:sup>
        </m:sSup>
        <m:r>
          <m:rPr>
            <m:sty m:val="p"/>
          </m:rPr>
          <m:t>(</m:t>
        </m:r>
        <m:r>
          <m:t>y</m:t>
        </m:r>
        <m:r>
          <m:rPr>
            <m:sty m:val="p"/>
          </m:rPr>
          <m:t>)</m:t>
        </m:r>
      </m:oMath>
      <w:r>
        <w:t xml:space="preserve"> </w:t>
      </w:r>
      <w:r>
        <w:t xml:space="preserve">and</w:t>
      </w:r>
      <w:r>
        <w:t xml:space="preserve"> </w:t>
      </w:r>
      <m:oMath>
        <m:sSup>
          <m:e>
            <m:r>
              <m:t>G</m:t>
            </m:r>
          </m:e>
          <m:sup>
            <m:r>
              <m:t>s</m:t>
            </m:r>
          </m:sup>
        </m:sSup>
        <m:r>
          <m:rPr>
            <m:sty m:val="p"/>
          </m:rPr>
          <m:t>(</m:t>
        </m:r>
        <m:r>
          <m:t>y</m:t>
        </m:r>
        <m:r>
          <m:rPr>
            <m:sty m:val="p"/>
          </m:rPr>
          <m:t>)</m:t>
        </m:r>
      </m:oMath>
      <w:r>
        <w:t xml:space="preserve"> </w:t>
      </w:r>
      <w:r>
        <w:t xml:space="preserve">their respective cumulative distribution functions. The cumulative distribution function of the resulting random variable,</w:t>
      </w:r>
      <w:r>
        <w:t xml:space="preserve"> </w:t>
      </w:r>
      <m:oMath>
        <m:sSub>
          <m:e>
            <m:r>
              <m:t>S</m:t>
            </m:r>
          </m:e>
          <m:sub>
            <m:r>
              <m:t>a</m:t>
            </m:r>
          </m:sub>
        </m:sSub>
      </m:oMath>
      <w:r>
        <w:t xml:space="preserve">, is</w:t>
      </w:r>
    </w:p>
    <w:p>
      <w:pPr>
        <w:pStyle w:val="Equation"/>
      </w:pPr>
      <w:bookmarkStart w:id="87" w:name="eq-site-branch-mixture"/>
      <w:r>
        <w:tab/>
      </w:r>
      <m:oMath>
        <m:r>
          <m:t>G</m:t>
        </m:r>
        <m:r>
          <m:rPr>
            <m:sty m:val="p"/>
          </m:rPr>
          <m:t>(</m:t>
        </m:r>
        <m:r>
          <m:t>y</m:t>
        </m:r>
        <m:r>
          <m:rPr>
            <m:sty m:val="p"/>
          </m:rPr>
          <m:t>)</m:t>
        </m:r>
        <m:r>
          <m:rPr>
            <m:sty m:val="p"/>
          </m:rPr>
          <m:t>=</m:t>
        </m:r>
        <m:r>
          <m:t>P</m:t>
        </m:r>
        <m:r>
          <m:t>​</m:t>
        </m:r>
        <m:d>
          <m:dPr>
            <m:begChr m:val="["/>
            <m:sepChr m:val=""/>
            <m:endChr m:val="]"/>
            <m:grow/>
          </m:dPr>
          <m:e>
            <m:sSub>
              <m:e>
                <m:r>
                  <m:t>S</m:t>
                </m:r>
              </m:e>
              <m:sub>
                <m:r>
                  <m:t>a</m:t>
                </m:r>
              </m:sub>
            </m:sSub>
            <m:r>
              <m:rPr>
                <m:sty m:val="p"/>
              </m:rPr>
              <m:t>≤</m:t>
            </m:r>
            <m:r>
              <m:t>y</m:t>
            </m:r>
          </m:e>
        </m:d>
        <m:r>
          <m:rPr>
            <m:sty m:val="p"/>
          </m:rPr>
          <m:t>=</m:t>
        </m:r>
        <m:r>
          <m:t>α</m:t>
        </m:r>
        <m:sSup>
          <m:e>
            <m:r>
              <m:t>G</m:t>
            </m:r>
          </m:e>
          <m:sup>
            <m:r>
              <m:t>o</m:t>
            </m:r>
          </m:sup>
        </m:sSup>
        <m:r>
          <m:rPr>
            <m:sty m:val="p"/>
          </m:rPr>
          <m:t>(</m:t>
        </m:r>
        <m:r>
          <m:t>y</m:t>
        </m:r>
        <m:r>
          <m:rPr>
            <m:sty m:val="p"/>
          </m:rPr>
          <m:t>)</m:t>
        </m:r>
        <m:r>
          <m:rPr>
            <m:sty m:val="p"/>
          </m:rPr>
          <m:t>+</m:t>
        </m:r>
        <m:r>
          <m:rPr>
            <m:sty m:val="p"/>
          </m:rPr>
          <m:t>(</m:t>
        </m:r>
        <m:r>
          <m:t>1</m:t>
        </m:r>
        <m:r>
          <m:rPr>
            <m:sty m:val="p"/>
          </m:rPr>
          <m:t>−</m:t>
        </m:r>
        <m:r>
          <m:t>α</m:t>
        </m:r>
        <m:r>
          <m:rPr>
            <m:sty m:val="p"/>
          </m:rPr>
          <m:t>)</m:t>
        </m:r>
        <m:sSup>
          <m:e>
            <m:r>
              <m:t>G</m:t>
            </m:r>
          </m:e>
          <m:sup>
            <m:r>
              <m:t>s</m:t>
            </m:r>
          </m:sup>
        </m:sSup>
        <m:r>
          <m:rPr>
            <m:sty m:val="p"/>
          </m:rPr>
          <m:t>(</m:t>
        </m:r>
        <m:r>
          <m:t>y</m:t>
        </m:r>
        <m:r>
          <m:rPr>
            <m:sty m:val="p"/>
          </m:rPr>
          <m:t>)</m:t>
        </m:r>
        <m:r>
          <m:rPr>
            <m:sty m:val="p"/>
          </m:rPr>
          <m:t>,</m:t>
        </m:r>
        <m:r>
          <m:t>  </m:t>
        </m:r>
        <m:r>
          <m:t>0</m:t>
        </m:r>
        <m:r>
          <m:rPr>
            <m:sty m:val="p"/>
          </m:rPr>
          <m:t>≤</m:t>
        </m:r>
        <m:r>
          <m:t>α</m:t>
        </m:r>
        <m:r>
          <m:rPr>
            <m:sty m:val="p"/>
          </m:rPr>
          <m:t>≤</m:t>
        </m:r>
        <m:r>
          <m:t>1</m:t>
        </m:r>
        <m:r>
          <m:rPr>
            <m:sty m:val="p"/>
          </m:rPr>
          <m:t>.</m:t>
        </m:r>
      </m:oMath>
      <w:r>
        <w:tab/>
      </w:r>
      <w:r>
        <w:t xml:space="preserve">(4.12)</w:t>
      </w:r>
      <w:bookmarkEnd w:id="87"/>
    </w:p>
    <w:p>
      <w:pPr>
        <w:pStyle w:val="BodyText"/>
      </w:pPr>
      <w:r>
        <w:t xml:space="preserve">In the absence of site-specific evidence that would assign greater representativeness to one of the two distributions,</w:t>
      </w:r>
      <w:r>
        <w:t xml:space="preserve"> </w:t>
      </w:r>
      <m:oMath>
        <m:r>
          <m:t>α</m:t>
        </m:r>
        <m:r>
          <m:rPr>
            <m:sty m:val="p"/>
          </m:rPr>
          <m:t>=</m:t>
        </m:r>
        <m:r>
          <m:t>0.5</m:t>
        </m:r>
      </m:oMath>
      <w:r>
        <w:t xml:space="preserve"> </w:t>
      </w:r>
      <w:r>
        <w:t xml:space="preserve">is adopted, without interpreting it as a calibrated value. This coefficient may be revised through a site-response study that contrasts</w:t>
      </w:r>
      <w:r>
        <w:t xml:space="preserve"> </w:t>
      </w:r>
      <m:oMath>
        <m:sSup>
          <m:e>
            <m:r>
              <m:t>G</m:t>
            </m:r>
          </m:e>
          <m:sup>
            <m:r>
              <m:t>o</m:t>
            </m:r>
          </m:sup>
        </m:sSup>
      </m:oMath>
      <w:r>
        <w:t xml:space="preserve"> </w:t>
      </w:r>
      <w:r>
        <w:t xml:space="preserve">and</w:t>
      </w:r>
      <w:r>
        <w:t xml:space="preserve"> </w:t>
      </w:r>
      <m:oMath>
        <m:sSup>
          <m:e>
            <m:r>
              <m:t>G</m:t>
            </m:r>
          </m:e>
          <m:sup>
            <m:r>
              <m:t>s</m:t>
            </m:r>
          </m:sup>
        </m:sSup>
      </m:oMath>
      <w:r>
        <w:t xml:space="preserve"> </w:t>
      </w:r>
      <w:r>
        <w:t xml:space="preserve">with observations or validated simulations of the relation between the rock and surface demands, and estimates</w:t>
      </w:r>
      <w:r>
        <w:t xml:space="preserve"> </w:t>
      </w:r>
      <m:oMath>
        <m:r>
          <m:t>α</m:t>
        </m:r>
      </m:oMath>
      <w:r>
        <w:t xml:space="preserve"> </w:t>
      </w:r>
      <w:r>
        <w:t xml:space="preserve">in the interval</w:t>
      </w:r>
      <w:r>
        <w:t xml:space="preserve"> </w:t>
      </w:r>
      <m:oMath>
        <m:r>
          <m:rPr>
            <m:sty m:val="p"/>
          </m:rPr>
          <m:t>[</m:t>
        </m:r>
        <m:r>
          <m:t>0</m:t>
        </m:r>
        <m:r>
          <m:rPr>
            <m:sty m:val="p"/>
          </m:rPr>
          <m:t>,</m:t>
        </m:r>
        <m:r>
          <m:t>1</m:t>
        </m:r>
        <m:r>
          <m:rPr>
            <m:sty m:val="p"/>
          </m:rPr>
          <m:t>]</m:t>
        </m:r>
      </m:oMath>
      <w:r>
        <w:t xml:space="preserve"> </w:t>
      </w:r>
      <w:r>
        <w:t xml:space="preserve">through an explicit calibration criterion. In the expressions that follow,</w:t>
      </w:r>
      <w:r>
        <w:t xml:space="preserve"> </w:t>
      </w:r>
      <m:oMath>
        <m:sSup>
          <m:e>
            <m:r>
              <m:t>μ</m:t>
            </m:r>
          </m:e>
          <m:sup>
            <m:r>
              <m:t>o</m:t>
            </m:r>
          </m:sup>
        </m:sSup>
        <m:r>
          <m:rPr>
            <m:sty m:val="p"/>
          </m:rPr>
          <m:t>=</m:t>
        </m:r>
        <m:r>
          <m:t>E</m:t>
        </m:r>
        <m:r>
          <m:rPr>
            <m:sty m:val="p"/>
          </m:rPr>
          <m:t>[</m:t>
        </m:r>
        <m:sSubSup>
          <m:e>
            <m:r>
              <m:t>S</m:t>
            </m:r>
          </m:e>
          <m:sub>
            <m:r>
              <m:t>a</m:t>
            </m:r>
          </m:sub>
          <m:sup>
            <m:r>
              <m:t>o</m:t>
            </m:r>
          </m:sup>
        </m:sSubSup>
        <m:r>
          <m:rPr>
            <m:sty m:val="p"/>
          </m:rPr>
          <m:t>]</m:t>
        </m:r>
      </m:oMath>
      <w:r>
        <w:t xml:space="preserve"> </w:t>
      </w:r>
      <w:r>
        <w:t xml:space="preserve">and</w:t>
      </w:r>
      <w:r>
        <w:t xml:space="preserve"> </w:t>
      </w:r>
      <m:oMath>
        <m:sSup>
          <m:e>
            <m:r>
              <m:t>μ</m:t>
            </m:r>
          </m:e>
          <m:sup>
            <m:r>
              <m:t>s</m:t>
            </m:r>
          </m:sup>
        </m:sSup>
        <m:r>
          <m:rPr>
            <m:sty m:val="p"/>
          </m:rPr>
          <m:t>=</m:t>
        </m:r>
        <m:r>
          <m:t>E</m:t>
        </m:r>
        <m:r>
          <m:rPr>
            <m:sty m:val="p"/>
          </m:rPr>
          <m:t>[</m:t>
        </m:r>
        <m:sSubSup>
          <m:e>
            <m:r>
              <m:t>S</m:t>
            </m:r>
          </m:e>
          <m:sub>
            <m:r>
              <m:t>a</m:t>
            </m:r>
          </m:sub>
          <m:sup>
            <m:r>
              <m:t>s</m:t>
            </m:r>
          </m:sup>
        </m:sSubSup>
        <m:r>
          <m:rPr>
            <m:sty m:val="p"/>
          </m:rPr>
          <m:t>]</m:t>
        </m:r>
      </m:oMath>
      <w:r>
        <w:t xml:space="preserve"> </w:t>
      </w:r>
      <w:r>
        <w:t xml:space="preserve">are the arithmetic means of the two component distributions,</w:t>
      </w:r>
      <w:r>
        <w:t xml:space="preserve"> </w:t>
      </w:r>
      <m:oMath>
        <m:r>
          <m:t>μ</m:t>
        </m:r>
        <m:r>
          <m:rPr>
            <m:sty m:val="p"/>
          </m:rPr>
          <m:t>=</m:t>
        </m:r>
        <m:r>
          <m:t>E</m:t>
        </m:r>
        <m:r>
          <m:rPr>
            <m:sty m:val="p"/>
          </m:rPr>
          <m:t>[</m:t>
        </m:r>
        <m:sSub>
          <m:e>
            <m:r>
              <m:t>S</m:t>
            </m:r>
          </m:e>
          <m:sub>
            <m:r>
              <m:t>a</m:t>
            </m:r>
          </m:sub>
        </m:sSub>
        <m:r>
          <m:rPr>
            <m:sty m:val="p"/>
          </m:rPr>
          <m:t>]</m:t>
        </m:r>
      </m:oMath>
      <w:r>
        <w:t xml:space="preserve"> </w:t>
      </w:r>
      <w:r>
        <w:t xml:space="preserve">is the arithmetic mean of the resulting distribution – all expressed on the natural spectral-acceleration scale, not on the logarithmic scale – and</w:t>
      </w:r>
      <w:r>
        <w:t xml:space="preserve"> </w:t>
      </w:r>
      <m:oMath>
        <m:r>
          <m:t>Q</m:t>
        </m:r>
      </m:oMath>
      <w:r>
        <w:t xml:space="preserve"> </w:t>
      </w:r>
      <w:r>
        <w:t xml:space="preserve">is the quantile function of the resulting distribution. The arithmetic mean of the resulting distribution is</w:t>
      </w:r>
    </w:p>
    <w:p>
      <w:pPr>
        <w:pStyle w:val="Equation"/>
      </w:pPr>
      <w:bookmarkStart w:id="88" w:name="eq-site-branch-mean"/>
      <w:r>
        <w:tab/>
      </w:r>
      <m:oMath>
        <m:r>
          <m:t>μ</m:t>
        </m:r>
        <m:r>
          <m:rPr>
            <m:sty m:val="p"/>
          </m:rPr>
          <m:t>=</m:t>
        </m:r>
        <m:r>
          <m:t>α</m:t>
        </m:r>
        <m:sSup>
          <m:e>
            <m:r>
              <m:t>μ</m:t>
            </m:r>
          </m:e>
          <m:sup>
            <m:r>
              <m:t>o</m:t>
            </m:r>
          </m:sup>
        </m:sSup>
        <m:r>
          <m:rPr>
            <m:sty m:val="p"/>
          </m:rPr>
          <m:t>+</m:t>
        </m:r>
        <m:r>
          <m:rPr>
            <m:sty m:val="p"/>
          </m:rPr>
          <m:t>(</m:t>
        </m:r>
        <m:r>
          <m:t>1</m:t>
        </m:r>
        <m:r>
          <m:rPr>
            <m:sty m:val="p"/>
          </m:rPr>
          <m:t>−</m:t>
        </m:r>
        <m:r>
          <m:t>α</m:t>
        </m:r>
        <m:r>
          <m:rPr>
            <m:sty m:val="p"/>
          </m:rPr>
          <m:t>)</m:t>
        </m:r>
        <m:sSup>
          <m:e>
            <m:r>
              <m:t>μ</m:t>
            </m:r>
          </m:e>
          <m:sup>
            <m:r>
              <m:t>s</m:t>
            </m:r>
          </m:sup>
        </m:sSup>
        <m:r>
          <m:rPr>
            <m:sty m:val="p"/>
          </m:rPr>
          <m:t>.</m:t>
        </m:r>
      </m:oMath>
      <w:r>
        <w:tab/>
      </w:r>
      <w:r>
        <w:t xml:space="preserve">(4.13)</w:t>
      </w:r>
      <w:bookmarkEnd w:id="88"/>
    </w:p>
    <w:p>
      <w:pPr>
        <w:pStyle w:val="BodyText"/>
      </w:pPr>
      <w:r>
        <w:t xml:space="preserve">its probability-</w:t>
      </w:r>
      <m:oMath>
        <m:r>
          <m:t>p</m:t>
        </m:r>
      </m:oMath>
      <w:r>
        <w:t xml:space="preserve"> </w:t>
      </w:r>
      <w:r>
        <w:t xml:space="preserve">quantile, obtained by inverting its cumulative distribution function, is</w:t>
      </w:r>
    </w:p>
    <w:p>
      <w:pPr>
        <w:pStyle w:val="Equation"/>
      </w:pPr>
      <w:bookmarkStart w:id="89" w:name="eq-site-branch-quantile"/>
      <w:r>
        <w:tab/>
      </w:r>
      <m:oMath>
        <m:r>
          <m:t>Q</m:t>
        </m:r>
        <m:r>
          <m:rPr>
            <m:sty m:val="p"/>
          </m:rPr>
          <m:t>(</m:t>
        </m:r>
        <m:r>
          <m:t>p</m:t>
        </m:r>
        <m:r>
          <m:rPr>
            <m:sty m:val="p"/>
          </m:rPr>
          <m:t>)</m:t>
        </m:r>
        <m:r>
          <m:rPr>
            <m:sty m:val="p"/>
          </m:rPr>
          <m:t>=</m:t>
        </m:r>
        <m:r>
          <m:rPr>
            <m:sty m:val="p"/>
          </m:rPr>
          <m:t>inf</m:t>
        </m:r>
        <m:r>
          <m:rPr>
            <m:sty m:val="p"/>
          </m:rPr>
          <m:t>{</m:t>
        </m:r>
        <m:r>
          <m:t>y</m:t>
        </m:r>
        <m:r>
          <m:rPr>
            <m:sty m:val="p"/>
          </m:rPr>
          <m:t>:</m:t>
        </m:r>
        <m:r>
          <m:t>G</m:t>
        </m:r>
        <m:r>
          <m:rPr>
            <m:sty m:val="p"/>
          </m:rPr>
          <m:t>(</m:t>
        </m:r>
        <m:r>
          <m:t>y</m:t>
        </m:r>
        <m:r>
          <m:rPr>
            <m:sty m:val="p"/>
          </m:rPr>
          <m:t>)</m:t>
        </m:r>
        <m:r>
          <m:rPr>
            <m:sty m:val="p"/>
          </m:rPr>
          <m:t>≥</m:t>
        </m:r>
        <m:r>
          <m:t>p</m:t>
        </m:r>
        <m:r>
          <m:rPr>
            <m:sty m:val="p"/>
          </m:rPr>
          <m:t>}</m:t>
        </m:r>
        <m:r>
          <m:rPr>
            <m:sty m:val="p"/>
          </m:rPr>
          <m:t>,</m:t>
        </m:r>
        <m:r>
          <m:t>  </m:t>
        </m:r>
        <m:r>
          <m:t>0</m:t>
        </m:r>
        <m:r>
          <m:rPr>
            <m:sty m:val="p"/>
          </m:rPr>
          <m:t>&lt;</m:t>
        </m:r>
        <m:r>
          <m:t>p</m:t>
        </m:r>
        <m:r>
          <m:rPr>
            <m:sty m:val="p"/>
          </m:rPr>
          <m:t>&lt;</m:t>
        </m:r>
        <m:r>
          <m:t>1</m:t>
        </m:r>
        <m:r>
          <m:rPr>
            <m:sty m:val="p"/>
          </m:rPr>
          <m:t>.</m:t>
        </m:r>
      </m:oMath>
      <w:r>
        <w:tab/>
      </w:r>
      <w:r>
        <w:t xml:space="preserve">(4.14)</w:t>
      </w:r>
      <w:bookmarkEnd w:id="89"/>
    </w:p>
    <w:p>
      <w:pPr>
        <w:pStyle w:val="BodyText"/>
      </w:pPr>
      <w:r>
        <w:t xml:space="preserve">and its variance is</w:t>
      </w:r>
    </w:p>
    <w:p>
      <w:pPr>
        <w:pStyle w:val="Equation"/>
      </w:pPr>
      <w:bookmarkStart w:id="90" w:name="eq-site-branch-variance"/>
      <w:r>
        <w:tab/>
      </w:r>
      <m:oMath>
        <m:r>
          <m:rPr>
            <m:sty m:val="p"/>
          </m:rPr>
          <m:t>Var</m:t>
        </m:r>
        <m:r>
          <m:rPr>
            <m:sty m:val="p"/>
          </m:rPr>
          <m:t>(</m:t>
        </m:r>
        <m:sSub>
          <m:e>
            <m:r>
              <m:t>S</m:t>
            </m:r>
          </m:e>
          <m:sub>
            <m:r>
              <m:t>a</m:t>
            </m:r>
          </m:sub>
        </m:sSub>
        <m:r>
          <m:rPr>
            <m:sty m:val="p"/>
          </m:rPr>
          <m:t>)</m:t>
        </m:r>
        <m:r>
          <m:rPr>
            <m:sty m:val="p"/>
          </m:rPr>
          <m:t>=</m:t>
        </m:r>
        <m:r>
          <m:t>α</m:t>
        </m:r>
        <m:r>
          <m:rPr>
            <m:sty m:val="p"/>
          </m:rPr>
          <m:t>Var</m:t>
        </m:r>
        <m:r>
          <m:rPr>
            <m:sty m:val="p"/>
          </m:rPr>
          <m:t>(</m:t>
        </m:r>
        <m:sSubSup>
          <m:e>
            <m:r>
              <m:t>S</m:t>
            </m:r>
          </m:e>
          <m:sub>
            <m:r>
              <m:t>a</m:t>
            </m:r>
          </m:sub>
          <m:sup>
            <m:r>
              <m:t>o</m:t>
            </m:r>
          </m:sup>
        </m:sSubSup>
        <m:r>
          <m:rPr>
            <m:sty m:val="p"/>
          </m:rPr>
          <m:t>)</m:t>
        </m:r>
        <m:r>
          <m:rPr>
            <m:sty m:val="p"/>
          </m:rPr>
          <m:t>+</m:t>
        </m:r>
        <m:r>
          <m:rPr>
            <m:sty m:val="p"/>
          </m:rPr>
          <m:t>(</m:t>
        </m:r>
        <m:r>
          <m:t>1</m:t>
        </m:r>
        <m:r>
          <m:rPr>
            <m:sty m:val="p"/>
          </m:rPr>
          <m:t>−</m:t>
        </m:r>
        <m:r>
          <m:t>α</m:t>
        </m:r>
        <m:r>
          <m:rPr>
            <m:sty m:val="p"/>
          </m:rPr>
          <m:t>)</m:t>
        </m:r>
        <m:r>
          <m:rPr>
            <m:sty m:val="p"/>
          </m:rPr>
          <m:t>Var</m:t>
        </m:r>
        <m:r>
          <m:rPr>
            <m:sty m:val="p"/>
          </m:rPr>
          <m:t>(</m:t>
        </m:r>
        <m:sSubSup>
          <m:e>
            <m:r>
              <m:t>S</m:t>
            </m:r>
          </m:e>
          <m:sub>
            <m:r>
              <m:t>a</m:t>
            </m:r>
          </m:sub>
          <m:sup>
            <m:r>
              <m:t>s</m:t>
            </m:r>
          </m:sup>
        </m:sSubSup>
        <m:r>
          <m:rPr>
            <m:sty m:val="p"/>
          </m:rPr>
          <m:t>)</m:t>
        </m:r>
        <m:r>
          <m:rPr>
            <m:sty m:val="p"/>
          </m:rPr>
          <m:t>+</m:t>
        </m:r>
        <m:r>
          <m:t>α</m:t>
        </m:r>
        <m:r>
          <m:rPr>
            <m:sty m:val="p"/>
          </m:rPr>
          <m:t>(</m:t>
        </m:r>
        <m:r>
          <m:t>1</m:t>
        </m:r>
        <m:r>
          <m:rPr>
            <m:sty m:val="p"/>
          </m:rPr>
          <m:t>−</m:t>
        </m:r>
        <m:r>
          <m:t>α</m:t>
        </m:r>
        <m:r>
          <m:rPr>
            <m:sty m:val="p"/>
          </m:rPr>
          <m:t>)</m:t>
        </m:r>
        <m:r>
          <m:rPr>
            <m:sty m:val="p"/>
          </m:rPr>
          <m:t>(</m:t>
        </m:r>
        <m:sSup>
          <m:e>
            <m:r>
              <m:t>μ</m:t>
            </m:r>
          </m:e>
          <m:sup>
            <m:r>
              <m:t>o</m:t>
            </m:r>
          </m:sup>
        </m:sSup>
        <m:r>
          <m:rPr>
            <m:sty m:val="p"/>
          </m:rPr>
          <m:t>−</m:t>
        </m:r>
        <m:sSup>
          <m:e>
            <m:r>
              <m:t>μ</m:t>
            </m:r>
          </m:e>
          <m:sup>
            <m:r>
              <m:t>s</m:t>
            </m:r>
          </m:sup>
        </m:sSup>
        <m:sSup>
          <m:e>
            <m:r>
              <m:rPr>
                <m:sty m:val="p"/>
              </m:rPr>
              <m:t>)</m:t>
            </m:r>
          </m:e>
          <m:sup>
            <m:r>
              <m:t>2</m:t>
            </m:r>
          </m:sup>
        </m:sSup>
        <m:r>
          <m:rPr>
            <m:sty m:val="p"/>
          </m:rPr>
          <m:t>.</m:t>
        </m:r>
      </m:oMath>
      <w:r>
        <w:tab/>
      </w:r>
      <w:r>
        <w:t xml:space="preserve">(4.15)</w:t>
      </w:r>
      <w:bookmarkEnd w:id="90"/>
    </w:p>
    <w:p>
      <w:pPr>
        <w:pStyle w:val="BodyText"/>
      </w:pPr>
      <w:r>
        <w:t xml:space="preserve">The first two terms weight the variances of the component distributions, while the last corresponds to the contribution associated with the difference between their means. The mixture defined above specifies marginal distributions for each period but does not determine the dependence between periods. In operations requiring jointly distributed ordinates – for example PGA,</w:t>
      </w:r>
      <w:r>
        <w:t xml:space="preserve"> </w:t>
      </w:r>
      <m:oMath>
        <m:sSub>
          <m:e>
            <m:r>
              <m:t>S</m:t>
            </m:r>
          </m:e>
          <m:sub>
            <m:r>
              <m:t>a</m:t>
            </m:r>
          </m:sub>
        </m:sSub>
        <m:r>
          <m:rPr>
            <m:sty m:val="p"/>
          </m:rPr>
          <m:t>(</m:t>
        </m:r>
        <m:r>
          <m:t>1.3</m:t>
        </m:r>
        <m:sSub>
          <m:e>
            <m:r>
              <m:t>T</m:t>
            </m:r>
          </m:e>
          <m:sub>
            <m:r>
              <m:t>n</m:t>
            </m:r>
          </m:sub>
        </m:sSub>
        <m:r>
          <m:rPr>
            <m:sty m:val="p"/>
          </m:rPr>
          <m:t>)</m:t>
        </m:r>
      </m:oMath>
      <w:r>
        <w:t xml:space="preserve">, and</w:t>
      </w:r>
      <w:r>
        <w:t xml:space="preserve"> </w:t>
      </w:r>
      <m:oMath>
        <m:sSub>
          <m:e>
            <m:r>
              <m:t>S</m:t>
            </m:r>
          </m:e>
          <m:sub>
            <m:r>
              <m:t>a</m:t>
            </m:r>
          </m:sub>
        </m:sSub>
        <m:r>
          <m:rPr>
            <m:sty m:val="p"/>
          </m:rPr>
          <m:t>(</m:t>
        </m:r>
        <m:r>
          <m:t>1.5</m:t>
        </m:r>
        <m:sSub>
          <m:e>
            <m:r>
              <m:t>T</m:t>
            </m:r>
          </m:e>
          <m:sub>
            <m:r>
              <m:t>n</m:t>
            </m:r>
          </m:sub>
        </m:sSub>
        <m:r>
          <m:rPr>
            <m:sty m:val="p"/>
          </m:rPr>
          <m:t>)</m:t>
        </m:r>
      </m:oMath>
      <w:r>
        <w:t xml:space="preserve"> </w:t>
      </w:r>
      <w:r>
        <w:t xml:space="preserve">for the displacement evaluation – that dependence is represented with the model of Baker and Jayaram</w:t>
      </w:r>
      <w:r>
        <w:t xml:space="preserve"> </w:t>
      </w:r>
      <w:r>
        <w:t xml:space="preserve">(</w:t>
      </w:r>
      <w:hyperlink w:anchor="ref-BakerJayaram2008">
        <w:r>
          <w:rPr>
            <w:rStyle w:val="Hyperlink"/>
          </w:rPr>
          <w:t xml:space="preserve">2008</w:t>
        </w:r>
      </w:hyperlink>
      <w:r>
        <w:t xml:space="preserve">)</w:t>
      </w:r>
      <w:r>
        <w:t xml:space="preserve">. For the range</w:t>
      </w:r>
      <w:r>
        <w:t xml:space="preserve"> </w:t>
      </w:r>
      <m:oMath>
        <m:sSub>
          <m:e>
            <m:r>
              <m:t>T</m:t>
            </m:r>
          </m:e>
          <m:sub>
            <m:r>
              <m:rPr>
                <m:sty m:val="p"/>
              </m:rPr>
              <m:t>min</m:t>
            </m:r>
          </m:sub>
        </m:sSub>
        <m:r>
          <m:rPr>
            <m:sty m:val="p"/>
          </m:rPr>
          <m:t>&gt;</m:t>
        </m:r>
        <m:r>
          <m:t>0.109</m:t>
        </m:r>
      </m:oMath>
      <w:r>
        <w:t xml:space="preserve"> </w:t>
      </w:r>
      <w:r>
        <w:t xml:space="preserve">s, with</w:t>
      </w:r>
      <w:r>
        <w:t xml:space="preserve"> </w:t>
      </w:r>
      <m:oMath>
        <m:sSub>
          <m:e>
            <m:r>
              <m:t>T</m:t>
            </m:r>
          </m:e>
          <m:sub>
            <m:r>
              <m:rPr>
                <m:sty m:val="p"/>
              </m:rPr>
              <m:t>min</m:t>
            </m:r>
          </m:sub>
        </m:sSub>
        <m:r>
          <m:rPr>
            <m:sty m:val="p"/>
          </m:rPr>
          <m:t>=</m:t>
        </m:r>
        <m:r>
          <m:rPr>
            <m:sty m:val="p"/>
          </m:rPr>
          <m:t>min</m:t>
        </m:r>
        <m:r>
          <m:rPr>
            <m:sty m:val="p"/>
          </m:rPr>
          <m:t>(</m:t>
        </m:r>
        <m:sSub>
          <m:e>
            <m:r>
              <m:t>T</m:t>
            </m:r>
          </m:e>
          <m:sub>
            <m:r>
              <m:t>i</m:t>
            </m:r>
          </m:sub>
        </m:sSub>
        <m:r>
          <m:rPr>
            <m:sty m:val="p"/>
          </m:rPr>
          <m:t>,</m:t>
        </m:r>
        <m:sSub>
          <m:e>
            <m:r>
              <m:t>T</m:t>
            </m:r>
          </m:e>
          <m:sub>
            <m:r>
              <m:t>j</m:t>
            </m:r>
          </m:sub>
        </m:sSub>
        <m:r>
          <m:rPr>
            <m:sty m:val="p"/>
          </m:rPr>
          <m:t>)</m:t>
        </m:r>
      </m:oMath>
      <w:r>
        <w:t xml:space="preserve"> </w:t>
      </w:r>
      <w:r>
        <w:t xml:space="preserve">and</w:t>
      </w:r>
      <w:r>
        <w:t xml:space="preserve"> </w:t>
      </w:r>
      <m:oMath>
        <m:sSub>
          <m:e>
            <m:r>
              <m:t>T</m:t>
            </m:r>
          </m:e>
          <m:sub>
            <m:r>
              <m:rPr>
                <m:sty m:val="p"/>
              </m:rPr>
              <m:t>max</m:t>
            </m:r>
          </m:sub>
        </m:sSub>
        <m:r>
          <m:rPr>
            <m:sty m:val="p"/>
          </m:rPr>
          <m:t>=</m:t>
        </m:r>
        <m:r>
          <m:rPr>
            <m:sty m:val="p"/>
          </m:rPr>
          <m:t>max</m:t>
        </m:r>
        <m:r>
          <m:rPr>
            <m:sty m:val="p"/>
          </m:rPr>
          <m:t>(</m:t>
        </m:r>
        <m:sSub>
          <m:e>
            <m:r>
              <m:t>T</m:t>
            </m:r>
          </m:e>
          <m:sub>
            <m:r>
              <m:t>i</m:t>
            </m:r>
          </m:sub>
        </m:sSub>
        <m:r>
          <m:rPr>
            <m:sty m:val="p"/>
          </m:rPr>
          <m:t>,</m:t>
        </m:r>
        <m:sSub>
          <m:e>
            <m:r>
              <m:t>T</m:t>
            </m:r>
          </m:e>
          <m:sub>
            <m:r>
              <m:t>j</m:t>
            </m:r>
          </m:sub>
        </m:sSub>
        <m:r>
          <m:rPr>
            <m:sty m:val="p"/>
          </m:rPr>
          <m:t>)</m:t>
        </m:r>
      </m:oMath>
      <w:r>
        <w:t xml:space="preserve">,</w:t>
      </w:r>
    </w:p>
    <w:p>
      <w:pPr>
        <w:pStyle w:val="Equation"/>
      </w:pPr>
      <w:bookmarkStart w:id="91" w:name="eq-site-rho"/>
      <w:r>
        <w:tab/>
      </w:r>
      <m:oMath>
        <m:r>
          <m:t>ρ</m:t>
        </m:r>
        <m:r>
          <m:rPr>
            <m:sty m:val="p"/>
          </m:rPr>
          <m:t>(</m:t>
        </m:r>
        <m:sSub>
          <m:e>
            <m:r>
              <m:t>T</m:t>
            </m:r>
          </m:e>
          <m:sub>
            <m:r>
              <m:t>i</m:t>
            </m:r>
          </m:sub>
        </m:sSub>
        <m:r>
          <m:rPr>
            <m:sty m:val="p"/>
          </m:rPr>
          <m:t>,</m:t>
        </m:r>
        <m:sSub>
          <m:e>
            <m:r>
              <m:t>T</m:t>
            </m:r>
          </m:e>
          <m:sub>
            <m:r>
              <m:t>j</m:t>
            </m:r>
          </m:sub>
        </m:sSub>
        <m:r>
          <m:rPr>
            <m:sty m:val="p"/>
          </m:rPr>
          <m:t>)</m:t>
        </m:r>
        <m:r>
          <m:rPr>
            <m:sty m:val="p"/>
          </m:rPr>
          <m:t>=</m:t>
        </m:r>
        <m:r>
          <m:t>1</m:t>
        </m:r>
        <m:r>
          <m:rPr>
            <m:sty m:val="p"/>
          </m:rPr>
          <m:t>−</m:t>
        </m:r>
        <m:r>
          <m:rPr>
            <m:sty m:val="p"/>
          </m:rPr>
          <m:t>cos</m:t>
        </m:r>
        <m:r>
          <m:t>​</m:t>
        </m:r>
        <m:d>
          <m:dPr>
            <m:begChr m:val="("/>
            <m:sepChr m:val=""/>
            <m:endChr m:val=")"/>
            <m:grow/>
          </m:dPr>
          <m:e>
            <m:f>
              <m:fPr>
                <m:type m:val="bar"/>
              </m:fPr>
              <m:num>
                <m:r>
                  <m:t>π</m:t>
                </m:r>
              </m:num>
              <m:den>
                <m:r>
                  <m:t>2</m:t>
                </m:r>
              </m:den>
            </m:f>
            <m:r>
              <m:rPr>
                <m:sty m:val="p"/>
              </m:rPr>
              <m:t>−</m:t>
            </m:r>
            <m:r>
              <m:t>0.366</m:t>
            </m:r>
            <m:r>
              <m:rPr>
                <m:sty m:val="p"/>
              </m:rPr>
              <m:t>ln</m:t>
            </m:r>
            <m:f>
              <m:fPr>
                <m:type m:val="bar"/>
              </m:fPr>
              <m:num>
                <m:sSub>
                  <m:e>
                    <m:r>
                      <m:t>T</m:t>
                    </m:r>
                  </m:e>
                  <m:sub>
                    <m:r>
                      <m:rPr>
                        <m:sty m:val="p"/>
                      </m:rPr>
                      <m:t>max</m:t>
                    </m:r>
                  </m:sub>
                </m:sSub>
              </m:num>
              <m:den>
                <m:r>
                  <m:rPr>
                    <m:sty m:val="p"/>
                  </m:rPr>
                  <m:t>max</m:t>
                </m:r>
                <m:r>
                  <m:rPr>
                    <m:sty m:val="p"/>
                  </m:rPr>
                  <m:t>(</m:t>
                </m:r>
                <m:sSub>
                  <m:e>
                    <m:r>
                      <m:t>T</m:t>
                    </m:r>
                  </m:e>
                  <m:sub>
                    <m:r>
                      <m:rPr>
                        <m:sty m:val="p"/>
                      </m:rPr>
                      <m:t>min</m:t>
                    </m:r>
                  </m:sub>
                </m:sSub>
                <m:r>
                  <m:rPr>
                    <m:sty m:val="p"/>
                  </m:rPr>
                  <m:t>,</m:t>
                </m:r>
                <m:r>
                  <m:t>0.109</m:t>
                </m:r>
                <m:r>
                  <m:rPr>
                    <m:sty m:val="p"/>
                  </m:rPr>
                  <m:t>)</m:t>
                </m:r>
              </m:den>
            </m:f>
          </m:e>
        </m:d>
        <m:r>
          <m:rPr>
            <m:sty m:val="p"/>
          </m:rPr>
          <m:t>.</m:t>
        </m:r>
      </m:oMath>
      <w:r>
        <w:tab/>
      </w:r>
      <w:r>
        <w:t xml:space="preserve">(4.16)</w:t>
      </w:r>
      <w:bookmarkEnd w:id="91"/>
    </w:p>
    <w:p>
      <w:pPr>
        <w:pStyle w:val="BodyText"/>
      </w:pPr>
      <w:r>
        <w:t xml:space="preserve">When</w:t>
      </w:r>
      <w:r>
        <w:t xml:space="preserve"> </w:t>
      </w:r>
      <m:oMath>
        <m:sSub>
          <m:e>
            <m:r>
              <m:t>T</m:t>
            </m:r>
          </m:e>
          <m:sub>
            <m:r>
              <m:rPr>
                <m:sty m:val="p"/>
              </m:rPr>
              <m:t>min</m:t>
            </m:r>
          </m:sub>
        </m:sSub>
        <m:r>
          <m:rPr>
            <m:sty m:val="p"/>
          </m:rPr>
          <m:t>≤</m:t>
        </m:r>
        <m:r>
          <m:t>0.109</m:t>
        </m:r>
        <m:r>
          <m:t> </m:t>
        </m:r>
        <m:r>
          <m:rPr>
            <m:sty m:val="p"/>
          </m:rPr>
          <m:t>s</m:t>
        </m:r>
      </m:oMath>
      <w:r>
        <w:t xml:space="preserve">, the correlation is obtained from the corresponding branches of the Baker and Jayaram formulation</w:t>
      </w:r>
      <w:r>
        <w:t xml:space="preserve"> </w:t>
      </w:r>
      <w:r>
        <w:t xml:space="preserve">(</w:t>
      </w:r>
      <w:hyperlink w:anchor="ref-BakerJayaram2008">
        <w:r>
          <w:rPr>
            <w:rStyle w:val="Hyperlink"/>
          </w:rPr>
          <w:t xml:space="preserve">2008</w:t>
        </w:r>
      </w:hyperlink>
      <w:r>
        <w:t xml:space="preserve">, Eqs. 5–6)</w:t>
      </w:r>
      <w:r>
        <w:t xml:space="preserve">. The model is applicable between 0.01 and 10 s and is independent of magnitude and distance.</w:t>
      </w:r>
    </w:p>
    <w:p>
      <w:pPr>
        <w:pStyle w:val="BodyText"/>
      </w:pPr>
      <w:r>
        <w:t xml:space="preserve"> </w:t>
      </w:r>
    </w:p>
    <w:bookmarkStart w:id="92" w:name="tbl-pga-vs30-800-docx"/>
    <w:p>
      <w:pPr>
        <w:pStyle w:val="ImageCaption"/>
        <w:spacing w:before="200"/>
        <w:jc w:val="left"/>
      </w:pPr>
      <w:r>
        <w:t xml:space="preserve">Table 4.1: Peak ground acceleration,</w:t>
      </w:r>
      <w:r>
        <w:t xml:space="preserve"> </w:t>
      </w:r>
      <m:oMath>
        <m:r>
          <m:rPr>
            <m:sty m:val="p"/>
          </m:rPr>
          <m:t>P</m:t>
        </m:r>
        <m:r>
          <m:rPr>
            <m:sty m:val="p"/>
          </m:rPr>
          <m:t>G</m:t>
        </m:r>
        <m:r>
          <m:rPr>
            <m:sty m:val="p"/>
          </m:rPr>
          <m:t>A</m:t>
        </m:r>
      </m:oMath>
      <w:r>
        <w:t xml:space="preserve"> </w:t>
      </w:r>
      <w:r>
        <w:t xml:space="preserve">[cm/s2], for site</w:t>
      </w:r>
      <w:r>
        <w:t xml:space="preserve"> </w:t>
      </w:r>
      <w:r>
        <w:rPr>
          <w:rStyle w:val="VerbatimChar"/>
        </w:rPr>
        <w:t xml:space="preserve">CFD</w:t>
      </w:r>
      <w:r>
        <w:t xml:space="preserve"> </w:t>
      </w:r>
      <w:r>
        <w:t xml:space="preserve">at</w:t>
      </w:r>
      <w:r>
        <w:t xml:space="preserve"> </w:t>
      </w:r>
      <m:oMath>
        <m:sSub>
          <m:e>
            <m:r>
              <m:t>V</m:t>
            </m:r>
          </m:e>
          <m:sub>
            <m:r>
              <m:t>S</m:t>
            </m:r>
            <m:r>
              <m:t>30</m:t>
            </m:r>
          </m:sub>
        </m:sSub>
      </m:oMath>
      <w:r>
        <w:t xml:space="preserve"> </w:t>
      </w:r>
      <w:r>
        <w:t xml:space="preserve">= 800 m/s.</w:t>
      </w:r>
      <w:r>
        <w:t xml:space="preserve"> </w:t>
      </w:r>
      <m:oMath>
        <m:sSub>
          <m:e>
            <m:r>
              <m:t>T</m:t>
            </m:r>
          </m:e>
          <m:sub>
            <m:r>
              <m:t>R</m:t>
            </m:r>
          </m:sub>
        </m:sSub>
      </m:oMath>
      <w:r>
        <w:t xml:space="preserve"> </w:t>
      </w:r>
      <w:r>
        <w:t xml:space="preserve">is the return period, in years, and</w:t>
      </w:r>
      <w:r>
        <w:t xml:space="preserve"> </w:t>
      </w:r>
      <m:oMath>
        <m:sSub>
          <m:e>
            <m:r>
              <m:t>P</m:t>
            </m:r>
          </m:e>
          <m:sub>
            <m:r>
              <m:t>T</m:t>
            </m:r>
          </m:sub>
        </m:sSub>
      </m:oMath>
      <w:r>
        <w:t xml:space="preserve"> </w:t>
      </w:r>
      <w:r>
        <w:t xml:space="preserve">is the probability of at least one exceedance during the exposure interval of the calculation, as a percentage. The remaining columns are the demand statistics: those headed by a probability level</w:t>
      </w:r>
      <w:r>
        <w:t xml:space="preserve"> </w:t>
      </w:r>
      <m:oMath>
        <m:r>
          <m:t>p</m:t>
        </m:r>
      </m:oMath>
      <w:r>
        <w:t xml:space="preserve"> </w:t>
      </w:r>
      <w:r>
        <w:t xml:space="preserve">hold the quantile</w:t>
      </w:r>
      <w:r>
        <w:t xml:space="preserve"> </w:t>
      </w:r>
      <m:oMath>
        <m:r>
          <m:t>Q</m:t>
        </m:r>
        <m:r>
          <m:rPr>
            <m:sty m:val="p"/>
          </m:rPr>
          <m:t>(</m:t>
        </m:r>
        <m:r>
          <m:t>p</m:t>
        </m:r>
        <m:r>
          <m:rPr>
            <m:sty m:val="p"/>
          </m:rPr>
          <m:t>)</m:t>
        </m:r>
      </m:oMath>
      <w:r>
        <w:t xml:space="preserve">, and the one headed</w:t>
      </w:r>
      <w:r>
        <w:t xml:space="preserve"> </w:t>
      </w:r>
      <w:r>
        <w:rPr>
          <w:rStyle w:val="VerbatimChar"/>
        </w:rPr>
        <w:t xml:space="preserve">mean</w:t>
      </w:r>
      <w:r>
        <w:t xml:space="preserve"> </w:t>
      </w:r>
      <w:r>
        <w:t xml:space="preserve">holds the mean, both in the units stated. The</w:t>
      </w:r>
      <w:r>
        <w:t xml:space="preserve"> </w:t>
      </w:r>
      <w:r>
        <w:rPr>
          <w:rStyle w:val="VerbatimChar"/>
        </w:rPr>
        <w:t xml:space="preserve">MCE</w:t>
      </w:r>
      <w:r>
        <w:t xml:space="preserve"> </w:t>
      </w:r>
      <w:r>
        <w:t xml:space="preserve">row reports the deterministic envelope over the scenarios of each statistic: the envelope of the scenario means in the</w:t>
      </w:r>
      <w:r>
        <w:t xml:space="preserve"> </w:t>
      </w:r>
      <w:r>
        <w:rPr>
          <w:rStyle w:val="VerbatimChar"/>
        </w:rPr>
        <w:t xml:space="preserve">mean</w:t>
      </w:r>
      <w:r>
        <w:t xml:space="preserve"> </w:t>
      </w:r>
      <w:r>
        <w:t xml:space="preserve">column and of the scenario quantiles in the columns headed by</w:t>
      </w:r>
      <w:r>
        <w:t xml:space="preserve"> </w:t>
      </w:r>
      <m:oMath>
        <m:r>
          <m:t>p</m:t>
        </m:r>
      </m:oMath>
      <w:r>
        <w:t xml:space="preserve">; it carries no return period, so</w:t>
      </w:r>
      <w:r>
        <w:t xml:space="preserve"> </w:t>
      </w:r>
      <m:oMath>
        <m:sSub>
          <m:e>
            <m:r>
              <m:t>T</m:t>
            </m:r>
          </m:e>
          <m:sub>
            <m:r>
              <m:t>R</m:t>
            </m:r>
          </m:sub>
        </m:sSub>
      </m:oMath>
      <w:r>
        <w:t xml:space="preserve"> </w:t>
      </w:r>
      <w:r>
        <w:t xml:space="preserve">and</w:t>
      </w:r>
      <w:r>
        <w:t xml:space="preserve"> </w:t>
      </w:r>
      <m:oMath>
        <m:sSub>
          <m:e>
            <m:r>
              <m:t>P</m:t>
            </m:r>
          </m:e>
          <m:sub>
            <m:r>
              <m:t>T</m:t>
            </m:r>
          </m:sub>
        </m:sSub>
      </m:oMath>
      <w:r>
        <w:t xml:space="preserve"> </w:t>
      </w:r>
      <w:r>
        <w:t xml:space="preserve">do not apply.</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P</m:t>
                  </m:r>
                </m:e>
                <m:sub>
                  <m:r>
                    <m:t>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0.50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0.84</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0.90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0.95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617</w:t>
            </w:r>
          </w:p>
        </w:tc>
      </w:tr>
    </w:tbl>
    <w:bookmarkEnd w:id="92"/>
    <w:p/>
    <w:p>
      <w:pPr>
        <w:pStyle w:val="BodyText"/>
      </w:pPr>
      <w:r>
        <w:t xml:space="preserve"> </w:t>
      </w:r>
    </w:p>
    <w:p>
      <w:pPr>
        <w:pStyle w:val="BodyText"/>
      </w:pPr>
      <w:r>
        <w:t xml:space="preserve"> </w:t>
      </w:r>
    </w:p>
    <w:bookmarkStart w:id="93" w:name="tbl-pga-tr-docx"/>
    <w:p>
      <w:pPr>
        <w:pStyle w:val="ImageCaption"/>
        <w:spacing w:before="200"/>
        <w:jc w:val="left"/>
      </w:pPr>
      <w:r>
        <w:t xml:space="preserve">Table 4.2: Peak ground acceleration by return period and site condition (</w:t>
      </w:r>
      <w:r>
        <w:rPr>
          <w:rStyle w:val="VerbatimChar"/>
        </w:rPr>
        <w:t xml:space="preserve">siteID</w:t>
      </w:r>
      <w:r>
        <w:t xml:space="preserve">: CFD). Columns identified by</w:t>
      </w:r>
      <w:r>
        <w:t xml:space="preserve"> </w:t>
      </w:r>
      <m:oMath>
        <m:sSub>
          <m:e>
            <m:r>
              <m:t>V</m:t>
            </m:r>
          </m:e>
          <m:sub>
            <m:r>
              <m:t>S</m:t>
            </m:r>
            <m:r>
              <m:t>30</m:t>
            </m:r>
          </m:sub>
        </m:sSub>
      </m:oMath>
      <w:r>
        <w:t xml:space="preserve"> </w:t>
      </w:r>
      <w:r>
        <w:t xml:space="preserve">(m/s) represent the site conditions. The</w:t>
      </w:r>
      <w:r>
        <w:t xml:space="preserve"> </w:t>
      </w:r>
      <m:oMath>
        <m:sSub>
          <m:e>
            <m:r>
              <m:t>T</m:t>
            </m:r>
          </m:e>
          <m:sub>
            <m:r>
              <m:t>R</m:t>
            </m:r>
          </m:sub>
        </m:sSub>
      </m:oMath>
      <w:r>
        <w:t xml:space="preserve"> </w:t>
      </w:r>
      <w:r>
        <w:t xml:space="preserve">rows (years) report the mean probabilistic PGA (g), and the MDE (84%) row reports the 0.84 quantile of the PGA for the return period of the MDE. The MCE and MCE (84%) rows report the deterministic envelope at its mean and 84th percentile, respectively, for the same site conditions.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180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270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360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800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1250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1500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MDE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 (84%)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0.480</w:t>
            </w:r>
          </w:p>
        </w:tc>
      </w:tr>
    </w:tbl>
    <w:bookmarkEnd w:id="93"/>
    <w:p/>
    <w:p>
      <w:pPr>
        <w:pStyle w:val="BodyText"/>
      </w:pPr>
      <w:r>
        <w:t xml:space="preserve"> </w:t>
      </w:r>
    </w:p>
    <w:p>
      <w:pPr>
        <w:pStyle w:val="BodyText"/>
      </w:pPr>
      <w:r>
        <w:t xml:space="preserve"> </w:t>
      </w:r>
    </w:p>
    <w:bookmarkStart w:id="94" w:name="tbl-psa-vs30-800-docx"/>
    <w:p>
      <w:pPr>
        <w:pStyle w:val="ImageCaption"/>
        <w:spacing w:before="200"/>
        <w:jc w:val="left"/>
      </w:pPr>
      <w:r>
        <w:t xml:space="preserve">Table 4.3: Design earthquakes in terms of pseudo-spectral acceleration</w:t>
      </w:r>
      <w:r>
        <w:t xml:space="preserve"> </w:t>
      </w:r>
      <m:oMath>
        <m:sSub>
          <m:e>
            <m:r>
              <m:t>S</m:t>
            </m:r>
          </m:e>
          <m:sub>
            <m:r>
              <m:t>a</m:t>
            </m:r>
          </m:sub>
        </m:sSub>
        <m:r>
          <m:rPr>
            <m:sty m:val="p"/>
          </m:rPr>
          <m:t>(</m:t>
        </m:r>
        <m:sSub>
          <m:e>
            <m:r>
              <m:t>T</m:t>
            </m:r>
          </m:e>
          <m:sub>
            <m:r>
              <m:t>n</m:t>
            </m:r>
          </m:sub>
        </m:sSub>
        <m:r>
          <m:rPr>
            <m:sty m:val="p"/>
          </m:rPr>
          <m:t>)</m:t>
        </m:r>
      </m:oMath>
      <w:r>
        <w:t xml:space="preserve"> </w:t>
      </w:r>
      <w:r>
        <w:t xml:space="preserve">[cm/s2] for site</w:t>
      </w:r>
      <w:r>
        <w:t xml:space="preserve"> </w:t>
      </w:r>
      <w:r>
        <w:rPr>
          <w:rStyle w:val="VerbatimChar"/>
        </w:rPr>
        <w:t xml:space="preserve">CFD</w:t>
      </w:r>
      <w:r>
        <w:t xml:space="preserve">, for return periods from 100 to 10000 yr, oscillator periods from 0 to 5 s, the site condition</w:t>
      </w:r>
      <w:r>
        <w:t xml:space="preserve"> </w:t>
      </w:r>
      <m:oMath>
        <m:sSub>
          <m:e>
            <m:r>
              <m:t>V</m:t>
            </m:r>
          </m:e>
          <m:sub>
            <m:r>
              <m:t>S</m:t>
            </m:r>
            <m:r>
              <m:t>30</m:t>
            </m:r>
          </m:sub>
        </m:sSub>
      </m:oMath>
      <w:r>
        <w:t xml:space="preserve"> </w:t>
      </w:r>
      <w:r>
        <w:t xml:space="preserve">= 800 m/s, and the statistic</w:t>
      </w:r>
      <w:r>
        <w:t xml:space="preserve"> </w:t>
      </w:r>
      <m:oMath>
        <m:r>
          <m:t>p</m:t>
        </m:r>
      </m:oMath>
      <w:r>
        <w:t xml:space="preserve"> </w:t>
      </w:r>
      <w:r>
        <w:t xml:space="preserve">= mean. When the report covers more than one site, a leading</w:t>
      </w:r>
      <w:r>
        <w:t xml:space="preserve"> </w:t>
      </w:r>
      <w:r>
        <w:rPr>
          <w:rStyle w:val="VerbatimChar"/>
        </w:rPr>
        <w:t xml:space="preserve">siteID</w:t>
      </w:r>
      <w:r>
        <w:t xml:space="preserve"> </w:t>
      </w:r>
      <w:r>
        <w:t xml:space="preserve">column identifies the site. The identifying columns are</w:t>
      </w:r>
      <w:r>
        <w:t xml:space="preserve"> </w:t>
      </w:r>
      <m:oMath>
        <m:sSub>
          <m:e>
            <m:r>
              <m:t>T</m:t>
            </m:r>
          </m:e>
          <m:sub>
            <m:r>
              <m:t>n</m:t>
            </m:r>
          </m:sub>
        </m:sSub>
      </m:oMath>
      <w:r>
        <w:t xml:space="preserve">, the oscillator period, in seconds, with</w:t>
      </w:r>
      <w:r>
        <w:t xml:space="preserve"> </w:t>
      </w:r>
      <m:oMath>
        <m:sSub>
          <m:e>
            <m:r>
              <m:t>T</m:t>
            </m:r>
          </m:e>
          <m:sub>
            <m:r>
              <m:t>n</m:t>
            </m:r>
          </m:sub>
        </m:sSub>
        <m:r>
          <m:rPr>
            <m:sty m:val="p"/>
          </m:rPr>
          <m:t>=</m:t>
        </m:r>
        <m:r>
          <m:t>0</m:t>
        </m:r>
      </m:oMath>
      <w:r>
        <w:t xml:space="preserve"> </w:t>
      </w:r>
      <w:r>
        <w:t xml:space="preserve">representing</w:t>
      </w:r>
      <w:r>
        <w:t xml:space="preserve"> </w:t>
      </w:r>
      <m:oMath>
        <m:r>
          <m:rPr>
            <m:sty m:val="p"/>
          </m:rPr>
          <m:t>P</m:t>
        </m:r>
        <m:r>
          <m:rPr>
            <m:sty m:val="p"/>
          </m:rPr>
          <m:t>G</m:t>
        </m:r>
        <m:r>
          <m:rPr>
            <m:sty m:val="p"/>
          </m:rPr>
          <m:t>A</m:t>
        </m:r>
      </m:oMath>
      <w:r>
        <w:t xml:space="preserve">;</w:t>
      </w:r>
      <w:r>
        <w:t xml:space="preserve"> </w:t>
      </w:r>
      <m:oMath>
        <m:sSub>
          <m:e>
            <m:r>
              <m:t>V</m:t>
            </m:r>
          </m:e>
          <m:sub>
            <m:r>
              <m:t>S</m:t>
            </m:r>
            <m:r>
              <m:t>30</m:t>
            </m:r>
          </m:sub>
        </m:sSub>
      </m:oMath>
      <w:r>
        <w:t xml:space="preserve">, the shear-wave velocity of the evaluated condition, in m/s; and</w:t>
      </w:r>
      <w:r>
        <w:t xml:space="preserve"> </w:t>
      </w:r>
      <m:oMath>
        <m:r>
          <m:t>p</m:t>
        </m:r>
      </m:oMath>
      <w:r>
        <w:t xml:space="preserve">, the reported statistic, the ensemble mean or the quantile probability level, dimensionless. Each remaining column is headed by a return period</w:t>
      </w:r>
      <w:r>
        <w:t xml:space="preserve"> </w:t>
      </w:r>
      <m:oMath>
        <m:sSub>
          <m:e>
            <m:r>
              <m:t>T</m:t>
            </m:r>
          </m:e>
          <m:sub>
            <m:r>
              <m:t>R</m:t>
            </m:r>
          </m:sub>
        </m:sSub>
      </m:oMath>
      <w:r>
        <w:t xml:space="preserve">, in years, and holds the</w:t>
      </w:r>
      <w:r>
        <w:t xml:space="preserve"> </w:t>
      </w:r>
      <m:oMath>
        <m:sSub>
          <m:e>
            <m:r>
              <m:t>S</m:t>
            </m:r>
          </m:e>
          <m:sub>
            <m:r>
              <m:t>a</m:t>
            </m:r>
          </m:sub>
        </m:sSub>
        <m:r>
          <m:rPr>
            <m:sty m:val="p"/>
          </m:rPr>
          <m:t>(</m:t>
        </m:r>
        <m:sSub>
          <m:e>
            <m:r>
              <m:t>T</m:t>
            </m:r>
          </m:e>
          <m:sub>
            <m:r>
              <m:t>n</m:t>
            </m:r>
          </m:sub>
        </m:sSub>
        <m:r>
          <m:rPr>
            <m:sty m:val="p"/>
          </m:rPr>
          <m:t>)</m:t>
        </m:r>
      </m:oMath>
      <w:r>
        <w:t xml:space="preserve"> </w:t>
      </w:r>
      <w:r>
        <w:t xml:space="preserve">ordinates in the units stated.</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2000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5000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10000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p</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bl>
    <w:bookmarkEnd w:id="94"/>
    <w:p/>
    <w:p>
      <w:pPr>
        <w:pStyle w:val="BodyText"/>
      </w:pPr>
      <w:r>
        <w:t xml:space="preserve"> </w:t>
      </w:r>
    </w:p>
    <w:p>
      <w:pPr>
        <w:pStyle w:val="BodyText"/>
      </w:pPr>
      <w:r>
        <w:t xml:space="preserve"> </w:t>
      </w:r>
    </w:p>
    <w:bookmarkStart w:id="95" w:name="tbl-af-vs30-800-docx"/>
    <w:p>
      <w:pPr>
        <w:pStyle w:val="ImageCaption"/>
        <w:spacing w:before="200"/>
        <w:jc w:val="left"/>
      </w:pPr>
      <w:r>
        <w:t xml:space="preserve">Table 4.4: Site amplification factors</w:t>
      </w:r>
      <w:r>
        <w:t xml:space="preserve"> </w:t>
      </w:r>
      <m:oMath>
        <m:r>
          <m:rPr>
            <m:sty m:val="p"/>
          </m:rPr>
          <m:t>A</m:t>
        </m:r>
        <m:r>
          <m:rPr>
            <m:sty m:val="p"/>
          </m:rPr>
          <m:t>F</m:t>
        </m:r>
      </m:oMath>
      <w:r>
        <w:t xml:space="preserve">, dimensionless, of the design demand for site</w:t>
      </w:r>
      <w:r>
        <w:t xml:space="preserve"> </w:t>
      </w:r>
      <w:r>
        <w:rPr>
          <w:rStyle w:val="VerbatimChar"/>
        </w:rPr>
        <w:t xml:space="preserve">CFD</w:t>
      </w:r>
      <w:r>
        <w:t xml:space="preserve"> </w:t>
      </w:r>
      <w:r>
        <w:t xml:space="preserve">relative to the</w:t>
      </w:r>
      <w:r>
        <w:t xml:space="preserve"> </w:t>
      </w:r>
      <m:oMath>
        <m:sSub>
          <m:e>
            <m:r>
              <m:t>V</m:t>
            </m:r>
          </m:e>
          <m:sub>
            <m:r>
              <m:t>S</m:t>
            </m:r>
            <m:r>
              <m:t>30</m:t>
            </m:r>
          </m:sub>
        </m:sSub>
        <m:r>
          <m:rPr>
            <m:sty m:val="p"/>
          </m:rPr>
          <m:t>=</m:t>
        </m:r>
        <m:r>
          <m:t>760</m:t>
        </m:r>
      </m:oMath>
      <w:r>
        <w:t xml:space="preserve"> </w:t>
      </w:r>
      <w:r>
        <w:t xml:space="preserve">m/s reference condition, for return periods from 100 to 10000 yr, oscillator periods from 0 to 5 s, the site condition</w:t>
      </w:r>
      <w:r>
        <w:t xml:space="preserve"> </w:t>
      </w:r>
      <m:oMath>
        <m:sSub>
          <m:e>
            <m:r>
              <m:t>V</m:t>
            </m:r>
          </m:e>
          <m:sub>
            <m:r>
              <m:t>S</m:t>
            </m:r>
            <m:r>
              <m:t>30</m:t>
            </m:r>
          </m:sub>
        </m:sSub>
      </m:oMath>
      <w:r>
        <w:t xml:space="preserve"> </w:t>
      </w:r>
      <w:r>
        <w:t xml:space="preserve">= 800 m/s, and the statistic</w:t>
      </w:r>
      <w:r>
        <w:t xml:space="preserve"> </w:t>
      </w:r>
      <m:oMath>
        <m:r>
          <m:t>p</m:t>
        </m:r>
      </m:oMath>
      <w:r>
        <w:t xml:space="preserve"> </w:t>
      </w:r>
      <w:r>
        <w:t xml:space="preserve">= mean. When the report covers more than one site, a leading</w:t>
      </w:r>
      <w:r>
        <w:t xml:space="preserve"> </w:t>
      </w:r>
      <w:r>
        <w:rPr>
          <w:rStyle w:val="VerbatimChar"/>
        </w:rPr>
        <w:t xml:space="preserve">siteID</w:t>
      </w:r>
      <w:r>
        <w:t xml:space="preserve"> </w:t>
      </w:r>
      <w:r>
        <w:t xml:space="preserve">column identifies the site. The identifying columns are</w:t>
      </w:r>
      <w:r>
        <w:t xml:space="preserve"> </w:t>
      </w:r>
      <m:oMath>
        <m:sSub>
          <m:e>
            <m:r>
              <m:t>T</m:t>
            </m:r>
          </m:e>
          <m:sub>
            <m:r>
              <m:t>n</m:t>
            </m:r>
          </m:sub>
        </m:sSub>
      </m:oMath>
      <w:r>
        <w:t xml:space="preserve">, the oscillator period, in seconds, with</w:t>
      </w:r>
      <w:r>
        <w:t xml:space="preserve"> </w:t>
      </w:r>
      <m:oMath>
        <m:sSub>
          <m:e>
            <m:r>
              <m:t>T</m:t>
            </m:r>
          </m:e>
          <m:sub>
            <m:r>
              <m:t>n</m:t>
            </m:r>
          </m:sub>
        </m:sSub>
        <m:r>
          <m:rPr>
            <m:sty m:val="p"/>
          </m:rPr>
          <m:t>=</m:t>
        </m:r>
        <m:r>
          <m:t>0</m:t>
        </m:r>
      </m:oMath>
      <w:r>
        <w:t xml:space="preserve"> </w:t>
      </w:r>
      <w:r>
        <w:t xml:space="preserve">representing</w:t>
      </w:r>
      <w:r>
        <w:t xml:space="preserve"> </w:t>
      </w:r>
      <m:oMath>
        <m:r>
          <m:rPr>
            <m:sty m:val="p"/>
          </m:rPr>
          <m:t>P</m:t>
        </m:r>
        <m:r>
          <m:rPr>
            <m:sty m:val="p"/>
          </m:rPr>
          <m:t>G</m:t>
        </m:r>
        <m:r>
          <m:rPr>
            <m:sty m:val="p"/>
          </m:rPr>
          <m:t>A</m:t>
        </m:r>
      </m:oMath>
      <w:r>
        <w:t xml:space="preserve">;</w:t>
      </w:r>
      <w:r>
        <w:t xml:space="preserve"> </w:t>
      </w:r>
      <m:oMath>
        <m:sSub>
          <m:e>
            <m:r>
              <m:t>V</m:t>
            </m:r>
          </m:e>
          <m:sub>
            <m:r>
              <m:t>S</m:t>
            </m:r>
            <m:r>
              <m:t>30</m:t>
            </m:r>
          </m:sub>
        </m:sSub>
      </m:oMath>
      <w:r>
        <w:t xml:space="preserve">, the shear-wave velocity of the evaluated condition, in m/s; and</w:t>
      </w:r>
      <w:r>
        <w:t xml:space="preserve"> </w:t>
      </w:r>
      <m:oMath>
        <m:r>
          <m:t>p</m:t>
        </m:r>
      </m:oMath>
      <w:r>
        <w:t xml:space="preserve">, the reported statistic, the ensemble mean or the quantile probability level, dimensionless. Each remaining column is headed by a return period</w:t>
      </w:r>
      <w:r>
        <w:t xml:space="preserve"> </w:t>
      </w:r>
      <m:oMath>
        <m:sSub>
          <m:e>
            <m:r>
              <m:t>T</m:t>
            </m:r>
          </m:e>
          <m:sub>
            <m:r>
              <m:t>R</m:t>
            </m:r>
          </m:sub>
        </m:sSub>
      </m:oMath>
      <w:r>
        <w:t xml:space="preserve">, in years, and holds the corresponding</w:t>
      </w:r>
      <w:r>
        <w:t xml:space="preserve"> </w:t>
      </w:r>
      <m:oMath>
        <m:r>
          <m:rPr>
            <m:sty m:val="p"/>
          </m:rPr>
          <m:t>A</m:t>
        </m:r>
        <m:r>
          <m:rPr>
            <m:sty m:val="p"/>
          </m:rPr>
          <m:t>F</m:t>
        </m:r>
      </m:oMath>
      <w:r>
        <w:t xml:space="preserve"> </w:t>
      </w:r>
      <w:r>
        <w:t xml:space="preserve">factor.</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2000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5000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10000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MCE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p</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r>
    </w:tbl>
    <w:bookmarkEnd w:id="95"/>
    <w:p/>
    <w:p>
      <w:pPr>
        <w:pStyle w:val="BodyText"/>
      </w:pPr>
      <w:r>
        <w:t xml:space="preserve"> </w:t>
      </w:r>
    </w:p>
    <w:p>
      <w:pPr>
        <w:pStyle w:val="BodyText"/>
      </w:pPr>
      <w:r>
        <w:t xml:space="preserve">The spectra by site condition and the amplification factors are developed in the</w:t>
      </w:r>
      <w:r>
        <w:t xml:space="preserve"> </w:t>
      </w:r>
      <w:hyperlink r:id="rId9">
        <w:r>
          <w:rPr>
            <w:rStyle w:val="Hyperlink"/>
          </w:rPr>
          <w:t xml:space="preserve">Seismic Hazard Assessment</w:t>
        </w:r>
      </w:hyperlink>
      <w:r>
        <w:t xml:space="preserve"> </w:t>
      </w:r>
      <w:r>
        <w:t xml:space="preserve">annex.</w:t>
      </w:r>
    </w:p>
    <w:bookmarkEnd w:id="96"/>
    <w:bookmarkStart w:id="101" w:name="sec-criteria"/>
    <w:p>
      <w:pPr>
        <w:pStyle w:val="Heading2"/>
      </w:pPr>
      <w:r>
        <w:t xml:space="preserve">4.2</w:t>
      </w:r>
      <w:r>
        <w:tab/>
      </w:r>
      <w:r>
        <w:t xml:space="preserve">Seismic Design Criteria for Slopes</w:t>
      </w:r>
    </w:p>
    <w:p>
      <w:pPr>
        <w:pStyle w:val="FirstParagraph"/>
      </w:pPr>
      <w:r>
        <w:t xml:space="preserve">The seismic design of tailings storage facilities is based on the two-level performance framework consolidated by dam-safety practice: an Operating Basis Earthquake (OBE), which the facility must withstand without operational interruption, and a Safety Evaluation Earthquake (SEE), under which it must not release tailings. ICOLD Bulletin 148 formalizes this framework for embankment structures</w:t>
      </w:r>
      <w:r>
        <w:t xml:space="preserve"> </w:t>
      </w:r>
      <w:r>
        <w:t xml:space="preserve">(</w:t>
      </w:r>
      <w:hyperlink w:anchor="ref-ANCOLD2012">
        <w:r>
          <w:rPr>
            <w:rStyle w:val="Hyperlink"/>
          </w:rPr>
          <w:t xml:space="preserve">Australian National Committee on Large Dams, 2012</w:t>
        </w:r>
      </w:hyperlink>
      <w:r>
        <w:t xml:space="preserve">;</w:t>
      </w:r>
      <w:r>
        <w:t xml:space="preserve"> </w:t>
      </w:r>
      <w:hyperlink w:anchor="ref-ICOLD2016">
        <w:r>
          <w:rPr>
            <w:rStyle w:val="Hyperlink"/>
          </w:rPr>
          <w:t xml:space="preserve">International Commission on Large Dams, 2016</w:t>
        </w:r>
      </w:hyperlink>
      <w:r>
        <w:t xml:space="preserve">)</w:t>
      </w:r>
      <w:r>
        <w:t xml:space="preserve">, and the USACE Engineer Regulation ER 1110-2-1806 expresses it in terms of the OBE and the Maximum Design Earthquake (MDE)</w:t>
      </w:r>
      <w:r>
        <w:t xml:space="preserve"> </w:t>
      </w:r>
      <w:r>
        <w:t xml:space="preserve">(</w:t>
      </w:r>
      <w:hyperlink w:anchor="ref-USACE1995">
        <w:r>
          <w:rPr>
            <w:rStyle w:val="Hyperlink"/>
          </w:rPr>
          <w:t xml:space="preserve">U.S. Army Corps of Engineers, 1995</w:t>
        </w:r>
      </w:hyperlink>
      <w:r>
        <w:t xml:space="preserve">)</w:t>
      </w:r>
      <w:r>
        <w:t xml:space="preserve">.</w:t>
      </w:r>
    </w:p>
    <w:p>
      <w:pPr>
        <w:pStyle w:val="BodyText"/>
      </w:pPr>
      <w:r>
        <w:t xml:space="preserve">Three international frameworks implement these two performance levels for tailings storage facilities according to the consequence class of the facility: the Global Industry Standard on Tailings Management (GISTM)</w:t>
      </w:r>
      <w:r>
        <w:t xml:space="preserve"> </w:t>
      </w:r>
      <w:r>
        <w:t xml:space="preserve">(</w:t>
      </w:r>
      <w:hyperlink w:anchor="ref-gistm2020">
        <w:r>
          <w:rPr>
            <w:rStyle w:val="Hyperlink"/>
          </w:rPr>
          <w:t xml:space="preserve">Global Tailings Review (ICMM, UNEP, PRI), 2020</w:t>
        </w:r>
      </w:hyperlink>
      <w:r>
        <w:t xml:space="preserve">)</w:t>
      </w:r>
      <w:r>
        <w:t xml:space="preserve">, the Canadian Dam Association (CDA) guidelines</w:t>
      </w:r>
      <w:r>
        <w:t xml:space="preserve"> </w:t>
      </w:r>
      <w:r>
        <w:t xml:space="preserve">(</w:t>
      </w:r>
      <w:hyperlink w:anchor="ref-CDA2019">
        <w:r>
          <w:rPr>
            <w:rStyle w:val="Hyperlink"/>
          </w:rPr>
          <w:t xml:space="preserve">Canadian Dam Association, 2019</w:t>
        </w:r>
      </w:hyperlink>
      <w:r>
        <w:t xml:space="preserve">;</w:t>
      </w:r>
      <w:r>
        <w:t xml:space="preserve"> </w:t>
      </w:r>
      <w:hyperlink w:anchor="ref-cda2021">
        <w:r>
          <w:rPr>
            <w:rStyle w:val="Hyperlink"/>
          </w:rPr>
          <w:t xml:space="preserve">Canadian Dam Association (CDA), 2021</w:t>
        </w:r>
      </w:hyperlink>
      <w:r>
        <w:t xml:space="preserve">)</w:t>
      </w:r>
      <w:r>
        <w:t xml:space="preserve">, and the Australian National Committee on Large Dams (ANCOLD) guidelines</w:t>
      </w:r>
      <w:r>
        <w:t xml:space="preserve"> </w:t>
      </w:r>
      <w:r>
        <w:t xml:space="preserve">(</w:t>
      </w:r>
      <w:hyperlink w:anchor="ref-ancold2019">
        <w:r>
          <w:rPr>
            <w:rStyle w:val="Hyperlink"/>
          </w:rPr>
          <w:t xml:space="preserve">Australian National Committee on Large Dams (ANCOLD), 2019</w:t>
        </w:r>
      </w:hyperlink>
      <w:r>
        <w:t xml:space="preserve">)</w:t>
      </w:r>
      <w:r>
        <w:t xml:space="preserve">. The consequence class, from Low to Extreme, reflects the potential severity of a failure in terms of population at risk, anticipated loss of life, and environmental and socio-economic impacts, governs the stringency of the seismic criteria, and sets progressively more stringent annual exceedance probabilities (AEPs) for the design earthquakes. GISTM defines five consequence classes, CDA five consequence classifications, and ANCOLD six consequence categories, with three gradations, High C, High B and High A, within its High category. The classes and the design-earthquake AEPs of each framework are tabulated in Tables</w:t>
      </w:r>
      <w:r>
        <w:t xml:space="preserve"> </w:t>
      </w:r>
      <w:hyperlink w:anchor="tbl-gistm">
        <w:r>
          <w:rPr>
            <w:rStyle w:val="Hyperlink"/>
          </w:rPr>
          <w:t xml:space="preserve">6.1</w:t>
        </w:r>
      </w:hyperlink>
      <w:r>
        <w:t xml:space="preserve">,</w:t>
      </w:r>
      <w:r>
        <w:t xml:space="preserve"> </w:t>
      </w:r>
      <w:hyperlink w:anchor="tbl-cda">
        <w:r>
          <w:rPr>
            <w:rStyle w:val="Hyperlink"/>
          </w:rPr>
          <w:t xml:space="preserve">6.2</w:t>
        </w:r>
      </w:hyperlink>
      <w:r>
        <w:t xml:space="preserve"> </w:t>
      </w:r>
      <w:r>
        <w:t xml:space="preserve">and</w:t>
      </w:r>
      <w:r>
        <w:t xml:space="preserve"> </w:t>
      </w:r>
      <w:hyperlink w:anchor="tbl-ancold">
        <w:r>
          <w:rPr>
            <w:rStyle w:val="Hyperlink"/>
          </w:rPr>
          <w:t xml:space="preserve">6.3</w:t>
        </w:r>
      </w:hyperlink>
      <w:r>
        <w:t xml:space="preserve">.</w:t>
      </w:r>
    </w:p>
    <w:p>
      <w:pPr>
        <w:pStyle w:val="BodyText"/>
      </w:pPr>
      <w:r>
        <w:t xml:space="preserve">Each framework designates the design earthquake in its own terms. GISTM specifies a single design ground motion for each consequence class and lifecycle stage, with the Maximum Credible Earthquake (MCE) evaluated in parallel and governing whenever it produces the higher demand</w:t>
      </w:r>
      <w:r>
        <w:t xml:space="preserve"> </w:t>
      </w:r>
      <w:r>
        <w:t xml:space="preserve">(</w:t>
      </w:r>
      <w:hyperlink w:anchor="ref-gistm2020">
        <w:r>
          <w:rPr>
            <w:rStyle w:val="Hyperlink"/>
          </w:rPr>
          <w:t xml:space="preserve">2020</w:t>
        </w:r>
      </w:hyperlink>
      <w:r>
        <w:t xml:space="preserve">)</w:t>
      </w:r>
      <w:r>
        <w:t xml:space="preserve">. CDA adopts the SEE as the design basis, admits the MCE as a declared alternative to the probabilistic level for high-consequence facilities, and allows risk-based departures for lower classes during transitional closure stages provided the post-closure requirements are ultimately met; its tabulated levels are targets for initial consideration and consultation between owner and regulator, and the designer of record and the owner may adopt more stringent levels to further reduce risk, or less stringent ones where justified</w:t>
      </w:r>
      <w:r>
        <w:t xml:space="preserve"> </w:t>
      </w:r>
      <w:r>
        <w:t xml:space="preserve">(</w:t>
      </w:r>
      <w:hyperlink w:anchor="ref-cda2021">
        <w:r>
          <w:rPr>
            <w:rStyle w:val="Hyperlink"/>
          </w:rPr>
          <w:t xml:space="preserve">2021</w:t>
        </w:r>
      </w:hyperlink>
      <w:r>
        <w:t xml:space="preserve">)</w:t>
      </w:r>
      <w:r>
        <w:t xml:space="preserve">. ANCOLD assigns an OBE and an SEE to each consequence category: a uniform OBE of 1/500 AEP together with an SEE that ranges from 1/1,000 AEP up to the greater of the MCE and the 1/10,000 AEP event (84th percentile) for the Extreme category</w:t>
      </w:r>
      <w:r>
        <w:t xml:space="preserve"> </w:t>
      </w:r>
      <w:r>
        <w:t xml:space="preserve">(</w:t>
      </w:r>
      <w:hyperlink w:anchor="ref-ancold2019">
        <w:r>
          <w:rPr>
            <w:rStyle w:val="Hyperlink"/>
          </w:rPr>
          <w:t xml:space="preserve">2019</w:t>
        </w:r>
      </w:hyperlink>
      <w:r>
        <w:t xml:space="preserve">)</w:t>
      </w:r>
      <w:r>
        <w:t xml:space="preserve">, in line with mining-sector regulatory guidance that assigns design return periods of 10,000 years or longer to extreme-consequence structures</w:t>
      </w:r>
      <w:r>
        <w:t xml:space="preserve"> </w:t>
      </w:r>
      <w:r>
        <w:t xml:space="preserve">(</w:t>
      </w:r>
      <w:hyperlink w:anchor="ref-UBCThesis">
        <w:r>
          <w:rPr>
            <w:rStyle w:val="Hyperlink"/>
            <w:i/>
            <w:iCs/>
          </w:rPr>
          <w:t xml:space="preserve">Seismic</w:t>
        </w:r>
        <w:r>
          <w:rPr>
            <w:rStyle w:val="Hyperlink"/>
            <w:i/>
            <w:iCs/>
          </w:rPr>
          <w:t xml:space="preserve"> </w:t>
        </w:r>
        <w:r>
          <w:rPr>
            <w:rStyle w:val="Hyperlink"/>
            <w:i/>
            <w:iCs/>
          </w:rPr>
          <w:t xml:space="preserve">Permanent</w:t>
        </w:r>
        <w:r>
          <w:rPr>
            <w:rStyle w:val="Hyperlink"/>
            <w:i/>
            <w:iCs/>
          </w:rPr>
          <w:t xml:space="preserve"> </w:t>
        </w:r>
        <w:r>
          <w:rPr>
            <w:rStyle w:val="Hyperlink"/>
            <w:i/>
            <w:iCs/>
          </w:rPr>
          <w:t xml:space="preserve">Displacements</w:t>
        </w:r>
        <w:r>
          <w:rPr>
            <w:rStyle w:val="Hyperlink"/>
            <w:i/>
            <w:iCs/>
          </w:rPr>
          <w:t xml:space="preserve"> </w:t>
        </w:r>
        <w:r>
          <w:rPr>
            <w:rStyle w:val="Hyperlink"/>
            <w:i/>
            <w:iCs/>
          </w:rPr>
          <w:t xml:space="preserve">for</w:t>
        </w:r>
        <w:r>
          <w:rPr>
            <w:rStyle w:val="Hyperlink"/>
            <w:i/>
            <w:iCs/>
          </w:rPr>
          <w:t xml:space="preserve"> </w:t>
        </w:r>
        <w:r>
          <w:rPr>
            <w:rStyle w:val="Hyperlink"/>
            <w:i/>
            <w:iCs/>
          </w:rPr>
          <w:t xml:space="preserve">Tailings</w:t>
        </w:r>
        <w:r>
          <w:rPr>
            <w:rStyle w:val="Hyperlink"/>
            <w:i/>
            <w:iCs/>
          </w:rPr>
          <w:t xml:space="preserve"> </w:t>
        </w:r>
        <w:r>
          <w:rPr>
            <w:rStyle w:val="Hyperlink"/>
            <w:i/>
            <w:iCs/>
          </w:rPr>
          <w:t xml:space="preserve">Storage</w:t>
        </w:r>
        <w:r>
          <w:rPr>
            <w:rStyle w:val="Hyperlink"/>
            <w:i/>
            <w:iCs/>
          </w:rPr>
          <w:t xml:space="preserve"> </w:t>
        </w:r>
        <w:r>
          <w:rPr>
            <w:rStyle w:val="Hyperlink"/>
            <w:i/>
            <w:iCs/>
          </w:rPr>
          <w:t xml:space="preserve">Facilities</w:t>
        </w:r>
        <w:r>
          <w:rPr>
            <w:rStyle w:val="Hyperlink"/>
            <w:i/>
            <w:iCs/>
          </w:rPr>
          <w:t xml:space="preserve"> </w:t>
        </w:r>
        <w:r>
          <w:rPr>
            <w:rStyle w:val="Hyperlink"/>
            <w:i/>
            <w:iCs/>
          </w:rPr>
          <w:t xml:space="preserve">and</w:t>
        </w:r>
        <w:r>
          <w:rPr>
            <w:rStyle w:val="Hyperlink"/>
            <w:i/>
            <w:iCs/>
          </w:rPr>
          <w:t xml:space="preserve"> </w:t>
        </w:r>
        <w:r>
          <w:rPr>
            <w:rStyle w:val="Hyperlink"/>
            <w:i/>
            <w:iCs/>
          </w:rPr>
          <w:t xml:space="preserve">Waste</w:t>
        </w:r>
        <w:r>
          <w:rPr>
            <w:rStyle w:val="Hyperlink"/>
            <w:i/>
            <w:iCs/>
          </w:rPr>
          <w:t xml:space="preserve"> </w:t>
        </w:r>
        <w:r>
          <w:rPr>
            <w:rStyle w:val="Hyperlink"/>
            <w:i/>
            <w:iCs/>
          </w:rPr>
          <w:t xml:space="preserve">Rock</w:t>
        </w:r>
        <w:r>
          <w:rPr>
            <w:rStyle w:val="Hyperlink"/>
            <w:i/>
            <w:iCs/>
          </w:rPr>
          <w:t xml:space="preserve"> </w:t>
        </w:r>
        <w:r>
          <w:rPr>
            <w:rStyle w:val="Hyperlink"/>
            <w:i/>
            <w:iCs/>
          </w:rPr>
          <w:t xml:space="preserve">Dumps</w:t>
        </w:r>
        <w:r>
          <w:rPr>
            <w:rStyle w:val="Hyperlink"/>
          </w:rPr>
          <w:t xml:space="preserve">, n.d.</w:t>
        </w:r>
      </w:hyperlink>
      <w:r>
        <w:t xml:space="preserve">)</w:t>
      </w:r>
      <w:r>
        <w:t xml:space="preserve">.</w:t>
      </w:r>
    </w:p>
    <w:p>
      <w:pPr>
        <w:pStyle w:val="BodyText"/>
      </w:pPr>
      <w:r>
        <w:t xml:space="preserve">For a given consequence class, the design earthquake also varies with the lifecycle stage. During construction, partial-height embankments are checked against the OBE as a minimum, and against the SEE for high-consequence facilities or in high-seismicity regions. During operation, the stage with the largest stored volumes and the highest risk profile, the differentiation by consequence class is greatest: operational AEPs range from 1/200 (GISTM, Low) or 1/100 (CDA) to 1/10,000 for Extreme facilities. Closure and post-closure criteria are specific to each framework. GISTM retains the operational criteria through active-care closure and sets a 1/10,000 AEP for all classes during passive-care post-closure</w:t>
      </w:r>
      <w:r>
        <w:t xml:space="preserve"> </w:t>
      </w:r>
      <w:r>
        <w:t xml:space="preserve">(</w:t>
      </w:r>
      <w:hyperlink w:anchor="ref-gistm2020">
        <w:r>
          <w:rPr>
            <w:rStyle w:val="Hyperlink"/>
          </w:rPr>
          <w:t xml:space="preserve">Global Tailings Review (ICMM, UNEP, PRI), 2020</w:t>
        </w:r>
      </w:hyperlink>
      <w:r>
        <w:t xml:space="preserve">)</w:t>
      </w:r>
      <w:r>
        <w:t xml:space="preserve">. CDA retains criteria that depend on the consequence classification through closure and passive care: closure under active care with regular monitoring retains the levels of the construction, operation and transition stages, and passive care, which is distinct from abandonment of the facility, begins only once a steady-state condition has been demonstrated by accumulated experience and monitoring; any risk-based transition must be justified</w:t>
      </w:r>
      <w:r>
        <w:t xml:space="preserve"> </w:t>
      </w:r>
      <w:r>
        <w:t xml:space="preserve">(</w:t>
      </w:r>
      <w:hyperlink w:anchor="ref-CDA2019">
        <w:r>
          <w:rPr>
            <w:rStyle w:val="Hyperlink"/>
          </w:rPr>
          <w:t xml:space="preserve">Canadian Dam Association, 2019</w:t>
        </w:r>
      </w:hyperlink>
      <w:r>
        <w:t xml:space="preserve">;</w:t>
      </w:r>
      <w:r>
        <w:t xml:space="preserve"> </w:t>
      </w:r>
      <w:hyperlink w:anchor="ref-cda2021">
        <w:r>
          <w:rPr>
            <w:rStyle w:val="Hyperlink"/>
          </w:rPr>
          <w:t xml:space="preserve">Canadian Dam Association (CDA), 2021</w:t>
        </w:r>
      </w:hyperlink>
      <w:r>
        <w:t xml:space="preserve">)</w:t>
      </w:r>
      <w:r>
        <w:t xml:space="preserve">. ANCOLD adopts for post-closure the SEE of the applicable category and requires it to be reassessed at closure when the hazard, the condition of the dam, or its consequences change</w:t>
      </w:r>
      <w:r>
        <w:t xml:space="preserve"> </w:t>
      </w:r>
      <w:r>
        <w:t xml:space="preserve">(</w:t>
      </w:r>
      <w:hyperlink w:anchor="ref-ancold2019">
        <w:r>
          <w:rPr>
            <w:rStyle w:val="Hyperlink"/>
          </w:rPr>
          <w:t xml:space="preserve">Australian National Committee on Large Dams (ANCOLD), 2019</w:t>
        </w:r>
      </w:hyperlink>
      <w:r>
        <w:t xml:space="preserve">)</w:t>
      </w:r>
      <w:r>
        <w:t xml:space="preserve">.</w:t>
      </w:r>
    </w:p>
    <w:p>
      <w:pPr>
        <w:pStyle w:val="BodyText"/>
      </w:pPr>
      <w:r>
        <w:t xml:space="preserve">In this report, the MDE is represented by the probabilistic spectrum for a 10,000-year return period, whereas the MCE is represented by the deterministic envelope. GISTM requires comparison of the MDE and MCE for the Extreme class during operations and active-care closure, and for every class during passive-care post-closure</w:t>
      </w:r>
      <w:r>
        <w:t xml:space="preserve"> </w:t>
      </w:r>
      <w:r>
        <w:t xml:space="preserve">(</w:t>
      </w:r>
      <w:hyperlink w:anchor="ref-gistm2020">
        <w:r>
          <w:rPr>
            <w:rStyle w:val="Hyperlink"/>
          </w:rPr>
          <w:t xml:space="preserve">Global Tailings Review (ICMM, UNEP, PRI), 2020</w:t>
        </w:r>
      </w:hyperlink>
      <w:r>
        <w:t xml:space="preserve">)</w:t>
      </w:r>
      <w:r>
        <w:t xml:space="preserve">. For CDA, the alternative between the probabilistic level and the MCE is set against the MDE for the Extreme class during construction, operation, and transition, and for the Very High and Extreme classes during closure and passive care</w:t>
      </w:r>
      <w:r>
        <w:t xml:space="preserve"> </w:t>
      </w:r>
      <w:r>
        <w:t xml:space="preserve">(</w:t>
      </w:r>
      <w:hyperlink w:anchor="ref-cda2021">
        <w:r>
          <w:rPr>
            <w:rStyle w:val="Hyperlink"/>
          </w:rPr>
          <w:t xml:space="preserve">Canadian Dam Association (CDA), 2021</w:t>
        </w:r>
      </w:hyperlink>
      <w:r>
        <w:t xml:space="preserve">)</w:t>
      </w:r>
      <w:r>
        <w:t xml:space="preserve">. ANCOLD assigns the MDE to the High A category and, for the Extreme category, requires the greater of the MDE and MCE</w:t>
      </w:r>
      <w:r>
        <w:t xml:space="preserve"> </w:t>
      </w:r>
      <w:r>
        <w:t xml:space="preserve">(</w:t>
      </w:r>
      <w:hyperlink w:anchor="ref-ancold2019">
        <w:r>
          <w:rPr>
            <w:rStyle w:val="Hyperlink"/>
          </w:rPr>
          <w:t xml:space="preserve">Australian National Committee on Large Dams (ANCOLD), 2019</w:t>
        </w:r>
      </w:hyperlink>
      <w:r>
        <w:t xml:space="preserve">)</w:t>
      </w:r>
      <w:r>
        <w:t xml:space="preserve">.</w:t>
      </w:r>
    </w:p>
    <w:p>
      <w:pPr>
        <w:pStyle w:val="BodyText"/>
      </w:pPr>
      <w:r>
        <w:t xml:space="preserve">Design ground motions for slopes are reported by lifecycle stage: operation, closure, and post-closure. The design earthquake that applies to each stage, whether the OBE, the SEE, or the PCE, is the one that each standard assigns to the consequence class of the facility in Tables</w:t>
      </w:r>
      <w:r>
        <w:t xml:space="preserve"> </w:t>
      </w:r>
      <w:hyperlink w:anchor="tbl-gistm">
        <w:r>
          <w:rPr>
            <w:rStyle w:val="Hyperlink"/>
          </w:rPr>
          <w:t xml:space="preserve">6.1</w:t>
        </w:r>
      </w:hyperlink>
      <w:r>
        <w:t xml:space="preserve">,</w:t>
      </w:r>
      <w:r>
        <w:t xml:space="preserve"> </w:t>
      </w:r>
      <w:hyperlink w:anchor="tbl-cda">
        <w:r>
          <w:rPr>
            <w:rStyle w:val="Hyperlink"/>
          </w:rPr>
          <w:t xml:space="preserve">6.2</w:t>
        </w:r>
      </w:hyperlink>
      <w:r>
        <w:t xml:space="preserve">, and</w:t>
      </w:r>
      <w:r>
        <w:t xml:space="preserve"> </w:t>
      </w:r>
      <w:hyperlink w:anchor="tbl-ancold">
        <w:r>
          <w:rPr>
            <w:rStyle w:val="Hyperlink"/>
          </w:rPr>
          <w:t xml:space="preserve">6.3</w:t>
        </w:r>
      </w:hyperlink>
      <w:r>
        <w:t xml:space="preserve">: ANCOLD designates it as the OBE or the SEE of the consequence category, GISTM as the design ground motion of the class and stage, and CDA as the Earthquake Design Ground Motion (EDGM) of the consequence classification. For each site condition, the probabilistic demand of a criterion is derived by linking its prescribed return period to the available uniform hazard spectrum (UHS); where the criterion is defined between two return periods, the design demand is the average of the demands evaluated at both, and the UHS is taken at its mean, except for the ANCOLD Extreme-category closure criterion, which is taken at the 84th percentile. Where the Extreme-class criterion invokes the MCE, the MCE (mean) and MCE (84%) series accompany the design spectra. The design PGA and design spectra are reported by framework, consequence class, lifecycle stage, and site condition.</w:t>
      </w:r>
    </w:p>
    <w:p>
      <w:pPr>
        <w:pStyle w:val="BodyText"/>
      </w:pPr>
      <w:r>
        <w:t xml:space="preserve">The verification of the slopes under those design earthquakes follows the practice that ICOLD and FEMA frame for dams and embankments through successive tiers of analysis including pseudostatic stability checks, simplified estimates of permanent deformation, and dynamic analyses where warranted by the consequences of failure, anticipated response, or complexity of the failure mechanism</w:t>
      </w:r>
      <w:r>
        <w:t xml:space="preserve"> </w:t>
      </w:r>
      <w:r>
        <w:t xml:space="preserve">(</w:t>
      </w:r>
      <w:hyperlink w:anchor="ref-FEMA2005">
        <w:r>
          <w:rPr>
            <w:rStyle w:val="Hyperlink"/>
          </w:rPr>
          <w:t xml:space="preserve">Federal Emergency Management Agency, 2005</w:t>
        </w:r>
      </w:hyperlink>
      <w:r>
        <w:t xml:space="preserve">;</w:t>
      </w:r>
      <w:r>
        <w:t xml:space="preserve"> </w:t>
      </w:r>
      <w:hyperlink w:anchor="ref-ICOLD2016">
        <w:r>
          <w:rPr>
            <w:rStyle w:val="Hyperlink"/>
          </w:rPr>
          <w:t xml:space="preserve">International Commission on Large Dams, 2016</w:t>
        </w:r>
      </w:hyperlink>
      <w:r>
        <w:t xml:space="preserve">)</w:t>
      </w:r>
      <w:r>
        <w:t xml:space="preserve">. Within this framework, the Newmark method provides a deformation-based assessment that complements the limit-equilibrium analysis. The pseudostatic seismic coefficient is a project-specific value rather than a universal value assigned to a particular structure type. USACE manuals EM 1110-2-1902 and EM 1110-2-2100 include pseudostatic analysis among the methods applicable to dams and earthworks and address the sliding block for estimating permanent seismic deformation. Selection of the coefficient considers the site-specific seismic hazard, potential failure mechanism, and project performance criteria, so the coefficient results from the conditions of each project instead of a single value applicable to all of them</w:t>
      </w:r>
      <w:r>
        <w:t xml:space="preserve"> </w:t>
      </w:r>
      <w:r>
        <w:t xml:space="preserve">(</w:t>
      </w:r>
      <w:hyperlink w:anchor="ref-USACE2003">
        <w:r>
          <w:rPr>
            <w:rStyle w:val="Hyperlink"/>
          </w:rPr>
          <w:t xml:space="preserve">U.S. Army Corps of Engineers, 2003</w:t>
        </w:r>
      </w:hyperlink>
      <w:r>
        <w:t xml:space="preserve">,</w:t>
      </w:r>
      <w:r>
        <w:t xml:space="preserve"> </w:t>
      </w:r>
      <w:hyperlink w:anchor="ref-USACE2005">
        <w:r>
          <w:rPr>
            <w:rStyle w:val="Hyperlink"/>
          </w:rPr>
          <w:t xml:space="preserve">2005</w:t>
        </w:r>
      </w:hyperlink>
      <w:r>
        <w:t xml:space="preserve">)</w:t>
      </w:r>
      <w:r>
        <w:t xml:space="preserve">.</w:t>
      </w:r>
    </w:p>
    <w:p>
      <w:pPr>
        <w:pStyle w:val="BodyText"/>
      </w:pPr>
      <w:r>
        <w:t xml:space="preserve">Two further references relate the pseudostatic verification to the permanent deformation. NCHRP Report 611 formulates the seismic analysis of slopes and transportation infrastructure in terms of displacement-based performance and uses simplified Newmark correlations to relate demand to permanent deformation</w:t>
      </w:r>
      <w:r>
        <w:t xml:space="preserve"> </w:t>
      </w:r>
      <w:r>
        <w:t xml:space="preserve">(</w:t>
      </w:r>
      <w:hyperlink w:anchor="ref-AndersonEtAl2008">
        <w:r>
          <w:rPr>
            <w:rStyle w:val="Hyperlink"/>
          </w:rPr>
          <w:t xml:space="preserve">Anderson et al., 2008</w:t>
        </w:r>
      </w:hyperlink>
      <w:r>
        <w:t xml:space="preserve">)</w:t>
      </w:r>
      <w:r>
        <w:t xml:space="preserve">, and Eurocode 8 ties the pseudostatic action to the design seismic acceleration and the consequence class and admits Newmark displacement calculations when the ratio between the critical acceleration and the design acceleration justifies a deformation-based verification</w:t>
      </w:r>
      <w:r>
        <w:t xml:space="preserve"> </w:t>
      </w:r>
      <w:r>
        <w:t xml:space="preserve">(</w:t>
      </w:r>
      <w:hyperlink w:anchor="ref-CEN2004">
        <w:r>
          <w:rPr>
            <w:rStyle w:val="Hyperlink"/>
          </w:rPr>
          <w:t xml:space="preserve">European Committee for Standardization, 2004</w:t>
        </w:r>
      </w:hyperlink>
      <w:r>
        <w:t xml:space="preserve">)</w:t>
      </w:r>
      <w:r>
        <w:t xml:space="preserve">. These references provide the framing and the comparison criteria for the coefficients of this report; their indicative values serve that comparison, and the displacement objective defined for the project governs the coefficients themselves.</w:t>
      </w:r>
    </w:p>
    <w:p>
      <w:pPr>
        <w:pStyle w:val="BodyText"/>
      </w:pPr>
      <w:r>
        <w:t xml:space="preserve">That objective is expressed as an allowable permanent displacement relative to the slope height. This report evaluates the coefficients at four damage thresholds of the relative permanent displacement,</w:t>
      </w:r>
      <w:r>
        <w:t xml:space="preserve"> </w:t>
      </w:r>
      <m:oMath>
        <m:sSub>
          <m:e>
            <m:r>
              <m:t>D</m:t>
            </m:r>
          </m:e>
          <m:sub>
            <m:r>
              <m:t>a</m:t>
            </m:r>
          </m:sub>
        </m:sSub>
        <m:r>
          <m:rPr>
            <m:sty m:val="p"/>
          </m:rPr>
          <m:t>/</m:t>
        </m:r>
        <m:r>
          <m:t>H</m:t>
        </m:r>
      </m:oMath>
      <w:r>
        <w:t xml:space="preserve"> </w:t>
      </w:r>
      <w:r>
        <w:t xml:space="preserve">= 0.1, 0.4, 1.0, 2.5%: the crest-settlement ratios derived from ninety case histories of earthquake damage to embankment dams and associated with the Operational, Damage, Life Safety and Collapse limit states of the Italian dam code NTD14</w:t>
      </w:r>
      <w:r>
        <w:t xml:space="preserve"> </w:t>
      </w:r>
      <w:r>
        <w:t xml:space="preserve">(</w:t>
      </w:r>
      <w:hyperlink w:anchor="ref-Aliberti2019">
        <w:r>
          <w:rPr>
            <w:rStyle w:val="Hyperlink"/>
          </w:rPr>
          <w:t xml:space="preserve">Aliberti et al., 2019</w:t>
        </w:r>
      </w:hyperlink>
      <w:r>
        <w:t xml:space="preserve">)</w:t>
      </w:r>
      <w:r>
        <w:t xml:space="preserve">. Their denominator, the reference height, includes the embankment height and the thickness of the deformable foundation and is adopted here as the slope height for normalization. The seismic coefficient tables are presented for these four thresholds and the coefficient figures shade the intervals they delimit. Chapter</w:t>
      </w:r>
      <w:r>
        <w:t xml:space="preserve"> </w:t>
      </w:r>
      <w:hyperlink w:anchor="sec-coefficients">
        <w:r>
          <w:rPr>
            <w:rStyle w:val="Hyperlink"/>
          </w:rPr>
          <w:t xml:space="preserve">5.2</w:t>
        </w:r>
      </w:hyperlink>
      <w:r>
        <w:t xml:space="preserve"> </w:t>
      </w:r>
      <w:r>
        <w:t xml:space="preserve">describes the derivation of the coefficients from the allowable displacement.</w:t>
      </w:r>
    </w:p>
    <w:p>
      <w:pPr>
        <w:pStyle w:val="BodyText"/>
      </w:pPr>
      <w:r>
        <w:t xml:space="preserve"> </w:t>
      </w:r>
    </w:p>
    <w:bookmarkStart w:id="97" w:name="tbl-deq-operation-vs30-800-docx"/>
    <w:p>
      <w:pPr>
        <w:pStyle w:val="ImageCaption"/>
        <w:spacing w:before="200"/>
        <w:jc w:val="left"/>
      </w:pPr>
      <w:r>
        <w:t xml:space="preserve">Table 4.5: Operational design earthquakes in terms of peak ground acceleration</w:t>
      </w:r>
      <w:r>
        <w:t xml:space="preserve"> </w:t>
      </w:r>
      <m:oMath>
        <m:r>
          <m:rPr>
            <m:sty m:val="p"/>
          </m:rPr>
          <m:t>P</m:t>
        </m:r>
        <m:r>
          <m:rPr>
            <m:sty m:val="p"/>
          </m:rPr>
          <m:t>G</m:t>
        </m:r>
        <m:r>
          <m:rPr>
            <m:sty m:val="p"/>
          </m:rPr>
          <m:t>A</m:t>
        </m:r>
      </m:oMath>
      <w:r>
        <w:t xml:space="preserve"> </w:t>
      </w:r>
      <w:r>
        <w:t xml:space="preserve">[cm/s2] by standard (GISTM, CDA, ANCOLD) and consequence class, for the site condition</w:t>
      </w:r>
      <w:r>
        <w:t xml:space="preserve"> </w:t>
      </w:r>
      <m:oMath>
        <m:sSub>
          <m:e>
            <m:r>
              <m:t>V</m:t>
            </m:r>
          </m:e>
          <m:sub>
            <m:r>
              <m:t>S</m:t>
            </m:r>
            <m:r>
              <m:t>30</m:t>
            </m:r>
          </m:sub>
        </m:sSub>
      </m:oMath>
      <w:r>
        <w:t xml:space="preserve"> </w:t>
      </w:r>
      <w:r>
        <w:t xml:space="preserve">= 800 m/s at site</w:t>
      </w:r>
      <w:r>
        <w:t xml:space="preserve"> </w:t>
      </w:r>
      <w:r>
        <w:rPr>
          <w:rStyle w:val="VerbatimChar"/>
        </w:rPr>
        <w:t xml:space="preserve">CFD</w:t>
      </w:r>
      <w:r>
        <w:t xml:space="preserve">.</w:t>
      </w:r>
      <w:r>
        <w:t xml:space="preserve"> </w:t>
      </w:r>
      <w:r>
        <w:rPr>
          <w:rStyle w:val="VerbatimChar"/>
        </w:rPr>
        <w:t xml:space="preserve">siteID</w:t>
      </w:r>
      <w:r>
        <w:t xml:space="preserve">, present when the table gathers more than one site, identifies the site;</w:t>
      </w:r>
      <w:r>
        <w:t xml:space="preserve"> </w:t>
      </w:r>
      <w:r>
        <w:rPr>
          <w:rStyle w:val="VerbatimChar"/>
        </w:rPr>
        <w:t xml:space="preserve">Standard</w:t>
      </w:r>
      <w:r>
        <w:t xml:space="preserve"> </w:t>
      </w:r>
      <w:r>
        <w:t xml:space="preserve">is the guideline that sets the criterion,</w:t>
      </w:r>
      <w:r>
        <w:t xml:space="preserve"> </w:t>
      </w:r>
      <w:r>
        <w:rPr>
          <w:rStyle w:val="VerbatimChar"/>
        </w:rPr>
        <w:t xml:space="preserve">Class</w:t>
      </w:r>
      <w:r>
        <w:t xml:space="preserve"> </w:t>
      </w:r>
      <w:r>
        <w:t xml:space="preserve">the consequence classification of the facility and</w:t>
      </w:r>
      <w:r>
        <w:t xml:space="preserve"> </w:t>
      </w:r>
      <w:r>
        <w:rPr>
          <w:rStyle w:val="VerbatimChar"/>
        </w:rPr>
        <w:t xml:space="preserve">Stage</w:t>
      </w:r>
      <w:r>
        <w:t xml:space="preserve"> </w:t>
      </w:r>
      <w:r>
        <w:t xml:space="preserve">the project stage covered by the table.</w:t>
      </w:r>
      <w:r>
        <w:t xml:space="preserve"> </w:t>
      </w:r>
      <m:oMath>
        <m:sSub>
          <m:e>
            <m:r>
              <m:t>T</m:t>
            </m:r>
          </m:e>
          <m:sub>
            <m:r>
              <m:t>R</m:t>
            </m:r>
          </m:sub>
        </m:sSub>
      </m:oMath>
      <w:r>
        <w:t xml:space="preserve"> </w:t>
      </w:r>
      <w:r>
        <w:t xml:space="preserve">is the return period of the criterion, in years; where the criterion combines two return periods, the cell shows their half-sum.</w:t>
      </w:r>
      <w:r>
        <w:t xml:space="preserve"> </w:t>
      </w:r>
      <m:oMath>
        <m:sSub>
          <m:e>
            <m:r>
              <m:t>V</m:t>
            </m:r>
          </m:e>
          <m:sub>
            <m:r>
              <m:t>S</m:t>
            </m:r>
            <m:r>
              <m:t>30</m:t>
            </m:r>
          </m:sub>
        </m:sSub>
      </m:oMath>
      <w:r>
        <w:t xml:space="preserve"> </w:t>
      </w:r>
      <w:r>
        <w:t xml:space="preserve">is the shear-wave velocity of the evaluated site condition, in m/s.</w:t>
      </w:r>
      <w:r>
        <w:t xml:space="preserve"> </w:t>
      </w:r>
      <m:oMath>
        <m:r>
          <m:t>p</m:t>
        </m:r>
      </m:oMath>
      <w:r>
        <w:t xml:space="preserve"> </w:t>
      </w:r>
      <w:r>
        <w:t xml:space="preserve">identifies the statistic of the uniform-hazard demand adopted by the criterion: the mean or the quantile indicated.</w:t>
      </w:r>
      <w:r>
        <w:t xml:space="preserve"> </w:t>
      </w:r>
      <m:oMath>
        <m:r>
          <m:rPr>
            <m:sty m:val="p"/>
          </m:rPr>
          <m:t>P</m:t>
        </m:r>
        <m:r>
          <m:rPr>
            <m:sty m:val="p"/>
          </m:rPr>
          <m:t>G</m:t>
        </m:r>
        <m:r>
          <m:rPr>
            <m:sty m:val="p"/>
          </m:rPr>
          <m:t>A</m:t>
        </m:r>
      </m:oMath>
      <w:r>
        <w:t xml:space="preserve"> </w:t>
      </w:r>
      <w:r>
        <w:t xml:space="preserve">is the design peak ground acceleration, expressed in the unit indicated; where the criterion is defined over two return periods, it is the average of the demands evaluated at both.</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Standard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Stage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p</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rPr>
                  <m:sty m:val="p"/>
                </m:rPr>
                <m:t>PGA</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½ × (500 + 1,000)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½ × (500 + 1,000)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½ × (500 + 1,000)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½ × (500 + 1,000)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½ × (100 + 1,000)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½ × (2,500 + 10,000)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Operation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bl>
    <w:bookmarkEnd w:id="97"/>
    <w:p/>
    <w:p>
      <w:pPr>
        <w:pStyle w:val="BodyText"/>
      </w:pPr>
      <w:r>
        <w:t xml:space="preserve"> </w:t>
      </w:r>
    </w:p>
    <w:p>
      <w:pPr>
        <w:pStyle w:val="BodyText"/>
      </w:pPr>
      <w:r>
        <w:t xml:space="preserve"> </w:t>
      </w:r>
    </w:p>
    <w:bookmarkStart w:id="98" w:name="tbl-deq-pga"/>
    <w:p>
      <w:pPr>
        <w:pStyle w:val="ImageCaption"/>
        <w:spacing w:before="200"/>
        <w:jc w:val="left"/>
      </w:pPr>
      <w:r>
        <w:t xml:space="preserve">Table 4.6: Seismic design criteria of the GISTM standard at the Operation stage for</w:t>
      </w:r>
      <w:r>
        <w:t xml:space="preserve"> </w:t>
      </w:r>
      <w:r>
        <w:rPr>
          <w:rStyle w:val="VerbatimChar"/>
        </w:rPr>
        <w:t xml:space="preserve">CFD</w:t>
      </w:r>
      <w:r>
        <w:t xml:space="preserve">. Class is the consequence classification;</w:t>
      </w:r>
      <w:r>
        <w:t xml:space="preserve"> </w:t>
      </w:r>
      <m:oMath>
        <m:sSub>
          <m:e>
            <m:r>
              <m:t>T</m:t>
            </m:r>
          </m:e>
          <m:sub>
            <m:r>
              <m:t>R</m:t>
            </m:r>
          </m:sub>
        </m:sSub>
      </m:oMath>
      <w:r>
        <w:t xml:space="preserve"> </w:t>
      </w:r>
      <w:r>
        <w:t xml:space="preserve">is the governing annual-exceedance criterion expressed as a return period (yr) — where the standard sets the criterion between two return periods, the cell shows both and reports the average of their accelerations. Cells report the design PGA (g) that the criterion selects from the probabilistic hazard for</w:t>
      </w:r>
      <w:r>
        <w:t xml:space="preserve"> </w:t>
      </w:r>
      <m:oMath>
        <m:sSub>
          <m:e>
            <m:r>
              <m:t>V</m:t>
            </m:r>
          </m:e>
          <m:sub>
            <m:r>
              <m:t>S</m:t>
            </m:r>
            <m:r>
              <m:t>30</m:t>
            </m:r>
          </m:sub>
        </m:sSub>
        <m:r>
          <m:rPr>
            <m:sty m:val="p"/>
          </m:rPr>
          <m:t>=</m:t>
        </m:r>
        <m:r>
          <m:t>180</m:t>
        </m:r>
        <m:r>
          <m:rPr>
            <m:sty m:val="p"/>
          </m:rPr>
          <m:t>,</m:t>
        </m:r>
        <m:r>
          <m:t>270</m:t>
        </m:r>
        <m:r>
          <m:rPr>
            <m:sty m:val="p"/>
          </m:rPr>
          <m:t>,</m:t>
        </m:r>
        <m:r>
          <m:t>360</m:t>
        </m:r>
        <m:r>
          <m:rPr>
            <m:sty m:val="p"/>
          </m:rPr>
          <m:t>,</m:t>
        </m:r>
        <m:r>
          <m:t>560</m:t>
        </m:r>
        <m:r>
          <m:rPr>
            <m:sty m:val="p"/>
          </m:rPr>
          <m:t>,</m:t>
        </m:r>
        <m:r>
          <m:t>800</m:t>
        </m:r>
        <m:r>
          <m:rPr>
            <m:sty m:val="p"/>
          </m:rPr>
          <m:t>,</m:t>
        </m:r>
        <m:r>
          <m:t>1250</m:t>
        </m:r>
        <m:r>
          <m:rPr>
            <m:sty m:val="p"/>
          </m:rPr>
          <m:t>,</m:t>
        </m:r>
        <m:r>
          <m:t>1500</m:t>
        </m:r>
      </m:oMath>
      <w:r>
        <w:t xml:space="preserve"> </w:t>
      </w:r>
      <w:r>
        <w:t xml:space="preserve">m/s.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180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270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360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800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1250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1500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0.194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0.285</w:t>
            </w:r>
          </w:p>
        </w:tc>
      </w:tr>
    </w:tbl>
    <w:bookmarkEnd w:id="98"/>
    <w:p/>
    <w:p>
      <w:pPr>
        <w:pStyle w:val="BodyText"/>
      </w:pPr>
      <w:r>
        <w:t xml:space="preserve"> </w:t>
      </w:r>
    </w:p>
    <w:p>
      <w:pPr>
        <w:pStyle w:val="BodyText"/>
      </w:pPr>
      <w:r>
        <w:t xml:space="preserve"> </w:t>
      </w:r>
    </w:p>
    <w:bookmarkStart w:id="99" w:name="tbl-deq-closure-vs30-800-docx"/>
    <w:p>
      <w:pPr>
        <w:pStyle w:val="ImageCaption"/>
        <w:spacing w:before="200"/>
        <w:jc w:val="left"/>
      </w:pPr>
      <w:r>
        <w:t xml:space="preserve">Table 4.7: Closure design earthquakes in terms of peak ground acceleration</w:t>
      </w:r>
      <w:r>
        <w:t xml:space="preserve"> </w:t>
      </w:r>
      <m:oMath>
        <m:r>
          <m:rPr>
            <m:sty m:val="p"/>
          </m:rPr>
          <m:t>P</m:t>
        </m:r>
        <m:r>
          <m:rPr>
            <m:sty m:val="p"/>
          </m:rPr>
          <m:t>G</m:t>
        </m:r>
        <m:r>
          <m:rPr>
            <m:sty m:val="p"/>
          </m:rPr>
          <m:t>A</m:t>
        </m:r>
      </m:oMath>
      <w:r>
        <w:t xml:space="preserve"> </w:t>
      </w:r>
      <w:r>
        <w:t xml:space="preserve">[cm/s2] by standard (GISTM, CDA, ANCOLD) and consequence class, for the site condition</w:t>
      </w:r>
      <w:r>
        <w:t xml:space="preserve"> </w:t>
      </w:r>
      <m:oMath>
        <m:sSub>
          <m:e>
            <m:r>
              <m:t>V</m:t>
            </m:r>
          </m:e>
          <m:sub>
            <m:r>
              <m:t>S</m:t>
            </m:r>
            <m:r>
              <m:t>30</m:t>
            </m:r>
          </m:sub>
        </m:sSub>
      </m:oMath>
      <w:r>
        <w:t xml:space="preserve"> </w:t>
      </w:r>
      <w:r>
        <w:t xml:space="preserve">= 800 m/s at site</w:t>
      </w:r>
      <w:r>
        <w:t xml:space="preserve"> </w:t>
      </w:r>
      <w:r>
        <w:rPr>
          <w:rStyle w:val="VerbatimChar"/>
        </w:rPr>
        <w:t xml:space="preserve">CFD</w:t>
      </w:r>
      <w:r>
        <w:t xml:space="preserve">.</w:t>
      </w:r>
      <w:r>
        <w:t xml:space="preserve"> </w:t>
      </w:r>
      <w:r>
        <w:rPr>
          <w:rStyle w:val="VerbatimChar"/>
        </w:rPr>
        <w:t xml:space="preserve">siteID</w:t>
      </w:r>
      <w:r>
        <w:t xml:space="preserve">, present when the table gathers more than one site, identifies the site;</w:t>
      </w:r>
      <w:r>
        <w:t xml:space="preserve"> </w:t>
      </w:r>
      <w:r>
        <w:rPr>
          <w:rStyle w:val="VerbatimChar"/>
        </w:rPr>
        <w:t xml:space="preserve">Standard</w:t>
      </w:r>
      <w:r>
        <w:t xml:space="preserve"> </w:t>
      </w:r>
      <w:r>
        <w:t xml:space="preserve">is the guideline that sets the criterion,</w:t>
      </w:r>
      <w:r>
        <w:t xml:space="preserve"> </w:t>
      </w:r>
      <w:r>
        <w:rPr>
          <w:rStyle w:val="VerbatimChar"/>
        </w:rPr>
        <w:t xml:space="preserve">Class</w:t>
      </w:r>
      <w:r>
        <w:t xml:space="preserve"> </w:t>
      </w:r>
      <w:r>
        <w:t xml:space="preserve">the consequence classification of the facility and</w:t>
      </w:r>
      <w:r>
        <w:t xml:space="preserve"> </w:t>
      </w:r>
      <w:r>
        <w:rPr>
          <w:rStyle w:val="VerbatimChar"/>
        </w:rPr>
        <w:t xml:space="preserve">Stage</w:t>
      </w:r>
      <w:r>
        <w:t xml:space="preserve"> </w:t>
      </w:r>
      <w:r>
        <w:t xml:space="preserve">the project stage covered by the table.</w:t>
      </w:r>
      <w:r>
        <w:t xml:space="preserve"> </w:t>
      </w:r>
      <m:oMath>
        <m:sSub>
          <m:e>
            <m:r>
              <m:t>T</m:t>
            </m:r>
          </m:e>
          <m:sub>
            <m:r>
              <m:t>R</m:t>
            </m:r>
          </m:sub>
        </m:sSub>
      </m:oMath>
      <w:r>
        <w:t xml:space="preserve"> </w:t>
      </w:r>
      <w:r>
        <w:t xml:space="preserve">is the return period of the criterion, in years; where the criterion combines two return periods, the cell shows their half-sum.</w:t>
      </w:r>
      <w:r>
        <w:t xml:space="preserve"> </w:t>
      </w:r>
      <m:oMath>
        <m:sSub>
          <m:e>
            <m:r>
              <m:t>V</m:t>
            </m:r>
          </m:e>
          <m:sub>
            <m:r>
              <m:t>S</m:t>
            </m:r>
            <m:r>
              <m:t>30</m:t>
            </m:r>
          </m:sub>
        </m:sSub>
      </m:oMath>
      <w:r>
        <w:t xml:space="preserve"> </w:t>
      </w:r>
      <w:r>
        <w:t xml:space="preserve">is the shear-wave velocity of the evaluated site condition, in m/s.</w:t>
      </w:r>
      <w:r>
        <w:t xml:space="preserve"> </w:t>
      </w:r>
      <m:oMath>
        <m:r>
          <m:t>p</m:t>
        </m:r>
      </m:oMath>
      <w:r>
        <w:t xml:space="preserve"> </w:t>
      </w:r>
      <w:r>
        <w:t xml:space="preserve">identifies the statistic of the uniform-hazard demand adopted by the criterion: the mean or the quantile indicated.</w:t>
      </w:r>
      <w:r>
        <w:t xml:space="preserve"> </w:t>
      </w:r>
      <m:oMath>
        <m:r>
          <m:rPr>
            <m:sty m:val="p"/>
          </m:rPr>
          <m:t>P</m:t>
        </m:r>
        <m:r>
          <m:rPr>
            <m:sty m:val="p"/>
          </m:rPr>
          <m:t>G</m:t>
        </m:r>
        <m:r>
          <m:rPr>
            <m:sty m:val="p"/>
          </m:rPr>
          <m:t>A</m:t>
        </m:r>
      </m:oMath>
      <w:r>
        <w:t xml:space="preserve"> </w:t>
      </w:r>
      <w:r>
        <w:t xml:space="preserve">is the design peak ground acceleration, expressed in the unit indicated; where the criterion is defined over two return periods, it is the average of the demands evaluated at both.</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Standard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Stage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p</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rPr>
                  <m:sty m:val="p"/>
                </m:rPr>
                <m:t>PGA</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½ × (2,500 + 10,000)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Closure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bl>
    <w:bookmarkEnd w:id="99"/>
    <w:p/>
    <w:p>
      <w:pPr>
        <w:pStyle w:val="BodyText"/>
      </w:pPr>
      <w:r>
        <w:t xml:space="preserve"> </w:t>
      </w:r>
    </w:p>
    <w:p>
      <w:pPr>
        <w:pStyle w:val="BodyText"/>
      </w:pPr>
      <w:r>
        <w:t xml:space="preserve"> </w:t>
      </w:r>
    </w:p>
    <w:bookmarkStart w:id="100" w:name="tbl-deq-postclosure-vs30-800-docx"/>
    <w:p>
      <w:pPr>
        <w:pStyle w:val="ImageCaption"/>
        <w:spacing w:before="200"/>
        <w:jc w:val="left"/>
      </w:pPr>
      <w:r>
        <w:t xml:space="preserve">Table 4.8: Post-closure design earthquakes in terms of peak ground acceleration</w:t>
      </w:r>
      <w:r>
        <w:t xml:space="preserve"> </w:t>
      </w:r>
      <m:oMath>
        <m:r>
          <m:rPr>
            <m:sty m:val="p"/>
          </m:rPr>
          <m:t>P</m:t>
        </m:r>
        <m:r>
          <m:rPr>
            <m:sty m:val="p"/>
          </m:rPr>
          <m:t>G</m:t>
        </m:r>
        <m:r>
          <m:rPr>
            <m:sty m:val="p"/>
          </m:rPr>
          <m:t>A</m:t>
        </m:r>
      </m:oMath>
      <w:r>
        <w:t xml:space="preserve"> </w:t>
      </w:r>
      <w:r>
        <w:t xml:space="preserve">[cm/s2] by standard (GISTM, CDA, ANCOLD) and consequence class, for the site condition</w:t>
      </w:r>
      <w:r>
        <w:t xml:space="preserve"> </w:t>
      </w:r>
      <m:oMath>
        <m:sSub>
          <m:e>
            <m:r>
              <m:t>V</m:t>
            </m:r>
          </m:e>
          <m:sub>
            <m:r>
              <m:t>S</m:t>
            </m:r>
            <m:r>
              <m:t>30</m:t>
            </m:r>
          </m:sub>
        </m:sSub>
      </m:oMath>
      <w:r>
        <w:t xml:space="preserve"> </w:t>
      </w:r>
      <w:r>
        <w:t xml:space="preserve">= 800 m/s at site</w:t>
      </w:r>
      <w:r>
        <w:t xml:space="preserve"> </w:t>
      </w:r>
      <w:r>
        <w:rPr>
          <w:rStyle w:val="VerbatimChar"/>
        </w:rPr>
        <w:t xml:space="preserve">CFD</w:t>
      </w:r>
      <w:r>
        <w:t xml:space="preserve">.</w:t>
      </w:r>
      <w:r>
        <w:t xml:space="preserve"> </w:t>
      </w:r>
      <w:r>
        <w:rPr>
          <w:rStyle w:val="VerbatimChar"/>
        </w:rPr>
        <w:t xml:space="preserve">siteID</w:t>
      </w:r>
      <w:r>
        <w:t xml:space="preserve">, present when the table gathers more than one site, identifies the site;</w:t>
      </w:r>
      <w:r>
        <w:t xml:space="preserve"> </w:t>
      </w:r>
      <w:r>
        <w:rPr>
          <w:rStyle w:val="VerbatimChar"/>
        </w:rPr>
        <w:t xml:space="preserve">Standard</w:t>
      </w:r>
      <w:r>
        <w:t xml:space="preserve"> </w:t>
      </w:r>
      <w:r>
        <w:t xml:space="preserve">is the guideline that sets the criterion,</w:t>
      </w:r>
      <w:r>
        <w:t xml:space="preserve"> </w:t>
      </w:r>
      <w:r>
        <w:rPr>
          <w:rStyle w:val="VerbatimChar"/>
        </w:rPr>
        <w:t xml:space="preserve">Class</w:t>
      </w:r>
      <w:r>
        <w:t xml:space="preserve"> </w:t>
      </w:r>
      <w:r>
        <w:t xml:space="preserve">the consequence classification of the facility and</w:t>
      </w:r>
      <w:r>
        <w:t xml:space="preserve"> </w:t>
      </w:r>
      <w:r>
        <w:rPr>
          <w:rStyle w:val="VerbatimChar"/>
        </w:rPr>
        <w:t xml:space="preserve">Stage</w:t>
      </w:r>
      <w:r>
        <w:t xml:space="preserve"> </w:t>
      </w:r>
      <w:r>
        <w:t xml:space="preserve">the project stage covered by the table.</w:t>
      </w:r>
      <w:r>
        <w:t xml:space="preserve"> </w:t>
      </w:r>
      <m:oMath>
        <m:sSub>
          <m:e>
            <m:r>
              <m:t>T</m:t>
            </m:r>
          </m:e>
          <m:sub>
            <m:r>
              <m:t>R</m:t>
            </m:r>
          </m:sub>
        </m:sSub>
      </m:oMath>
      <w:r>
        <w:t xml:space="preserve"> </w:t>
      </w:r>
      <w:r>
        <w:t xml:space="preserve">is the return period of the criterion, in years; where the criterion combines two return periods, the cell shows their half-sum.</w:t>
      </w:r>
      <w:r>
        <w:t xml:space="preserve"> </w:t>
      </w:r>
      <m:oMath>
        <m:sSub>
          <m:e>
            <m:r>
              <m:t>V</m:t>
            </m:r>
          </m:e>
          <m:sub>
            <m:r>
              <m:t>S</m:t>
            </m:r>
            <m:r>
              <m:t>30</m:t>
            </m:r>
          </m:sub>
        </m:sSub>
      </m:oMath>
      <w:r>
        <w:t xml:space="preserve"> </w:t>
      </w:r>
      <w:r>
        <w:t xml:space="preserve">is the shear-wave velocity of the evaluated site condition, in m/s.</w:t>
      </w:r>
      <w:r>
        <w:t xml:space="preserve"> </w:t>
      </w:r>
      <m:oMath>
        <m:r>
          <m:t>p</m:t>
        </m:r>
      </m:oMath>
      <w:r>
        <w:t xml:space="preserve"> </w:t>
      </w:r>
      <w:r>
        <w:t xml:space="preserve">identifies the statistic of the uniform-hazard demand adopted by the criterion: the mean or the quantile indicated.</w:t>
      </w:r>
      <w:r>
        <w:t xml:space="preserve"> </w:t>
      </w:r>
      <m:oMath>
        <m:r>
          <m:rPr>
            <m:sty m:val="p"/>
          </m:rPr>
          <m:t>P</m:t>
        </m:r>
        <m:r>
          <m:rPr>
            <m:sty m:val="p"/>
          </m:rPr>
          <m:t>G</m:t>
        </m:r>
        <m:r>
          <m:rPr>
            <m:sty m:val="p"/>
          </m:rPr>
          <m:t>A</m:t>
        </m:r>
      </m:oMath>
      <w:r>
        <w:t xml:space="preserve"> </w:t>
      </w:r>
      <w:r>
        <w:t xml:space="preserve">is the design peak ground acceleration, expressed in the unit indicated; where the criterion is defined over two return periods, it is the average of the demands evaluated at both.</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Standard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Stage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R</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p</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rPr>
                  <m:sty m:val="p"/>
                </m:rPr>
                <m:t>PGA</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Post-Closure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Post-Closure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Post-Closure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Post-Closure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GISTM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Post-Closure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r>
    </w:tbl>
    <w:bookmarkEnd w:id="100"/>
    <w:p/>
    <w:p>
      <w:pPr>
        <w:pStyle w:val="BodyText"/>
      </w:pPr>
      <w:r>
        <w:t xml:space="preserve"> </w:t>
      </w:r>
    </w:p>
    <w:p>
      <w:pPr>
        <w:pStyle w:val="BodyText"/>
      </w:pPr>
      <w:r>
        <w:t xml:space="preserve">The design criteria by standard and consequence classification are developed in the</w:t>
      </w:r>
      <w:r>
        <w:t xml:space="preserve"> </w:t>
      </w:r>
      <w:hyperlink r:id="rId11">
        <w:r>
          <w:rPr>
            <w:rStyle w:val="Hyperlink"/>
          </w:rPr>
          <w:t xml:space="preserve">Seismic Design Criteria</w:t>
        </w:r>
      </w:hyperlink>
      <w:r>
        <w:t xml:space="preserve"> </w:t>
      </w:r>
      <w:r>
        <w:t xml:space="preserve">annex.</w:t>
      </w:r>
    </w:p>
    <w:bookmarkEnd w:id="101"/>
    <w:bookmarkStart w:id="114" w:name="sec-structures"/>
    <w:p>
      <w:pPr>
        <w:pStyle w:val="Heading2"/>
      </w:pPr>
      <w:r>
        <w:t xml:space="preserve">4.3</w:t>
      </w:r>
      <w:r>
        <w:tab/>
      </w:r>
      <w:r>
        <w:t xml:space="preserve">Seismic Design Criteria for Structures</w:t>
      </w:r>
    </w:p>
    <w:p>
      <w:pPr>
        <w:pStyle w:val="FirstParagraph"/>
      </w:pPr>
      <w:r>
        <w:t xml:space="preserve">Seismic demand for conventional structures is established in accordance with ASCE/SEI 7-22 from the hazard and site-response spectra developed in Part I. Section 11.4.7 refers to the site-specific procedures of Sections 21.1 and 21.2; where those procedures are applied, the design spectrum and its parameters are determined in accordance with Sections 21.3 and 21.4</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Sections 11.4.7, 21.1–21.4</w:t>
        </w:r>
      </w:hyperlink>
      <w:r>
        <w:t xml:space="preserve">)</w:t>
      </w:r>
      <w:r>
        <w:t xml:space="preserve">. The probabilistic component of the MCER spectrum is evaluated, for each period</w:t>
      </w:r>
      <w:r>
        <w:t xml:space="preserve"> </w:t>
      </w:r>
      <m:oMath>
        <m:sSub>
          <m:e>
            <m:r>
              <m:t>T</m:t>
            </m:r>
          </m:e>
          <m:sub>
            <m:r>
              <m:t>n</m:t>
            </m:r>
          </m:sub>
        </m:sSub>
      </m:oMath>
      <w:r>
        <w:t xml:space="preserve"> </w:t>
      </w:r>
      <w:r>
        <w:t xml:space="preserve">and</w:t>
      </w:r>
      <w:r>
        <w:t xml:space="preserve"> </w:t>
      </w:r>
      <m:oMath>
        <m:sSub>
          <m:e>
            <m:r>
              <m:t>V</m:t>
            </m:r>
          </m:e>
          <m:sub>
            <m:r>
              <m:t>S</m:t>
            </m:r>
            <m:r>
              <m:t>30</m:t>
            </m:r>
          </m:sub>
        </m:sSub>
      </m:oMath>
      <w:r>
        <w:t xml:space="preserve"> </w:t>
      </w:r>
      <w:r>
        <w:t xml:space="preserve">condition, from the resulting random variable</w:t>
      </w:r>
      <w:r>
        <w:t xml:space="preserve"> </w:t>
      </w:r>
      <m:oMath>
        <m:sSub>
          <m:e>
            <m:r>
              <m:t>S</m:t>
            </m:r>
          </m:e>
          <m:sub>
            <m:r>
              <m:t>a</m:t>
            </m:r>
          </m:sub>
        </m:sSub>
        <m:r>
          <m:rPr>
            <m:sty m:val="p"/>
          </m:rPr>
          <m:t>(</m:t>
        </m:r>
        <m:sSub>
          <m:e>
            <m:r>
              <m:t>T</m:t>
            </m:r>
          </m:e>
          <m:sub>
            <m:r>
              <m:t>n</m:t>
            </m:r>
          </m:sub>
        </m:sSub>
        <m:r>
          <m:rPr>
            <m:sty m:val="p"/>
          </m:rPr>
          <m:t>)</m:t>
        </m:r>
      </m:oMath>
      <w:r>
        <w:t xml:space="preserve">, whose cumulative distribution function</w:t>
      </w:r>
      <w:r>
        <w:t xml:space="preserve"> </w:t>
      </w:r>
      <m:oMath>
        <m:r>
          <m:t>G</m:t>
        </m:r>
      </m:oMath>
      <w:r>
        <w:t xml:space="preserve"> </w:t>
      </w:r>
      <w:r>
        <w:t xml:space="preserve">is defined in</w:t>
      </w:r>
      <w:r>
        <w:t xml:space="preserve"> </w:t>
      </w:r>
      <w:hyperlink w:anchor="eq-site-branch-mixture">
        <w:r>
          <w:rPr>
            <w:rStyle w:val="Hyperlink"/>
          </w:rPr>
          <w:t xml:space="preserve">4.12</w:t>
        </w:r>
      </w:hyperlink>
      <w:r>
        <w:t xml:space="preserve">. For each return period</w:t>
      </w:r>
      <w:r>
        <w:t xml:space="preserve"> </w:t>
      </w:r>
      <m:oMath>
        <m:sSub>
          <m:e>
            <m:r>
              <m:t>T</m:t>
            </m:r>
          </m:e>
          <m:sub>
            <m:r>
              <m:t>R</m:t>
            </m:r>
          </m:sub>
        </m:sSub>
      </m:oMath>
      <w:r>
        <w:t xml:space="preserve">, the ordinate considered is its arithmetic mean</w:t>
      </w:r>
      <w:r>
        <w:t xml:space="preserve"> </w:t>
      </w:r>
      <m:oMath>
        <m:r>
          <m:t>μ</m:t>
        </m:r>
        <m:r>
          <m:rPr>
            <m:sty m:val="p"/>
          </m:rPr>
          <m:t>=</m:t>
        </m:r>
        <m:r>
          <m:t>E</m:t>
        </m:r>
        <m:r>
          <m:rPr>
            <m:sty m:val="p"/>
          </m:rPr>
          <m:t>[</m:t>
        </m:r>
        <m:sSub>
          <m:e>
            <m:r>
              <m:t>S</m:t>
            </m:r>
          </m:e>
          <m:sub>
            <m:r>
              <m:t>a</m:t>
            </m:r>
          </m:sub>
        </m:sSub>
        <m:r>
          <m:rPr>
            <m:sty m:val="p"/>
          </m:rPr>
          <m:t>]</m:t>
        </m:r>
      </m:oMath>
      <w:r>
        <w:t xml:space="preserve">, defined in</w:t>
      </w:r>
      <w:r>
        <w:t xml:space="preserve"> </w:t>
      </w:r>
      <w:hyperlink w:anchor="eq-site-branch-mean">
        <w:r>
          <w:rPr>
            <w:rStyle w:val="Hyperlink"/>
          </w:rPr>
          <w:t xml:space="preserve">4.13</w:t>
        </w:r>
      </w:hyperlink>
      <w:r>
        <w:t xml:space="preserve">, and the associated annual exceedance rate is</w:t>
      </w:r>
      <w:r>
        <w:t xml:space="preserve"> </w:t>
      </w:r>
      <m:oMath>
        <m:r>
          <m:t>1</m:t>
        </m:r>
        <m:r>
          <m:rPr>
            <m:sty m:val="p"/>
          </m:rPr>
          <m:t>/</m:t>
        </m:r>
        <m:sSub>
          <m:e>
            <m:r>
              <m:t>T</m:t>
            </m:r>
          </m:e>
          <m:sub>
            <m:r>
              <m:t>R</m:t>
            </m:r>
          </m:sub>
        </m:sSub>
      </m:oMath>
      <w:r>
        <w:t xml:space="preserve">, in accordance with</w:t>
      </w:r>
      <w:r>
        <w:t xml:space="preserve"> </w:t>
      </w:r>
      <w:hyperlink w:anchor="eq-hazard-return-period">
        <w:r>
          <w:rPr>
            <w:rStyle w:val="Hyperlink"/>
          </w:rPr>
          <w:t xml:space="preserve">3.4</w:t>
        </w:r>
      </w:hyperlink>
      <w:r>
        <w:t xml:space="preserve">. The pairs</w:t>
      </w:r>
      <w:r>
        <w:t xml:space="preserve"> </w:t>
      </w:r>
      <m:oMath>
        <m:r>
          <m:rPr>
            <m:sty m:val="p"/>
          </m:rPr>
          <m:t>(</m:t>
        </m:r>
        <m:r>
          <m:t>μ</m:t>
        </m:r>
        <m:r>
          <m:rPr>
            <m:sty m:val="p"/>
          </m:rPr>
          <m:t>,</m:t>
        </m:r>
        <m:r>
          <m:t>1</m:t>
        </m:r>
        <m:r>
          <m:rPr>
            <m:sty m:val="p"/>
          </m:rPr>
          <m:t>/</m:t>
        </m:r>
        <m:sSub>
          <m:e>
            <m:r>
              <m:t>T</m:t>
            </m:r>
          </m:e>
          <m:sub>
            <m:r>
              <m:t>R</m:t>
            </m:r>
          </m:sub>
        </m:sSub>
        <m:r>
          <m:rPr>
            <m:sty m:val="p"/>
          </m:rPr>
          <m:t>)</m:t>
        </m:r>
      </m:oMath>
      <w:r>
        <w:t xml:space="preserve"> </w:t>
      </w:r>
      <w:r>
        <w:t xml:space="preserve">corresponding to the available return periods constitute the input curve to the risk-targeted adjustment procedure of Section 21.2.1.</w:t>
      </w:r>
    </w:p>
    <w:p>
      <w:pPr>
        <w:pStyle w:val="BodyText"/>
      </w:pPr>
      <w:r>
        <w:t xml:space="preserve">The risk-targeted adjustment represents the fragility prescribed by Section 21.2.1 through the random variable</w:t>
      </w:r>
      <w:r>
        <w:t xml:space="preserve"> </w:t>
      </w:r>
      <m:oMath>
        <m:sSub>
          <m:e>
            <m:r>
              <m:t>C</m:t>
            </m:r>
          </m:e>
          <m:sub>
            <m:r>
              <m:t>x</m:t>
            </m:r>
          </m:sub>
        </m:sSub>
      </m:oMath>
      <w:r>
        <w:t xml:space="preserve">, the spectral collapse capacity associated with a candidate ordinate</w:t>
      </w:r>
      <w:r>
        <w:t xml:space="preserve"> </w:t>
      </w:r>
      <m:oMath>
        <m:r>
          <m:t>x</m:t>
        </m:r>
      </m:oMath>
      <w:r>
        <w:t xml:space="preserve">:</w:t>
      </w:r>
    </w:p>
    <w:p>
      <w:pPr>
        <w:pStyle w:val="Equation"/>
      </w:pPr>
      <w:bookmarkStart w:id="102" w:name="eq-structures-collapse-capacity"/>
      <w:r>
        <w:tab/>
      </w:r>
      <m:oMath>
        <m:r>
          <m:rPr>
            <m:sty m:val="p"/>
          </m:rPr>
          <m:t>ln</m:t>
        </m:r>
        <m:sSub>
          <m:e>
            <m:r>
              <m:t>C</m:t>
            </m:r>
          </m:e>
          <m:sub>
            <m:r>
              <m:t>x</m:t>
            </m:r>
          </m:sub>
        </m:sSub>
        <m:r>
          <m:rPr>
            <m:sty m:val="p"/>
          </m:rPr>
          <m:t>∼</m:t>
        </m:r>
        <m:r>
          <m:rPr>
            <m:scr m:val="script"/>
            <m:sty m:val="p"/>
          </m:rPr>
          <m:t>N</m:t>
        </m:r>
        <m:r>
          <m:t>​</m:t>
        </m:r>
        <m:d>
          <m:dPr>
            <m:begChr m:val="("/>
            <m:sepChr m:val=""/>
            <m:endChr m:val=")"/>
            <m:grow/>
          </m:dPr>
          <m:e>
            <m:sSub>
              <m:e>
                <m:r>
                  <m:t>μ</m:t>
                </m:r>
              </m:e>
              <m:sub>
                <m:r>
                  <m:rPr>
                    <m:sty m:val="p"/>
                  </m:rPr>
                  <m:t>ln</m:t>
                </m:r>
                <m:r>
                  <m:t>C</m:t>
                </m:r>
              </m:sub>
            </m:sSub>
            <m:r>
              <m:rPr>
                <m:sty m:val="p"/>
              </m:rPr>
              <m:t>,</m:t>
            </m:r>
            <m:sSubSup>
              <m:e>
                <m:r>
                  <m:t>σ</m:t>
                </m:r>
              </m:e>
              <m:sub>
                <m:r>
                  <m:rPr>
                    <m:sty m:val="p"/>
                  </m:rPr>
                  <m:t>ln</m:t>
                </m:r>
                <m:r>
                  <m:t>C</m:t>
                </m:r>
              </m:sub>
              <m:sup>
                <m:r>
                  <m:t>2</m:t>
                </m:r>
              </m:sup>
            </m:sSubSup>
          </m:e>
        </m:d>
        <m:r>
          <m:rPr>
            <m:sty m:val="p"/>
          </m:rPr>
          <m:t>.</m:t>
        </m:r>
      </m:oMath>
      <w:r>
        <w:tab/>
      </w:r>
      <w:r>
        <w:t xml:space="preserve">(4.17)</w:t>
      </w:r>
      <w:bookmarkEnd w:id="102"/>
    </w:p>
    <w:p>
      <w:pPr>
        <w:pStyle w:val="BodyText"/>
      </w:pPr>
      <w:r>
        <w:t xml:space="preserve">In this expression,</w:t>
      </w:r>
      <w:r>
        <w:t xml:space="preserve"> </w:t>
      </w:r>
      <m:oMath>
        <m:sSub>
          <m:e>
            <m:r>
              <m:t>μ</m:t>
            </m:r>
          </m:e>
          <m:sub>
            <m:r>
              <m:rPr>
                <m:sty m:val="p"/>
              </m:rPr>
              <m:t>ln</m:t>
            </m:r>
            <m:r>
              <m:t>C</m:t>
            </m:r>
          </m:sub>
        </m:sSub>
      </m:oMath>
      <w:r>
        <w:t xml:space="preserve"> </w:t>
      </w:r>
      <w:r>
        <w:t xml:space="preserve">and</w:t>
      </w:r>
      <w:r>
        <w:t xml:space="preserve"> </w:t>
      </w:r>
      <m:oMath>
        <m:sSub>
          <m:e>
            <m:r>
              <m:t>σ</m:t>
            </m:r>
          </m:e>
          <m:sub>
            <m:r>
              <m:rPr>
                <m:sty m:val="p"/>
              </m:rPr>
              <m:t>ln</m:t>
            </m:r>
            <m:r>
              <m:t>C</m:t>
            </m:r>
          </m:sub>
        </m:sSub>
      </m:oMath>
      <w:r>
        <w:t xml:space="preserve"> </w:t>
      </w:r>
      <w:r>
        <w:t xml:space="preserve">are the mean and the standard deviation of</w:t>
      </w:r>
      <w:r>
        <w:t xml:space="preserve"> </w:t>
      </w:r>
      <m:oMath>
        <m:r>
          <m:rPr>
            <m:sty m:val="p"/>
          </m:rPr>
          <m:t>ln</m:t>
        </m:r>
        <m:sSub>
          <m:e>
            <m:r>
              <m:t>C</m:t>
            </m:r>
          </m:e>
          <m:sub>
            <m:r>
              <m:t>x</m:t>
            </m:r>
          </m:sub>
        </m:sSub>
      </m:oMath>
      <w:r>
        <w:t xml:space="preserve">, respectively, and for each</w:t>
      </w:r>
      <w:r>
        <w:t xml:space="preserve"> </w:t>
      </w:r>
      <m:oMath>
        <m:r>
          <m:t>x</m:t>
        </m:r>
      </m:oMath>
    </w:p>
    <w:p>
      <w:pPr>
        <w:pStyle w:val="BodyText"/>
      </w:pPr>
      <m:oMathPara>
        <m:oMathParaPr>
          <m:jc m:val="center"/>
        </m:oMathParaPr>
        <m:oMath>
          <m:sSub>
            <m:e>
              <m:r>
                <m:t>μ</m:t>
              </m:r>
            </m:e>
            <m:sub>
              <m:r>
                <m:rPr>
                  <m:sty m:val="p"/>
                </m:rPr>
                <m:t>ln</m:t>
              </m:r>
              <m:r>
                <m:t>C</m:t>
              </m:r>
            </m:sub>
          </m:sSub>
          <m:r>
            <m:rPr>
              <m:sty m:val="p"/>
            </m:rPr>
            <m:t>=</m:t>
          </m:r>
          <m:r>
            <m:rPr>
              <m:sty m:val="p"/>
            </m:rPr>
            <m:t>ln</m:t>
          </m:r>
          <m:r>
            <m:t>x</m:t>
          </m:r>
          <m:r>
            <m:rPr>
              <m:sty m:val="p"/>
            </m:rPr>
            <m:t>−</m:t>
          </m:r>
          <m:sSup>
            <m:e>
              <m:r>
                <m:rPr>
                  <m:sty m:val="p"/>
                </m:rPr>
                <m:t>Φ</m:t>
              </m:r>
            </m:e>
            <m:sup>
              <m:r>
                <m:rPr>
                  <m:sty m:val="p"/>
                </m:rPr>
                <m:t>−</m:t>
              </m:r>
              <m:r>
                <m:t>1</m:t>
              </m:r>
            </m:sup>
          </m:sSup>
          <m:r>
            <m:rPr>
              <m:sty m:val="p"/>
            </m:rPr>
            <m:t>(</m:t>
          </m:r>
          <m:r>
            <m:t>0.10</m:t>
          </m:r>
          <m:r>
            <m:rPr>
              <m:sty m:val="p"/>
            </m:rPr>
            <m:t>)</m:t>
          </m:r>
          <m:sSub>
            <m:e>
              <m:r>
                <m:t>σ</m:t>
              </m:r>
            </m:e>
            <m:sub>
              <m:r>
                <m:rPr>
                  <m:sty m:val="p"/>
                </m:rPr>
                <m:t>ln</m:t>
              </m:r>
              <m:r>
                <m:t>C</m:t>
              </m:r>
            </m:sub>
          </m:sSub>
          <m:r>
            <m:rPr>
              <m:sty m:val="p"/>
            </m:rPr>
            <m:t>,</m:t>
          </m:r>
          <m:r>
            <m:t>  </m:t>
          </m:r>
          <m:sSub>
            <m:e>
              <m:r>
                <m:t>σ</m:t>
              </m:r>
            </m:e>
            <m:sub>
              <m:r>
                <m:rPr>
                  <m:sty m:val="p"/>
                </m:rPr>
                <m:t>ln</m:t>
              </m:r>
              <m:r>
                <m:t>C</m:t>
              </m:r>
            </m:sub>
          </m:sSub>
          <m:r>
            <m:rPr>
              <m:sty m:val="p"/>
            </m:rPr>
            <m:t>=</m:t>
          </m:r>
          <m:r>
            <m:t>0.60</m:t>
          </m:r>
          <m:r>
            <m:rPr>
              <m:sty m:val="p"/>
            </m:rPr>
            <m:t>,</m:t>
          </m:r>
        </m:oMath>
      </m:oMathPara>
    </w:p>
    <w:p>
      <w:pPr>
        <w:pStyle w:val="FirstParagraph"/>
      </w:pPr>
      <w:r>
        <w:t xml:space="preserve">so that</w:t>
      </w:r>
      <w:r>
        <w:t xml:space="preserve"> </w:t>
      </w:r>
      <m:oMath>
        <m:r>
          <m:t>P</m:t>
        </m:r>
        <m:r>
          <m:rPr>
            <m:sty m:val="p"/>
          </m:rPr>
          <m:t>[</m:t>
        </m:r>
        <m:sSub>
          <m:e>
            <m:r>
              <m:t>C</m:t>
            </m:r>
          </m:e>
          <m:sub>
            <m:r>
              <m:t>x</m:t>
            </m:r>
          </m:sub>
        </m:sSub>
        <m:r>
          <m:rPr>
            <m:sty m:val="p"/>
          </m:rPr>
          <m:t>≤</m:t>
        </m:r>
        <m:r>
          <m:t>x</m:t>
        </m:r>
        <m:r>
          <m:rPr>
            <m:sty m:val="p"/>
          </m:rPr>
          <m:t>]</m:t>
        </m:r>
        <m:r>
          <m:rPr>
            <m:sty m:val="p"/>
          </m:rPr>
          <m:t>=</m:t>
        </m:r>
        <m:r>
          <m:t>0.10</m:t>
        </m:r>
      </m:oMath>
      <w:r>
        <w:t xml:space="preserve">;</w:t>
      </w:r>
      <w:r>
        <w:t xml:space="preserve"> </w:t>
      </w:r>
      <m:oMath>
        <m:sSub>
          <m:e>
            <m:r>
              <m:t>C</m:t>
            </m:r>
          </m:e>
          <m:sub>
            <m:r>
              <m:t>x</m:t>
            </m:r>
          </m:sub>
        </m:sSub>
      </m:oMath>
      <w:r>
        <w:t xml:space="preserve"> </w:t>
      </w:r>
      <w:r>
        <w:t xml:space="preserve">represents the generic fragility adopted by the risk-targeted adjustment procedure and not a capacity calculated for the structures at the site</w:t>
      </w:r>
      <w:r>
        <w:t xml:space="preserve"> </w:t>
      </w:r>
      <w:r>
        <w:t xml:space="preserve">(</w:t>
      </w:r>
      <w:hyperlink w:anchor="ref-Luco2007">
        <w:r>
          <w:rPr>
            <w:rStyle w:val="Hyperlink"/>
          </w:rPr>
          <w:t xml:space="preserve">Luco et al., 2007</w:t>
        </w:r>
      </w:hyperlink>
      <w:r>
        <w:t xml:space="preserve">;</w:t>
      </w:r>
      <w:r>
        <w:t xml:space="preserve"> </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 21.2.1</w:t>
        </w:r>
      </w:hyperlink>
      <w:r>
        <w:t xml:space="preserve">)</w:t>
      </w:r>
      <w:r>
        <w:t xml:space="preserve">. In the risk calculation, the intensity measure</w:t>
      </w:r>
      <w:r>
        <w:t xml:space="preserve"> </w:t>
      </w:r>
      <m:oMath>
        <m:r>
          <m:t>I</m:t>
        </m:r>
      </m:oMath>
      <w:r>
        <w:t xml:space="preserve"> </w:t>
      </w:r>
      <w:r>
        <w:t xml:space="preserve">of</w:t>
      </w:r>
      <w:r>
        <w:t xml:space="preserve"> </w:t>
      </w:r>
      <w:hyperlink w:anchor="eq-hazard-sum">
        <w:r>
          <w:rPr>
            <w:rStyle w:val="Hyperlink"/>
          </w:rPr>
          <w:t xml:space="preserve">3.2</w:t>
        </w:r>
      </w:hyperlink>
      <w:r>
        <w:t xml:space="preserve"> </w:t>
      </w:r>
      <w:r>
        <w:t xml:space="preserve">corresponds to</w:t>
      </w:r>
      <w:r>
        <w:t xml:space="preserve"> </w:t>
      </w:r>
      <m:oMath>
        <m:sSub>
          <m:e>
            <m:r>
              <m:t>S</m:t>
            </m:r>
          </m:e>
          <m:sub>
            <m:r>
              <m:t>a</m:t>
            </m:r>
          </m:sub>
        </m:sSub>
        <m:r>
          <m:rPr>
            <m:sty m:val="p"/>
          </m:rPr>
          <m:t>(</m:t>
        </m:r>
        <m:sSub>
          <m:e>
            <m:r>
              <m:t>T</m:t>
            </m:r>
          </m:e>
          <m:sub>
            <m:r>
              <m:t>n</m:t>
            </m:r>
          </m:sub>
        </m:sSub>
        <m:r>
          <m:rPr>
            <m:sty m:val="p"/>
          </m:rPr>
          <m:t>)</m:t>
        </m:r>
      </m:oMath>
      <w:r>
        <w:t xml:space="preserve">, and the annual collapse rate associated with the candidate ordinate</w:t>
      </w:r>
      <w:r>
        <w:t xml:space="preserve"> </w:t>
      </w:r>
      <m:oMath>
        <m:r>
          <m:t>x</m:t>
        </m:r>
      </m:oMath>
      <w:r>
        <w:t xml:space="preserve"> </w:t>
      </w:r>
      <w:r>
        <w:t xml:space="preserve">is</w:t>
      </w:r>
    </w:p>
    <w:p>
      <w:pPr>
        <w:pStyle w:val="Equation"/>
      </w:pPr>
      <w:bookmarkStart w:id="103" w:name="eq-structures-collapse-rate"/>
      <w:r>
        <w:tab/>
      </w:r>
      <m:oMath>
        <m:sSub>
          <m:e>
            <m:r>
              <m:t>λ</m:t>
            </m:r>
          </m:e>
          <m:sub>
            <m:r>
              <m:t>C</m:t>
            </m:r>
          </m:sub>
        </m:sSub>
        <m:r>
          <m:rPr>
            <m:sty m:val="p"/>
          </m:rPr>
          <m:t>(</m:t>
        </m:r>
        <m:r>
          <m:t>x</m:t>
        </m:r>
        <m:r>
          <m:rPr>
            <m:sty m:val="p"/>
          </m:rPr>
          <m:t>)</m:t>
        </m:r>
        <m:r>
          <m:rPr>
            <m:sty m:val="p"/>
          </m:rPr>
          <m:t>=</m:t>
        </m:r>
        <m:nary>
          <m:naryPr>
            <m:chr m:val="∫"/>
            <m:limLoc m:val="subSup"/>
            <m:subHide m:val="off"/>
            <m:supHide m:val="off"/>
          </m:naryPr>
          <m:sub>
            <m:r>
              <m:t>0</m:t>
            </m:r>
          </m:sub>
          <m:sup>
            <m:r>
              <m:rPr>
                <m:sty m:val="p"/>
              </m:rPr>
              <m:t>∞</m:t>
            </m:r>
          </m:sup>
          <m:e>
            <m:sSub>
              <m:e>
                <m:r>
                  <m:t>λ</m:t>
                </m:r>
              </m:e>
              <m:sub>
                <m:r>
                  <m:t>I</m:t>
                </m:r>
              </m:sub>
            </m:sSub>
          </m:e>
        </m:nary>
        <m:r>
          <m:rPr>
            <m:sty m:val="p"/>
          </m:rPr>
          <m:t>(</m:t>
        </m:r>
        <m:sSup>
          <m:e>
            <m:r>
              <m:t>i</m:t>
            </m:r>
          </m:e>
          <m:sup>
            <m:r>
              <m:rPr>
                <m:sty m:val="p"/>
              </m:rPr>
              <m:t>*</m:t>
            </m:r>
          </m:sup>
        </m:sSup>
        <m:r>
          <m:rPr>
            <m:sty m:val="p"/>
          </m:rPr>
          <m:t>)</m:t>
        </m:r>
        <m:r>
          <m:t> </m:t>
        </m:r>
        <m:sSub>
          <m:e>
            <m:r>
              <m:t>f</m:t>
            </m:r>
          </m:e>
          <m:sub>
            <m:sSub>
              <m:e>
                <m:r>
                  <m:t>C</m:t>
                </m:r>
              </m:e>
              <m:sub>
                <m:r>
                  <m:t>x</m:t>
                </m:r>
              </m:sub>
            </m:sSub>
          </m:sub>
        </m:sSub>
        <m:r>
          <m:rPr>
            <m:sty m:val="p"/>
          </m:rPr>
          <m:t>(</m:t>
        </m:r>
        <m:sSup>
          <m:e>
            <m:r>
              <m:t>i</m:t>
            </m:r>
          </m:e>
          <m:sup>
            <m:r>
              <m:rPr>
                <m:sty m:val="p"/>
              </m:rPr>
              <m:t>*</m:t>
            </m:r>
          </m:sup>
        </m:sSup>
        <m:r>
          <m:rPr>
            <m:sty m:val="p"/>
          </m:rPr>
          <m:t>)</m:t>
        </m:r>
        <m:r>
          <m:t> </m:t>
        </m:r>
        <m:r>
          <m:rPr>
            <m:sty m:val="p"/>
          </m:rPr>
          <m:t>d</m:t>
        </m:r>
        <m:sSup>
          <m:e>
            <m:r>
              <m:t>i</m:t>
            </m:r>
          </m:e>
          <m:sup>
            <m:r>
              <m:rPr>
                <m:sty m:val="p"/>
              </m:rPr>
              <m:t>*</m:t>
            </m:r>
          </m:sup>
        </m:sSup>
        <m:r>
          <m:rPr>
            <m:sty m:val="p"/>
          </m:rPr>
          <m:t>,</m:t>
        </m:r>
      </m:oMath>
      <w:r>
        <w:tab/>
      </w:r>
      <w:r>
        <w:t xml:space="preserve">(4.18)</w:t>
      </w:r>
      <w:bookmarkEnd w:id="103"/>
    </w:p>
    <w:p>
      <w:pPr>
        <w:pStyle w:val="BodyText"/>
      </w:pPr>
      <w:r>
        <w:t xml:space="preserve">where</w:t>
      </w:r>
      <w:r>
        <w:t xml:space="preserve"> </w:t>
      </w:r>
      <m:oMath>
        <m:sSub>
          <m:e>
            <m:r>
              <m:t>f</m:t>
            </m:r>
          </m:e>
          <m:sub>
            <m:sSub>
              <m:e>
                <m:r>
                  <m:t>C</m:t>
                </m:r>
              </m:e>
              <m:sub>
                <m:r>
                  <m:t>x</m:t>
                </m:r>
              </m:sub>
            </m:sSub>
          </m:sub>
        </m:sSub>
      </m:oMath>
      <w:r>
        <w:t xml:space="preserve"> </w:t>
      </w:r>
      <w:r>
        <w:t xml:space="preserve">is the density function of the capacity defined in</w:t>
      </w:r>
      <w:r>
        <w:t xml:space="preserve"> </w:t>
      </w:r>
      <w:hyperlink w:anchor="eq-structures-collapse-capacity">
        <w:r>
          <w:rPr>
            <w:rStyle w:val="Hyperlink"/>
          </w:rPr>
          <w:t xml:space="preserve">4.17</w:t>
        </w:r>
      </w:hyperlink>
      <w:r>
        <w:t xml:space="preserve">, and</w:t>
      </w:r>
      <w:r>
        <w:t xml:space="preserve"> </w:t>
      </w:r>
      <m:oMath>
        <m:sSub>
          <m:e>
            <m:r>
              <m:t>λ</m:t>
            </m:r>
          </m:e>
          <m:sub>
            <m:r>
              <m:t>I</m:t>
            </m:r>
          </m:sub>
        </m:sSub>
        <m:r>
          <m:rPr>
            <m:sty m:val="p"/>
          </m:rPr>
          <m:t>(</m:t>
        </m:r>
        <m:sSup>
          <m:e>
            <m:r>
              <m:t>i</m:t>
            </m:r>
          </m:e>
          <m:sup>
            <m:r>
              <m:rPr>
                <m:sty m:val="p"/>
              </m:rPr>
              <m:t>*</m:t>
            </m:r>
          </m:sup>
        </m:sSup>
        <m:r>
          <m:rPr>
            <m:sty m:val="p"/>
          </m:rPr>
          <m:t>)</m:t>
        </m:r>
      </m:oMath>
      <w:r>
        <w:t xml:space="preserve"> </w:t>
      </w:r>
      <w:r>
        <w:t xml:space="preserve">represents the curve determined by the pairs</w:t>
      </w:r>
      <w:r>
        <w:t xml:space="preserve"> </w:t>
      </w:r>
      <m:oMath>
        <m:r>
          <m:rPr>
            <m:sty m:val="p"/>
          </m:rPr>
          <m:t>(</m:t>
        </m:r>
        <m:r>
          <m:t>μ</m:t>
        </m:r>
        <m:r>
          <m:rPr>
            <m:sty m:val="p"/>
          </m:rPr>
          <m:t>,</m:t>
        </m:r>
        <m:r>
          <m:t>1</m:t>
        </m:r>
        <m:r>
          <m:rPr>
            <m:sty m:val="p"/>
          </m:rPr>
          <m:t>/</m:t>
        </m:r>
        <m:sSub>
          <m:e>
            <m:r>
              <m:t>T</m:t>
            </m:r>
          </m:e>
          <m:sub>
            <m:r>
              <m:t>R</m:t>
            </m:r>
          </m:sub>
        </m:sSub>
        <m:r>
          <m:rPr>
            <m:sty m:val="p"/>
          </m:rPr>
          <m:t>)</m:t>
        </m:r>
      </m:oMath>
      <w:r>
        <w:t xml:space="preserve"> </w:t>
      </w:r>
      <w:r>
        <w:t xml:space="preserve">of the preceding paragraph. The probabilistic ordinate corresponds to the value of</w:t>
      </w:r>
      <w:r>
        <w:t xml:space="preserve"> </w:t>
      </w:r>
      <m:oMath>
        <m:r>
          <m:t>x</m:t>
        </m:r>
      </m:oMath>
      <w:r>
        <w:t xml:space="preserve"> </w:t>
      </w:r>
      <w:r>
        <w:t xml:space="preserve">that satisfies</w:t>
      </w:r>
    </w:p>
    <w:p>
      <w:pPr>
        <w:pStyle w:val="Equation"/>
      </w:pPr>
      <w:bookmarkStart w:id="104" w:name="eq-structures-probabilistic-ordinate"/>
      <w:r>
        <w:tab/>
      </w:r>
      <m:oMath>
        <m:r>
          <m:t>1</m:t>
        </m:r>
        <m:r>
          <m:rPr>
            <m:sty m:val="p"/>
          </m:rPr>
          <m:t>−</m:t>
        </m:r>
        <m:r>
          <m:rPr>
            <m:sty m:val="p"/>
          </m:rPr>
          <m:t>exp</m:t>
        </m:r>
        <m:r>
          <m:t>​</m:t>
        </m:r>
        <m:d>
          <m:dPr>
            <m:begChr m:val="["/>
            <m:sepChr m:val=""/>
            <m:endChr m:val="]"/>
            <m:grow/>
          </m:dPr>
          <m:e>
            <m:r>
              <m:rPr>
                <m:sty m:val="p"/>
              </m:rPr>
              <m:t>−</m:t>
            </m:r>
            <m:r>
              <m:t>50</m:t>
            </m:r>
            <m:r>
              <m:t> </m:t>
            </m:r>
            <m:sSub>
              <m:e>
                <m:r>
                  <m:t>λ</m:t>
                </m:r>
              </m:e>
              <m:sub>
                <m:r>
                  <m:t>C</m:t>
                </m:r>
              </m:sub>
            </m:sSub>
            <m:r>
              <m:rPr>
                <m:sty m:val="p"/>
              </m:rPr>
              <m:t>(</m:t>
            </m:r>
            <m:r>
              <m:t>x</m:t>
            </m:r>
            <m:r>
              <m:rPr>
                <m:sty m:val="p"/>
              </m:rPr>
              <m:t>)</m:t>
            </m:r>
          </m:e>
        </m:d>
        <m:r>
          <m:rPr>
            <m:sty m:val="p"/>
          </m:rPr>
          <m:t>=</m:t>
        </m:r>
        <m:r>
          <m:t>0.01</m:t>
        </m:r>
        <m:r>
          <m:rPr>
            <m:sty m:val="p"/>
          </m:rPr>
          <m:t>.</m:t>
        </m:r>
      </m:oMath>
      <w:r>
        <w:tab/>
      </w:r>
      <w:r>
        <w:t xml:space="preserve">(4.19)</w:t>
      </w:r>
      <w:bookmarkEnd w:id="104"/>
    </w:p>
    <w:p>
      <w:pPr>
        <w:pStyle w:val="BodyText"/>
      </w:pPr>
      <w:r>
        <w:t xml:space="preserve">and this evaluation is performed separately for each</w:t>
      </w:r>
      <w:r>
        <w:t xml:space="preserve"> </w:t>
      </w:r>
      <m:oMath>
        <m:sSub>
          <m:e>
            <m:r>
              <m:t>T</m:t>
            </m:r>
          </m:e>
          <m:sub>
            <m:r>
              <m:t>n</m:t>
            </m:r>
          </m:sub>
        </m:sSub>
      </m:oMath>
      <w:r>
        <w:t xml:space="preserve"> </w:t>
      </w:r>
      <w:r>
        <w:t xml:space="preserve">and</w:t>
      </w:r>
      <w:r>
        <w:t xml:space="preserve"> </w:t>
      </w:r>
      <m:oMath>
        <m:sSub>
          <m:e>
            <m:r>
              <m:t>V</m:t>
            </m:r>
          </m:e>
          <m:sub>
            <m:r>
              <m:t>S</m:t>
            </m:r>
            <m:r>
              <m:t>30</m:t>
            </m:r>
          </m:sub>
        </m:sSub>
      </m:oMath>
      <w:r>
        <w:t xml:space="preserve"> </w:t>
      </w:r>
      <w:r>
        <w:t xml:space="preserve">condition.</w:t>
      </w:r>
    </w:p>
    <w:p>
      <w:pPr>
        <w:pStyle w:val="BodyText"/>
      </w:pPr>
      <w:r>
        <w:t xml:space="preserve">ASCE/SEI 7-22 requires the MCER spectral ordinates to represent the maximum response in the horizontal plane. Where the GMM provides the geometric mean or a similar measure of the two horizontal components, Section 21.2 establishes directional factors of 1.20 for</w:t>
      </w:r>
      <w:r>
        <w:t xml:space="preserve"> </w:t>
      </w:r>
      <m:oMath>
        <m:sSub>
          <m:e>
            <m:r>
              <m:t>T</m:t>
            </m:r>
          </m:e>
          <m:sub>
            <m:r>
              <m:t>n</m:t>
            </m:r>
          </m:sub>
        </m:sSub>
        <m:r>
          <m:rPr>
            <m:sty m:val="p"/>
          </m:rPr>
          <m:t>≤</m:t>
        </m:r>
        <m:r>
          <m:t>0.2</m:t>
        </m:r>
      </m:oMath>
      <w:r>
        <w:t xml:space="preserve"> </w:t>
      </w:r>
      <w:r>
        <w:t xml:space="preserve">s, 1.25 for</w:t>
      </w:r>
      <w:r>
        <w:t xml:space="preserve"> </w:t>
      </w:r>
      <m:oMath>
        <m:sSub>
          <m:e>
            <m:r>
              <m:t>T</m:t>
            </m:r>
          </m:e>
          <m:sub>
            <m:r>
              <m:t>n</m:t>
            </m:r>
          </m:sub>
        </m:sSub>
        <m:r>
          <m:rPr>
            <m:sty m:val="p"/>
          </m:rPr>
          <m:t>=</m:t>
        </m:r>
        <m:r>
          <m:t>1.0</m:t>
        </m:r>
      </m:oMath>
      <w:r>
        <w:t xml:space="preserve"> </w:t>
      </w:r>
      <w:r>
        <w:t xml:space="preserve">s, and 1.30 for</w:t>
      </w:r>
      <w:r>
        <w:t xml:space="preserve"> </w:t>
      </w:r>
      <m:oMath>
        <m:sSub>
          <m:e>
            <m:r>
              <m:t>T</m:t>
            </m:r>
          </m:e>
          <m:sub>
            <m:r>
              <m:t>n</m:t>
            </m:r>
          </m:sub>
        </m:sSub>
        <m:r>
          <m:rPr>
            <m:sty m:val="p"/>
          </m:rPr>
          <m:t>≥</m:t>
        </m:r>
        <m:r>
          <m:t>10</m:t>
        </m:r>
      </m:oMath>
      <w:r>
        <w:t xml:space="preserve"> </w:t>
      </w:r>
      <w:r>
        <w:t xml:space="preserve">s</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 21.2</w:t>
        </w:r>
      </w:hyperlink>
      <w:r>
        <w:t xml:space="preserve">)</w:t>
      </w:r>
      <w:r>
        <w:t xml:space="preserve">. To establish a common definition among the horizontal GMMs, the hazard model transforms the RotD50, GMRotI50, and random-horizontal components to geometric mean before combining the branches; the models defined for the vertical component do not enter this combination. The ordinates expressed as geometric mean are subsequently converted to maximum response in the horizontal plane through the directional factors indicated.</w:t>
      </w:r>
    </w:p>
    <w:p>
      <w:pPr>
        <w:pStyle w:val="BodyText"/>
      </w:pPr>
      <w:r>
        <w:t xml:space="preserve">The contribution of the scenarios to the deterministic component of the MCER spectrum is obtained, for each</w:t>
      </w:r>
      <w:r>
        <w:t xml:space="preserve"> </w:t>
      </w:r>
      <m:oMath>
        <m:sSub>
          <m:e>
            <m:r>
              <m:t>T</m:t>
            </m:r>
          </m:e>
          <m:sub>
            <m:r>
              <m:t>n</m:t>
            </m:r>
          </m:sub>
        </m:sSub>
      </m:oMath>
      <w:r>
        <w:t xml:space="preserve"> </w:t>
      </w:r>
      <w:r>
        <w:t xml:space="preserve">and</w:t>
      </w:r>
      <w:r>
        <w:t xml:space="preserve"> </w:t>
      </w:r>
      <m:oMath>
        <m:sSub>
          <m:e>
            <m:r>
              <m:t>V</m:t>
            </m:r>
          </m:e>
          <m:sub>
            <m:r>
              <m:t>S</m:t>
            </m:r>
            <m:r>
              <m:t>30</m:t>
            </m:r>
          </m:sub>
        </m:sSub>
      </m:oMath>
      <w:r>
        <w:t xml:space="preserve">, as</w:t>
      </w:r>
    </w:p>
    <w:p>
      <w:pPr>
        <w:pStyle w:val="Equation"/>
      </w:pPr>
      <w:bookmarkStart w:id="105" w:name="eq-structures-scenario-84"/>
      <w:r>
        <w:tab/>
      </w:r>
      <m:oMath>
        <m:sSubSup>
          <m:e>
            <m:r>
              <m:t>S</m:t>
            </m:r>
          </m:e>
          <m:sub>
            <m:r>
              <m:t>a</m:t>
            </m:r>
          </m:sub>
          <m:sup>
            <m:r>
              <m:rPr>
                <m:sty m:val="p"/>
              </m:rPr>
              <m:t>(</m:t>
            </m:r>
            <m:r>
              <m:t>84</m:t>
            </m:r>
            <m:r>
              <m:rPr>
                <m:sty m:val="p"/>
              </m:rPr>
              <m:t>%</m:t>
            </m:r>
            <m:r>
              <m:rPr>
                <m:sty m:val="p"/>
              </m:rPr>
              <m:t>)</m:t>
            </m:r>
          </m:sup>
        </m:sSubSup>
        <m:r>
          <m:rPr>
            <m:sty m:val="p"/>
          </m:rPr>
          <m:t>(</m:t>
        </m:r>
        <m:sSub>
          <m:e>
            <m:r>
              <m:t>T</m:t>
            </m:r>
          </m:e>
          <m:sub>
            <m:r>
              <m:t>n</m:t>
            </m:r>
          </m:sub>
        </m:sSub>
        <m:r>
          <m:rPr>
            <m:sty m:val="p"/>
          </m:rPr>
          <m:t>)</m:t>
        </m:r>
        <m:r>
          <m:rPr>
            <m:sty m:val="p"/>
          </m:rPr>
          <m:t>=</m:t>
        </m:r>
        <m:sSub>
          <m:e>
            <m:r>
              <m:rPr>
                <m:sty m:val="p"/>
              </m:rPr>
              <m:t>max</m:t>
            </m:r>
          </m:e>
          <m:sub>
            <m:r>
              <m:t>e</m:t>
            </m:r>
            <m:r>
              <m:rPr>
                <m:sty m:val="p"/>
              </m:rPr>
              <m:t>∈</m:t>
            </m:r>
            <m:r>
              <m:rPr>
                <m:scr m:val="script"/>
                <m:sty m:val="p"/>
              </m:rPr>
              <m:t>E</m:t>
            </m:r>
          </m:sub>
        </m:sSub>
        <m:r>
          <m:t>Q</m:t>
        </m:r>
        <m:r>
          <m:rPr>
            <m:sty m:val="p"/>
          </m:rPr>
          <m:t>(</m:t>
        </m:r>
        <m:r>
          <m:t>0.84</m:t>
        </m:r>
        <m:r>
          <m:rPr>
            <m:sty m:val="p"/>
          </m:rPr>
          <m:t>∣</m:t>
        </m:r>
        <m:r>
          <m:t>e</m:t>
        </m:r>
        <m:r>
          <m:rPr>
            <m:sty m:val="p"/>
          </m:rPr>
          <m:t>)</m:t>
        </m:r>
        <m:r>
          <m:rPr>
            <m:sty m:val="p"/>
          </m:rPr>
          <m:t>.</m:t>
        </m:r>
      </m:oMath>
      <w:r>
        <w:tab/>
      </w:r>
      <w:r>
        <w:t xml:space="preserve">(4.20)</w:t>
      </w:r>
      <w:bookmarkEnd w:id="105"/>
    </w:p>
    <w:p>
      <w:pPr>
        <w:pStyle w:val="BodyText"/>
      </w:pPr>
      <w:r>
        <w:t xml:space="preserve">where</w:t>
      </w:r>
      <w:r>
        <w:t xml:space="preserve"> </w:t>
      </w:r>
      <m:oMath>
        <m:r>
          <m:rPr>
            <m:scr m:val="script"/>
            <m:sty m:val="p"/>
          </m:rPr>
          <m:t>E</m:t>
        </m:r>
      </m:oMath>
      <w:r>
        <w:t xml:space="preserve"> </w:t>
      </w:r>
      <w:r>
        <w:t xml:space="preserve">gathers the seismic scenarios included in the analysis. The ordinates</w:t>
      </w:r>
      <w:r>
        <w:t xml:space="preserve"> </w:t>
      </w:r>
      <m:oMath>
        <m:sSub>
          <m:e>
            <m:bar>
              <m:barPr>
                <m:pos m:val="bot"/>
              </m:barPr>
              <m:e>
                <m:r>
                  <m:t>S</m:t>
                </m:r>
              </m:e>
            </m:bar>
          </m:e>
          <m:sub>
            <m:r>
              <m:t>a</m:t>
            </m:r>
          </m:sub>
        </m:sSub>
        <m:r>
          <m:rPr>
            <m:sty m:val="p"/>
          </m:rPr>
          <m:t>(</m:t>
        </m:r>
        <m:sSub>
          <m:e>
            <m:r>
              <m:t>T</m:t>
            </m:r>
          </m:e>
          <m:sub>
            <m:r>
              <m:t>n</m:t>
            </m:r>
          </m:sub>
        </m:sSub>
        <m:r>
          <m:rPr>
            <m:sty m:val="p"/>
          </m:rPr>
          <m:t>)</m:t>
        </m:r>
      </m:oMath>
      <w:r>
        <w:t xml:space="preserve"> </w:t>
      </w:r>
      <w:r>
        <w:t xml:space="preserve">of Table 21.2-1 constitute the prescribed lower limit for the deterministic MCER spectrum corresponding to the site class used for the evaluated</w:t>
      </w:r>
      <w:r>
        <w:t xml:space="preserve"> </w:t>
      </w:r>
      <m:oMath>
        <m:sSub>
          <m:e>
            <m:r>
              <m:t>V</m:t>
            </m:r>
          </m:e>
          <m:sub>
            <m:r>
              <m:t>S</m:t>
            </m:r>
            <m:r>
              <m:t>30</m:t>
            </m:r>
          </m:sub>
        </m:sSub>
      </m:oMath>
      <w:r>
        <w:t xml:space="preserve"> </w:t>
      </w:r>
      <w:r>
        <w:t xml:space="preserve">condition, and the deterministic component is established, for each</w:t>
      </w:r>
      <w:r>
        <w:t xml:space="preserve"> </w:t>
      </w:r>
      <m:oMath>
        <m:sSub>
          <m:e>
            <m:r>
              <m:t>T</m:t>
            </m:r>
          </m:e>
          <m:sub>
            <m:r>
              <m:t>n</m:t>
            </m:r>
          </m:sub>
        </m:sSub>
      </m:oMath>
      <w:r>
        <w:t xml:space="preserve">, as</w:t>
      </w:r>
    </w:p>
    <w:p>
      <w:pPr>
        <w:pStyle w:val="Equation"/>
      </w:pPr>
      <w:bookmarkStart w:id="106" w:name="eq-structures-deterministic-component"/>
      <w:r>
        <w:tab/>
      </w:r>
      <m:oMath>
        <m:r>
          <m:rPr>
            <m:sty m:val="p"/>
          </m:rPr>
          <m:t>max</m:t>
        </m:r>
        <m:r>
          <m:t>​</m:t>
        </m:r>
        <m:d>
          <m:dPr>
            <m:begChr m:val="["/>
            <m:sepChr m:val=""/>
            <m:endChr m:val="]"/>
            <m:grow/>
          </m:dPr>
          <m:e>
            <m:sSubSup>
              <m:e>
                <m:r>
                  <m:t>S</m:t>
                </m:r>
              </m:e>
              <m:sub>
                <m:r>
                  <m:t>a</m:t>
                </m:r>
              </m:sub>
              <m:sup>
                <m:r>
                  <m:rPr>
                    <m:sty m:val="p"/>
                  </m:rPr>
                  <m:t>(</m:t>
                </m:r>
                <m:r>
                  <m:t>84</m:t>
                </m:r>
                <m:r>
                  <m:rPr>
                    <m:sty m:val="p"/>
                  </m:rPr>
                  <m:t>%</m:t>
                </m:r>
                <m:r>
                  <m:rPr>
                    <m:sty m:val="p"/>
                  </m:rPr>
                  <m:t>)</m:t>
                </m:r>
              </m:sup>
            </m:sSubSup>
            <m:r>
              <m:rPr>
                <m:sty m:val="p"/>
              </m:rPr>
              <m:t>(</m:t>
            </m:r>
            <m:sSub>
              <m:e>
                <m:r>
                  <m:t>T</m:t>
                </m:r>
              </m:e>
              <m:sub>
                <m:r>
                  <m:t>n</m:t>
                </m:r>
              </m:sub>
            </m:sSub>
            <m:r>
              <m:rPr>
                <m:sty m:val="p"/>
              </m:rPr>
              <m:t>)</m:t>
            </m:r>
            <m:r>
              <m:rPr>
                <m:sty m:val="p"/>
              </m:rPr>
              <m:t>,</m:t>
            </m:r>
            <m:sSub>
              <m:e>
                <m:bar>
                  <m:barPr>
                    <m:pos m:val="bot"/>
                  </m:barPr>
                  <m:e>
                    <m:r>
                      <m:t>S</m:t>
                    </m:r>
                  </m:e>
                </m:bar>
              </m:e>
              <m:sub>
                <m:r>
                  <m:t>a</m:t>
                </m:r>
              </m:sub>
            </m:sSub>
            <m:r>
              <m:rPr>
                <m:sty m:val="p"/>
              </m:rPr>
              <m:t>(</m:t>
            </m:r>
            <m:sSub>
              <m:e>
                <m:r>
                  <m:t>T</m:t>
                </m:r>
              </m:e>
              <m:sub>
                <m:r>
                  <m:t>n</m:t>
                </m:r>
              </m:sub>
            </m:sSub>
            <m:r>
              <m:rPr>
                <m:sty m:val="p"/>
              </m:rPr>
              <m:t>)</m:t>
            </m:r>
          </m:e>
        </m:d>
        <m:r>
          <m:rPr>
            <m:sty m:val="p"/>
          </m:rPr>
          <m:t>.</m:t>
        </m:r>
      </m:oMath>
      <w:r>
        <w:tab/>
      </w:r>
      <w:r>
        <w:t xml:space="preserve">(4.21)</w:t>
      </w:r>
      <w:bookmarkEnd w:id="106"/>
    </w:p>
    <w:p>
      <w:pPr>
        <w:pStyle w:val="BodyText"/>
      </w:pPr>
      <w:r>
        <w:t xml:space="preserve">The site-specific MCER ordinate is the lesser of the probabilistic and the deterministic components</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 21.2.3</w:t>
        </w:r>
      </w:hyperlink>
      <w:r>
        <w:t xml:space="preserve">)</w:t>
      </w:r>
      <w:r>
        <w:t xml:space="preserve">. The probabilistic component is the solution of</w:t>
      </w:r>
      <w:r>
        <w:t xml:space="preserve"> </w:t>
      </w:r>
      <w:hyperlink w:anchor="eq-structures-probabilistic-ordinate">
        <w:r>
          <w:rPr>
            <w:rStyle w:val="Hyperlink"/>
          </w:rPr>
          <w:t xml:space="preserve">4.19</w:t>
        </w:r>
      </w:hyperlink>
      <w:r>
        <w:t xml:space="preserve">, expressed through</w:t>
      </w:r>
      <w:r>
        <w:t xml:space="preserve"> </w:t>
      </w:r>
      <m:oMath>
        <m:sSubSup>
          <m:e>
            <m:r>
              <m:t>λ</m:t>
            </m:r>
          </m:e>
          <m:sub>
            <m:r>
              <m:t>C</m:t>
            </m:r>
          </m:sub>
          <m:sup>
            <m:r>
              <m:rPr>
                <m:sty m:val="p"/>
              </m:rPr>
              <m:t>−</m:t>
            </m:r>
            <m:r>
              <m:t>1</m:t>
            </m:r>
          </m:sup>
        </m:sSubSup>
      </m:oMath>
      <w:r>
        <w:t xml:space="preserve">, the inverse function of the collapse rate defined in</w:t>
      </w:r>
      <w:r>
        <w:t xml:space="preserve"> </w:t>
      </w:r>
      <w:hyperlink w:anchor="eq-structures-collapse-rate">
        <w:r>
          <w:rPr>
            <w:rStyle w:val="Hyperlink"/>
          </w:rPr>
          <w:t xml:space="preserve">4.18</w:t>
        </w:r>
      </w:hyperlink>
      <w:r>
        <w:t xml:space="preserve">, so that, for each</w:t>
      </w:r>
      <w:r>
        <w:t xml:space="preserve"> </w:t>
      </w:r>
      <m:oMath>
        <m:sSub>
          <m:e>
            <m:r>
              <m:t>T</m:t>
            </m:r>
          </m:e>
          <m:sub>
            <m:r>
              <m:t>n</m:t>
            </m:r>
          </m:sub>
        </m:sSub>
      </m:oMath>
      <w:r>
        <w:t xml:space="preserve"> </w:t>
      </w:r>
      <w:r>
        <w:t xml:space="preserve">and</w:t>
      </w:r>
      <w:r>
        <w:t xml:space="preserve"> </w:t>
      </w:r>
      <m:oMath>
        <m:sSub>
          <m:e>
            <m:r>
              <m:t>V</m:t>
            </m:r>
          </m:e>
          <m:sub>
            <m:r>
              <m:t>S</m:t>
            </m:r>
            <m:r>
              <m:t>30</m:t>
            </m:r>
          </m:sub>
        </m:sSub>
      </m:oMath>
      <w:r>
        <w:t xml:space="preserve"> </w:t>
      </w:r>
      <w:r>
        <w:t xml:space="preserve">condition,</w:t>
      </w:r>
    </w:p>
    <w:p>
      <w:pPr>
        <w:pStyle w:val="Equation"/>
      </w:pPr>
      <w:bookmarkStart w:id="107" w:name="eq-structures-mcer-ordinate"/>
      <w:r>
        <w:tab/>
      </w:r>
      <m:oMath>
        <m:sSub>
          <m:e>
            <m:r>
              <m:t>S</m:t>
            </m:r>
          </m:e>
          <m:sub>
            <m:r>
              <m:t>a</m:t>
            </m:r>
            <m:r>
              <m:t>M</m:t>
            </m:r>
          </m:sub>
        </m:sSub>
        <m:r>
          <m:rPr>
            <m:sty m:val="p"/>
          </m:rPr>
          <m:t>(</m:t>
        </m:r>
        <m:sSub>
          <m:e>
            <m:r>
              <m:t>T</m:t>
            </m:r>
          </m:e>
          <m:sub>
            <m:r>
              <m:t>n</m:t>
            </m:r>
          </m:sub>
        </m:sSub>
        <m:r>
          <m:rPr>
            <m:sty m:val="p"/>
          </m:rPr>
          <m:t>)</m:t>
        </m:r>
        <m:r>
          <m:rPr>
            <m:sty m:val="p"/>
          </m:rPr>
          <m:t>=</m:t>
        </m:r>
        <m:r>
          <m:rPr>
            <m:sty m:val="p"/>
          </m:rPr>
          <m:t>min</m:t>
        </m:r>
        <m:r>
          <m:t>​</m:t>
        </m:r>
        <m:d>
          <m:dPr>
            <m:begChr m:val="["/>
            <m:sepChr m:val=""/>
            <m:endChr m:val="]"/>
            <m:grow/>
          </m:dPr>
          <m:e>
            <m:sSubSup>
              <m:e>
                <m:r>
                  <m:t>λ</m:t>
                </m:r>
              </m:e>
              <m:sub>
                <m:r>
                  <m:t>C</m:t>
                </m:r>
              </m:sub>
              <m:sup>
                <m:r>
                  <m:rPr>
                    <m:sty m:val="p"/>
                  </m:rPr>
                  <m:t>−</m:t>
                </m:r>
                <m:r>
                  <m:t>1</m:t>
                </m:r>
              </m:sup>
            </m:sSubSup>
            <m:r>
              <m:t>​</m:t>
            </m:r>
            <m:d>
              <m:dPr>
                <m:begChr m:val="("/>
                <m:sepChr m:val=""/>
                <m:endChr m:val=")"/>
                <m:grow/>
              </m:dPr>
              <m:e>
                <m:r>
                  <m:rPr>
                    <m:sty m:val="p"/>
                  </m:rPr>
                  <m:t>−</m:t>
                </m:r>
                <m:f>
                  <m:fPr>
                    <m:type m:val="bar"/>
                  </m:fPr>
                  <m:num>
                    <m:r>
                      <m:rPr>
                        <m:sty m:val="p"/>
                      </m:rPr>
                      <m:t>ln</m:t>
                    </m:r>
                    <m:r>
                      <m:t>0.99</m:t>
                    </m:r>
                  </m:num>
                  <m:den>
                    <m:r>
                      <m:t>50</m:t>
                    </m:r>
                  </m:den>
                </m:f>
              </m:e>
            </m:d>
            <m:r>
              <m:rPr>
                <m:sty m:val="p"/>
              </m:rPr>
              <m:t>,</m:t>
            </m:r>
            <m:r>
              <m:rPr>
                <m:sty m:val="p"/>
              </m:rPr>
              <m:t>max</m:t>
            </m:r>
            <m:r>
              <m:t>​</m:t>
            </m:r>
            <m:d>
              <m:dPr>
                <m:begChr m:val="["/>
                <m:sepChr m:val=""/>
                <m:endChr m:val="]"/>
                <m:grow/>
              </m:dPr>
              <m:e>
                <m:sSubSup>
                  <m:e>
                    <m:r>
                      <m:t>S</m:t>
                    </m:r>
                  </m:e>
                  <m:sub>
                    <m:r>
                      <m:t>a</m:t>
                    </m:r>
                  </m:sub>
                  <m:sup>
                    <m:r>
                      <m:rPr>
                        <m:sty m:val="p"/>
                      </m:rPr>
                      <m:t>(</m:t>
                    </m:r>
                    <m:r>
                      <m:t>84</m:t>
                    </m:r>
                    <m:r>
                      <m:rPr>
                        <m:sty m:val="p"/>
                      </m:rPr>
                      <m:t>%</m:t>
                    </m:r>
                    <m:r>
                      <m:rPr>
                        <m:sty m:val="p"/>
                      </m:rPr>
                      <m:t>)</m:t>
                    </m:r>
                  </m:sup>
                </m:sSubSup>
                <m:r>
                  <m:rPr>
                    <m:sty m:val="p"/>
                  </m:rPr>
                  <m:t>(</m:t>
                </m:r>
                <m:sSub>
                  <m:e>
                    <m:r>
                      <m:t>T</m:t>
                    </m:r>
                  </m:e>
                  <m:sub>
                    <m:r>
                      <m:t>n</m:t>
                    </m:r>
                  </m:sub>
                </m:sSub>
                <m:r>
                  <m:rPr>
                    <m:sty m:val="p"/>
                  </m:rPr>
                  <m:t>)</m:t>
                </m:r>
                <m:r>
                  <m:rPr>
                    <m:sty m:val="p"/>
                  </m:rPr>
                  <m:t>,</m:t>
                </m:r>
                <m:sSub>
                  <m:e>
                    <m:bar>
                      <m:barPr>
                        <m:pos m:val="bot"/>
                      </m:barPr>
                      <m:e>
                        <m:r>
                          <m:t>S</m:t>
                        </m:r>
                      </m:e>
                    </m:bar>
                  </m:e>
                  <m:sub>
                    <m:r>
                      <m:t>a</m:t>
                    </m:r>
                  </m:sub>
                </m:sSub>
                <m:r>
                  <m:rPr>
                    <m:sty m:val="p"/>
                  </m:rPr>
                  <m:t>(</m:t>
                </m:r>
                <m:sSub>
                  <m:e>
                    <m:r>
                      <m:t>T</m:t>
                    </m:r>
                  </m:e>
                  <m:sub>
                    <m:r>
                      <m:t>n</m:t>
                    </m:r>
                  </m:sub>
                </m:sSub>
                <m:r>
                  <m:rPr>
                    <m:sty m:val="p"/>
                  </m:rPr>
                  <m:t>)</m:t>
                </m:r>
              </m:e>
            </m:d>
          </m:e>
        </m:d>
        <m:r>
          <m:rPr>
            <m:sty m:val="p"/>
          </m:rPr>
          <m:t>.</m:t>
        </m:r>
      </m:oMath>
      <w:r>
        <w:tab/>
      </w:r>
      <w:r>
        <w:t xml:space="preserve">(4.22)</w:t>
      </w:r>
      <w:bookmarkEnd w:id="107"/>
    </w:p>
    <w:p>
      <w:pPr>
        <w:pStyle w:val="BodyText"/>
      </w:pPr>
      <w:r>
        <w:t xml:space="preserve">In accordance with Section 21.3, the design spectral accelerations are obtained from the MCER ordinates of</w:t>
      </w:r>
      <w:r>
        <w:t xml:space="preserve"> </w:t>
      </w:r>
      <w:hyperlink w:anchor="eq-structures-mcer-ordinate">
        <w:r>
          <w:rPr>
            <w:rStyle w:val="Hyperlink"/>
          </w:rPr>
          <w:t xml:space="preserve">4.22</w:t>
        </w:r>
      </w:hyperlink>
      <w:r>
        <w:t xml:space="preserve"> </w:t>
      </w:r>
      <w:r>
        <w:t xml:space="preserve">through</w:t>
      </w:r>
    </w:p>
    <w:p>
      <w:pPr>
        <w:pStyle w:val="Equation"/>
      </w:pPr>
      <w:bookmarkStart w:id="108" w:name="eq-structures-design-spectrum"/>
      <w:r>
        <w:tab/>
      </w:r>
      <m:oMath>
        <m:sSub>
          <m:e>
            <m:r>
              <m:t>S</m:t>
            </m:r>
          </m:e>
          <m:sub>
            <m:r>
              <m:t>a</m:t>
            </m:r>
          </m:sub>
        </m:sSub>
        <m:r>
          <m:rPr>
            <m:sty m:val="p"/>
          </m:rPr>
          <m:t>(</m:t>
        </m:r>
        <m:sSub>
          <m:e>
            <m:r>
              <m:t>T</m:t>
            </m:r>
          </m:e>
          <m:sub>
            <m:r>
              <m:t>n</m:t>
            </m:r>
          </m:sub>
        </m:sSub>
        <m:r>
          <m:rPr>
            <m:sty m:val="p"/>
          </m:rPr>
          <m:t>)</m:t>
        </m:r>
        <m:r>
          <m:rPr>
            <m:sty m:val="p"/>
          </m:rPr>
          <m:t>=</m:t>
        </m:r>
        <m:f>
          <m:fPr>
            <m:type m:val="bar"/>
          </m:fPr>
          <m:num>
            <m:r>
              <m:t>2</m:t>
            </m:r>
          </m:num>
          <m:den>
            <m:r>
              <m:t>3</m:t>
            </m:r>
          </m:den>
        </m:f>
        <m:sSub>
          <m:e>
            <m:r>
              <m:t>S</m:t>
            </m:r>
          </m:e>
          <m:sub>
            <m:r>
              <m:t>a</m:t>
            </m:r>
            <m:r>
              <m:t>M</m:t>
            </m:r>
          </m:sub>
        </m:sSub>
        <m:r>
          <m:rPr>
            <m:sty m:val="p"/>
          </m:rPr>
          <m:t>(</m:t>
        </m:r>
        <m:sSub>
          <m:e>
            <m:r>
              <m:t>T</m:t>
            </m:r>
          </m:e>
          <m:sub>
            <m:r>
              <m:t>n</m:t>
            </m:r>
          </m:sub>
        </m:sSub>
        <m:r>
          <m:rPr>
            <m:sty m:val="p"/>
          </m:rPr>
          <m:t>)</m:t>
        </m:r>
        <m:r>
          <m:rPr>
            <m:sty m:val="p"/>
          </m:rPr>
          <m:t>.</m:t>
        </m:r>
      </m:oMath>
      <w:r>
        <w:tab/>
      </w:r>
      <w:r>
        <w:t xml:space="preserve">(4.23)</w:t>
      </w:r>
      <w:bookmarkEnd w:id="108"/>
    </w:p>
    <w:p>
      <w:pPr>
        <w:pStyle w:val="BodyText"/>
      </w:pPr>
      <w:r>
        <w:t xml:space="preserve">Where the design ground motions are determined through the site-specific procedure</w:t>
      </w:r>
      <w:r>
        <w:rPr>
          <w:rStyle w:val="FootnoteReference"/>
        </w:rPr>
        <w:footnoteReference w:id="109"/>
      </w:r>
      <w:r>
        <w:t xml:space="preserve">, in accordance with Section 21.3, the design acceleration parameters are calculated as</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 21.4</w:t>
        </w:r>
      </w:hyperlink>
      <w:r>
        <w:t xml:space="preserve">)</w:t>
      </w:r>
    </w:p>
    <w:p>
      <w:pPr>
        <w:pStyle w:val="Equation"/>
      </w:pPr>
      <w:bookmarkStart w:id="110" w:name="eq-structures-design-parameters"/>
      <w:r>
        <w:tab/>
      </w:r>
      <m:oMath>
        <m:eqArr>
          <m:e>
            <m:sSub>
              <m:e>
                <m:r>
                  <m:t>S</m:t>
                </m:r>
              </m:e>
              <m:sub>
                <m:r>
                  <m:t>D</m:t>
                </m:r>
                <m:r>
                  <m:t>S</m:t>
                </m:r>
              </m:sub>
            </m:sSub>
            <m:r>
              <m:t>&amp;</m:t>
            </m:r>
            <m:r>
              <m:rPr>
                <m:sty m:val="p"/>
              </m:rPr>
              <m:t>=</m:t>
            </m:r>
            <m:r>
              <m:t>0.9</m:t>
            </m:r>
            <m:sSub>
              <m:e>
                <m:r>
                  <m:rPr>
                    <m:sty m:val="p"/>
                  </m:rPr>
                  <m:t>max</m:t>
                </m:r>
              </m:e>
              <m:sub>
                <m:r>
                  <m:t>T</m:t>
                </m:r>
                <m:r>
                  <m:rPr>
                    <m:sty m:val="p"/>
                  </m:rPr>
                  <m:t>∈</m:t>
                </m:r>
                <m:r>
                  <m:rPr>
                    <m:sty m:val="p"/>
                  </m:rPr>
                  <m:t>[</m:t>
                </m:r>
                <m:r>
                  <m:t>0.2</m:t>
                </m:r>
                <m:r>
                  <m:rPr>
                    <m:sty m:val="p"/>
                  </m:rPr>
                  <m:t>,</m:t>
                </m:r>
                <m:r>
                  <m:t>5</m:t>
                </m:r>
                <m:r>
                  <m:rPr>
                    <m:sty m:val="p"/>
                  </m:rPr>
                  <m:t>]</m:t>
                </m:r>
                <m:r>
                  <m:t> </m:t>
                </m:r>
                <m:r>
                  <m:rPr>
                    <m:sty m:val="p"/>
                  </m:rPr>
                  <m:t>s</m:t>
                </m:r>
              </m:sub>
            </m:sSub>
            <m:sSub>
              <m:e>
                <m:r>
                  <m:t>S</m:t>
                </m:r>
              </m:e>
              <m:sub>
                <m:r>
                  <m:t>a</m:t>
                </m:r>
              </m:sub>
            </m:sSub>
            <m:r>
              <m:rPr>
                <m:sty m:val="p"/>
              </m:rPr>
              <m:t>(</m:t>
            </m:r>
            <m:r>
              <m:t>T</m:t>
            </m:r>
            <m:r>
              <m:rPr>
                <m:sty m:val="p"/>
              </m:rPr>
              <m:t>)</m:t>
            </m:r>
            <m:r>
              <m:rPr>
                <m:sty m:val="p"/>
              </m:rPr>
              <m:t>,</m:t>
            </m:r>
          </m:e>
          <m:e>
            <m:sSub>
              <m:e>
                <m:r>
                  <m:t>S</m:t>
                </m:r>
              </m:e>
              <m:sub>
                <m:r>
                  <m:t>D</m:t>
                </m:r>
                <m:r>
                  <m:t>1</m:t>
                </m:r>
              </m:sub>
            </m:sSub>
            <m:r>
              <m:t>&amp;</m:t>
            </m:r>
            <m:r>
              <m:rPr>
                <m:sty m:val="p"/>
              </m:rPr>
              <m:t>=</m:t>
            </m:r>
            <m:r>
              <m:rPr>
                <m:sty m:val="p"/>
              </m:rPr>
              <m:t>max</m:t>
            </m:r>
            <m:r>
              <m:t>​</m:t>
            </m:r>
            <m:d>
              <m:dPr>
                <m:begChr m:val="["/>
                <m:sepChr m:val=""/>
                <m:endChr m:val="]"/>
                <m:grow/>
              </m:dPr>
              <m:e>
                <m:r>
                  <m:t>0.9</m:t>
                </m:r>
                <m:sSub>
                  <m:e>
                    <m:r>
                      <m:rPr>
                        <m:sty m:val="p"/>
                      </m:rPr>
                      <m:t>max</m:t>
                    </m:r>
                  </m:e>
                  <m:sub>
                    <m:r>
                      <m:t>T</m:t>
                    </m:r>
                    <m:r>
                      <m:rPr>
                        <m:sty m:val="p"/>
                      </m:rPr>
                      <m:t>∈</m:t>
                    </m:r>
                    <m:r>
                      <m:rPr>
                        <m:sty m:val="p"/>
                      </m:rPr>
                      <m:t>[</m:t>
                    </m:r>
                    <m:r>
                      <m:t>1</m:t>
                    </m:r>
                    <m:r>
                      <m:rPr>
                        <m:sty m:val="p"/>
                      </m:rPr>
                      <m:t>,</m:t>
                    </m:r>
                    <m:sSup>
                      <m:e>
                        <m:r>
                          <m:t>T</m:t>
                        </m:r>
                      </m:e>
                      <m:sup>
                        <m:r>
                          <m:rPr>
                            <m:sty m:val="p"/>
                          </m:rPr>
                          <m:t>*</m:t>
                        </m:r>
                      </m:sup>
                    </m:sSup>
                    <m:r>
                      <m:rPr>
                        <m:sty m:val="p"/>
                      </m:rPr>
                      <m:t>]</m:t>
                    </m:r>
                    <m:r>
                      <m:t> </m:t>
                    </m:r>
                    <m:r>
                      <m:rPr>
                        <m:sty m:val="p"/>
                      </m:rPr>
                      <m:t>s</m:t>
                    </m:r>
                  </m:sub>
                </m:sSub>
                <m:r>
                  <m:rPr>
                    <m:sty m:val="p"/>
                  </m:rPr>
                  <m:t>(</m:t>
                </m:r>
                <m:r>
                  <m:t>T</m:t>
                </m:r>
                <m:r>
                  <m:t> </m:t>
                </m:r>
                <m:sSub>
                  <m:e>
                    <m:r>
                      <m:t>S</m:t>
                    </m:r>
                  </m:e>
                  <m:sub>
                    <m:r>
                      <m:t>a</m:t>
                    </m:r>
                  </m:sub>
                </m:sSub>
                <m:r>
                  <m:rPr>
                    <m:sty m:val="p"/>
                  </m:rPr>
                  <m:t>(</m:t>
                </m:r>
                <m:r>
                  <m:t>T</m:t>
                </m:r>
                <m:r>
                  <m:rPr>
                    <m:sty m:val="p"/>
                  </m:rPr>
                  <m:t>)</m:t>
                </m:r>
                <m:r>
                  <m:rPr>
                    <m:sty m:val="p"/>
                  </m:rPr>
                  <m:t>)</m:t>
                </m:r>
                <m:r>
                  <m:rPr>
                    <m:sty m:val="p"/>
                  </m:rPr>
                  <m:t>,</m:t>
                </m:r>
                <m:sSub>
                  <m:e>
                    <m:r>
                      <m:t>S</m:t>
                    </m:r>
                  </m:e>
                  <m:sub>
                    <m:r>
                      <m:t>a</m:t>
                    </m:r>
                  </m:sub>
                </m:sSub>
                <m:r>
                  <m:rPr>
                    <m:sty m:val="p"/>
                  </m:rPr>
                  <m:t>(</m:t>
                </m:r>
                <m:r>
                  <m:t>1</m:t>
                </m:r>
                <m:r>
                  <m:t> </m:t>
                </m:r>
                <m:r>
                  <m:rPr>
                    <m:sty m:val="p"/>
                  </m:rPr>
                  <m:t>s</m:t>
                </m:r>
                <m:r>
                  <m:rPr>
                    <m:sty m:val="p"/>
                  </m:rPr>
                  <m:t>)</m:t>
                </m:r>
              </m:e>
            </m:d>
            <m:r>
              <m:rPr>
                <m:sty m:val="p"/>
              </m:rPr>
              <m:t>,</m:t>
            </m:r>
          </m:e>
          <m:e>
            <m:sSup>
              <m:e>
                <m:r>
                  <m:t>T</m:t>
                </m:r>
              </m:e>
              <m:sup>
                <m:r>
                  <m:rPr>
                    <m:sty m:val="p"/>
                  </m:rPr>
                  <m:t>*</m:t>
                </m:r>
              </m:sup>
            </m:sSup>
            <m:r>
              <m:t>&amp;</m:t>
            </m:r>
            <m:r>
              <m:rPr>
                <m:sty m:val="p"/>
              </m:rPr>
              <m:t>=</m:t>
            </m:r>
            <m:d>
              <m:dPr>
                <m:begChr m:val="{"/>
                <m:sepChr m:val=""/>
                <m:endChr m:val=""/>
                <m:grow/>
              </m:dPr>
              <m:e>
                <m:m>
                  <m:mPr>
                    <m:baseJc m:val="center"/>
                    <m:plcHide m:val="on"/>
                    <m:mcs>
                      <m:mc>
                        <m:mcPr>
                          <m:mcJc m:val="left"/>
                          <m:count m:val="1"/>
                        </m:mcPr>
                      </m:mc>
                      <m:mc>
                        <m:mcPr>
                          <m:mcJc m:val="left"/>
                          <m:count m:val="1"/>
                        </m:mcPr>
                      </m:mc>
                    </m:mcs>
                  </m:mPr>
                  <m:mr>
                    <m:e>
                      <m:r>
                        <m:t>2</m:t>
                      </m:r>
                      <m:r>
                        <m:t> </m:t>
                      </m:r>
                      <m:r>
                        <m:rPr>
                          <m:sty m:val="p"/>
                        </m:rPr>
                        <m:t>s</m:t>
                      </m:r>
                      <m:r>
                        <m:rPr>
                          <m:sty m:val="p"/>
                        </m:rPr>
                        <m:t>,</m:t>
                      </m:r>
                    </m:e>
                    <m:e>
                      <m:sSub>
                        <m:e>
                          <m:r>
                            <m:t>V</m:t>
                          </m:r>
                        </m:e>
                        <m:sub>
                          <m:r>
                            <m:t>S</m:t>
                          </m:r>
                          <m:r>
                            <m:t>30</m:t>
                          </m:r>
                        </m:sub>
                      </m:sSub>
                      <m:r>
                        <m:rPr>
                          <m:sty m:val="p"/>
                        </m:rPr>
                        <m:t>&gt;</m:t>
                      </m:r>
                      <m:r>
                        <m:t>442</m:t>
                      </m:r>
                      <m:r>
                        <m:t> </m:t>
                      </m:r>
                      <m:r>
                        <m:rPr>
                          <m:sty m:val="p"/>
                        </m:rPr>
                        <m:t>m</m:t>
                      </m:r>
                      <m:r>
                        <m:rPr>
                          <m:sty m:val="p"/>
                        </m:rPr>
                        <m:t>/</m:t>
                      </m:r>
                      <m:r>
                        <m:rPr>
                          <m:sty m:val="p"/>
                        </m:rPr>
                        <m:t>s</m:t>
                      </m:r>
                      <m:r>
                        <m:rPr>
                          <m:sty m:val="p"/>
                        </m:rPr>
                        <m:t>,</m:t>
                      </m:r>
                    </m:e>
                  </m:mr>
                  <m:mr>
                    <m:e>
                      <m:r>
                        <m:t>5</m:t>
                      </m:r>
                      <m:r>
                        <m:t> </m:t>
                      </m:r>
                      <m:r>
                        <m:rPr>
                          <m:sty m:val="p"/>
                        </m:rPr>
                        <m:t>s</m:t>
                      </m:r>
                      <m:r>
                        <m:rPr>
                          <m:sty m:val="p"/>
                        </m:rPr>
                        <m:t>,</m:t>
                      </m:r>
                    </m:e>
                    <m:e>
                      <m:sSub>
                        <m:e>
                          <m:r>
                            <m:t>V</m:t>
                          </m:r>
                        </m:e>
                        <m:sub>
                          <m:r>
                            <m:t>S</m:t>
                          </m:r>
                          <m:r>
                            <m:t>30</m:t>
                          </m:r>
                        </m:sub>
                      </m:sSub>
                      <m:r>
                        <m:rPr>
                          <m:sty m:val="p"/>
                        </m:rPr>
                        <m:t>≤</m:t>
                      </m:r>
                      <m:r>
                        <m:t>442</m:t>
                      </m:r>
                      <m:r>
                        <m:t> </m:t>
                      </m:r>
                      <m:r>
                        <m:rPr>
                          <m:sty m:val="p"/>
                        </m:rPr>
                        <m:t>m</m:t>
                      </m:r>
                      <m:r>
                        <m:rPr>
                          <m:sty m:val="p"/>
                        </m:rPr>
                        <m:t>/</m:t>
                      </m:r>
                      <m:r>
                        <m:rPr>
                          <m:sty m:val="p"/>
                        </m:rPr>
                        <m:t>s</m:t>
                      </m:r>
                      <m:r>
                        <m:rPr>
                          <m:sty m:val="p"/>
                        </m:rPr>
                        <m:t>.</m:t>
                      </m:r>
                    </m:e>
                  </m:mr>
                </m:m>
              </m:e>
            </m:d>
          </m:e>
        </m:eqArr>
      </m:oMath>
      <w:r>
        <w:tab/>
      </w:r>
      <w:r>
        <w:t xml:space="preserve">(4.24)</w:t>
      </w:r>
      <w:bookmarkEnd w:id="110"/>
    </w:p>
    <w:p>
      <w:pPr>
        <w:pStyle w:val="BodyText"/>
      </w:pPr>
      <w:r>
        <w:t xml:space="preserve">and the corresponding MCER parameters are recovered from the design values through</w:t>
      </w:r>
    </w:p>
    <w:p>
      <w:pPr>
        <w:pStyle w:val="Equation"/>
      </w:pPr>
      <w:bookmarkStart w:id="111" w:name="eq-structures-mcer-parameters"/>
      <w:r>
        <w:tab/>
      </w:r>
      <m:oMath>
        <m:sSub>
          <m:e>
            <m:r>
              <m:t>S</m:t>
            </m:r>
          </m:e>
          <m:sub>
            <m:r>
              <m:t>M</m:t>
            </m:r>
            <m:r>
              <m:t>S</m:t>
            </m:r>
          </m:sub>
        </m:sSub>
        <m:r>
          <m:rPr>
            <m:sty m:val="p"/>
          </m:rPr>
          <m:t>=</m:t>
        </m:r>
        <m:r>
          <m:t>1.5</m:t>
        </m:r>
        <m:sSub>
          <m:e>
            <m:r>
              <m:t>S</m:t>
            </m:r>
          </m:e>
          <m:sub>
            <m:r>
              <m:t>D</m:t>
            </m:r>
            <m:r>
              <m:t>S</m:t>
            </m:r>
          </m:sub>
        </m:sSub>
        <m:r>
          <m:rPr>
            <m:sty m:val="p"/>
          </m:rPr>
          <m:t>,</m:t>
        </m:r>
        <m:r>
          <m:t>  </m:t>
        </m:r>
        <m:sSub>
          <m:e>
            <m:r>
              <m:t>S</m:t>
            </m:r>
          </m:e>
          <m:sub>
            <m:r>
              <m:t>M</m:t>
            </m:r>
            <m:r>
              <m:t>1</m:t>
            </m:r>
          </m:sub>
        </m:sSub>
        <m:r>
          <m:rPr>
            <m:sty m:val="p"/>
          </m:rPr>
          <m:t>=</m:t>
        </m:r>
        <m:r>
          <m:t>1.5</m:t>
        </m:r>
        <m:sSub>
          <m:e>
            <m:r>
              <m:t>S</m:t>
            </m:r>
          </m:e>
          <m:sub>
            <m:r>
              <m:t>D</m:t>
            </m:r>
            <m:r>
              <m:t>1</m:t>
            </m:r>
          </m:sub>
        </m:sSub>
        <m:r>
          <m:rPr>
            <m:sty m:val="p"/>
          </m:rPr>
          <m:t>.</m:t>
        </m:r>
      </m:oMath>
      <w:r>
        <w:tab/>
      </w:r>
      <w:r>
        <w:t xml:space="preserve">(4.25)</w:t>
      </w:r>
      <w:bookmarkEnd w:id="111"/>
    </w:p>
    <w:p>
      <w:pPr>
        <w:pStyle w:val="BodyText"/>
      </w:pPr>
      <w:r>
        <w:t xml:space="preserve">The chapter retains the site-specific MCER spectra for the evaluated</w:t>
      </w:r>
      <w:r>
        <w:t xml:space="preserve"> </w:t>
      </w:r>
      <m:oMath>
        <m:sSub>
          <m:e>
            <m:r>
              <m:t>V</m:t>
            </m:r>
          </m:e>
          <m:sub>
            <m:r>
              <m:t>S</m:t>
            </m:r>
            <m:r>
              <m:t>30</m:t>
            </m:r>
          </m:sub>
        </m:sSub>
      </m:oMath>
      <w:r>
        <w:t xml:space="preserve"> </w:t>
      </w:r>
      <w:r>
        <w:t xml:space="preserve">conditions, with one ordinate per period of the hazard curves; the results report the MCER PGA and the maximum spectral ordinates per site condition.</w:t>
      </w:r>
    </w:p>
    <w:p>
      <w:pPr>
        <w:pStyle w:val="BodyText"/>
      </w:pPr>
      <w:r>
        <w:t xml:space="preserve">Section 21.2.2 bounds the deterministic spectrum from below by the tabulated values of Table 21.2-1 – the</w:t>
      </w:r>
      <w:r>
        <w:t xml:space="preserve"> </w:t>
      </w:r>
      <m:oMath>
        <m:sSub>
          <m:e>
            <m:bar>
              <m:barPr>
                <m:pos m:val="bot"/>
              </m:barPr>
              <m:e>
                <m:r>
                  <m:t>S</m:t>
                </m:r>
              </m:e>
            </m:bar>
          </m:e>
          <m:sub>
            <m:r>
              <m:t>a</m:t>
            </m:r>
          </m:sub>
        </m:sSub>
        <m:r>
          <m:rPr>
            <m:sty m:val="p"/>
          </m:rPr>
          <m:t>(</m:t>
        </m:r>
        <m:sSub>
          <m:e>
            <m:r>
              <m:t>T</m:t>
            </m:r>
          </m:e>
          <m:sub>
            <m:r>
              <m:t>n</m:t>
            </m:r>
          </m:sub>
        </m:sSub>
        <m:r>
          <m:rPr>
            <m:sty m:val="p"/>
          </m:rPr>
          <m:t>)</m:t>
        </m:r>
      </m:oMath>
      <w:r>
        <w:t xml:space="preserve"> </w:t>
      </w:r>
      <w:r>
        <w:t xml:space="preserve">component of</w:t>
      </w:r>
      <w:r>
        <w:t xml:space="preserve"> </w:t>
      </w:r>
      <w:hyperlink w:anchor="eq-structures-deterministic-component">
        <w:r>
          <w:rPr>
            <w:rStyle w:val="Hyperlink"/>
          </w:rPr>
          <w:t xml:space="preserve">4.21</w:t>
        </w:r>
      </w:hyperlink>
      <w:r>
        <w:t xml:space="preserve"> </w:t>
      </w:r>
      <w:r>
        <w:t xml:space="preserve">– defined by site class from</w:t>
      </w:r>
      <w:r>
        <w:t xml:space="preserve"> </w:t>
      </w:r>
      <m:oMath>
        <m:r>
          <m:t>T</m:t>
        </m:r>
        <m:r>
          <m:rPr>
            <m:sty m:val="p"/>
          </m:rPr>
          <m:t>=</m:t>
        </m:r>
        <m:r>
          <m:t>0</m:t>
        </m:r>
      </m:oMath>
      <w:r>
        <w:t xml:space="preserve"> </w:t>
      </w:r>
      <w:r>
        <w:t xml:space="preserve">to 10 s and including PGA, and admits an exception: where the probabilistic spectrum remains below those values at all periods, the deterministic motions are not calculated</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 21.2.2</w:t>
        </w:r>
      </w:hyperlink>
      <w:r>
        <w:t xml:space="preserve">)</w:t>
      </w:r>
      <w:r>
        <w:t xml:space="preserve">. Verifying that exception consists of comparing the probabilistic spectrum with the tabulated values at each evaluated site condition. The 80% floor of Section 21.2.3 is anchored to the USGS Seismic Design Geodatabase and its application is limited to that database’s coverage</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 21.2.3</w:t>
        </w:r>
      </w:hyperlink>
      <w:r>
        <w:t xml:space="preserve">)</w:t>
      </w:r>
      <w:r>
        <w:t xml:space="preserve">.</w:t>
      </w:r>
    </w:p>
    <w:p>
      <w:pPr>
        <w:pStyle w:val="BodyText"/>
      </w:pPr>
      <w:r>
        <w:t xml:space="preserve">In addition to the site-specific design spectrum, the report includes the code-form design spectrum of ASCE/SEI 7-22 Section 11.4.5, built piecewise from the parameters</w:t>
      </w:r>
      <w:r>
        <w:t xml:space="preserve"> </w:t>
      </w:r>
      <m:oMath>
        <m:sSub>
          <m:e>
            <m:r>
              <m:t>S</m:t>
            </m:r>
          </m:e>
          <m:sub>
            <m:r>
              <m:t>D</m:t>
            </m:r>
            <m:r>
              <m:t>S</m:t>
            </m:r>
          </m:sub>
        </m:sSub>
      </m:oMath>
      <w:r>
        <w:t xml:space="preserve"> </w:t>
      </w:r>
      <w:r>
        <w:t xml:space="preserve">and</w:t>
      </w:r>
      <w:r>
        <w:t xml:space="preserve"> </w:t>
      </w:r>
      <m:oMath>
        <m:sSub>
          <m:e>
            <m:r>
              <m:t>S</m:t>
            </m:r>
          </m:e>
          <m:sub>
            <m:r>
              <m:t>D</m:t>
            </m:r>
            <m:r>
              <m:t>1</m:t>
            </m:r>
          </m:sub>
        </m:sSub>
      </m:oMath>
      <w:r>
        <w:t xml:space="preserve">. With</w:t>
      </w:r>
      <w:r>
        <w:t xml:space="preserve"> </w:t>
      </w:r>
      <m:oMath>
        <m:sSub>
          <m:e>
            <m:r>
              <m:t>T</m:t>
            </m:r>
          </m:e>
          <m:sub>
            <m:r>
              <m:t>0</m:t>
            </m:r>
          </m:sub>
        </m:sSub>
        <m:r>
          <m:rPr>
            <m:sty m:val="p"/>
          </m:rPr>
          <m:t>=</m:t>
        </m:r>
        <m:r>
          <m:t>0.2</m:t>
        </m:r>
        <m:r>
          <m:t> </m:t>
        </m:r>
        <m:sSub>
          <m:e>
            <m:r>
              <m:t>S</m:t>
            </m:r>
          </m:e>
          <m:sub>
            <m:r>
              <m:t>D</m:t>
            </m:r>
            <m:r>
              <m:t>1</m:t>
            </m:r>
          </m:sub>
        </m:sSub>
        <m:r>
          <m:rPr>
            <m:sty m:val="p"/>
          </m:rPr>
          <m:t>/</m:t>
        </m:r>
        <m:sSub>
          <m:e>
            <m:r>
              <m:t>S</m:t>
            </m:r>
          </m:e>
          <m:sub>
            <m:r>
              <m:t>D</m:t>
            </m:r>
            <m:r>
              <m:t>S</m:t>
            </m:r>
          </m:sub>
        </m:sSub>
      </m:oMath>
      <w:r>
        <w:t xml:space="preserve"> </w:t>
      </w:r>
      <w:r>
        <w:t xml:space="preserve">and</w:t>
      </w:r>
      <w:r>
        <w:t xml:space="preserve"> </w:t>
      </w:r>
      <m:oMath>
        <m:sSub>
          <m:e>
            <m:r>
              <m:t>T</m:t>
            </m:r>
          </m:e>
          <m:sub>
            <m:r>
              <m:t>S</m:t>
            </m:r>
          </m:sub>
        </m:sSub>
        <m:r>
          <m:rPr>
            <m:sty m:val="p"/>
          </m:rPr>
          <m:t>=</m:t>
        </m:r>
        <m:sSub>
          <m:e>
            <m:r>
              <m:t>S</m:t>
            </m:r>
          </m:e>
          <m:sub>
            <m:r>
              <m:t>D</m:t>
            </m:r>
            <m:r>
              <m:t>1</m:t>
            </m:r>
          </m:sub>
        </m:sSub>
        <m:r>
          <m:rPr>
            <m:sty m:val="p"/>
          </m:rPr>
          <m:t>/</m:t>
        </m:r>
        <m:sSub>
          <m:e>
            <m:r>
              <m:t>S</m:t>
            </m:r>
          </m:e>
          <m:sub>
            <m:r>
              <m:t>D</m:t>
            </m:r>
            <m:r>
              <m:t>S</m:t>
            </m:r>
          </m:sub>
        </m:sSub>
      </m:oMath>
      <w:r>
        <w:t xml:space="preserve">,</w:t>
      </w:r>
    </w:p>
    <w:p>
      <w:pPr>
        <w:pStyle w:val="Equation"/>
      </w:pPr>
      <w:bookmarkStart w:id="112" w:name="eq-structures-code-spectrum"/>
      <w:r>
        <w:tab/>
      </w:r>
      <m:oMath>
        <m:sSub>
          <m:e>
            <m:r>
              <m:t>S</m:t>
            </m:r>
          </m:e>
          <m:sub>
            <m:r>
              <m:t>a</m:t>
            </m:r>
          </m:sub>
        </m:sSub>
        <m:r>
          <m:rPr>
            <m:sty m:val="p"/>
          </m:rPr>
          <m:t>(</m:t>
        </m:r>
        <m:sSub>
          <m:e>
            <m:r>
              <m:t>T</m:t>
            </m:r>
          </m:e>
          <m:sub>
            <m:r>
              <m:t>n</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S</m:t>
                      </m:r>
                    </m:e>
                    <m:sub>
                      <m:r>
                        <m:t>D</m:t>
                      </m:r>
                      <m:r>
                        <m:t>S</m:t>
                      </m:r>
                    </m:sub>
                  </m:sSub>
                  <m:d>
                    <m:dPr>
                      <m:begChr m:val="("/>
                      <m:sepChr m:val=""/>
                      <m:endChr m:val=")"/>
                      <m:grow/>
                    </m:dPr>
                    <m:e>
                      <m:r>
                        <m:t>0.4</m:t>
                      </m:r>
                      <m:r>
                        <m:rPr>
                          <m:sty m:val="p"/>
                        </m:rPr>
                        <m:t>+</m:t>
                      </m:r>
                      <m:r>
                        <m:t>0.6</m:t>
                      </m:r>
                      <m:r>
                        <m:t> </m:t>
                      </m:r>
                      <m:f>
                        <m:fPr>
                          <m:type m:val="bar"/>
                        </m:fPr>
                        <m:num>
                          <m:sSub>
                            <m:e>
                              <m:r>
                                <m:t>T</m:t>
                              </m:r>
                            </m:e>
                            <m:sub>
                              <m:r>
                                <m:t>n</m:t>
                              </m:r>
                            </m:sub>
                          </m:sSub>
                        </m:num>
                        <m:den>
                          <m:sSub>
                            <m:e>
                              <m:r>
                                <m:t>T</m:t>
                              </m:r>
                            </m:e>
                            <m:sub>
                              <m:r>
                                <m:t>0</m:t>
                              </m:r>
                            </m:sub>
                          </m:sSub>
                        </m:den>
                      </m:f>
                    </m:e>
                  </m:d>
                  <m:r>
                    <m:rPr>
                      <m:sty m:val="p"/>
                    </m:rPr>
                    <m:t>,</m:t>
                  </m:r>
                </m:e>
                <m:e>
                  <m:sSub>
                    <m:e>
                      <m:r>
                        <m:t>T</m:t>
                      </m:r>
                    </m:e>
                    <m:sub>
                      <m:r>
                        <m:t>n</m:t>
                      </m:r>
                    </m:sub>
                  </m:sSub>
                  <m:r>
                    <m:rPr>
                      <m:sty m:val="p"/>
                    </m:rPr>
                    <m:t>&lt;</m:t>
                  </m:r>
                  <m:sSub>
                    <m:e>
                      <m:r>
                        <m:t>T</m:t>
                      </m:r>
                    </m:e>
                    <m:sub>
                      <m:r>
                        <m:t>0</m:t>
                      </m:r>
                    </m:sub>
                  </m:sSub>
                  <m:r>
                    <m:rPr>
                      <m:sty m:val="p"/>
                    </m:rPr>
                    <m:t>,</m:t>
                  </m:r>
                </m:e>
              </m:mr>
              <m:mr>
                <m:e>
                  <m:sSub>
                    <m:e>
                      <m:r>
                        <m:t>S</m:t>
                      </m:r>
                    </m:e>
                    <m:sub>
                      <m:r>
                        <m:t>D</m:t>
                      </m:r>
                      <m:r>
                        <m:t>S</m:t>
                      </m:r>
                    </m:sub>
                  </m:sSub>
                  <m:r>
                    <m:rPr>
                      <m:sty m:val="p"/>
                    </m:rPr>
                    <m:t>,</m:t>
                  </m:r>
                </m:e>
                <m:e>
                  <m:sSub>
                    <m:e>
                      <m:r>
                        <m:t>T</m:t>
                      </m:r>
                    </m:e>
                    <m:sub>
                      <m:r>
                        <m:t>0</m:t>
                      </m:r>
                    </m:sub>
                  </m:sSub>
                  <m:r>
                    <m:rPr>
                      <m:sty m:val="p"/>
                    </m:rPr>
                    <m:t>≤</m:t>
                  </m:r>
                  <m:sSub>
                    <m:e>
                      <m:r>
                        <m:t>T</m:t>
                      </m:r>
                    </m:e>
                    <m:sub>
                      <m:r>
                        <m:t>n</m:t>
                      </m:r>
                    </m:sub>
                  </m:sSub>
                  <m:r>
                    <m:rPr>
                      <m:sty m:val="p"/>
                    </m:rPr>
                    <m:t>≤</m:t>
                  </m:r>
                  <m:sSub>
                    <m:e>
                      <m:r>
                        <m:t>T</m:t>
                      </m:r>
                    </m:e>
                    <m:sub>
                      <m:r>
                        <m:t>S</m:t>
                      </m:r>
                    </m:sub>
                  </m:sSub>
                  <m:r>
                    <m:rPr>
                      <m:sty m:val="p"/>
                    </m:rPr>
                    <m:t>,</m:t>
                  </m:r>
                </m:e>
              </m:mr>
              <m:mr>
                <m:e>
                  <m:f>
                    <m:fPr>
                      <m:type m:val="bar"/>
                    </m:fPr>
                    <m:num>
                      <m:sSub>
                        <m:e>
                          <m:r>
                            <m:t>S</m:t>
                          </m:r>
                        </m:e>
                        <m:sub>
                          <m:r>
                            <m:t>D</m:t>
                          </m:r>
                          <m:r>
                            <m:t>1</m:t>
                          </m:r>
                        </m:sub>
                      </m:sSub>
                    </m:num>
                    <m:den>
                      <m:sSub>
                        <m:e>
                          <m:r>
                            <m:t>T</m:t>
                          </m:r>
                        </m:e>
                        <m:sub>
                          <m:r>
                            <m:t>n</m:t>
                          </m:r>
                        </m:sub>
                      </m:sSub>
                    </m:den>
                  </m:f>
                  <m:r>
                    <m:rPr>
                      <m:sty m:val="p"/>
                    </m:rPr>
                    <m:t>,</m:t>
                  </m:r>
                </m:e>
                <m:e>
                  <m:sSub>
                    <m:e>
                      <m:r>
                        <m:t>T</m:t>
                      </m:r>
                    </m:e>
                    <m:sub>
                      <m:r>
                        <m:t>n</m:t>
                      </m:r>
                    </m:sub>
                  </m:sSub>
                  <m:r>
                    <m:rPr>
                      <m:sty m:val="p"/>
                    </m:rPr>
                    <m:t>&gt;</m:t>
                  </m:r>
                  <m:sSub>
                    <m:e>
                      <m:r>
                        <m:t>T</m:t>
                      </m:r>
                    </m:e>
                    <m:sub>
                      <m:r>
                        <m:t>S</m:t>
                      </m:r>
                    </m:sub>
                  </m:sSub>
                  <m:r>
                    <m:rPr>
                      <m:sty m:val="p"/>
                    </m:rPr>
                    <m:t>,</m:t>
                  </m:r>
                </m:e>
              </m:mr>
            </m:m>
          </m:e>
        </m:d>
      </m:oMath>
      <w:r>
        <w:tab/>
      </w:r>
      <w:r>
        <w:t xml:space="preserve">(4.26)</w:t>
      </w:r>
      <w:bookmarkEnd w:id="112"/>
    </w:p>
    <w:p>
      <w:pPr>
        <w:pStyle w:val="BodyText"/>
      </w:pPr>
      <w:r>
        <w:t xml:space="preserve">with the ordinates in</w:t>
      </w:r>
      <w:r>
        <w:t xml:space="preserve"> </w:t>
      </w:r>
      <m:oMath>
        <m:r>
          <m:t>g</m:t>
        </m:r>
      </m:oMath>
      <w:r>
        <w:t xml:space="preserve">. Outside the reach of the Section 22 maps no long-period transition</w:t>
      </w:r>
      <w:r>
        <w:t xml:space="preserve"> </w:t>
      </w:r>
      <m:oMath>
        <m:sSub>
          <m:e>
            <m:r>
              <m:t>T</m:t>
            </m:r>
          </m:e>
          <m:sub>
            <m:r>
              <m:t>L</m:t>
            </m:r>
          </m:sub>
        </m:sSub>
      </m:oMath>
      <w:r>
        <w:t xml:space="preserve"> </w:t>
      </w:r>
      <w:r>
        <w:t xml:space="preserve">is adopted; the</w:t>
      </w:r>
      <w:r>
        <w:t xml:space="preserve"> </w:t>
      </w:r>
      <m:oMath>
        <m:sSub>
          <m:e>
            <m:r>
              <m:t>S</m:t>
            </m:r>
          </m:e>
          <m:sub>
            <m:r>
              <m:t>D</m:t>
            </m:r>
            <m:r>
              <m:t>1</m:t>
            </m:r>
          </m:sub>
        </m:sSub>
        <m:r>
          <m:rPr>
            <m:sty m:val="p"/>
          </m:rPr>
          <m:t>/</m:t>
        </m:r>
        <m:sSub>
          <m:e>
            <m:r>
              <m:t>T</m:t>
            </m:r>
          </m:e>
          <m:sub>
            <m:r>
              <m:t>n</m:t>
            </m:r>
          </m:sub>
        </m:sSub>
      </m:oMath>
      <w:r>
        <w:t xml:space="preserve"> </w:t>
      </w:r>
      <w:r>
        <w:t xml:space="preserve">branch extends to the end of the period grid</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 11.4.5</w:t>
        </w:r>
      </w:hyperlink>
      <w:r>
        <w:t xml:space="preserve">)</w:t>
      </w:r>
      <w:r>
        <w:t xml:space="preserve">.</w:t>
      </w:r>
    </w:p>
    <w:p>
      <w:pPr>
        <w:pStyle w:val="BodyText"/>
      </w:pPr>
      <w:r>
        <w:t xml:space="preserve"> </w:t>
      </w:r>
    </w:p>
    <w:bookmarkStart w:id="113" w:name="tbl-mcer"/>
    <w:p>
      <w:pPr>
        <w:pStyle w:val="ImageCaption"/>
        <w:spacing w:before="200"/>
        <w:jc w:val="left"/>
      </w:pPr>
      <w:r>
        <w:t xml:space="preserve">Table 4.9: ASCE/SEI 7-22 seismic design parameters for site</w:t>
      </w:r>
      <w:r>
        <w:t xml:space="preserve"> </w:t>
      </w:r>
      <w:r>
        <w:rPr>
          <w:rStyle w:val="VerbatimChar"/>
        </w:rPr>
        <w:t xml:space="preserve">CFD</w:t>
      </w:r>
      <w:r>
        <w:t xml:space="preserve">, by site condition, obtained from the risk-targeted MCER spectrum. The spectral ordinates correspond to the mixture of the two site-demand estimates. Each row is a site condition and</w:t>
      </w:r>
      <w:r>
        <w:t xml:space="preserve"> </w:t>
      </w:r>
      <m:oMath>
        <m:sSub>
          <m:e>
            <m:r>
              <m:t>V</m:t>
            </m:r>
          </m:e>
          <m:sub>
            <m:r>
              <m:t>S</m:t>
            </m:r>
            <m:r>
              <m:t>30</m:t>
            </m:r>
          </m:sub>
        </m:sSub>
      </m:oMath>
      <w:r>
        <w:t xml:space="preserve"> </w:t>
      </w:r>
      <w:r>
        <w:t xml:space="preserve">is its shear-wave velocity, in m/s.</w:t>
      </w:r>
      <w:r>
        <w:t xml:space="preserve"> </w:t>
      </w:r>
      <m:oMath>
        <m:sSub>
          <m:e>
            <m:r>
              <m:t>S</m:t>
            </m:r>
          </m:e>
          <m:sub>
            <m:r>
              <m:t>a</m:t>
            </m:r>
            <m:r>
              <m:t>M</m:t>
            </m:r>
          </m:sub>
        </m:sSub>
        <m:r>
          <m:rPr>
            <m:sty m:val="p"/>
          </m:rPr>
          <m:t>(</m:t>
        </m:r>
        <m:r>
          <m:t>0</m:t>
        </m:r>
        <m:r>
          <m:rPr>
            <m:sty m:val="p"/>
          </m:rPr>
          <m:t>)</m:t>
        </m:r>
      </m:oMath>
      <w:r>
        <w:t xml:space="preserve"> </w:t>
      </w:r>
      <w:r>
        <w:t xml:space="preserve">is the MCER ordinate at zero period;</w:t>
      </w:r>
      <w:r>
        <w:t xml:space="preserve"> </w:t>
      </w:r>
      <m:oMath>
        <m:sSub>
          <m:e>
            <m:r>
              <m:t>S</m:t>
            </m:r>
          </m:e>
          <m:sub>
            <m:r>
              <m:t>M</m:t>
            </m:r>
            <m:r>
              <m:t>S</m:t>
            </m:r>
          </m:sub>
        </m:sSub>
      </m:oMath>
      <w:r>
        <w:t xml:space="preserve"> </w:t>
      </w:r>
      <w:r>
        <w:t xml:space="preserve">and</w:t>
      </w:r>
      <w:r>
        <w:t xml:space="preserve"> </w:t>
      </w:r>
      <m:oMath>
        <m:sSub>
          <m:e>
            <m:r>
              <m:t>S</m:t>
            </m:r>
          </m:e>
          <m:sub>
            <m:r>
              <m:t>M</m:t>
            </m:r>
            <m:r>
              <m:t>1</m:t>
            </m:r>
          </m:sub>
        </m:sSub>
      </m:oMath>
      <w:r>
        <w:t xml:space="preserve"> </w:t>
      </w:r>
      <w:r>
        <w:t xml:space="preserve">are the MCER acceleration parameters;</w:t>
      </w:r>
      <w:r>
        <w:t xml:space="preserve"> </w:t>
      </w:r>
      <m:oMath>
        <m:sSub>
          <m:e>
            <m:r>
              <m:t>S</m:t>
            </m:r>
          </m:e>
          <m:sub>
            <m:r>
              <m:t>D</m:t>
            </m:r>
            <m:r>
              <m:t>S</m:t>
            </m:r>
          </m:sub>
        </m:sSub>
      </m:oMath>
      <w:r>
        <w:t xml:space="preserve"> </w:t>
      </w:r>
      <w:r>
        <w:t xml:space="preserve">and</w:t>
      </w:r>
      <w:r>
        <w:t xml:space="preserve"> </w:t>
      </w:r>
      <m:oMath>
        <m:sSub>
          <m:e>
            <m:r>
              <m:t>S</m:t>
            </m:r>
          </m:e>
          <m:sub>
            <m:r>
              <m:t>D</m:t>
            </m:r>
            <m:r>
              <m:t>1</m:t>
            </m:r>
          </m:sub>
        </m:sSub>
      </m:oMath>
      <w:r>
        <w:t xml:space="preserve"> </w:t>
      </w:r>
      <w:r>
        <w:t xml:space="preserve">are the design acceleration parameters; these four ordinates and</w:t>
      </w:r>
      <w:r>
        <w:t xml:space="preserve"> </w:t>
      </w:r>
      <m:oMath>
        <m:sSub>
          <m:e>
            <m:r>
              <m:t>S</m:t>
            </m:r>
          </m:e>
          <m:sub>
            <m:r>
              <m:t>a</m:t>
            </m:r>
            <m:r>
              <m:t>M</m:t>
            </m:r>
          </m:sub>
        </m:sSub>
        <m:r>
          <m:rPr>
            <m:sty m:val="p"/>
          </m:rPr>
          <m:t>(</m:t>
        </m:r>
        <m:r>
          <m:t>0</m:t>
        </m:r>
        <m:r>
          <m:rPr>
            <m:sty m:val="p"/>
          </m:rPr>
          <m:t>)</m:t>
        </m:r>
      </m:oMath>
      <w:r>
        <w:t xml:space="preserve"> </w:t>
      </w:r>
      <w:r>
        <w:t xml:space="preserve">are in</w:t>
      </w:r>
      <w:r>
        <w:t xml:space="preserve"> </w:t>
      </w:r>
      <m:oMath>
        <m:r>
          <m:t>g</m:t>
        </m:r>
      </m:oMath>
      <w:r>
        <w:t xml:space="preserve">.</w:t>
      </w:r>
      <w:r>
        <w:t xml:space="preserve"> </w:t>
      </w:r>
      <m:oMath>
        <m:sSub>
          <m:e>
            <m:r>
              <m:t>T</m:t>
            </m:r>
          </m:e>
          <m:sub>
            <m:r>
              <m:t>0</m:t>
            </m:r>
          </m:sub>
        </m:sSub>
        <m:r>
          <m:rPr>
            <m:sty m:val="p"/>
          </m:rPr>
          <m:t>=</m:t>
        </m:r>
        <m:r>
          <m:t>0.2</m:t>
        </m:r>
        <m:r>
          <m:rPr>
            <m:sty m:val="p"/>
          </m:rPr>
          <m:t>,</m:t>
        </m:r>
        <m:sSub>
          <m:e>
            <m:r>
              <m:t>S</m:t>
            </m:r>
          </m:e>
          <m:sub>
            <m:r>
              <m:t>D</m:t>
            </m:r>
            <m:r>
              <m:t>1</m:t>
            </m:r>
          </m:sub>
        </m:sSub>
        <m:r>
          <m:rPr>
            <m:sty m:val="p"/>
          </m:rPr>
          <m:t>/</m:t>
        </m:r>
        <m:sSub>
          <m:e>
            <m:r>
              <m:t>S</m:t>
            </m:r>
          </m:e>
          <m:sub>
            <m:r>
              <m:t>D</m:t>
            </m:r>
            <m:r>
              <m:t>S</m:t>
            </m:r>
          </m:sub>
        </m:sSub>
      </m:oMath>
      <w:r>
        <w:t xml:space="preserve"> </w:t>
      </w:r>
      <w:r>
        <w:t xml:space="preserve">and</w:t>
      </w:r>
      <w:r>
        <w:t xml:space="preserve"> </w:t>
      </w:r>
      <m:oMath>
        <m:sSub>
          <m:e>
            <m:r>
              <m:t>T</m:t>
            </m:r>
          </m:e>
          <m:sub>
            <m:r>
              <m:t>S</m:t>
            </m:r>
          </m:sub>
        </m:sSub>
        <m:r>
          <m:rPr>
            <m:sty m:val="p"/>
          </m:rPr>
          <m:t>=</m:t>
        </m:r>
        <m:sSub>
          <m:e>
            <m:r>
              <m:t>S</m:t>
            </m:r>
          </m:e>
          <m:sub>
            <m:r>
              <m:t>D</m:t>
            </m:r>
            <m:r>
              <m:t>1</m:t>
            </m:r>
          </m:sub>
        </m:sSub>
        <m:r>
          <m:rPr>
            <m:sty m:val="p"/>
          </m:rPr>
          <m:t>/</m:t>
        </m:r>
        <m:sSub>
          <m:e>
            <m:r>
              <m:t>S</m:t>
            </m:r>
          </m:e>
          <m:sub>
            <m:r>
              <m:t>D</m:t>
            </m:r>
            <m:r>
              <m:t>S</m:t>
            </m:r>
          </m:sub>
        </m:sSub>
      </m:oMath>
      <w:r>
        <w:t xml:space="preserve"> </w:t>
      </w:r>
      <w:r>
        <w:t xml:space="preserve">are the corner periods of the design spectrum, in seconds.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aM</m:t>
                  </m:r>
                </m:sub>
              </m:sSub>
              <m:r>
                <m:t>(0)</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MS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M1</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DS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S</m:t>
                  </m:r>
                </m:e>
                <m:sub>
                  <m:r>
                    <m:t>D1</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0.082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0.229</w:t>
            </w:r>
          </w:p>
        </w:tc>
      </w:tr>
    </w:tbl>
    <w:bookmarkEnd w:id="113"/>
    <w:p/>
    <w:p>
      <w:pPr>
        <w:pStyle w:val="BodyText"/>
      </w:pPr>
      <w:r>
        <w:t xml:space="preserve"> </w:t>
      </w:r>
    </w:p>
    <w:p>
      <w:pPr>
        <w:pStyle w:val="BodyText"/>
      </w:pPr>
      <w:r>
        <w:t xml:space="preserve">The structural design spectra and their parameters are developed in the</w:t>
      </w:r>
      <w:r>
        <w:t xml:space="preserve"> </w:t>
      </w:r>
      <w:hyperlink r:id="rId11">
        <w:r>
          <w:rPr>
            <w:rStyle w:val="Hyperlink"/>
          </w:rPr>
          <w:t xml:space="preserve">Seismic Design Criteria</w:t>
        </w:r>
      </w:hyperlink>
      <w:r>
        <w:t xml:space="preserve"> </w:t>
      </w:r>
      <w:r>
        <w:t xml:space="preserve">annex.</w:t>
      </w:r>
    </w:p>
    <w:bookmarkEnd w:id="114"/>
    <w:bookmarkEnd w:id="115"/>
    <w:bookmarkStart w:id="137" w:name="ground-motion-design-parameters"/>
    <w:p>
      <w:pPr>
        <w:pStyle w:val="Heading1"/>
      </w:pPr>
      <w:r>
        <w:t xml:space="preserve">5</w:t>
      </w:r>
      <w:r>
        <w:tab/>
      </w:r>
      <w:r>
        <w:t xml:space="preserve">Ground-Motion Design Parameters</w:t>
      </w:r>
    </w:p>
    <w:bookmarkStart w:id="130" w:name="sec-slope_periods"/>
    <w:p>
      <w:pPr>
        <w:pStyle w:val="Heading2"/>
      </w:pPr>
      <w:r>
        <w:t xml:space="preserve">5.1</w:t>
      </w:r>
      <w:r>
        <w:tab/>
      </w:r>
      <w:r>
        <w:t xml:space="preserve">Dynamic Properties of Slopes</w:t>
      </w:r>
    </w:p>
    <w:p>
      <w:pPr>
        <w:pStyle w:val="FirstParagraph"/>
      </w:pPr>
      <w:r>
        <w:t xml:space="preserve">Flexible sliding-block models account for the dynamic response of the potential sliding mass through spectral acceleration evaluated at a period proportional to its fundamental period, so each slope geometry–material combination needs</w:t>
      </w:r>
      <w:r>
        <w:t xml:space="preserve"> </w:t>
      </w:r>
      <m:oMath>
        <m:sSub>
          <m:e>
            <m:r>
              <m:t>T</m:t>
            </m:r>
          </m:e>
          <m:sub>
            <m:r>
              <m:t>s</m:t>
            </m:r>
          </m:sub>
        </m:sSub>
      </m:oMath>
      <w:r>
        <w:t xml:space="preserve">, which is derived from the geometry and the depth-dependent small-strain shear stiffness, described by</w:t>
      </w:r>
      <w:r>
        <w:t xml:space="preserve"> </w:t>
      </w:r>
      <m:oMath>
        <m:sSub>
          <m:e>
            <m:r>
              <m:t>G</m:t>
            </m:r>
          </m:e>
          <m:sub>
            <m:r>
              <m:t>o</m:t>
            </m:r>
          </m:sub>
        </m:sSub>
      </m:oMath>
      <w:r>
        <w:t xml:space="preserve">,</w:t>
      </w:r>
      <w:r>
        <w:t xml:space="preserve"> </w:t>
      </w:r>
      <m:oMath>
        <m:sSub>
          <m:e>
            <m:r>
              <m:t>m</m:t>
            </m:r>
          </m:e>
          <m:sub>
            <m:r>
              <m:t>o</m:t>
            </m:r>
          </m:sub>
        </m:sSub>
      </m:oMath>
      <w:r>
        <w:t xml:space="preserve">, and</w:t>
      </w:r>
      <w:r>
        <w:t xml:space="preserve"> </w:t>
      </w:r>
      <m:oMath>
        <m:sSubSup>
          <m:e>
            <m:r>
              <m:t>V</m:t>
            </m:r>
          </m:e>
          <m:sub>
            <m:r>
              <m:t>S</m:t>
            </m:r>
          </m:sub>
          <m:sup>
            <m:r>
              <m:t>o</m:t>
            </m:r>
          </m:sup>
        </m:sSubSup>
      </m:oMath>
      <w:r>
        <w:t xml:space="preserve">; the mean values of</w:t>
      </w:r>
      <w:r>
        <w:t xml:space="preserve"> </w:t>
      </w:r>
      <m:oMath>
        <m:sSub>
          <m:e>
            <m:r>
              <m:t>T</m:t>
            </m:r>
          </m:e>
          <m:sub>
            <m:r>
              <m:t>s</m:t>
            </m:r>
          </m:sub>
        </m:sSub>
      </m:oMath>
      <w:r>
        <w:t xml:space="preserve"> </w:t>
      </w:r>
      <w:r>
        <w:t xml:space="preserve">and</w:t>
      </w:r>
      <w:r>
        <w:t xml:space="preserve"> </w:t>
      </w:r>
      <m:oMath>
        <m:sSub>
          <m:e>
            <m:r>
              <m:t>V</m:t>
            </m:r>
          </m:e>
          <m:sub>
            <m:r>
              <m:t>S</m:t>
            </m:r>
            <m:r>
              <m:t>30</m:t>
            </m:r>
          </m:sub>
        </m:sSub>
      </m:oMath>
      <w:r>
        <w:t xml:space="preserve"> </w:t>
      </w:r>
      <w:r>
        <w:t xml:space="preserve">provide the dynamic inputs to the permanent-displacement models. The fundamental period of the potential sliding mass is estimated from the first mode of the truncated inhomogeneous shear-beam model of Dakoulas and Gazetas</w:t>
      </w:r>
      <w:r>
        <w:t xml:space="preserve"> </w:t>
      </w:r>
      <w:r>
        <w:t xml:space="preserve">(</w:t>
      </w:r>
      <w:hyperlink w:anchor="ref-DakoulasGazetas1985Inhomogeneous">
        <w:r>
          <w:rPr>
            <w:rStyle w:val="Hyperlink"/>
          </w:rPr>
          <w:t xml:space="preserve">1985</w:t>
        </w:r>
      </w:hyperlink>
      <w:r>
        <w:t xml:space="preserve">)</w:t>
      </w:r>
      <w:r>
        <w:t xml:space="preserve"> </w:t>
      </w:r>
      <w:r>
        <w:t xml:space="preserve">as</w:t>
      </w:r>
    </w:p>
    <w:p>
      <w:pPr>
        <w:pStyle w:val="Equation"/>
      </w:pPr>
      <w:bookmarkStart w:id="116" w:name="eq-slope-period"/>
      <w:r>
        <w:tab/>
      </w:r>
      <m:oMath>
        <m:sSub>
          <m:e>
            <m:r>
              <m:t>T</m:t>
            </m:r>
          </m:e>
          <m:sub>
            <m:r>
              <m:t>s</m:t>
            </m:r>
          </m:sub>
        </m:sSub>
        <m:r>
          <m:rPr>
            <m:sty m:val="p"/>
          </m:rPr>
          <m:t>=</m:t>
        </m:r>
        <m:f>
          <m:fPr>
            <m:type m:val="bar"/>
          </m:fPr>
          <m:num>
            <m:r>
              <m:t>4</m:t>
            </m:r>
            <m:r>
              <m:t>π</m:t>
            </m:r>
            <m:r>
              <m:t>H</m:t>
            </m:r>
          </m:num>
          <m:den>
            <m:sSub>
              <m:e>
                <m:r>
                  <m:t>a</m:t>
                </m:r>
              </m:e>
              <m:sub>
                <m:r>
                  <m:t>1</m:t>
                </m:r>
              </m:sub>
            </m:sSub>
            <m:r>
              <m:rPr>
                <m:sty m:val="p"/>
              </m:rPr>
              <m:t>(</m:t>
            </m:r>
            <m:r>
              <m:t>2</m:t>
            </m:r>
            <m:r>
              <m:rPr>
                <m:sty m:val="p"/>
              </m:rPr>
              <m:t>−</m:t>
            </m:r>
            <m:sSub>
              <m:e>
                <m:r>
                  <m:t>m</m:t>
                </m:r>
              </m:e>
              <m:sub>
                <m:r>
                  <m:t>o</m:t>
                </m:r>
              </m:sub>
            </m:sSub>
            <m:r>
              <m:rPr>
                <m:sty m:val="p"/>
              </m:rPr>
              <m:t>)</m:t>
            </m:r>
            <m:sSubSup>
              <m:e>
                <m:r>
                  <m:t>V</m:t>
                </m:r>
              </m:e>
              <m:sub>
                <m:r>
                  <m:t>S</m:t>
                </m:r>
              </m:sub>
              <m:sup>
                <m:r>
                  <m:t>o</m:t>
                </m:r>
              </m:sup>
            </m:sSubSup>
          </m:den>
        </m:f>
        <m:r>
          <m:rPr>
            <m:sty m:val="p"/>
          </m:rPr>
          <m:t>,</m:t>
        </m:r>
      </m:oMath>
      <w:r>
        <w:tab/>
      </w:r>
      <w:r>
        <w:t xml:space="preserve">(5.1)</w:t>
      </w:r>
      <w:bookmarkEnd w:id="116"/>
    </w:p>
    <w:p>
      <w:pPr>
        <w:pStyle w:val="BodyText"/>
      </w:pPr>
      <w:r>
        <w:t xml:space="preserve">where</w:t>
      </w:r>
      <w:r>
        <w:t xml:space="preserve"> </w:t>
      </w:r>
      <m:oMath>
        <m:r>
          <m:t>H</m:t>
        </m:r>
        <m:r>
          <m:rPr>
            <m:sty m:val="p"/>
          </m:rPr>
          <m:t>=</m:t>
        </m:r>
        <m:sSub>
          <m:e>
            <m:r>
              <m:t>H</m:t>
            </m:r>
          </m:e>
          <m:sub>
            <m:r>
              <m:t>s</m:t>
            </m:r>
          </m:sub>
        </m:sSub>
        <m:r>
          <m:rPr>
            <m:sty m:val="p"/>
          </m:rPr>
          <m:t>/</m:t>
        </m:r>
        <m:r>
          <m:rPr>
            <m:sty m:val="p"/>
          </m:rPr>
          <m:t>(</m:t>
        </m:r>
        <m:r>
          <m:t>1</m:t>
        </m:r>
        <m:r>
          <m:rPr>
            <m:sty m:val="p"/>
          </m:rPr>
          <m:t>−</m:t>
        </m:r>
        <m:sSub>
          <m:e>
            <m:r>
              <m:t>λ</m:t>
            </m:r>
          </m:e>
          <m:sub>
            <m:r>
              <m:t>o</m:t>
            </m:r>
          </m:sub>
        </m:sSub>
        <m:r>
          <m:rPr>
            <m:sty m:val="p"/>
          </m:rPr>
          <m:t>)</m:t>
        </m:r>
      </m:oMath>
      <w:r>
        <w:t xml:space="preserve"> </w:t>
      </w:r>
      <w:r>
        <w:t xml:space="preserve">is the height of the truncated wedge from the apex of the extended slopes to the base,</w:t>
      </w:r>
      <w:r>
        <w:t xml:space="preserve"> </w:t>
      </w:r>
      <m:oMath>
        <m:sSub>
          <m:e>
            <m:r>
              <m:t>H</m:t>
            </m:r>
          </m:e>
          <m:sub>
            <m:r>
              <m:t>s</m:t>
            </m:r>
          </m:sub>
        </m:sSub>
      </m:oMath>
      <w:r>
        <w:t xml:space="preserve"> </w:t>
      </w:r>
      <w:r>
        <w:t xml:space="preserve">is the slope height,</w:t>
      </w:r>
      <w:r>
        <w:t xml:space="preserve"> </w:t>
      </w:r>
      <m:oMath>
        <m:sSubSup>
          <m:e>
            <m:r>
              <m:t>V</m:t>
            </m:r>
          </m:e>
          <m:sub>
            <m:r>
              <m:t>S</m:t>
            </m:r>
          </m:sub>
          <m:sup>
            <m:r>
              <m:t>o</m:t>
            </m:r>
          </m:sup>
        </m:sSubSup>
      </m:oMath>
      <w:r>
        <w:t xml:space="preserve"> </w:t>
      </w:r>
      <w:r>
        <w:t xml:space="preserve">is the basal shear-wave velocity associated with</w:t>
      </w:r>
      <w:r>
        <w:t xml:space="preserve"> </w:t>
      </w:r>
      <m:oMath>
        <m:sSub>
          <m:e>
            <m:r>
              <m:t>G</m:t>
            </m:r>
          </m:e>
          <m:sub>
            <m:r>
              <m:t>o</m:t>
            </m:r>
          </m:sub>
        </m:sSub>
      </m:oMath>
      <w:r>
        <w:t xml:space="preserve">,</w:t>
      </w:r>
      <w:r>
        <w:t xml:space="preserve"> </w:t>
      </w:r>
      <m:oMath>
        <m:sSub>
          <m:e>
            <m:r>
              <m:t>m</m:t>
            </m:r>
          </m:e>
          <m:sub>
            <m:r>
              <m:t>o</m:t>
            </m:r>
          </m:sub>
        </m:sSub>
      </m:oMath>
      <w:r>
        <w:t xml:space="preserve"> </w:t>
      </w:r>
      <w:r>
        <w:t xml:space="preserve">is the inhomogeneity factor governing the shear-modulus profile, and</w:t>
      </w:r>
      <w:r>
        <w:t xml:space="preserve"> </w:t>
      </w:r>
      <m:oMath>
        <m:sSub>
          <m:e>
            <m:r>
              <m:t>a</m:t>
            </m:r>
          </m:e>
          <m:sub>
            <m:r>
              <m:t>1</m:t>
            </m:r>
          </m:sub>
        </m:sSub>
      </m:oMath>
      <w:r>
        <w:t xml:space="preserve"> </w:t>
      </w:r>
      <w:r>
        <w:t xml:space="preserve">is the first modal root of the characteristic equation. The modal root depends jointly on</w:t>
      </w:r>
      <w:r>
        <w:t xml:space="preserve"> </w:t>
      </w:r>
      <m:oMath>
        <m:sSub>
          <m:e>
            <m:r>
              <m:t>m</m:t>
            </m:r>
          </m:e>
          <m:sub>
            <m:r>
              <m:t>o</m:t>
            </m:r>
          </m:sub>
        </m:sSub>
      </m:oMath>
      <w:r>
        <w:t xml:space="preserve"> </w:t>
      </w:r>
      <w:r>
        <w:t xml:space="preserve">and the truncation ratio</w:t>
      </w:r>
      <w:r>
        <w:t xml:space="preserve"> </w:t>
      </w:r>
      <m:oMath>
        <m:sSub>
          <m:e>
            <m:r>
              <m:t>λ</m:t>
            </m:r>
          </m:e>
          <m:sub>
            <m:r>
              <m:t>o</m:t>
            </m:r>
          </m:sub>
        </m:sSub>
      </m:oMath>
      <w:r>
        <w:t xml:space="preserve">, which geometric similarity gives as</w:t>
      </w:r>
    </w:p>
    <w:p>
      <w:pPr>
        <w:pStyle w:val="Equation"/>
      </w:pPr>
      <w:bookmarkStart w:id="117" w:name="eq-slope-truncation"/>
      <w:r>
        <w:tab/>
      </w:r>
      <m:oMath>
        <m:sSub>
          <m:e>
            <m:r>
              <m:t>λ</m:t>
            </m:r>
          </m:e>
          <m:sub>
            <m:r>
              <m:t>o</m:t>
            </m:r>
          </m:sub>
        </m:sSub>
        <m:r>
          <m:rPr>
            <m:sty m:val="p"/>
          </m:rPr>
          <m:t>=</m:t>
        </m:r>
        <m:f>
          <m:fPr>
            <m:type m:val="bar"/>
          </m:fPr>
          <m:num>
            <m:r>
              <m:t>b</m:t>
            </m:r>
          </m:num>
          <m:den>
            <m:sSub>
              <m:e>
                <m:r>
                  <m:t>b</m:t>
                </m:r>
              </m:e>
              <m:sub>
                <m:r>
                  <m:rPr>
                    <m:sty m:val="p"/>
                  </m:rPr>
                  <m:t>max</m:t>
                </m:r>
              </m:sub>
            </m:sSub>
          </m:den>
        </m:f>
        <m:r>
          <m:rPr>
            <m:sty m:val="p"/>
          </m:rPr>
          <m:t>,</m:t>
        </m:r>
      </m:oMath>
      <w:r>
        <w:tab/>
      </w:r>
      <w:r>
        <w:t xml:space="preserve">(5.2)</w:t>
      </w:r>
      <w:bookmarkEnd w:id="117"/>
    </w:p>
    <w:p>
      <w:pPr>
        <w:pStyle w:val="BodyText"/>
      </w:pPr>
      <w:r>
        <w:t xml:space="preserve">where</w:t>
      </w:r>
      <w:r>
        <w:t xml:space="preserve"> </w:t>
      </w:r>
      <m:oMath>
        <m:r>
          <m:t>b</m:t>
        </m:r>
      </m:oMath>
      <w:r>
        <w:t xml:space="preserve"> </w:t>
      </w:r>
      <w:r>
        <w:t xml:space="preserve">and</w:t>
      </w:r>
      <w:r>
        <w:t xml:space="preserve"> </w:t>
      </w:r>
      <m:oMath>
        <m:sSub>
          <m:e>
            <m:r>
              <m:t>b</m:t>
            </m:r>
          </m:e>
          <m:sub>
            <m:r>
              <m:rPr>
                <m:sty m:val="p"/>
              </m:rPr>
              <m:t>max</m:t>
            </m:r>
          </m:sub>
        </m:sSub>
      </m:oMath>
      <w:r>
        <w:t xml:space="preserve"> </w:t>
      </w:r>
      <w:r>
        <w:t xml:space="preserve">are the berm and base widths, respectively. The equivalent truncated section in the Dakoulas–Gazetas model</w:t>
      </w:r>
      <w:r>
        <w:t xml:space="preserve"> </w:t>
      </w:r>
      <w:r>
        <w:t xml:space="preserve">(</w:t>
      </w:r>
      <w:hyperlink w:anchor="ref-DakoulasGazetas1985Inhomogeneous">
        <w:r>
          <w:rPr>
            <w:rStyle w:val="Hyperlink"/>
          </w:rPr>
          <w:t xml:space="preserve">1985</w:t>
        </w:r>
      </w:hyperlink>
      <w:r>
        <w:t xml:space="preserve">)</w:t>
      </w:r>
      <w:r>
        <w:t xml:space="preserve"> </w:t>
      </w:r>
      <w:r>
        <w:t xml:space="preserve">is specified by the height</w:t>
      </w:r>
      <w:r>
        <w:t xml:space="preserve"> </w:t>
      </w:r>
      <m:oMath>
        <m:sSub>
          <m:e>
            <m:r>
              <m:t>H</m:t>
            </m:r>
          </m:e>
          <m:sub>
            <m:r>
              <m:t>s</m:t>
            </m:r>
          </m:sub>
        </m:sSub>
      </m:oMath>
      <w:r>
        <w:t xml:space="preserve">, slope ratio</w:t>
      </w:r>
      <w:r>
        <w:t xml:space="preserve"> </w:t>
      </w:r>
      <m:oMath>
        <m:r>
          <m:t>s</m:t>
        </m:r>
      </m:oMath>
      <w:r>
        <w:t xml:space="preserve">, and truncation ratio</w:t>
      </w:r>
      <w:r>
        <w:t xml:space="preserve"> </w:t>
      </w:r>
      <m:oMath>
        <m:sSub>
          <m:e>
            <m:r>
              <m:t>λ</m:t>
            </m:r>
          </m:e>
          <m:sub>
            <m:r>
              <m:t>o</m:t>
            </m:r>
          </m:sub>
        </m:sSub>
      </m:oMath>
      <w:r>
        <w:t xml:space="preserve">; with</w:t>
      </w:r>
      <w:r>
        <w:t xml:space="preserve"> </w:t>
      </w:r>
      <m:oMath>
        <m:r>
          <m:rPr>
            <m:sty m:val="p"/>
          </m:rPr>
          <m:t>tan</m:t>
        </m:r>
        <m:r>
          <m:t>β</m:t>
        </m:r>
        <m:r>
          <m:rPr>
            <m:sty m:val="p"/>
          </m:rPr>
          <m:t>=</m:t>
        </m:r>
        <m:r>
          <m:t>1</m:t>
        </m:r>
        <m:r>
          <m:rPr>
            <m:sty m:val="p"/>
          </m:rPr>
          <m:t>/</m:t>
        </m:r>
        <m:r>
          <m:t>s</m:t>
        </m:r>
      </m:oMath>
      <w:r>
        <w:t xml:space="preserve">, where</w:t>
      </w:r>
      <w:r>
        <w:t xml:space="preserve"> </w:t>
      </w:r>
      <m:oMath>
        <m:r>
          <m:t>β</m:t>
        </m:r>
      </m:oMath>
      <w:r>
        <w:t xml:space="preserve"> </w:t>
      </w:r>
      <w:r>
        <w:t xml:space="preserve">is the slope angle, the berm width is given by</w:t>
      </w:r>
    </w:p>
    <w:p>
      <w:pPr>
        <w:pStyle w:val="Equation"/>
      </w:pPr>
      <w:bookmarkStart w:id="118" w:name="eq-slope-berm-width"/>
      <w:r>
        <w:tab/>
      </w:r>
      <m:oMath>
        <m:r>
          <m:t>b</m:t>
        </m:r>
        <m:r>
          <m:rPr>
            <m:sty m:val="p"/>
          </m:rPr>
          <m:t>=</m:t>
        </m:r>
        <m:f>
          <m:fPr>
            <m:type m:val="bar"/>
          </m:fPr>
          <m:num>
            <m:r>
              <m:t>2</m:t>
            </m:r>
            <m:sSub>
              <m:e>
                <m:r>
                  <m:t>H</m:t>
                </m:r>
              </m:e>
              <m:sub>
                <m:r>
                  <m:t>s</m:t>
                </m:r>
              </m:sub>
            </m:sSub>
            <m:r>
              <m:t>s</m:t>
            </m:r>
          </m:num>
          <m:den>
            <m:r>
              <m:t>1</m:t>
            </m:r>
            <m:r>
              <m:rPr>
                <m:sty m:val="p"/>
              </m:rPr>
              <m:t>/</m:t>
            </m:r>
            <m:sSub>
              <m:e>
                <m:r>
                  <m:t>λ</m:t>
                </m:r>
              </m:e>
              <m:sub>
                <m:r>
                  <m:t>o</m:t>
                </m:r>
              </m:sub>
            </m:sSub>
            <m:r>
              <m:rPr>
                <m:sty m:val="p"/>
              </m:rPr>
              <m:t>−</m:t>
            </m:r>
            <m:r>
              <m:t>1</m:t>
            </m:r>
          </m:den>
        </m:f>
        <m:r>
          <m:rPr>
            <m:sty m:val="p"/>
          </m:rPr>
          <m:t>.</m:t>
        </m:r>
      </m:oMath>
      <w:r>
        <w:tab/>
      </w:r>
      <w:r>
        <w:t xml:space="preserve">(5.3)</w:t>
      </w:r>
      <w:bookmarkEnd w:id="118"/>
    </w:p>
    <w:p>
      <w:pPr>
        <w:pStyle w:val="BodyText"/>
      </w:pPr>
      <w:r>
        <w:t xml:space="preserve">and the base width is</w:t>
      </w:r>
    </w:p>
    <w:p>
      <w:pPr>
        <w:pStyle w:val="Equation"/>
      </w:pPr>
      <w:bookmarkStart w:id="119" w:name="eq-slope-base-width"/>
      <w:r>
        <w:tab/>
      </w:r>
      <m:oMath>
        <m:sSub>
          <m:e>
            <m:r>
              <m:t>b</m:t>
            </m:r>
          </m:e>
          <m:sub>
            <m:r>
              <m:rPr>
                <m:sty m:val="p"/>
              </m:rPr>
              <m:t>max</m:t>
            </m:r>
          </m:sub>
        </m:sSub>
        <m:r>
          <m:rPr>
            <m:sty m:val="p"/>
          </m:rPr>
          <m:t>=</m:t>
        </m:r>
        <m:r>
          <m:t>b</m:t>
        </m:r>
        <m:r>
          <m:rPr>
            <m:sty m:val="p"/>
          </m:rPr>
          <m:t>+</m:t>
        </m:r>
        <m:r>
          <m:t>2</m:t>
        </m:r>
        <m:sSub>
          <m:e>
            <m:r>
              <m:t>H</m:t>
            </m:r>
          </m:e>
          <m:sub>
            <m:r>
              <m:t>s</m:t>
            </m:r>
          </m:sub>
        </m:sSub>
        <m:r>
          <m:t>s</m:t>
        </m:r>
        <m:r>
          <m:rPr>
            <m:sty m:val="p"/>
          </m:rPr>
          <m:t>.</m:t>
        </m:r>
      </m:oMath>
      <w:r>
        <w:tab/>
      </w:r>
      <w:r>
        <w:t xml:space="preserve">(5.4)</w:t>
      </w:r>
      <w:bookmarkEnd w:id="119"/>
    </w:p>
    <w:p>
      <w:pPr>
        <w:pStyle w:val="BodyText"/>
      </w:pPr>
      <w:r>
        <w:t xml:space="preserve">For each profile realization, the basal shear-wave velocity is</w:t>
      </w:r>
    </w:p>
    <w:p>
      <w:pPr>
        <w:pStyle w:val="Equation"/>
      </w:pPr>
      <w:bookmarkStart w:id="120" w:name="eq-slope-basal-velocity"/>
      <w:r>
        <w:tab/>
      </w:r>
      <m:oMath>
        <m:sSubSup>
          <m:e>
            <m:r>
              <m:t>V</m:t>
            </m:r>
          </m:e>
          <m:sub>
            <m:r>
              <m:t>S</m:t>
            </m:r>
          </m:sub>
          <m:sup>
            <m:r>
              <m:t>o</m:t>
            </m:r>
          </m:sup>
        </m:sSubSup>
        <m:r>
          <m:rPr>
            <m:sty m:val="p"/>
          </m:rPr>
          <m:t>=</m:t>
        </m:r>
        <m:sSup>
          <m:e>
            <m:d>
              <m:dPr>
                <m:begChr m:val="("/>
                <m:sepChr m:val=""/>
                <m:endChr m:val=")"/>
                <m:grow/>
              </m:dPr>
              <m:e>
                <m:f>
                  <m:fPr>
                    <m:type m:val="bar"/>
                  </m:fPr>
                  <m:num>
                    <m:r>
                      <m:t>g</m:t>
                    </m:r>
                    <m:sSub>
                      <m:e>
                        <m:r>
                          <m:t>G</m:t>
                        </m:r>
                      </m:e>
                      <m:sub>
                        <m:r>
                          <m:t>o</m:t>
                        </m:r>
                      </m:sub>
                    </m:sSub>
                  </m:num>
                  <m:den>
                    <m:sSubSup>
                      <m:e>
                        <m:r>
                          <m:t>γ</m:t>
                        </m:r>
                      </m:e>
                      <m:sub>
                        <m:r>
                          <m:rPr>
                            <m:sty m:val="p"/>
                          </m:rPr>
                          <m:t>s</m:t>
                        </m:r>
                        <m:r>
                          <m:rPr>
                            <m:sty m:val="p"/>
                          </m:rPr>
                          <m:t>a</m:t>
                        </m:r>
                        <m:r>
                          <m:rPr>
                            <m:sty m:val="p"/>
                          </m:rPr>
                          <m:t>t</m:t>
                        </m:r>
                      </m:sub>
                      <m:sup>
                        <m:r>
                          <m:rPr>
                            <m:sty m:val="p"/>
                          </m:rPr>
                          <m:t>(</m:t>
                        </m:r>
                        <m:sSub>
                          <m:e>
                            <m:r>
                              <m:t>k</m:t>
                            </m:r>
                          </m:e>
                          <m:sub>
                            <m:r>
                              <m:rPr>
                                <m:sty m:val="p"/>
                              </m:rPr>
                              <m:t>b</m:t>
                            </m:r>
                          </m:sub>
                        </m:sSub>
                        <m:r>
                          <m:rPr>
                            <m:sty m:val="p"/>
                          </m:rPr>
                          <m:t>)</m:t>
                        </m:r>
                      </m:sup>
                    </m:sSubSup>
                  </m:den>
                </m:f>
              </m:e>
            </m:d>
          </m:e>
          <m:sup>
            <m:r>
              <m:t>1</m:t>
            </m:r>
            <m:r>
              <m:rPr>
                <m:sty m:val="p"/>
              </m:rPr>
              <m:t>/</m:t>
            </m:r>
            <m:r>
              <m:t>2</m:t>
            </m:r>
          </m:sup>
        </m:sSup>
        <m:r>
          <m:rPr>
            <m:sty m:val="p"/>
          </m:rPr>
          <m:t>,</m:t>
        </m:r>
      </m:oMath>
      <w:r>
        <w:tab/>
      </w:r>
      <w:r>
        <w:t xml:space="preserve">(5.5)</w:t>
      </w:r>
      <w:bookmarkEnd w:id="120"/>
    </w:p>
    <w:p>
      <w:pPr>
        <w:pStyle w:val="BodyText"/>
      </w:pPr>
      <w:r>
        <w:t xml:space="preserve">where</w:t>
      </w:r>
      <w:r>
        <w:t xml:space="preserve"> </w:t>
      </w:r>
      <m:oMath>
        <m:sSub>
          <m:e>
            <m:r>
              <m:t>G</m:t>
            </m:r>
          </m:e>
          <m:sub>
            <m:r>
              <m:t>o</m:t>
            </m:r>
          </m:sub>
        </m:sSub>
      </m:oMath>
      <w:r>
        <w:t xml:space="preserve"> </w:t>
      </w:r>
      <w:r>
        <w:t xml:space="preserve">is the fitted small-strain shear modulus at the base,</w:t>
      </w:r>
      <w:r>
        <w:t xml:space="preserve"> </w:t>
      </w:r>
      <m:oMath>
        <m:r>
          <m:t>g</m:t>
        </m:r>
      </m:oMath>
      <w:r>
        <w:t xml:space="preserve"> </w:t>
      </w:r>
      <w:r>
        <w:t xml:space="preserve">is the acceleration of gravity, and</w:t>
      </w:r>
      <w:r>
        <w:t xml:space="preserve"> </w:t>
      </w:r>
      <m:oMath>
        <m:sSubSup>
          <m:e>
            <m:r>
              <m:t>γ</m:t>
            </m:r>
          </m:e>
          <m:sub>
            <m:r>
              <m:rPr>
                <m:sty m:val="p"/>
              </m:rPr>
              <m:t>s</m:t>
            </m:r>
            <m:r>
              <m:rPr>
                <m:sty m:val="p"/>
              </m:rPr>
              <m:t>a</m:t>
            </m:r>
            <m:r>
              <m:rPr>
                <m:sty m:val="p"/>
              </m:rPr>
              <m:t>t</m:t>
            </m:r>
          </m:sub>
          <m:sup>
            <m:r>
              <m:rPr>
                <m:sty m:val="p"/>
              </m:rPr>
              <m:t>(</m:t>
            </m:r>
            <m:sSub>
              <m:e>
                <m:r>
                  <m:t>k</m:t>
                </m:r>
              </m:e>
              <m:sub>
                <m:r>
                  <m:rPr>
                    <m:sty m:val="p"/>
                  </m:rPr>
                  <m:t>b</m:t>
                </m:r>
              </m:sub>
            </m:sSub>
            <m:r>
              <m:rPr>
                <m:sty m:val="p"/>
              </m:rPr>
              <m:t>)</m:t>
            </m:r>
          </m:sup>
        </m:sSubSup>
      </m:oMath>
      <w:r>
        <w:t xml:space="preserve"> </w:t>
      </w:r>
      <w:r>
        <w:t xml:space="preserve">is the saturated unit weight of the basal layer, indexed by</w:t>
      </w:r>
      <w:r>
        <w:t xml:space="preserve"> </w:t>
      </w:r>
      <m:oMath>
        <m:sSub>
          <m:e>
            <m:r>
              <m:t>k</m:t>
            </m:r>
          </m:e>
          <m:sub>
            <m:r>
              <m:rPr>
                <m:sty m:val="p"/>
              </m:rPr>
              <m:t>b</m:t>
            </m:r>
          </m:sub>
        </m:sSub>
      </m:oMath>
      <w:r>
        <w:t xml:space="preserve">; all quantities are expressed in consistent units. The depth dependence of small-strain shear stiffness is represented for each realization by the power-law profile</w:t>
      </w:r>
    </w:p>
    <w:p>
      <w:pPr>
        <w:pStyle w:val="Equation"/>
      </w:pPr>
      <w:bookmarkStart w:id="121" w:name="eq-slope-profile"/>
      <w:r>
        <w:tab/>
      </w:r>
      <m:oMath>
        <m:r>
          <m:t>G</m:t>
        </m:r>
        <m:r>
          <m:rPr>
            <m:sty m:val="p"/>
          </m:rPr>
          <m:t>(</m:t>
        </m:r>
        <m:r>
          <m:t>z</m:t>
        </m:r>
        <m:r>
          <m:rPr>
            <m:sty m:val="p"/>
          </m:rPr>
          <m:t>)</m:t>
        </m:r>
        <m:r>
          <m:rPr>
            <m:sty m:val="p"/>
          </m:rPr>
          <m:t>=</m:t>
        </m:r>
        <m:sSub>
          <m:e>
            <m:r>
              <m:t>G</m:t>
            </m:r>
          </m:e>
          <m:sub>
            <m:r>
              <m:t>o</m:t>
            </m:r>
          </m:sub>
        </m:sSub>
        <m:sSup>
          <m:e>
            <m:d>
              <m:dPr>
                <m:begChr m:val="("/>
                <m:sepChr m:val=""/>
                <m:endChr m:val=")"/>
                <m:grow/>
              </m:dPr>
              <m:e>
                <m:f>
                  <m:fPr>
                    <m:type m:val="bar"/>
                  </m:fPr>
                  <m:num>
                    <m:r>
                      <m:t>z</m:t>
                    </m:r>
                  </m:num>
                  <m:den>
                    <m:sSub>
                      <m:e>
                        <m:r>
                          <m:t>H</m:t>
                        </m:r>
                      </m:e>
                      <m:sub>
                        <m:r>
                          <m:t>s</m:t>
                        </m:r>
                      </m:sub>
                    </m:sSub>
                  </m:den>
                </m:f>
              </m:e>
            </m:d>
          </m:e>
          <m:sup>
            <m:sSub>
              <m:e>
                <m:r>
                  <m:t>m</m:t>
                </m:r>
              </m:e>
              <m:sub>
                <m:r>
                  <m:t>o</m:t>
                </m:r>
              </m:sub>
            </m:sSub>
          </m:sup>
        </m:sSup>
        <m:r>
          <m:rPr>
            <m:sty m:val="p"/>
          </m:rPr>
          <m:t>,</m:t>
        </m:r>
      </m:oMath>
      <w:r>
        <w:tab/>
      </w:r>
      <w:r>
        <w:t xml:space="preserve">(5.6)</w:t>
      </w:r>
      <w:bookmarkEnd w:id="121"/>
    </w:p>
    <w:p>
      <w:pPr>
        <w:pStyle w:val="BodyText"/>
      </w:pPr>
      <w:r>
        <w:t xml:space="preserve">where</w:t>
      </w:r>
      <w:r>
        <w:t xml:space="preserve"> </w:t>
      </w:r>
      <m:oMath>
        <m:r>
          <m:t>z</m:t>
        </m:r>
      </m:oMath>
      <w:r>
        <w:t xml:space="preserve"> </w:t>
      </w:r>
      <w:r>
        <w:t xml:space="preserve">is depth below the crest,</w:t>
      </w:r>
      <w:r>
        <w:t xml:space="preserve"> </w:t>
      </w:r>
      <m:oMath>
        <m:sSub>
          <m:e>
            <m:r>
              <m:t>G</m:t>
            </m:r>
          </m:e>
          <m:sub>
            <m:r>
              <m:t>o</m:t>
            </m:r>
          </m:sub>
        </m:sSub>
      </m:oMath>
      <w:r>
        <w:t xml:space="preserve"> </w:t>
      </w:r>
      <w:r>
        <w:t xml:space="preserve">is the fitted shear modulus at the base (</w:t>
      </w:r>
      <m:oMath>
        <m:r>
          <m:t>z</m:t>
        </m:r>
        <m:r>
          <m:rPr>
            <m:sty m:val="p"/>
          </m:rPr>
          <m:t>/</m:t>
        </m:r>
        <m:sSub>
          <m:e>
            <m:r>
              <m:t>H</m:t>
            </m:r>
          </m:e>
          <m:sub>
            <m:r>
              <m:t>s</m:t>
            </m:r>
          </m:sub>
        </m:sSub>
        <m:r>
          <m:rPr>
            <m:sty m:val="p"/>
          </m:rPr>
          <m:t>=</m:t>
        </m:r>
        <m:r>
          <m:t>1</m:t>
        </m:r>
      </m:oMath>
      <w:r>
        <w:t xml:space="preserve">), and</w:t>
      </w:r>
      <w:r>
        <w:t xml:space="preserve"> </w:t>
      </w:r>
      <m:oMath>
        <m:sSub>
          <m:e>
            <m:r>
              <m:t>m</m:t>
            </m:r>
          </m:e>
          <m:sub>
            <m:r>
              <m:t>o</m:t>
            </m:r>
          </m:sub>
        </m:sSub>
      </m:oMath>
      <w:r>
        <w:t xml:space="preserve"> </w:t>
      </w:r>
      <w:r>
        <w:t xml:space="preserve">is obtained from a logarithmic fit to the layer moduli</w:t>
      </w:r>
      <w:r>
        <w:t xml:space="preserve"> </w:t>
      </w:r>
      <m:oMath>
        <m:sSubSup>
          <m:e>
            <m:r>
              <m:t>G</m:t>
            </m:r>
          </m:e>
          <m:sub>
            <m:r>
              <m:t>m</m:t>
            </m:r>
          </m:sub>
          <m:sup>
            <m:r>
              <m:rPr>
                <m:sty m:val="p"/>
              </m:rPr>
              <m:t>(</m:t>
            </m:r>
            <m:r>
              <m:t>k</m:t>
            </m:r>
            <m:r>
              <m:rPr>
                <m:sty m:val="p"/>
              </m:rPr>
              <m:t>)</m:t>
            </m:r>
          </m:sup>
        </m:sSubSup>
      </m:oMath>
      <w:r>
        <w:t xml:space="preserve">; the characteristic equation corresponds to the power law with depth measured from the apex of the extended slopes and normalized by</w:t>
      </w:r>
      <w:r>
        <w:t xml:space="preserve"> </w:t>
      </w:r>
      <m:oMath>
        <m:r>
          <m:t>H</m:t>
        </m:r>
      </m:oMath>
      <w:r>
        <w:t xml:space="preserve"> </w:t>
      </w:r>
      <w:r>
        <w:t xml:space="preserve">(</w:t>
      </w:r>
      <w:hyperlink w:anchor="ref-DakoulasGazetas1985Inhomogeneous">
        <w:r>
          <w:rPr>
            <w:rStyle w:val="Hyperlink"/>
          </w:rPr>
          <w:t xml:space="preserve">1985</w:t>
        </w:r>
      </w:hyperlink>
      <w:r>
        <w:t xml:space="preserve">)</w:t>
      </w:r>
      <w:r>
        <w:t xml:space="preserve">, so evaluating</w:t>
      </w:r>
      <w:r>
        <w:t xml:space="preserve"> </w:t>
      </w:r>
      <m:oMath>
        <m:sSub>
          <m:e>
            <m:r>
              <m:t>a</m:t>
            </m:r>
          </m:e>
          <m:sub>
            <m:r>
              <m:t>1</m:t>
            </m:r>
          </m:sub>
        </m:sSub>
      </m:oMath>
      <w:r>
        <w:t xml:space="preserve"> </w:t>
      </w:r>
      <w:r>
        <w:t xml:space="preserve">with the exponent fitted from the crest is an approximation. The layer moduli come from the soil classification: the USCS classification assigned to layer</w:t>
      </w:r>
      <w:r>
        <w:t xml:space="preserve"> </w:t>
      </w:r>
      <m:oMath>
        <m:r>
          <m:t>k</m:t>
        </m:r>
      </m:oMath>
      <w:r>
        <w:t xml:space="preserve"> </w:t>
      </w:r>
      <w:r>
        <w:t xml:space="preserve">selects its soil family and the associated set of</w:t>
      </w:r>
      <w:r>
        <w:t xml:space="preserve"> </w:t>
      </w:r>
      <m:oMath>
        <m:sSup>
          <m:e>
            <m:r>
              <m:t>J</m:t>
            </m:r>
          </m:e>
          <m:sup>
            <m:r>
              <m:rPr>
                <m:sty m:val="p"/>
              </m:rPr>
              <m:t>(</m:t>
            </m:r>
            <m:r>
              <m:t>k</m:t>
            </m:r>
            <m:r>
              <m:rPr>
                <m:sty m:val="p"/>
              </m:rPr>
              <m:t>)</m:t>
            </m:r>
          </m:sup>
        </m:sSup>
      </m:oMath>
      <w:r>
        <w:t xml:space="preserve"> </w:t>
      </w:r>
      <w:r>
        <w:t xml:space="preserve">small-strain shear-modulus correlations compiled by Ishihara</w:t>
      </w:r>
      <w:r>
        <w:t xml:space="preserve"> </w:t>
      </w:r>
      <w:r>
        <w:t xml:space="preserve">(</w:t>
      </w:r>
      <w:hyperlink w:anchor="ref-Ishihara1996">
        <w:r>
          <w:rPr>
            <w:rStyle w:val="Hyperlink"/>
          </w:rPr>
          <w:t xml:space="preserve">1996</w:t>
        </w:r>
      </w:hyperlink>
      <w:r>
        <w:t xml:space="preserve">)</w:t>
      </w:r>
      <w:r>
        <w:t xml:space="preserve">, and the layer modulus is taken as their arithmetic mean,</w:t>
      </w:r>
    </w:p>
    <w:p>
      <w:pPr>
        <w:pStyle w:val="Equation"/>
      </w:pPr>
      <w:bookmarkStart w:id="122" w:name="eq-slope-modulus"/>
      <w:r>
        <w:tab/>
      </w:r>
      <m:oMath>
        <m:sSubSup>
          <m:e>
            <m:r>
              <m:t>G</m:t>
            </m:r>
          </m:e>
          <m:sub>
            <m:r>
              <m:t>m</m:t>
            </m:r>
          </m:sub>
          <m:sup>
            <m:r>
              <m:rPr>
                <m:sty m:val="p"/>
              </m:rPr>
              <m:t>(</m:t>
            </m:r>
            <m:r>
              <m:t>k</m:t>
            </m:r>
            <m:r>
              <m:rPr>
                <m:sty m:val="p"/>
              </m:rPr>
              <m:t>)</m:t>
            </m:r>
          </m:sup>
        </m:sSubSup>
        <m:r>
          <m:rPr>
            <m:sty m:val="p"/>
          </m:rPr>
          <m:t>=</m:t>
        </m:r>
        <m:f>
          <m:fPr>
            <m:type m:val="bar"/>
          </m:fPr>
          <m:num>
            <m:r>
              <m:t>1</m:t>
            </m:r>
          </m:num>
          <m:den>
            <m:sSup>
              <m:e>
                <m:r>
                  <m:t>J</m:t>
                </m:r>
              </m:e>
              <m:sup>
                <m:r>
                  <m:rPr>
                    <m:sty m:val="p"/>
                  </m:rPr>
                  <m:t>(</m:t>
                </m:r>
                <m:r>
                  <m:t>k</m:t>
                </m:r>
                <m:r>
                  <m:rPr>
                    <m:sty m:val="p"/>
                  </m:rPr>
                  <m:t>)</m:t>
                </m:r>
              </m:sup>
            </m:sSup>
          </m:den>
        </m:f>
        <m:nary>
          <m:naryPr>
            <m:chr m:val="∑"/>
            <m:limLoc m:val="undOvr"/>
            <m:subHide m:val="off"/>
            <m:supHide m:val="off"/>
          </m:naryPr>
          <m:sub>
            <m:r>
              <m:t>j</m:t>
            </m:r>
            <m:r>
              <m:rPr>
                <m:sty m:val="p"/>
              </m:rPr>
              <m:t>=</m:t>
            </m:r>
            <m:r>
              <m:t>1</m:t>
            </m:r>
          </m:sub>
          <m:sup>
            <m:sSup>
              <m:e>
                <m:r>
                  <m:t>J</m:t>
                </m:r>
              </m:e>
              <m:sup>
                <m:r>
                  <m:rPr>
                    <m:sty m:val="p"/>
                  </m:rPr>
                  <m:t>(</m:t>
                </m:r>
                <m:r>
                  <m:t>k</m:t>
                </m:r>
                <m:r>
                  <m:rPr>
                    <m:sty m:val="p"/>
                  </m:rPr>
                  <m:t>)</m:t>
                </m:r>
              </m:sup>
            </m:sSup>
          </m:sup>
          <m:e>
            <m:sSup>
              <m:e>
                <m:r>
                  <m:t>A</m:t>
                </m:r>
              </m:e>
              <m:sup>
                <m:r>
                  <m:rPr>
                    <m:sty m:val="p"/>
                  </m:rPr>
                  <m:t>(</m:t>
                </m:r>
                <m:r>
                  <m:t>j</m:t>
                </m:r>
                <m:r>
                  <m:rPr>
                    <m:sty m:val="p"/>
                  </m:rPr>
                  <m:t>)</m:t>
                </m:r>
              </m:sup>
            </m:sSup>
          </m:e>
        </m:nary>
        <m:sSubSup>
          <m:e>
            <m:r>
              <m:t>F</m:t>
            </m:r>
          </m:e>
          <m:sub>
            <m:r>
              <m:t>e</m:t>
            </m:r>
          </m:sub>
          <m:sup>
            <m:r>
              <m:rPr>
                <m:sty m:val="p"/>
              </m:rPr>
              <m:t>(</m:t>
            </m:r>
            <m:r>
              <m:t>k</m:t>
            </m:r>
            <m:r>
              <m:rPr>
                <m:sty m:val="p"/>
              </m:rPr>
              <m:t>,</m:t>
            </m:r>
            <m:r>
              <m:t>j</m:t>
            </m:r>
            <m:r>
              <m:rPr>
                <m:sty m:val="p"/>
              </m:rPr>
              <m:t>)</m:t>
            </m:r>
          </m:sup>
        </m:sSubSup>
        <m:sSup>
          <m:e>
            <m:d>
              <m:dPr>
                <m:begChr m:val="["/>
                <m:sepChr m:val=""/>
                <m:endChr m:val="]"/>
                <m:grow/>
              </m:dPr>
              <m:e>
                <m:sSup>
                  <m:e>
                    <m:r>
                      <m:rPr>
                        <m:sty m:val="p"/>
                      </m:rPr>
                      <m:t>O</m:t>
                    </m:r>
                    <m:r>
                      <m:rPr>
                        <m:sty m:val="p"/>
                      </m:rPr>
                      <m:t>C</m:t>
                    </m:r>
                    <m:r>
                      <m:rPr>
                        <m:sty m:val="p"/>
                      </m:rPr>
                      <m:t>R</m:t>
                    </m:r>
                  </m:e>
                  <m:sup>
                    <m:r>
                      <m:rPr>
                        <m:sty m:val="p"/>
                      </m:rPr>
                      <m:t>(</m:t>
                    </m:r>
                    <m:r>
                      <m:t>k</m:t>
                    </m:r>
                    <m:r>
                      <m:rPr>
                        <m:sty m:val="p"/>
                      </m:rPr>
                      <m:t>)</m:t>
                    </m:r>
                  </m:sup>
                </m:sSup>
              </m:e>
            </m:d>
          </m:e>
          <m:sup>
            <m:sSubSup>
              <m:e>
                <m:r>
                  <m:t>m</m:t>
                </m:r>
              </m:e>
              <m:sub>
                <m:r>
                  <m:t>1</m:t>
                </m:r>
              </m:sub>
              <m:sup>
                <m:r>
                  <m:rPr>
                    <m:sty m:val="p"/>
                  </m:rPr>
                  <m:t>(</m:t>
                </m:r>
                <m:r>
                  <m:t>k</m:t>
                </m:r>
                <m:r>
                  <m:rPr>
                    <m:sty m:val="p"/>
                  </m:rPr>
                  <m:t>)</m:t>
                </m:r>
              </m:sup>
            </m:sSubSup>
          </m:sup>
        </m:sSup>
        <m:sSubSup>
          <m:e>
            <m:r>
              <m:t>p</m:t>
            </m:r>
          </m:e>
          <m:sub>
            <m:r>
              <m:rPr>
                <m:sty m:val="p"/>
              </m:rPr>
              <m:t>r</m:t>
            </m:r>
            <m:r>
              <m:rPr>
                <m:sty m:val="p"/>
              </m:rPr>
              <m:t>e</m:t>
            </m:r>
            <m:r>
              <m:rPr>
                <m:sty m:val="p"/>
              </m:rPr>
              <m:t>f</m:t>
            </m:r>
          </m:sub>
          <m:sup>
            <m:sSup>
              <m:e>
                <m:r>
                  <m:t>n</m:t>
                </m:r>
              </m:e>
              <m:sup>
                <m:r>
                  <m:rPr>
                    <m:sty m:val="p"/>
                  </m:rPr>
                  <m:t>(</m:t>
                </m:r>
                <m:r>
                  <m:t>j</m:t>
                </m:r>
                <m:r>
                  <m:rPr>
                    <m:sty m:val="p"/>
                  </m:rPr>
                  <m:t>)</m:t>
                </m:r>
              </m:sup>
            </m:sSup>
          </m:sup>
        </m:sSubSup>
        <m:sSup>
          <m:e>
            <m:d>
              <m:dPr>
                <m:begChr m:val="("/>
                <m:sepChr m:val=""/>
                <m:endChr m:val=")"/>
                <m:grow/>
              </m:dPr>
              <m:e>
                <m:f>
                  <m:fPr>
                    <m:type m:val="bar"/>
                  </m:fPr>
                  <m:num>
                    <m:sSubSup>
                      <m:e>
                        <m:r>
                          <m:t>p</m:t>
                        </m:r>
                      </m:e>
                      <m:sub>
                        <m:r>
                          <m:t>m</m:t>
                        </m:r>
                      </m:sub>
                      <m:sup>
                        <m:r>
                          <m:rPr>
                            <m:sty m:val="p"/>
                          </m:rPr>
                          <m:t>(</m:t>
                        </m:r>
                        <m:r>
                          <m:t>k</m:t>
                        </m:r>
                        <m:r>
                          <m:rPr>
                            <m:sty m:val="p"/>
                          </m:rPr>
                          <m:t>)</m:t>
                        </m:r>
                      </m:sup>
                    </m:sSubSup>
                  </m:num>
                  <m:den>
                    <m:sSub>
                      <m:e>
                        <m:r>
                          <m:t>p</m:t>
                        </m:r>
                      </m:e>
                      <m:sub>
                        <m:r>
                          <m:rPr>
                            <m:sty m:val="p"/>
                          </m:rPr>
                          <m:t>r</m:t>
                        </m:r>
                        <m:r>
                          <m:rPr>
                            <m:sty m:val="p"/>
                          </m:rPr>
                          <m:t>e</m:t>
                        </m:r>
                        <m:r>
                          <m:rPr>
                            <m:sty m:val="p"/>
                          </m:rPr>
                          <m:t>f</m:t>
                        </m:r>
                      </m:sub>
                    </m:sSub>
                  </m:den>
                </m:f>
              </m:e>
            </m:d>
          </m:e>
          <m:sup>
            <m:sSup>
              <m:e>
                <m:r>
                  <m:t>n</m:t>
                </m:r>
              </m:e>
              <m:sup>
                <m:r>
                  <m:rPr>
                    <m:sty m:val="p"/>
                  </m:rPr>
                  <m:t>(</m:t>
                </m:r>
                <m:r>
                  <m:t>j</m:t>
                </m:r>
                <m:r>
                  <m:rPr>
                    <m:sty m:val="p"/>
                  </m:rPr>
                  <m:t>)</m:t>
                </m:r>
              </m:sup>
            </m:sSup>
          </m:sup>
        </m:sSup>
        <m:r>
          <m:rPr>
            <m:sty m:val="p"/>
          </m:rPr>
          <m:t>.</m:t>
        </m:r>
      </m:oMath>
      <w:r>
        <w:tab/>
      </w:r>
      <w:r>
        <w:t xml:space="preserve">(5.7)</w:t>
      </w:r>
      <w:bookmarkEnd w:id="122"/>
    </w:p>
    <w:p>
      <w:pPr>
        <w:pStyle w:val="BodyText"/>
      </w:pPr>
      <w:r>
        <w:t xml:space="preserve">Here</w:t>
      </w:r>
      <w:r>
        <w:t xml:space="preserve"> </w:t>
      </w:r>
      <m:oMath>
        <m:sSup>
          <m:e>
            <m:r>
              <m:t>A</m:t>
            </m:r>
          </m:e>
          <m:sup>
            <m:r>
              <m:rPr>
                <m:sty m:val="p"/>
              </m:rPr>
              <m:t>(</m:t>
            </m:r>
            <m:r>
              <m:t>j</m:t>
            </m:r>
            <m:r>
              <m:rPr>
                <m:sty m:val="p"/>
              </m:rPr>
              <m:t>)</m:t>
            </m:r>
          </m:sup>
        </m:sSup>
      </m:oMath>
      <w:r>
        <w:t xml:space="preserve"> </w:t>
      </w:r>
      <w:r>
        <w:t xml:space="preserve">and</w:t>
      </w:r>
      <w:r>
        <w:t xml:space="preserve"> </w:t>
      </w:r>
      <m:oMath>
        <m:sSup>
          <m:e>
            <m:r>
              <m:t>n</m:t>
            </m:r>
          </m:e>
          <m:sup>
            <m:r>
              <m:rPr>
                <m:sty m:val="p"/>
              </m:rPr>
              <m:t>(</m:t>
            </m:r>
            <m:r>
              <m:t>j</m:t>
            </m:r>
            <m:r>
              <m:rPr>
                <m:sty m:val="p"/>
              </m:rPr>
              <m:t>)</m:t>
            </m:r>
          </m:sup>
        </m:sSup>
      </m:oMath>
      <w:r>
        <w:t xml:space="preserve"> </w:t>
      </w:r>
      <w:r>
        <w:t xml:space="preserve">are tabulated correlation parameters,</w:t>
      </w:r>
      <w:r>
        <w:t xml:space="preserve"> </w:t>
      </w:r>
      <m:oMath>
        <m:sSubSup>
          <m:e>
            <m:r>
              <m:t>F</m:t>
            </m:r>
          </m:e>
          <m:sub>
            <m:r>
              <m:t>e</m:t>
            </m:r>
          </m:sub>
          <m:sup>
            <m:r>
              <m:rPr>
                <m:sty m:val="p"/>
              </m:rPr>
              <m:t>(</m:t>
            </m:r>
            <m:r>
              <m:t>k</m:t>
            </m:r>
            <m:r>
              <m:rPr>
                <m:sty m:val="p"/>
              </m:rPr>
              <m:t>,</m:t>
            </m:r>
            <m:r>
              <m:t>j</m:t>
            </m:r>
            <m:r>
              <m:rPr>
                <m:sty m:val="p"/>
              </m:rPr>
              <m:t>)</m:t>
            </m:r>
          </m:sup>
        </m:sSubSup>
      </m:oMath>
      <w:r>
        <w:t xml:space="preserve"> </w:t>
      </w:r>
      <w:r>
        <w:t xml:space="preserve">is the void-ratio function,</w:t>
      </w:r>
      <w:r>
        <w:t xml:space="preserve"> </w:t>
      </w:r>
      <m:oMath>
        <m:sSubSup>
          <m:e>
            <m:r>
              <m:t>m</m:t>
            </m:r>
          </m:e>
          <m:sub>
            <m:r>
              <m:t>1</m:t>
            </m:r>
          </m:sub>
          <m:sup>
            <m:r>
              <m:rPr>
                <m:sty m:val="p"/>
              </m:rPr>
              <m:t>(</m:t>
            </m:r>
            <m:r>
              <m:t>k</m:t>
            </m:r>
            <m:r>
              <m:rPr>
                <m:sty m:val="p"/>
              </m:rPr>
              <m:t>)</m:t>
            </m:r>
          </m:sup>
        </m:sSubSup>
      </m:oMath>
      <w:r>
        <w:t xml:space="preserve"> </w:t>
      </w:r>
      <w:r>
        <w:t xml:space="preserve">is the overconsolidation exponent,</w:t>
      </w:r>
      <w:r>
        <w:t xml:space="preserve"> </w:t>
      </w:r>
      <m:oMath>
        <m:sSubSup>
          <m:e>
            <m:r>
              <m:t>p</m:t>
            </m:r>
          </m:e>
          <m:sub>
            <m:r>
              <m:t>m</m:t>
            </m:r>
          </m:sub>
          <m:sup>
            <m:r>
              <m:rPr>
                <m:sty m:val="p"/>
              </m:rPr>
              <m:t>(</m:t>
            </m:r>
            <m:r>
              <m:t>k</m:t>
            </m:r>
            <m:r>
              <m:rPr>
                <m:sty m:val="p"/>
              </m:rPr>
              <m:t>)</m:t>
            </m:r>
          </m:sup>
        </m:sSubSup>
      </m:oMath>
      <w:r>
        <w:t xml:space="preserve"> </w:t>
      </w:r>
      <w:r>
        <w:t xml:space="preserve">is the layer-averaged effective octahedral normal stress, and</w:t>
      </w:r>
      <w:r>
        <w:t xml:space="preserve"> </w:t>
      </w:r>
      <m:oMath>
        <m:sSub>
          <m:e>
            <m:r>
              <m:t>p</m:t>
            </m:r>
          </m:e>
          <m:sub>
            <m:r>
              <m:rPr>
                <m:sty m:val="p"/>
              </m:rPr>
              <m:t>r</m:t>
            </m:r>
            <m:r>
              <m:rPr>
                <m:sty m:val="p"/>
              </m:rPr>
              <m:t>e</m:t>
            </m:r>
            <m:r>
              <m:rPr>
                <m:sty m:val="p"/>
              </m:rPr>
              <m:t>f</m:t>
            </m:r>
          </m:sub>
        </m:sSub>
        <m:r>
          <m:rPr>
            <m:sty m:val="p"/>
          </m:rPr>
          <m:t>=</m:t>
        </m:r>
        <m:r>
          <m:t>100</m:t>
        </m:r>
      </m:oMath>
      <w:r>
        <w:t xml:space="preserve"> </w:t>
      </w:r>
      <w:r>
        <w:t xml:space="preserve">kPa is the reference pressure. Under at-rest conditions, the layer-averaged effective octahedral normal stress</w:t>
      </w:r>
      <w:r>
        <w:t xml:space="preserve"> </w:t>
      </w:r>
      <m:oMath>
        <m:sSubSup>
          <m:e>
            <m:r>
              <m:t>p</m:t>
            </m:r>
          </m:e>
          <m:sub>
            <m:r>
              <m:t>m</m:t>
            </m:r>
          </m:sub>
          <m:sup>
            <m:r>
              <m:rPr>
                <m:sty m:val="p"/>
              </m:rPr>
              <m:t>(</m:t>
            </m:r>
            <m:r>
              <m:t>k</m:t>
            </m:r>
            <m:r>
              <m:rPr>
                <m:sty m:val="p"/>
              </m:rPr>
              <m:t>)</m:t>
            </m:r>
          </m:sup>
        </m:sSubSup>
      </m:oMath>
      <w:r>
        <w:t xml:space="preserve"> </w:t>
      </w:r>
      <w:r>
        <w:t xml:space="preserve">(</w:t>
      </w:r>
      <w:hyperlink w:anchor="ref-HardinBlack1968">
        <w:r>
          <w:rPr>
            <w:rStyle w:val="Hyperlink"/>
          </w:rPr>
          <w:t xml:space="preserve">1968</w:t>
        </w:r>
      </w:hyperlink>
      <w:r>
        <w:t xml:space="preserve">;</w:t>
      </w:r>
      <w:r>
        <w:t xml:space="preserve"> </w:t>
      </w:r>
      <w:hyperlink w:anchor="ref-HardinDrnevich1972">
        <w:r>
          <w:rPr>
            <w:rStyle w:val="Hyperlink"/>
          </w:rPr>
          <w:t xml:space="preserve">1972</w:t>
        </w:r>
      </w:hyperlink>
      <w:r>
        <w:t xml:space="preserve">)</w:t>
      </w:r>
      <w:r>
        <w:t xml:space="preserve"> </w:t>
      </w:r>
      <w:r>
        <w:t xml:space="preserve">is</w:t>
      </w:r>
    </w:p>
    <w:p>
      <w:pPr>
        <w:pStyle w:val="Equation"/>
      </w:pPr>
      <w:bookmarkStart w:id="123" w:name="eq-slope-mean-pressure"/>
      <w:r>
        <w:tab/>
      </w:r>
      <m:oMath>
        <m:sSubSup>
          <m:e>
            <m:r>
              <m:t>p</m:t>
            </m:r>
          </m:e>
          <m:sub>
            <m:r>
              <m:t>m</m:t>
            </m:r>
          </m:sub>
          <m:sup>
            <m:r>
              <m:rPr>
                <m:sty m:val="p"/>
              </m:rPr>
              <m:t>(</m:t>
            </m:r>
            <m:r>
              <m:t>k</m:t>
            </m:r>
            <m:r>
              <m:rPr>
                <m:sty m:val="p"/>
              </m:rPr>
              <m:t>)</m:t>
            </m:r>
          </m:sup>
        </m:sSubSup>
        <m:r>
          <m:rPr>
            <m:sty m:val="p"/>
          </m:rPr>
          <m:t>=</m:t>
        </m:r>
        <m:f>
          <m:fPr>
            <m:type m:val="bar"/>
          </m:fPr>
          <m:num>
            <m:r>
              <m:t>1</m:t>
            </m:r>
            <m:r>
              <m:rPr>
                <m:sty m:val="p"/>
              </m:rPr>
              <m:t>+</m:t>
            </m:r>
            <m:r>
              <m:t>2</m:t>
            </m:r>
            <m:sSub>
              <m:e>
                <m:r>
                  <m:t>K</m:t>
                </m:r>
              </m:e>
              <m:sub>
                <m:r>
                  <m:t>0</m:t>
                </m:r>
              </m:sub>
            </m:sSub>
          </m:num>
          <m:den>
            <m:r>
              <m:t>3</m:t>
            </m:r>
          </m:den>
        </m:f>
        <m:d>
          <m:dPr>
            <m:begChr m:val="("/>
            <m:sepChr m:val=""/>
            <m:endChr m:val=")"/>
            <m:grow/>
          </m:dPr>
          <m:e>
            <m:nary>
              <m:naryPr>
                <m:chr m:val="∑"/>
                <m:limLoc m:val="undOvr"/>
                <m:subHide m:val="off"/>
                <m:supHide m:val="off"/>
              </m:naryPr>
              <m:sub>
                <m:r>
                  <m:t>ℓ</m:t>
                </m:r>
                <m:r>
                  <m:rPr>
                    <m:sty m:val="p"/>
                  </m:rPr>
                  <m:t>=</m:t>
                </m:r>
                <m:r>
                  <m:t>1</m:t>
                </m:r>
              </m:sub>
              <m:sup>
                <m:r>
                  <m:t>k</m:t>
                </m:r>
                <m:r>
                  <m:rPr>
                    <m:sty m:val="p"/>
                  </m:rPr>
                  <m:t>−</m:t>
                </m:r>
                <m:r>
                  <m:t>1</m:t>
                </m:r>
              </m:sup>
              <m:e>
                <m:sSup>
                  <m:e>
                    <m:r>
                      <m:t>γ</m:t>
                    </m:r>
                  </m:e>
                  <m:sup>
                    <m:r>
                      <m:rPr>
                        <m:sty m:val="p"/>
                      </m:rPr>
                      <m:t>(</m:t>
                    </m:r>
                    <m:r>
                      <m:t>ℓ</m:t>
                    </m:r>
                    <m:r>
                      <m:rPr>
                        <m:sty m:val="p"/>
                      </m:rPr>
                      <m:t>)</m:t>
                    </m:r>
                  </m:sup>
                </m:sSup>
              </m:e>
            </m:nary>
            <m:sSup>
              <m:e>
                <m:r>
                  <m:t>h</m:t>
                </m:r>
              </m:e>
              <m:sup>
                <m:r>
                  <m:rPr>
                    <m:sty m:val="p"/>
                  </m:rPr>
                  <m:t>(</m:t>
                </m:r>
                <m:r>
                  <m:t>ℓ</m:t>
                </m:r>
                <m:r>
                  <m:rPr>
                    <m:sty m:val="p"/>
                  </m:rPr>
                  <m:t>)</m:t>
                </m:r>
              </m:sup>
            </m:sSup>
            <m:r>
              <m:rPr>
                <m:sty m:val="p"/>
              </m:rPr>
              <m:t>+</m:t>
            </m:r>
            <m:f>
              <m:fPr>
                <m:type m:val="bar"/>
              </m:fPr>
              <m:num>
                <m:sSup>
                  <m:e>
                    <m:r>
                      <m:t>γ</m:t>
                    </m:r>
                  </m:e>
                  <m:sup>
                    <m:r>
                      <m:rPr>
                        <m:sty m:val="p"/>
                      </m:rPr>
                      <m:t>(</m:t>
                    </m:r>
                    <m:r>
                      <m:t>k</m:t>
                    </m:r>
                    <m:r>
                      <m:rPr>
                        <m:sty m:val="p"/>
                      </m:rPr>
                      <m:t>)</m:t>
                    </m:r>
                  </m:sup>
                </m:sSup>
                <m:sSup>
                  <m:e>
                    <m:r>
                      <m:t>h</m:t>
                    </m:r>
                  </m:e>
                  <m:sup>
                    <m:r>
                      <m:rPr>
                        <m:sty m:val="p"/>
                      </m:rPr>
                      <m:t>(</m:t>
                    </m:r>
                    <m:r>
                      <m:t>k</m:t>
                    </m:r>
                    <m:r>
                      <m:rPr>
                        <m:sty m:val="p"/>
                      </m:rPr>
                      <m:t>)</m:t>
                    </m:r>
                  </m:sup>
                </m:sSup>
              </m:num>
              <m:den>
                <m:r>
                  <m:t>2</m:t>
                </m:r>
              </m:den>
            </m:f>
          </m:e>
        </m:d>
        <m:r>
          <m:rPr>
            <m:sty m:val="p"/>
          </m:rPr>
          <m:t>,</m:t>
        </m:r>
      </m:oMath>
      <w:r>
        <w:tab/>
      </w:r>
      <w:r>
        <w:t xml:space="preserve">(5.8)</w:t>
      </w:r>
      <w:bookmarkEnd w:id="123"/>
    </w:p>
    <w:p>
      <w:pPr>
        <w:pStyle w:val="BodyText"/>
      </w:pPr>
      <w:r>
        <w:t xml:space="preserve">where</w:t>
      </w:r>
      <w:r>
        <w:t xml:space="preserve"> </w:t>
      </w:r>
      <m:oMath>
        <m:sSub>
          <m:e>
            <m:r>
              <m:t>K</m:t>
            </m:r>
          </m:e>
          <m:sub>
            <m:r>
              <m:t>0</m:t>
            </m:r>
          </m:sub>
        </m:sSub>
      </m:oMath>
      <w:r>
        <w:t xml:space="preserve"> </w:t>
      </w:r>
      <w:r>
        <w:t xml:space="preserve">is the at-rest lateral earth pressure coefficient,</w:t>
      </w:r>
      <w:r>
        <w:t xml:space="preserve"> </w:t>
      </w:r>
      <m:oMath>
        <m:sSup>
          <m:e>
            <m:r>
              <m:t>γ</m:t>
            </m:r>
          </m:e>
          <m:sup>
            <m:r>
              <m:rPr>
                <m:sty m:val="p"/>
              </m:rPr>
              <m:t>(</m:t>
            </m:r>
            <m:r>
              <m:t>ℓ</m:t>
            </m:r>
            <m:r>
              <m:rPr>
                <m:sty m:val="p"/>
              </m:rPr>
              <m:t>)</m:t>
            </m:r>
          </m:sup>
        </m:sSup>
      </m:oMath>
      <w:r>
        <w:t xml:space="preserve"> </w:t>
      </w:r>
      <w:r>
        <w:t xml:space="preserve">and</w:t>
      </w:r>
      <w:r>
        <w:t xml:space="preserve"> </w:t>
      </w:r>
      <m:oMath>
        <m:sSup>
          <m:e>
            <m:r>
              <m:t>h</m:t>
            </m:r>
          </m:e>
          <m:sup>
            <m:r>
              <m:rPr>
                <m:sty m:val="p"/>
              </m:rPr>
              <m:t>(</m:t>
            </m:r>
            <m:r>
              <m:t>ℓ</m:t>
            </m:r>
            <m:r>
              <m:rPr>
                <m:sty m:val="p"/>
              </m:rPr>
              <m:t>)</m:t>
            </m:r>
          </m:sup>
        </m:sSup>
      </m:oMath>
      <w:r>
        <w:t xml:space="preserve"> </w:t>
      </w:r>
      <w:r>
        <w:t xml:space="preserve">are the unit weight adopted for the groundwater condition and the thickness of layer</w:t>
      </w:r>
      <w:r>
        <w:t xml:space="preserve"> </w:t>
      </w:r>
      <m:oMath>
        <m:r>
          <m:t>ℓ</m:t>
        </m:r>
      </m:oMath>
      <w:r>
        <w:t xml:space="preserve">, and</w:t>
      </w:r>
      <w:r>
        <w:t xml:space="preserve"> </w:t>
      </w:r>
      <m:oMath>
        <m:r>
          <m:t>ℓ</m:t>
        </m:r>
        <m:r>
          <m:rPr>
            <m:sty m:val="p"/>
          </m:rPr>
          <m:t>&lt;</m:t>
        </m:r>
        <m:r>
          <m:t>k</m:t>
        </m:r>
      </m:oMath>
      <w:r>
        <w:t xml:space="preserve"> </w:t>
      </w:r>
      <w:r>
        <w:t xml:space="preserve">denotes the overlying layers. The layer overconsolidation ratio is</w:t>
      </w:r>
      <w:r>
        <w:t xml:space="preserve"> </w:t>
      </w:r>
      <m:oMath>
        <m:sSup>
          <m:e>
            <m:r>
              <m:rPr>
                <m:sty m:val="p"/>
              </m:rPr>
              <m:t>O</m:t>
            </m:r>
            <m:r>
              <m:rPr>
                <m:sty m:val="p"/>
              </m:rPr>
              <m:t>C</m:t>
            </m:r>
            <m:r>
              <m:rPr>
                <m:sty m:val="p"/>
              </m:rPr>
              <m:t>R</m:t>
            </m:r>
          </m:e>
          <m:sup>
            <m:r>
              <m:rPr>
                <m:sty m:val="p"/>
              </m:rPr>
              <m:t>(</m:t>
            </m:r>
            <m:r>
              <m:t>k</m:t>
            </m:r>
            <m:r>
              <m:rPr>
                <m:sty m:val="p"/>
              </m:rPr>
              <m:t>)</m:t>
            </m:r>
          </m:sup>
        </m:sSup>
        <m:r>
          <m:rPr>
            <m:sty m:val="p"/>
          </m:rPr>
          <m:t>=</m:t>
        </m:r>
        <m:r>
          <m:rPr>
            <m:sty m:val="p"/>
          </m:rPr>
          <m:t>max</m:t>
        </m:r>
        <m:r>
          <m:rPr>
            <m:sty m:val="p"/>
          </m:rPr>
          <m:t>[</m:t>
        </m:r>
        <m:r>
          <m:rPr>
            <m:sty m:val="p"/>
          </m:rPr>
          <m:t>(</m:t>
        </m:r>
        <m:sSubSup>
          <m:e>
            <m:r>
              <m:t>p</m:t>
            </m:r>
          </m:e>
          <m:sub>
            <m:r>
              <m:t>m</m:t>
            </m:r>
          </m:sub>
          <m:sup>
            <m:r>
              <m:rPr>
                <m:sty m:val="p"/>
              </m:rPr>
              <m:t>(</m:t>
            </m:r>
            <m:r>
              <m:t>k</m:t>
            </m:r>
            <m:r>
              <m:rPr>
                <m:sty m:val="p"/>
              </m:rPr>
              <m:t>)</m:t>
            </m:r>
          </m:sup>
        </m:sSubSup>
        <m:r>
          <m:rPr>
            <m:sty m:val="p"/>
          </m:rPr>
          <m:t>+</m:t>
        </m:r>
        <m:r>
          <m:rPr>
            <m:sty m:val="p"/>
          </m:rPr>
          <m:t>P</m:t>
        </m:r>
        <m:r>
          <m:rPr>
            <m:sty m:val="p"/>
          </m:rPr>
          <m:t>O</m:t>
        </m:r>
        <m:r>
          <m:rPr>
            <m:sty m:val="p"/>
          </m:rPr>
          <m:t>P</m:t>
        </m:r>
        <m:r>
          <m:rPr>
            <m:sty m:val="p"/>
          </m:rPr>
          <m:t>)</m:t>
        </m:r>
        <m:r>
          <m:rPr>
            <m:sty m:val="p"/>
          </m:rPr>
          <m:t>/</m:t>
        </m:r>
        <m:sSubSup>
          <m:e>
            <m:r>
              <m:t>p</m:t>
            </m:r>
          </m:e>
          <m:sub>
            <m:r>
              <m:t>m</m:t>
            </m:r>
          </m:sub>
          <m:sup>
            <m:r>
              <m:rPr>
                <m:sty m:val="p"/>
              </m:rPr>
              <m:t>(</m:t>
            </m:r>
            <m:r>
              <m:t>k</m:t>
            </m:r>
            <m:r>
              <m:rPr>
                <m:sty m:val="p"/>
              </m:rPr>
              <m:t>)</m:t>
            </m:r>
          </m:sup>
        </m:sSubSup>
        <m:r>
          <m:rPr>
            <m:sty m:val="p"/>
          </m:rPr>
          <m:t>,</m:t>
        </m:r>
        <m:r>
          <m:t>1</m:t>
        </m:r>
        <m:r>
          <m:rPr>
            <m:sty m:val="p"/>
          </m:rPr>
          <m:t>]</m:t>
        </m:r>
      </m:oMath>
      <w:r>
        <w:t xml:space="preserve">, where</w:t>
      </w:r>
      <w:r>
        <w:t xml:space="preserve"> </w:t>
      </w:r>
      <m:oMath>
        <m:r>
          <m:rPr>
            <m:sty m:val="p"/>
          </m:rPr>
          <m:t>P</m:t>
        </m:r>
        <m:r>
          <m:rPr>
            <m:sty m:val="p"/>
          </m:rPr>
          <m:t>O</m:t>
        </m:r>
        <m:r>
          <m:rPr>
            <m:sty m:val="p"/>
          </m:rPr>
          <m:t>P</m:t>
        </m:r>
      </m:oMath>
      <w:r>
        <w:t xml:space="preserve"> </w:t>
      </w:r>
      <w:r>
        <w:t xml:space="preserve">is the preconsolidation pressure; for fine-grained soils,</w:t>
      </w:r>
      <w:r>
        <w:t xml:space="preserve"> </w:t>
      </w:r>
      <m:oMath>
        <m:sSubSup>
          <m:e>
            <m:r>
              <m:t>m</m:t>
            </m:r>
          </m:e>
          <m:sub>
            <m:r>
              <m:t>1</m:t>
            </m:r>
          </m:sub>
          <m:sup>
            <m:r>
              <m:rPr>
                <m:sty m:val="p"/>
              </m:rPr>
              <m:t>(</m:t>
            </m:r>
            <m:r>
              <m:t>k</m:t>
            </m:r>
            <m:r>
              <m:rPr>
                <m:sty m:val="p"/>
              </m:rPr>
              <m:t>)</m:t>
            </m:r>
          </m:sup>
        </m:sSubSup>
        <m:r>
          <m:rPr>
            <m:sty m:val="p"/>
          </m:rPr>
          <m:t>=</m:t>
        </m:r>
        <m:sSub>
          <m:e>
            <m:r>
              <m:t>f</m:t>
            </m:r>
          </m:e>
          <m:sub>
            <m:r>
              <m:rPr>
                <m:sty m:val="p"/>
              </m:rPr>
              <m:t>I</m:t>
            </m:r>
            <m:r>
              <m:rPr>
                <m:sty m:val="p"/>
              </m:rPr>
              <m:t>P</m:t>
            </m:r>
          </m:sub>
        </m:sSub>
        <m:r>
          <m:rPr>
            <m:sty m:val="p"/>
          </m:rPr>
          <m:t>(</m:t>
        </m:r>
        <m:sSup>
          <m:e>
            <m:r>
              <m:rPr>
                <m:sty m:val="p"/>
              </m:rPr>
              <m:t>I</m:t>
            </m:r>
            <m:r>
              <m:rPr>
                <m:sty m:val="p"/>
              </m:rPr>
              <m:t>P</m:t>
            </m:r>
          </m:e>
          <m:sup>
            <m:r>
              <m:rPr>
                <m:sty m:val="p"/>
              </m:rPr>
              <m:t>(</m:t>
            </m:r>
            <m:r>
              <m:t>k</m:t>
            </m:r>
            <m:r>
              <m:rPr>
                <m:sty m:val="p"/>
              </m:rPr>
              <m:t>)</m:t>
            </m:r>
          </m:sup>
        </m:sSup>
        <m:r>
          <m:rPr>
            <m:sty m:val="p"/>
          </m:rPr>
          <m:t>)</m:t>
        </m:r>
      </m:oMath>
      <w:r>
        <w:t xml:space="preserve">, whereas for sands and gravels</w:t>
      </w:r>
      <w:r>
        <w:t xml:space="preserve"> </w:t>
      </w:r>
      <m:oMath>
        <m:sSubSup>
          <m:e>
            <m:r>
              <m:t>m</m:t>
            </m:r>
          </m:e>
          <m:sub>
            <m:r>
              <m:t>1</m:t>
            </m:r>
          </m:sub>
          <m:sup>
            <m:r>
              <m:rPr>
                <m:sty m:val="p"/>
              </m:rPr>
              <m:t>(</m:t>
            </m:r>
            <m:r>
              <m:t>k</m:t>
            </m:r>
            <m:r>
              <m:rPr>
                <m:sty m:val="p"/>
              </m:rPr>
              <m:t>)</m:t>
            </m:r>
          </m:sup>
        </m:sSubSup>
        <m:r>
          <m:rPr>
            <m:sty m:val="p"/>
          </m:rPr>
          <m:t>=</m:t>
        </m:r>
        <m:r>
          <m:t>0</m:t>
        </m:r>
      </m:oMath>
      <w:r>
        <w:t xml:space="preserve"> </w:t>
      </w:r>
      <w:r>
        <w:t xml:space="preserve">and the OCR multiplier is therefore unity. The void ratio</w:t>
      </w:r>
      <w:r>
        <w:t xml:space="preserve"> </w:t>
      </w:r>
      <m:oMath>
        <m:sSubSup>
          <m:e>
            <m:r>
              <m:t>e</m:t>
            </m:r>
          </m:e>
          <m:sub>
            <m:r>
              <m:t>0</m:t>
            </m:r>
          </m:sub>
          <m:sup>
            <m:r>
              <m:rPr>
                <m:sty m:val="p"/>
              </m:rPr>
              <m:t>(</m:t>
            </m:r>
            <m:r>
              <m:t>k</m:t>
            </m:r>
            <m:r>
              <m:rPr>
                <m:sty m:val="p"/>
              </m:rPr>
              <m:t>)</m:t>
            </m:r>
          </m:sup>
        </m:sSubSup>
      </m:oMath>
      <w:r>
        <w:t xml:space="preserve"> </w:t>
      </w:r>
      <w:r>
        <w:t xml:space="preserve">enters all three soil families through</w:t>
      </w:r>
      <w:r>
        <w:t xml:space="preserve"> </w:t>
      </w:r>
      <m:oMath>
        <m:sSubSup>
          <m:e>
            <m:r>
              <m:t>F</m:t>
            </m:r>
          </m:e>
          <m:sub>
            <m:r>
              <m:t>e</m:t>
            </m:r>
          </m:sub>
          <m:sup>
            <m:r>
              <m:rPr>
                <m:sty m:val="p"/>
              </m:rPr>
              <m:t>(</m:t>
            </m:r>
            <m:r>
              <m:t>k</m:t>
            </m:r>
            <m:r>
              <m:rPr>
                <m:sty m:val="p"/>
              </m:rPr>
              <m:t>,</m:t>
            </m:r>
            <m:r>
              <m:t>j</m:t>
            </m:r>
            <m:r>
              <m:rPr>
                <m:sty m:val="p"/>
              </m:rPr>
              <m:t>)</m:t>
            </m:r>
          </m:sup>
        </m:sSubSup>
      </m:oMath>
      <w:r>
        <w:t xml:space="preserve">, which the correlations compiled by Ishihara</w:t>
      </w:r>
      <w:r>
        <w:t xml:space="preserve"> </w:t>
      </w:r>
      <w:r>
        <w:t xml:space="preserve">(</w:t>
      </w:r>
      <w:hyperlink w:anchor="ref-Ishihara1996">
        <w:r>
          <w:rPr>
            <w:rStyle w:val="Hyperlink"/>
          </w:rPr>
          <w:t xml:space="preserve">1996</w:t>
        </w:r>
      </w:hyperlink>
      <w:r>
        <w:t xml:space="preserve">)</w:t>
      </w:r>
      <w:r>
        <w:t xml:space="preserve"> </w:t>
      </w:r>
      <w:r>
        <w:t xml:space="preserve">define in terms of</w:t>
      </w:r>
      <w:r>
        <w:t xml:space="preserve"> </w:t>
      </w:r>
      <m:oMath>
        <m:sSubSup>
          <m:e>
            <m:r>
              <m:t>e</m:t>
            </m:r>
          </m:e>
          <m:sub>
            <m:r>
              <m:t>0</m:t>
            </m:r>
          </m:sub>
          <m:sup>
            <m:r>
              <m:rPr>
                <m:sty m:val="p"/>
              </m:rPr>
              <m:t>(</m:t>
            </m:r>
            <m:r>
              <m:t>k</m:t>
            </m:r>
            <m:r>
              <m:rPr>
                <m:sty m:val="p"/>
              </m:rPr>
              <m:t>)</m:t>
            </m:r>
          </m:sup>
        </m:sSubSup>
      </m:oMath>
      <w:r>
        <w:t xml:space="preserve"> </w:t>
      </w:r>
      <w:r>
        <w:t xml:space="preserve">and</w:t>
      </w:r>
      <w:r>
        <w:t xml:space="preserve"> </w:t>
      </w:r>
      <m:oMath>
        <m:sSubSup>
          <m:e>
            <m:r>
              <m:t>C</m:t>
            </m:r>
          </m:e>
          <m:sub>
            <m:r>
              <m:t>e</m:t>
            </m:r>
          </m:sub>
          <m:sup>
            <m:r>
              <m:rPr>
                <m:sty m:val="p"/>
              </m:rPr>
              <m:t>(</m:t>
            </m:r>
            <m:r>
              <m:t>j</m:t>
            </m:r>
            <m:r>
              <m:rPr>
                <m:sty m:val="p"/>
              </m:rPr>
              <m:t>)</m:t>
            </m:r>
          </m:sup>
        </m:sSubSup>
      </m:oMath>
      <w:r>
        <w:t xml:space="preserve">, with the index</w:t>
      </w:r>
      <w:r>
        <w:t xml:space="preserve"> </w:t>
      </w:r>
      <m:oMath>
        <m:sSub>
          <m:e>
            <m:r>
              <m:t>j</m:t>
            </m:r>
          </m:e>
          <m:sub>
            <m:r>
              <m:rPr>
                <m:sty m:val="p"/>
              </m:rPr>
              <m:t>S</m:t>
            </m:r>
            <m:r>
              <m:rPr>
                <m:sty m:val="p"/>
              </m:rPr>
              <m:t>S</m:t>
            </m:r>
            <m:r>
              <m:rPr>
                <m:sty m:val="p"/>
              </m:rPr>
              <m:t>75</m:t>
            </m:r>
          </m:sub>
        </m:sSub>
      </m:oMath>
      <w:r>
        <w:t xml:space="preserve"> </w:t>
      </w:r>
      <w:r>
        <w:t xml:space="preserve">identifying the Shibata–Soelarno formulation</w:t>
      </w:r>
      <w:r>
        <w:t xml:space="preserve"> </w:t>
      </w:r>
      <w:r>
        <w:t xml:space="preserve">(</w:t>
      </w:r>
      <w:hyperlink w:anchor="ref-ShibataSoelarno1975">
        <w:r>
          <w:rPr>
            <w:rStyle w:val="Hyperlink"/>
          </w:rPr>
          <w:t xml:space="preserve">1975</w:t>
        </w:r>
      </w:hyperlink>
      <w:r>
        <w:t xml:space="preserve">)</w:t>
      </w:r>
      <w:r>
        <w:t xml:space="preserve">:</w:t>
      </w:r>
    </w:p>
    <w:p>
      <w:pPr>
        <w:pStyle w:val="Equation"/>
      </w:pPr>
      <w:bookmarkStart w:id="124" w:name="eq-slope-void-factor"/>
      <w:r>
        <w:tab/>
      </w:r>
      <m:oMath>
        <m:sSubSup>
          <m:e>
            <m:r>
              <m:t>F</m:t>
            </m:r>
          </m:e>
          <m:sub>
            <m:r>
              <m:t>e</m:t>
            </m:r>
          </m:sub>
          <m:sup>
            <m:r>
              <m:rPr>
                <m:sty m:val="p"/>
              </m:rPr>
              <m:t>(</m:t>
            </m:r>
            <m:r>
              <m:t>k</m:t>
            </m:r>
            <m:r>
              <m:rPr>
                <m:sty m:val="p"/>
              </m:rPr>
              <m:t>,</m:t>
            </m:r>
            <m:r>
              <m:t>j</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C</m:t>
                      </m:r>
                    </m:e>
                    <m:sub>
                      <m:r>
                        <m:t>e</m:t>
                      </m:r>
                    </m:sub>
                    <m:sup>
                      <m:r>
                        <m:rPr>
                          <m:sty m:val="p"/>
                        </m:rPr>
                        <m:t>(</m:t>
                      </m:r>
                      <m:r>
                        <m:t>j</m:t>
                      </m:r>
                      <m:r>
                        <m:rPr>
                          <m:sty m:val="p"/>
                        </m:rPr>
                        <m:t>)</m:t>
                      </m:r>
                    </m:sup>
                  </m:sSubSup>
                  <m:r>
                    <m:rPr>
                      <m:sty m:val="p"/>
                    </m:rPr>
                    <m:t>−</m:t>
                  </m:r>
                  <m:f>
                    <m:fPr>
                      <m:type m:val="bar"/>
                    </m:fPr>
                    <m:num>
                      <m:sSubSup>
                        <m:e>
                          <m:r>
                            <m:t>e</m:t>
                          </m:r>
                        </m:e>
                        <m:sub>
                          <m:r>
                            <m:t>0</m:t>
                          </m:r>
                        </m:sub>
                        <m:sup>
                          <m:r>
                            <m:rPr>
                              <m:sty m:val="p"/>
                            </m:rPr>
                            <m:t>(</m:t>
                          </m:r>
                          <m:r>
                            <m:t>k</m:t>
                          </m:r>
                          <m:r>
                            <m:rPr>
                              <m:sty m:val="p"/>
                            </m:rPr>
                            <m:t>)</m:t>
                          </m:r>
                        </m:sup>
                      </m:sSubSup>
                    </m:num>
                    <m:den>
                      <m:r>
                        <m:t>1</m:t>
                      </m:r>
                      <m:r>
                        <m:rPr>
                          <m:sty m:val="p"/>
                        </m:rPr>
                        <m:t>+</m:t>
                      </m:r>
                      <m:sSubSup>
                        <m:e>
                          <m:r>
                            <m:t>e</m:t>
                          </m:r>
                        </m:e>
                        <m:sub>
                          <m:r>
                            <m:t>0</m:t>
                          </m:r>
                        </m:sub>
                        <m:sup>
                          <m:r>
                            <m:rPr>
                              <m:sty m:val="p"/>
                            </m:rPr>
                            <m:t>(</m:t>
                          </m:r>
                          <m:r>
                            <m:t>k</m:t>
                          </m:r>
                          <m:r>
                            <m:rPr>
                              <m:sty m:val="p"/>
                            </m:rPr>
                            <m:t>)</m:t>
                          </m:r>
                        </m:sup>
                      </m:sSubSup>
                    </m:den>
                  </m:f>
                  <m:r>
                    <m:rPr>
                      <m:sty m:val="p"/>
                    </m:rPr>
                    <m:t>,</m:t>
                  </m:r>
                </m:e>
                <m:e>
                  <m:r>
                    <m:t>j</m:t>
                  </m:r>
                  <m:r>
                    <m:rPr>
                      <m:sty m:val="p"/>
                    </m:rPr>
                    <m:t>=</m:t>
                  </m:r>
                  <m:sSub>
                    <m:e>
                      <m:r>
                        <m:t>j</m:t>
                      </m:r>
                    </m:e>
                    <m:sub>
                      <m:r>
                        <m:rPr>
                          <m:sty m:val="p"/>
                        </m:rPr>
                        <m:t>S</m:t>
                      </m:r>
                      <m:r>
                        <m:rPr>
                          <m:sty m:val="p"/>
                        </m:rPr>
                        <m:t>S</m:t>
                      </m:r>
                      <m:r>
                        <m:rPr>
                          <m:sty m:val="p"/>
                        </m:rPr>
                        <m:t>75</m:t>
                      </m:r>
                    </m:sub>
                  </m:sSub>
                  <m:r>
                    <m:rPr>
                      <m:sty m:val="p"/>
                    </m:rPr>
                    <m:t>,</m:t>
                  </m:r>
                </m:e>
              </m:mr>
              <m:mr>
                <m:e>
                  <m:f>
                    <m:fPr>
                      <m:type m:val="bar"/>
                    </m:fPr>
                    <m:num>
                      <m:sSup>
                        <m:e>
                          <m:d>
                            <m:dPr>
                              <m:begChr m:val="("/>
                              <m:sepChr m:val=""/>
                              <m:endChr m:val=")"/>
                              <m:grow/>
                            </m:dPr>
                            <m:e>
                              <m:sSubSup>
                                <m:e>
                                  <m:r>
                                    <m:t>C</m:t>
                                  </m:r>
                                </m:e>
                                <m:sub>
                                  <m:r>
                                    <m:t>e</m:t>
                                  </m:r>
                                </m:sub>
                                <m:sup>
                                  <m:r>
                                    <m:rPr>
                                      <m:sty m:val="p"/>
                                    </m:rPr>
                                    <m:t>(</m:t>
                                  </m:r>
                                  <m:r>
                                    <m:t>j</m:t>
                                  </m:r>
                                  <m:r>
                                    <m:rPr>
                                      <m:sty m:val="p"/>
                                    </m:rPr>
                                    <m:t>)</m:t>
                                  </m:r>
                                </m:sup>
                              </m:sSubSup>
                              <m:r>
                                <m:rPr>
                                  <m:sty m:val="p"/>
                                </m:rPr>
                                <m:t>−</m:t>
                              </m:r>
                              <m:sSubSup>
                                <m:e>
                                  <m:r>
                                    <m:t>e</m:t>
                                  </m:r>
                                </m:e>
                                <m:sub>
                                  <m:r>
                                    <m:t>0</m:t>
                                  </m:r>
                                </m:sub>
                                <m:sup>
                                  <m:r>
                                    <m:rPr>
                                      <m:sty m:val="p"/>
                                    </m:rPr>
                                    <m:t>(</m:t>
                                  </m:r>
                                  <m:r>
                                    <m:t>k</m:t>
                                  </m:r>
                                  <m:r>
                                    <m:rPr>
                                      <m:sty m:val="p"/>
                                    </m:rPr>
                                    <m:t>)</m:t>
                                  </m:r>
                                </m:sup>
                              </m:sSubSup>
                            </m:e>
                          </m:d>
                        </m:e>
                        <m:sup>
                          <m:r>
                            <m:t>2</m:t>
                          </m:r>
                        </m:sup>
                      </m:sSup>
                    </m:num>
                    <m:den>
                      <m:r>
                        <m:t>1</m:t>
                      </m:r>
                      <m:r>
                        <m:rPr>
                          <m:sty m:val="p"/>
                        </m:rPr>
                        <m:t>+</m:t>
                      </m:r>
                      <m:sSubSup>
                        <m:e>
                          <m:r>
                            <m:t>e</m:t>
                          </m:r>
                        </m:e>
                        <m:sub>
                          <m:r>
                            <m:t>0</m:t>
                          </m:r>
                        </m:sub>
                        <m:sup>
                          <m:r>
                            <m:rPr>
                              <m:sty m:val="p"/>
                            </m:rPr>
                            <m:t>(</m:t>
                          </m:r>
                          <m:r>
                            <m:t>k</m:t>
                          </m:r>
                          <m:r>
                            <m:rPr>
                              <m:sty m:val="p"/>
                            </m:rPr>
                            <m:t>)</m:t>
                          </m:r>
                        </m:sup>
                      </m:sSubSup>
                    </m:den>
                  </m:f>
                  <m:r>
                    <m:rPr>
                      <m:sty m:val="p"/>
                    </m:rPr>
                    <m:t>,</m:t>
                  </m:r>
                </m:e>
                <m:e>
                  <m:r>
                    <m:t>j</m:t>
                  </m:r>
                  <m:r>
                    <m:rPr>
                      <m:sty m:val="p"/>
                    </m:rPr>
                    <m:t>≠</m:t>
                  </m:r>
                  <m:sSub>
                    <m:e>
                      <m:r>
                        <m:t>j</m:t>
                      </m:r>
                    </m:e>
                    <m:sub>
                      <m:r>
                        <m:rPr>
                          <m:sty m:val="p"/>
                        </m:rPr>
                        <m:t>S</m:t>
                      </m:r>
                      <m:r>
                        <m:rPr>
                          <m:sty m:val="p"/>
                        </m:rPr>
                        <m:t>S</m:t>
                      </m:r>
                      <m:r>
                        <m:rPr>
                          <m:sty m:val="p"/>
                        </m:rPr>
                        <m:t>75</m:t>
                      </m:r>
                    </m:sub>
                  </m:sSub>
                  <m:r>
                    <m:rPr>
                      <m:sty m:val="p"/>
                    </m:rPr>
                    <m:t>.</m:t>
                  </m:r>
                </m:e>
              </m:mr>
            </m:m>
          </m:e>
        </m:d>
      </m:oMath>
      <w:r>
        <w:tab/>
      </w:r>
      <w:r>
        <w:t xml:space="preserve">(5.9)</w:t>
      </w:r>
      <w:bookmarkEnd w:id="124"/>
    </w:p>
    <w:p>
      <w:pPr>
        <w:pStyle w:val="BodyText"/>
      </w:pPr>
      <w:r>
        <w:t xml:space="preserve">The shear-wave velocity of layer</w:t>
      </w:r>
      <w:r>
        <w:t xml:space="preserve"> </w:t>
      </w:r>
      <m:oMath>
        <m:r>
          <m:t>k</m:t>
        </m:r>
      </m:oMath>
      <w:r>
        <w:t xml:space="preserve"> </w:t>
      </w:r>
      <w:r>
        <w:t xml:space="preserve">then follows from</w:t>
      </w:r>
    </w:p>
    <w:p>
      <w:pPr>
        <w:pStyle w:val="Equation"/>
      </w:pPr>
      <w:bookmarkStart w:id="125" w:name="eq-slope-layer-velocity"/>
      <w:r>
        <w:tab/>
      </w:r>
      <m:oMath>
        <m:sSubSup>
          <m:e>
            <m:r>
              <m:t>V</m:t>
            </m:r>
          </m:e>
          <m:sub>
            <m:r>
              <m:t>S</m:t>
            </m:r>
          </m:sub>
          <m:sup>
            <m:r>
              <m:rPr>
                <m:sty m:val="p"/>
              </m:rPr>
              <m:t>(</m:t>
            </m:r>
            <m:r>
              <m:t>k</m:t>
            </m:r>
            <m:r>
              <m:rPr>
                <m:sty m:val="p"/>
              </m:rPr>
              <m:t>)</m:t>
            </m:r>
          </m:sup>
        </m:sSubSup>
        <m:r>
          <m:rPr>
            <m:sty m:val="p"/>
          </m:rPr>
          <m:t>=</m:t>
        </m:r>
        <m:sSup>
          <m:e>
            <m:d>
              <m:dPr>
                <m:begChr m:val="("/>
                <m:sepChr m:val=""/>
                <m:endChr m:val=")"/>
                <m:grow/>
              </m:dPr>
              <m:e>
                <m:f>
                  <m:fPr>
                    <m:type m:val="bar"/>
                  </m:fPr>
                  <m:num>
                    <m:r>
                      <m:t>g</m:t>
                    </m:r>
                    <m:sSubSup>
                      <m:e>
                        <m:r>
                          <m:t>G</m:t>
                        </m:r>
                      </m:e>
                      <m:sub>
                        <m:r>
                          <m:t>m</m:t>
                        </m:r>
                      </m:sub>
                      <m:sup>
                        <m:r>
                          <m:rPr>
                            <m:sty m:val="p"/>
                          </m:rPr>
                          <m:t>(</m:t>
                        </m:r>
                        <m:r>
                          <m:t>k</m:t>
                        </m:r>
                        <m:r>
                          <m:rPr>
                            <m:sty m:val="p"/>
                          </m:rPr>
                          <m:t>)</m:t>
                        </m:r>
                      </m:sup>
                    </m:sSubSup>
                  </m:num>
                  <m:den>
                    <m:sSubSup>
                      <m:e>
                        <m:r>
                          <m:t>γ</m:t>
                        </m:r>
                      </m:e>
                      <m:sub>
                        <m:r>
                          <m:rPr>
                            <m:sty m:val="p"/>
                          </m:rPr>
                          <m:t>s</m:t>
                        </m:r>
                        <m:r>
                          <m:rPr>
                            <m:sty m:val="p"/>
                          </m:rPr>
                          <m:t>a</m:t>
                        </m:r>
                        <m:r>
                          <m:rPr>
                            <m:sty m:val="p"/>
                          </m:rPr>
                          <m:t>t</m:t>
                        </m:r>
                      </m:sub>
                      <m:sup>
                        <m:r>
                          <m:rPr>
                            <m:sty m:val="p"/>
                          </m:rPr>
                          <m:t>(</m:t>
                        </m:r>
                        <m:r>
                          <m:t>k</m:t>
                        </m:r>
                        <m:r>
                          <m:rPr>
                            <m:sty m:val="p"/>
                          </m:rPr>
                          <m:t>)</m:t>
                        </m:r>
                      </m:sup>
                    </m:sSubSup>
                  </m:den>
                </m:f>
              </m:e>
            </m:d>
          </m:e>
          <m:sup>
            <m:r>
              <m:t>1</m:t>
            </m:r>
            <m:r>
              <m:rPr>
                <m:sty m:val="p"/>
              </m:rPr>
              <m:t>/</m:t>
            </m:r>
            <m:r>
              <m:t>2</m:t>
            </m:r>
          </m:sup>
        </m:sSup>
        <m:r>
          <m:rPr>
            <m:sty m:val="p"/>
          </m:rPr>
          <m:t>,</m:t>
        </m:r>
      </m:oMath>
      <w:r>
        <w:tab/>
      </w:r>
      <w:r>
        <w:t xml:space="preserve">(5.10)</w:t>
      </w:r>
      <w:bookmarkEnd w:id="125"/>
    </w:p>
    <w:p>
      <w:pPr>
        <w:pStyle w:val="BodyText"/>
      </w:pPr>
      <w:r>
        <w:t xml:space="preserve">where</w:t>
      </w:r>
      <w:r>
        <w:t xml:space="preserve"> </w:t>
      </w:r>
      <m:oMath>
        <m:sSubSup>
          <m:e>
            <m:r>
              <m:t>G</m:t>
            </m:r>
          </m:e>
          <m:sub>
            <m:r>
              <m:t>m</m:t>
            </m:r>
          </m:sub>
          <m:sup>
            <m:r>
              <m:rPr>
                <m:sty m:val="p"/>
              </m:rPr>
              <m:t>(</m:t>
            </m:r>
            <m:r>
              <m:t>k</m:t>
            </m:r>
            <m:r>
              <m:rPr>
                <m:sty m:val="p"/>
              </m:rPr>
              <m:t>)</m:t>
            </m:r>
          </m:sup>
        </m:sSubSup>
      </m:oMath>
      <w:r>
        <w:t xml:space="preserve"> </w:t>
      </w:r>
      <w:r>
        <w:t xml:space="preserve">is the adopted layer modulus and</w:t>
      </w:r>
      <w:r>
        <w:t xml:space="preserve"> </w:t>
      </w:r>
      <m:oMath>
        <m:sSubSup>
          <m:e>
            <m:r>
              <m:t>γ</m:t>
            </m:r>
          </m:e>
          <m:sub>
            <m:r>
              <m:rPr>
                <m:sty m:val="p"/>
              </m:rPr>
              <m:t>s</m:t>
            </m:r>
            <m:r>
              <m:rPr>
                <m:sty m:val="p"/>
              </m:rPr>
              <m:t>a</m:t>
            </m:r>
            <m:r>
              <m:rPr>
                <m:sty m:val="p"/>
              </m:rPr>
              <m:t>t</m:t>
            </m:r>
          </m:sub>
          <m:sup>
            <m:r>
              <m:rPr>
                <m:sty m:val="p"/>
              </m:rPr>
              <m:t>(</m:t>
            </m:r>
            <m:r>
              <m:t>k</m:t>
            </m:r>
            <m:r>
              <m:rPr>
                <m:sty m:val="p"/>
              </m:rPr>
              <m:t>)</m:t>
            </m:r>
          </m:sup>
        </m:sSubSup>
      </m:oMath>
      <w:r>
        <w:t xml:space="preserve"> </w:t>
      </w:r>
      <w:r>
        <w:t xml:space="preserve">is its saturated unit weight; all quantities are expressed in consistent units.</w:t>
      </w:r>
    </w:p>
    <w:p>
      <w:pPr>
        <w:pStyle w:val="BodyText"/>
      </w:pPr>
      <w:r>
        <w:t xml:space="preserve"> </w:t>
      </w:r>
    </w:p>
    <w:bookmarkStart w:id="126" w:name="tbl-ish1"/>
    <w:p>
      <w:pPr>
        <w:pStyle w:val="ImageCaption"/>
        <w:spacing w:before="200"/>
        <w:jc w:val="left"/>
      </w:pPr>
      <w:r>
        <w:t xml:space="preserve">Table 5.1: Parameters of the small-strain stiffness formulations for gravels, sands, and fine-grained soils, used in expression</w:t>
      </w:r>
      <w:r>
        <w:t xml:space="preserve"> </w:t>
      </w:r>
      <w:hyperlink w:anchor="eq-slope-modulus">
        <w:r>
          <w:rPr>
            <w:rStyle w:val="Hyperlink"/>
          </w:rPr>
          <w:t xml:space="preserve">5.7</w:t>
        </w:r>
      </w:hyperlink>
      <w:r>
        <w:t xml:space="preserve"> </w:t>
      </w:r>
      <w:r>
        <w:t xml:space="preserve">with</w:t>
      </w:r>
      <w:r>
        <w:t xml:space="preserve"> </w:t>
      </w:r>
      <m:oMath>
        <m:sSubSup>
          <m:e>
            <m:r>
              <m:t>p</m:t>
            </m:r>
          </m:e>
          <m:sub>
            <m:r>
              <m:t>m</m:t>
            </m:r>
          </m:sub>
          <m:sup>
            <m:r>
              <m:rPr>
                <m:sty m:val="p"/>
              </m:rPr>
              <m:t>(</m:t>
            </m:r>
            <m:r>
              <m:t>k</m:t>
            </m:r>
            <m:r>
              <m:rPr>
                <m:sty m:val="p"/>
              </m:rPr>
              <m:t>)</m:t>
            </m:r>
          </m:sup>
        </m:sSubSup>
      </m:oMath>
      <w:r>
        <w:t xml:space="preserve"> </w:t>
      </w:r>
      <w:r>
        <w:t xml:space="preserve">and</w:t>
      </w:r>
      <w:r>
        <w:t xml:space="preserve"> </w:t>
      </w:r>
      <m:oMath>
        <m:sSub>
          <m:e>
            <m:r>
              <m:t>p</m:t>
            </m:r>
          </m:e>
          <m:sub>
            <m:r>
              <m:rPr>
                <m:sty m:val="p"/>
              </m:rPr>
              <m:t>r</m:t>
            </m:r>
            <m:r>
              <m:rPr>
                <m:sty m:val="p"/>
              </m:rPr>
              <m:t>e</m:t>
            </m:r>
            <m:r>
              <m:rPr>
                <m:sty m:val="p"/>
              </m:rPr>
              <m:t>f</m:t>
            </m:r>
          </m:sub>
        </m:sSub>
      </m:oMath>
      <w:r>
        <w:t xml:space="preserve"> </w:t>
      </w:r>
      <w:r>
        <w:t xml:space="preserve">in kPa and</w:t>
      </w:r>
      <w:r>
        <w:t xml:space="preserve"> </w:t>
      </w:r>
      <m:oMath>
        <m:sSubSup>
          <m:e>
            <m:r>
              <m:t>G</m:t>
            </m:r>
          </m:e>
          <m:sub>
            <m:r>
              <m:t>m</m:t>
            </m:r>
          </m:sub>
          <m:sup>
            <m:r>
              <m:rPr>
                <m:sty m:val="p"/>
              </m:rPr>
              <m:t>(</m:t>
            </m:r>
            <m:r>
              <m:t>k</m:t>
            </m:r>
            <m:r>
              <m:rPr>
                <m:sty m:val="p"/>
              </m:rPr>
              <m:t>)</m:t>
            </m:r>
          </m:sup>
        </m:sSubSup>
      </m:oMath>
      <w:r>
        <w:t xml:space="preserve"> </w:t>
      </w:r>
      <w:r>
        <w:t xml:space="preserve">in MPa.</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Formulation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Reference material</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Author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C</m:t>
                  </m:r>
                </m:e>
                <m:sub>
                  <m:r>
                    <m:t>e</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HR63A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Angular-grain crushed sand</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Richart (1963)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HR63R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Round-grain Ottawa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Richart (1963)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IW78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Iwasaki et al.(1978)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Toyoura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 (1980)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Ticino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 Presti et.al (1993)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SS75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Shibata-Soelarno (1975)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YR84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Yu-Richart (1984)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HB68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undisturbed NC Clays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Black (1968)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KU82C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Undisturbed NC Clay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 et al.(1982)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MW72B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Reconstituted NC Bentonite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Marcuson &amp; Wahls (1972)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MW72K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Reconstituted NC Kaoline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Marcuson &amp; Wahls (1972)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GO87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Goto et al.(1987)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KE81G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Rounded 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Kokusho-Esashi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KE81R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Crushed Rock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Kokusho-Esashi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NI85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Nishio et al.(1985)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PR81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Balast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Prange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TA87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Tanaka et al.(1987)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bl>
    <w:bookmarkEnd w:id="126"/>
    <w:p/>
    <w:p>
      <w:pPr>
        <w:pStyle w:val="BodyText"/>
      </w:pPr>
      <w:r>
        <w:t xml:space="preserve"> </w:t>
      </w:r>
    </w:p>
    <w:p>
      <w:pPr>
        <w:pStyle w:val="BodyText"/>
      </w:pPr>
      <w:r>
        <w:t xml:space="preserve">For each geometry–material combination, the analysis generates</w:t>
      </w:r>
      <w:r>
        <w:t xml:space="preserve"> </w:t>
      </w:r>
      <m:oMath>
        <m:r>
          <m:t>N</m:t>
        </m:r>
      </m:oMath>
      <w:r>
        <w:t xml:space="preserve"> </w:t>
      </w:r>
      <w:r>
        <w:t xml:space="preserve">synthetic realizations of the layered profile, and each of</w:t>
      </w:r>
      <w:r>
        <w:t xml:space="preserve"> </w:t>
      </w:r>
      <m:oMath>
        <m:sSub>
          <m:e>
            <m:r>
              <m:t>G</m:t>
            </m:r>
          </m:e>
          <m:sub>
            <m:r>
              <m:t>o</m:t>
            </m:r>
          </m:sub>
        </m:sSub>
      </m:oMath>
      <w:r>
        <w:t xml:space="preserve">,</w:t>
      </w:r>
      <w:r>
        <w:t xml:space="preserve"> </w:t>
      </w:r>
      <m:oMath>
        <m:sSub>
          <m:e>
            <m:r>
              <m:t>m</m:t>
            </m:r>
          </m:e>
          <m:sub>
            <m:r>
              <m:t>o</m:t>
            </m:r>
          </m:sub>
        </m:sSub>
      </m:oMath>
      <w:r>
        <w:t xml:space="preserve">,</w:t>
      </w:r>
      <w:r>
        <w:t xml:space="preserve"> </w:t>
      </w:r>
      <m:oMath>
        <m:sSubSup>
          <m:e>
            <m:r>
              <m:t>V</m:t>
            </m:r>
          </m:e>
          <m:sub>
            <m:r>
              <m:t>S</m:t>
            </m:r>
          </m:sub>
          <m:sup>
            <m:r>
              <m:t>o</m:t>
            </m:r>
          </m:sup>
        </m:sSubSup>
      </m:oMath>
      <w:r>
        <w:t xml:space="preserve">, and</w:t>
      </w:r>
      <w:r>
        <w:t xml:space="preserve"> </w:t>
      </w:r>
      <m:oMath>
        <m:sSub>
          <m:e>
            <m:r>
              <m:t>V</m:t>
            </m:r>
          </m:e>
          <m:sub>
            <m:r>
              <m:t>S</m:t>
            </m:r>
            <m:r>
              <m:t>30</m:t>
            </m:r>
          </m:sub>
        </m:sSub>
      </m:oMath>
      <w:r>
        <w:t xml:space="preserve"> </w:t>
      </w:r>
      <w:r>
        <w:t xml:space="preserve">is summarized by its mean and selected marginal fractiles; for the mean and for each reported fractile,</w:t>
      </w:r>
      <w:r>
        <w:t xml:space="preserve"> </w:t>
      </w:r>
      <m:oMath>
        <m:sSub>
          <m:e>
            <m:r>
              <m:t>a</m:t>
            </m:r>
          </m:e>
          <m:sub>
            <m:r>
              <m:t>1</m:t>
            </m:r>
          </m:sub>
        </m:sSub>
      </m:oMath>
      <w:r>
        <w:t xml:space="preserve"> </w:t>
      </w:r>
      <w:r>
        <w:t xml:space="preserve">and</w:t>
      </w:r>
      <w:r>
        <w:t xml:space="preserve"> </w:t>
      </w:r>
      <m:oMath>
        <m:sSub>
          <m:e>
            <m:r>
              <m:t>T</m:t>
            </m:r>
          </m:e>
          <m:sub>
            <m:r>
              <m:t>s</m:t>
            </m:r>
          </m:sub>
        </m:sSub>
      </m:oMath>
      <w:r>
        <w:t xml:space="preserve"> </w:t>
      </w:r>
      <w:r>
        <w:t xml:space="preserve">are evaluated from the corresponding</w:t>
      </w:r>
      <w:r>
        <w:t xml:space="preserve"> </w:t>
      </w:r>
      <m:oMath>
        <m:sSub>
          <m:e>
            <m:r>
              <m:t>m</m:t>
            </m:r>
          </m:e>
          <m:sub>
            <m:r>
              <m:t>o</m:t>
            </m:r>
          </m:sub>
        </m:sSub>
      </m:oMath>
      <w:r>
        <w:t xml:space="preserve"> </w:t>
      </w:r>
      <w:r>
        <w:t xml:space="preserve">and</w:t>
      </w:r>
      <w:r>
        <w:t xml:space="preserve"> </w:t>
      </w:r>
      <m:oMath>
        <m:sSubSup>
          <m:e>
            <m:r>
              <m:t>V</m:t>
            </m:r>
          </m:e>
          <m:sub>
            <m:r>
              <m:t>S</m:t>
            </m:r>
          </m:sub>
          <m:sup>
            <m:r>
              <m:t>o</m:t>
            </m:r>
          </m:sup>
        </m:sSubSup>
      </m:oMath>
      <w:r>
        <w:t xml:space="preserve"> </w:t>
      </w:r>
      <w:r>
        <w:t xml:space="preserve">values, and the estimates calculated from the mean parameter values provide the dynamic properties used in the displacement analysis.</w:t>
      </w:r>
      <w:r>
        <w:t xml:space="preserve"> </w:t>
      </w:r>
      <m:oMath>
        <m:sSub>
          <m:e>
            <m:r>
              <m:t>V</m:t>
            </m:r>
          </m:e>
          <m:sub>
            <m:r>
              <m:t>S</m:t>
            </m:r>
            <m:r>
              <m:t>30</m:t>
            </m:r>
          </m:sub>
        </m:sSub>
      </m:oMath>
      <w:r>
        <w:t xml:space="preserve"> </w:t>
      </w:r>
      <w:r>
        <w:t xml:space="preserve">is the travel-time-averaged shear-wave velocity in the uppermost 30 m:</w:t>
      </w:r>
    </w:p>
    <w:p>
      <w:pPr>
        <w:pStyle w:val="Equation"/>
      </w:pPr>
      <w:bookmarkStart w:id="127" w:name="eq-slope-vs30"/>
      <w:r>
        <w:tab/>
      </w:r>
      <m:oMath>
        <m:sSub>
          <m:e>
            <m:r>
              <m:t>V</m:t>
            </m:r>
          </m:e>
          <m:sub>
            <m:r>
              <m:t>S</m:t>
            </m:r>
            <m:r>
              <m:t>30</m:t>
            </m:r>
          </m:sub>
        </m:sSub>
        <m:r>
          <m:rPr>
            <m:sty m:val="p"/>
          </m:rPr>
          <m:t>=</m:t>
        </m:r>
        <m:f>
          <m:fPr>
            <m:type m:val="bar"/>
          </m:fPr>
          <m:num>
            <m:r>
              <m:t>30</m:t>
            </m:r>
          </m:num>
          <m:den>
            <m:nary>
              <m:naryPr>
                <m:chr m:val="∑"/>
                <m:limLoc m:val="undOvr"/>
                <m:subHide m:val="off"/>
                <m:supHide m:val="on"/>
              </m:naryPr>
              <m:sub>
                <m:r>
                  <m:t>i</m:t>
                </m:r>
              </m:sub>
              <m:sup>
                <m:r>
                  <m:t>​</m:t>
                </m:r>
              </m:sup>
              <m:e>
                <m:f>
                  <m:fPr>
                    <m:type m:val="bar"/>
                  </m:fPr>
                  <m:num>
                    <m:sSubSup>
                      <m:e>
                        <m:r>
                          <m:t>h</m:t>
                        </m:r>
                      </m:e>
                      <m:sub>
                        <m:r>
                          <m:t>30</m:t>
                        </m:r>
                      </m:sub>
                      <m:sup>
                        <m:r>
                          <m:rPr>
                            <m:sty m:val="p"/>
                          </m:rPr>
                          <m:t>(</m:t>
                        </m:r>
                        <m:r>
                          <m:t>i</m:t>
                        </m:r>
                        <m:r>
                          <m:rPr>
                            <m:sty m:val="p"/>
                          </m:rPr>
                          <m:t>)</m:t>
                        </m:r>
                      </m:sup>
                    </m:sSubSup>
                  </m:num>
                  <m:den>
                    <m:sSubSup>
                      <m:e>
                        <m:r>
                          <m:t>V</m:t>
                        </m:r>
                      </m:e>
                      <m:sub>
                        <m:r>
                          <m:t>S</m:t>
                        </m:r>
                      </m:sub>
                      <m:sup>
                        <m:r>
                          <m:rPr>
                            <m:sty m:val="p"/>
                          </m:rPr>
                          <m:t>(</m:t>
                        </m:r>
                        <m:r>
                          <m:t>i</m:t>
                        </m:r>
                        <m:r>
                          <m:rPr>
                            <m:sty m:val="p"/>
                          </m:rPr>
                          <m:t>)</m:t>
                        </m:r>
                      </m:sup>
                    </m:sSubSup>
                  </m:den>
                </m:f>
              </m:e>
            </m:nary>
            <m:r>
              <m:rPr>
                <m:sty m:val="p"/>
              </m:rPr>
              <m:t>+</m:t>
            </m:r>
            <m:f>
              <m:fPr>
                <m:type m:val="bar"/>
              </m:fPr>
              <m:num>
                <m:r>
                  <m:rPr>
                    <m:sty m:val="p"/>
                  </m:rPr>
                  <m:t>max</m:t>
                </m:r>
                <m:r>
                  <m:rPr>
                    <m:sty m:val="p"/>
                  </m:rPr>
                  <m:t>(</m:t>
                </m:r>
                <m:r>
                  <m:t>30</m:t>
                </m:r>
                <m:r>
                  <m:rPr>
                    <m:sty m:val="p"/>
                  </m:rPr>
                  <m:t>−</m:t>
                </m:r>
                <m:sSub>
                  <m:e>
                    <m:r>
                      <m:t>H</m:t>
                    </m:r>
                  </m:e>
                  <m:sub>
                    <m:r>
                      <m:t>s</m:t>
                    </m:r>
                  </m:sub>
                </m:sSub>
                <m:r>
                  <m:rPr>
                    <m:sty m:val="p"/>
                  </m:rPr>
                  <m:t>,</m:t>
                </m:r>
                <m:r>
                  <m:t>0</m:t>
                </m:r>
                <m:r>
                  <m:rPr>
                    <m:sty m:val="p"/>
                  </m:rPr>
                  <m:t>)</m:t>
                </m:r>
              </m:num>
              <m:den>
                <m:sSub>
                  <m:e>
                    <m:r>
                      <m:t>V</m:t>
                    </m:r>
                  </m:e>
                  <m:sub>
                    <m:r>
                      <m:rPr>
                        <m:sty m:val="p"/>
                      </m:rPr>
                      <m:t>r</m:t>
                    </m:r>
                    <m:r>
                      <m:rPr>
                        <m:sty m:val="p"/>
                      </m:rPr>
                      <m:t>e</m:t>
                    </m:r>
                    <m:r>
                      <m:rPr>
                        <m:sty m:val="p"/>
                      </m:rPr>
                      <m:t>f</m:t>
                    </m:r>
                  </m:sub>
                </m:sSub>
              </m:den>
            </m:f>
          </m:den>
        </m:f>
        <m:r>
          <m:rPr>
            <m:sty m:val="p"/>
          </m:rPr>
          <m:t>.</m:t>
        </m:r>
      </m:oMath>
      <w:r>
        <w:tab/>
      </w:r>
      <w:r>
        <w:t xml:space="preserve">(5.11)</w:t>
      </w:r>
      <w:bookmarkEnd w:id="127"/>
    </w:p>
    <w:p>
      <w:pPr>
        <w:pStyle w:val="BodyText"/>
      </w:pPr>
      <w:r>
        <w:t xml:space="preserve">In this expression,</w:t>
      </w:r>
      <w:r>
        <w:t xml:space="preserve"> </w:t>
      </w:r>
      <m:oMath>
        <m:sSubSup>
          <m:e>
            <m:r>
              <m:t>h</m:t>
            </m:r>
          </m:e>
          <m:sub>
            <m:r>
              <m:t>30</m:t>
            </m:r>
          </m:sub>
          <m:sup>
            <m:r>
              <m:rPr>
                <m:sty m:val="p"/>
              </m:rPr>
              <m:t>(</m:t>
            </m:r>
            <m:r>
              <m:t>i</m:t>
            </m:r>
            <m:r>
              <m:rPr>
                <m:sty m:val="p"/>
              </m:rPr>
              <m:t>)</m:t>
            </m:r>
          </m:sup>
        </m:sSubSup>
      </m:oMath>
      <w:r>
        <w:t xml:space="preserve"> </w:t>
      </w:r>
      <w:r>
        <w:t xml:space="preserve">is the portion of layer</w:t>
      </w:r>
      <w:r>
        <w:t xml:space="preserve"> </w:t>
      </w:r>
      <m:oMath>
        <m:r>
          <m:t>i</m:t>
        </m:r>
      </m:oMath>
      <w:r>
        <w:t xml:space="preserve"> </w:t>
      </w:r>
      <w:r>
        <w:t xml:space="preserve">within the uppermost 30 m and</w:t>
      </w:r>
      <w:r>
        <w:t xml:space="preserve"> </w:t>
      </w:r>
      <m:oMath>
        <m:sSubSup>
          <m:e>
            <m:r>
              <m:t>V</m:t>
            </m:r>
          </m:e>
          <m:sub>
            <m:r>
              <m:t>S</m:t>
            </m:r>
          </m:sub>
          <m:sup>
            <m:r>
              <m:rPr>
                <m:sty m:val="p"/>
              </m:rPr>
              <m:t>(</m:t>
            </m:r>
            <m:r>
              <m:t>i</m:t>
            </m:r>
            <m:r>
              <m:rPr>
                <m:sty m:val="p"/>
              </m:rPr>
              <m:t>)</m:t>
            </m:r>
          </m:sup>
        </m:sSubSup>
      </m:oMath>
      <w:r>
        <w:t xml:space="preserve"> </w:t>
      </w:r>
      <w:r>
        <w:t xml:space="preserve">is its shear-wave velocity; when</w:t>
      </w:r>
      <w:r>
        <w:t xml:space="preserve"> </w:t>
      </w:r>
      <m:oMath>
        <m:sSub>
          <m:e>
            <m:r>
              <m:t>H</m:t>
            </m:r>
          </m:e>
          <m:sub>
            <m:r>
              <m:t>s</m:t>
            </m:r>
          </m:sub>
        </m:sSub>
        <m:r>
          <m:rPr>
            <m:sty m:val="p"/>
          </m:rPr>
          <m:t>&lt;</m:t>
        </m:r>
        <m:r>
          <m:t>30</m:t>
        </m:r>
      </m:oMath>
      <w:r>
        <w:t xml:space="preserve"> </w:t>
      </w:r>
      <w:r>
        <w:t xml:space="preserve">m, the reference velocity</w:t>
      </w:r>
      <w:r>
        <w:t xml:space="preserve"> </w:t>
      </w:r>
      <m:oMath>
        <m:sSub>
          <m:e>
            <m:r>
              <m:t>V</m:t>
            </m:r>
          </m:e>
          <m:sub>
            <m:r>
              <m:rPr>
                <m:sty m:val="p"/>
              </m:rPr>
              <m:t>r</m:t>
            </m:r>
            <m:r>
              <m:rPr>
                <m:sty m:val="p"/>
              </m:rPr>
              <m:t>e</m:t>
            </m:r>
            <m:r>
              <m:rPr>
                <m:sty m:val="p"/>
              </m:rPr>
              <m:t>f</m:t>
            </m:r>
          </m:sub>
        </m:sSub>
      </m:oMath>
      <w:r>
        <w:t xml:space="preserve"> </w:t>
      </w:r>
      <w:r>
        <w:t xml:space="preserve">is assigned to the remaining thickness.</w:t>
      </w:r>
    </w:p>
    <w:p>
      <w:pPr>
        <w:pStyle w:val="BodyText"/>
      </w:pPr>
      <w:r>
        <w:t xml:space="preserve"> </w:t>
      </w:r>
    </w:p>
    <w:bookmarkStart w:id="128" w:name="tbl-idm-docx"/>
    <w:p>
      <w:pPr>
        <w:pStyle w:val="ImageCaption"/>
        <w:spacing w:before="200"/>
        <w:jc w:val="left"/>
      </w:pPr>
      <w:r>
        <w:t xml:space="preserve">Table 5.2: Material scenarios representative of most of the universe of slope and geostructure materials — among them tailings storage facilities (TSF) and waste rock dumps (WRD) — used in the Newmark displacement and fundamental-period analyses, with the slope materials classified per the Unified Soil Classification System (USCS).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USCS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TSF Zone</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ML MH</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Fine Tailings (Slimes, Pond)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SP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Coarse Tailings Beach / Upstream Shell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SP SM ML 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Transitional Zone (Beach Margin / Intermediate Tailings)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Rockfill Buttress / Downstream Shell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 SP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Downstream Shell with Granular Filter or Transition Layer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 ML 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Downstream Shell with Fines-Enriched Transition / Filter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 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Core Zone (Impervious Core / Cutoff Trench)</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 CH ML MH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Core Zone with Silty-Clay Transition (Core Margin / Fine Fill)</w:t>
            </w:r>
          </w:p>
        </w:tc>
      </w:tr>
    </w:tbl>
    <w:bookmarkEnd w:id="128"/>
    <w:p/>
    <w:p>
      <w:pPr>
        <w:pStyle w:val="BodyText"/>
      </w:pPr>
      <w:r>
        <w:t xml:space="preserve"> </w:t>
      </w:r>
    </w:p>
    <w:p>
      <w:pPr>
        <w:pStyle w:val="BodyText"/>
      </w:pPr>
      <w:r>
        <w:t xml:space="preserve"> </w:t>
      </w:r>
    </w:p>
    <w:bookmarkStart w:id="129" w:name="tbl-periods-table-idg-0"/>
    <w:p>
      <w:pPr>
        <w:pStyle w:val="ImageCaption"/>
        <w:spacing w:before="200"/>
        <w:jc w:val="left"/>
      </w:pPr>
      <w:r>
        <w:t xml:space="preserve">Table 5.3: Fundamental periods in [s] and shear moduli in [MPa] for a slope of 50 m height, for material classifications (USCS) representative of tailings storage facilities (TSF) and waste rock dumps (WRD).</w:t>
      </w:r>
      <w:r>
        <w:t xml:space="preserve"> </w:t>
      </w:r>
      <w:r>
        <w:rPr>
          <w:rStyle w:val="VerbatimChar"/>
        </w:rPr>
        <w:t xml:space="preserve">IDm</w:t>
      </w:r>
      <w:r>
        <w:t xml:space="preserve"> </w:t>
      </w:r>
      <w:r>
        <w:t xml:space="preserve">identifies the material scenario and</w:t>
      </w:r>
      <w:r>
        <w:t xml:space="preserve"> </w:t>
      </w:r>
      <w:r>
        <w:rPr>
          <w:rStyle w:val="VerbatimChar"/>
        </w:rPr>
        <w:t xml:space="preserve">USCS</w:t>
      </w:r>
      <w:r>
        <w:t xml:space="preserve"> </w:t>
      </w:r>
      <w:r>
        <w:t xml:space="preserve">the classification of the slope materials.</w:t>
      </w:r>
      <w:r>
        <w:t xml:space="preserve"> </w:t>
      </w:r>
      <m:oMath>
        <m:sSub>
          <m:e>
            <m:r>
              <m:t>H</m:t>
            </m:r>
          </m:e>
          <m:sub>
            <m:r>
              <m:t>s</m:t>
            </m:r>
          </m:sub>
        </m:sSub>
      </m:oMath>
      <w:r>
        <w:t xml:space="preserve"> </w:t>
      </w:r>
      <w:r>
        <w:t xml:space="preserve">is the slope height and</w:t>
      </w:r>
      <w:r>
        <w:t xml:space="preserve"> </w:t>
      </w:r>
      <m:oMath>
        <m:r>
          <m:t>b</m:t>
        </m:r>
      </m:oMath>
      <w:r>
        <w:t xml:space="preserve"> </w:t>
      </w:r>
      <w:r>
        <w:t xml:space="preserve">the geometric parameter, both in m;</w:t>
      </w:r>
      <w:r>
        <w:t xml:space="preserve"> </w:t>
      </w:r>
      <m:oMath>
        <m:r>
          <m:t>s</m:t>
        </m:r>
      </m:oMath>
      <w:r>
        <w:t xml:space="preserve"> </w:t>
      </w:r>
      <w:r>
        <w:t xml:space="preserve">is the slope ratio (</w:t>
      </w:r>
      <m:oMath>
        <m:r>
          <m:rPr>
            <m:sty m:val="p"/>
          </m:rPr>
          <m:t>tan</m:t>
        </m:r>
        <m:r>
          <m:t>β</m:t>
        </m:r>
        <m:r>
          <m:rPr>
            <m:sty m:val="p"/>
          </m:rPr>
          <m:t>=</m:t>
        </m:r>
        <m:r>
          <m:t>1</m:t>
        </m:r>
        <m:r>
          <m:rPr>
            <m:sty m:val="p"/>
          </m:rPr>
          <m:t>/</m:t>
        </m:r>
        <m:r>
          <m:t>s</m:t>
        </m:r>
      </m:oMath>
      <w:r>
        <w:t xml:space="preserve">) and</w:t>
      </w:r>
      <w:r>
        <w:t xml:space="preserve"> </w:t>
      </w:r>
      <m:oMath>
        <m:sSub>
          <m:e>
            <m:r>
              <m:t>λ</m:t>
            </m:r>
          </m:e>
          <m:sub>
            <m:r>
              <m:t>o</m:t>
            </m:r>
          </m:sub>
        </m:sSub>
      </m:oMath>
      <w:r>
        <w:t xml:space="preserve"> </w:t>
      </w:r>
      <w:r>
        <w:t xml:space="preserve">the truncation ratio, both dimensionless;</w:t>
      </w:r>
      <w:r>
        <w:t xml:space="preserve"> </w:t>
      </w:r>
      <m:oMath>
        <m:sSub>
          <m:e>
            <m:r>
              <m:t>G</m:t>
            </m:r>
          </m:e>
          <m:sub>
            <m:r>
              <m:t>o</m:t>
            </m:r>
          </m:sub>
        </m:sSub>
      </m:oMath>
      <w:r>
        <w:t xml:space="preserve"> </w:t>
      </w:r>
      <w:r>
        <w:t xml:space="preserve">is the shear modulus of the profile at</w:t>
      </w:r>
      <w:r>
        <w:t xml:space="preserve"> </w:t>
      </w:r>
      <m:oMath>
        <m:r>
          <m:t>z</m:t>
        </m:r>
        <m:r>
          <m:rPr>
            <m:sty m:val="p"/>
          </m:rPr>
          <m:t>/</m:t>
        </m:r>
        <m:sSub>
          <m:e>
            <m:r>
              <m:t>H</m:t>
            </m:r>
          </m:e>
          <m:sub>
            <m:r>
              <m:t>s</m:t>
            </m:r>
          </m:sub>
        </m:sSub>
        <m:r>
          <m:rPr>
            <m:sty m:val="p"/>
          </m:rPr>
          <m:t>=</m:t>
        </m:r>
        <m:r>
          <m:t>1</m:t>
        </m:r>
      </m:oMath>
      <w:r>
        <w:t xml:space="preserve">, in MPa, and</w:t>
      </w:r>
      <w:r>
        <w:t xml:space="preserve"> </w:t>
      </w:r>
      <m:oMath>
        <m:sSub>
          <m:e>
            <m:r>
              <m:t>m</m:t>
            </m:r>
          </m:e>
          <m:sub>
            <m:r>
              <m:t>o</m:t>
            </m:r>
          </m:sub>
        </m:sSub>
      </m:oMath>
      <w:r>
        <w:t xml:space="preserve"> </w:t>
      </w:r>
      <w:r>
        <w:t xml:space="preserve">the exponent of its power law, dimensionless;</w:t>
      </w:r>
      <w:r>
        <w:t xml:space="preserve"> </w:t>
      </w:r>
      <m:oMath>
        <m:sSub>
          <m:e>
            <m:r>
              <m:t>a</m:t>
            </m:r>
          </m:e>
          <m:sub>
            <m:r>
              <m:t>1</m:t>
            </m:r>
          </m:sub>
        </m:sSub>
      </m:oMath>
      <w:r>
        <w:t xml:space="preserve"> </w:t>
      </w:r>
      <w:r>
        <w:t xml:space="preserve">is the first modal root, dimensionless;</w:t>
      </w:r>
      <w:r>
        <w:t xml:space="preserve"> </w:t>
      </w:r>
      <m:oMath>
        <m:sSubSup>
          <m:e>
            <m:r>
              <m:t>V</m:t>
            </m:r>
          </m:e>
          <m:sub>
            <m:r>
              <m:t>S</m:t>
            </m:r>
          </m:sub>
          <m:sup>
            <m:r>
              <m:t>o</m:t>
            </m:r>
          </m:sup>
        </m:sSubSup>
      </m:oMath>
      <w:r>
        <w:t xml:space="preserve"> </w:t>
      </w:r>
      <w:r>
        <w:t xml:space="preserve">is the basal shear-wave velocity and</w:t>
      </w:r>
      <w:r>
        <w:t xml:space="preserve"> </w:t>
      </w:r>
      <m:oMath>
        <m:sSub>
          <m:e>
            <m:r>
              <m:t>V</m:t>
            </m:r>
          </m:e>
          <m:sub>
            <m:r>
              <m:t>S</m:t>
            </m:r>
            <m:r>
              <m:t>30</m:t>
            </m:r>
          </m:sub>
        </m:sSub>
      </m:oMath>
      <w:r>
        <w:t xml:space="preserve"> </w:t>
      </w:r>
      <w:r>
        <w:t xml:space="preserve">the travel-time-averaged shear-wave velocity in the uppermost 30 m, both in m/s; and</w:t>
      </w:r>
      <w:r>
        <w:t xml:space="preserve"> </w:t>
      </w:r>
      <m:oMath>
        <m:sSub>
          <m:e>
            <m:r>
              <m:t>T</m:t>
            </m:r>
          </m:e>
          <m:sub>
            <m:r>
              <m:t>s</m:t>
            </m:r>
          </m:sub>
        </m:sSub>
        <m:r>
          <m:rPr>
            <m:sty m:val="p"/>
          </m:rPr>
          <m:t>≈</m:t>
        </m:r>
        <m:sSub>
          <m:e>
            <m:r>
              <m:t>T</m:t>
            </m:r>
          </m:e>
          <m:sub>
            <m:r>
              <m:t>1</m:t>
            </m:r>
          </m:sub>
        </m:sSub>
      </m:oMath>
      <w:r>
        <w:t xml:space="preserve"> </w:t>
      </w:r>
      <w:r>
        <w:t xml:space="preserve">is the fundamental period, in seconds.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USCS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H</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b</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s</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λ</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a</m:t>
                  </m:r>
                </m:e>
                <m:sub>
                  <m:r>
                    <m:t>1</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G</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Sup>
                <m:e>
                  <m:r>
                    <m:t>V</m:t>
                  </m:r>
                </m:e>
                <m:sub>
                  <m:r>
                    <m:t>S</m:t>
                  </m:r>
                </m:sub>
                <m:sup>
                  <m:r>
                    <m:t>o</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ML MH</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0.457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3.3303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157.8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287.2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SP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SP SM ML 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 SP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 ML 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 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0.621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 CH ML MH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3.2814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0.606</w:t>
            </w:r>
          </w:p>
        </w:tc>
      </w:tr>
    </w:tbl>
    <w:bookmarkEnd w:id="129"/>
    <w:p/>
    <w:p>
      <w:pPr>
        <w:pStyle w:val="BodyText"/>
      </w:pPr>
      <w:r>
        <w:t xml:space="preserve"> </w:t>
      </w:r>
    </w:p>
    <w:bookmarkEnd w:id="130"/>
    <w:bookmarkStart w:id="136" w:name="sec-coefficients"/>
    <w:p>
      <w:pPr>
        <w:pStyle w:val="Heading2"/>
      </w:pPr>
      <w:r>
        <w:t xml:space="preserve">5.2</w:t>
      </w:r>
      <w:r>
        <w:tab/>
      </w:r>
      <w:r>
        <w:t xml:space="preserve">Performance-Based Seismic Coefficient</w:t>
      </w:r>
    </w:p>
    <w:p>
      <w:pPr>
        <w:pStyle w:val="FirstParagraph"/>
      </w:pPr>
      <w:r>
        <w:t xml:space="preserve">Pseudostatic seismic design of slopes requires a horizontal coefficient representing earthquake loading on the sliding mass. In this report the coefficient is derived from displacement-based performance: the Newmark permanent displacement</w:t>
      </w:r>
      <w:r>
        <w:t xml:space="preserve"> </w:t>
      </w:r>
      <m:oMath>
        <m:sSub>
          <m:e>
            <m:r>
              <m:t>D</m:t>
            </m:r>
          </m:e>
          <m:sub>
            <m:r>
              <m:t>n</m:t>
            </m:r>
          </m:sub>
        </m:sSub>
      </m:oMath>
      <w:r>
        <w:t xml:space="preserve"> </w:t>
      </w:r>
      <w:r>
        <w:t xml:space="preserve">is the slope-deformation performance measure, and the coefficient</w:t>
      </w:r>
      <w:r>
        <w:t xml:space="preserve"> </w:t>
      </w:r>
      <m:oMath>
        <m:sSub>
          <m:e>
            <m:r>
              <m:t>k</m:t>
            </m:r>
          </m:e>
          <m:sub>
            <m:r>
              <m:rPr>
                <m:sty m:val="p"/>
              </m:rPr>
              <m:t>max</m:t>
            </m:r>
          </m:sub>
        </m:sSub>
      </m:oMath>
      <w:r>
        <w:t xml:space="preserve"> </w:t>
      </w:r>
      <w:r>
        <w:t xml:space="preserve">is the lowest yield coefficient</w:t>
      </w:r>
      <w:r>
        <w:t xml:space="preserve"> </w:t>
      </w:r>
      <m:oMath>
        <m:sSub>
          <m:e>
            <m:r>
              <m:t>k</m:t>
            </m:r>
          </m:e>
          <m:sub>
            <m:r>
              <m:t>y</m:t>
            </m:r>
          </m:sub>
        </m:sSub>
      </m:oMath>
      <w:r>
        <w:t xml:space="preserve"> </w:t>
      </w:r>
      <w:r>
        <w:t xml:space="preserve">consistent with a performance objective defined by the allowable displacement</w:t>
      </w:r>
      <w:r>
        <w:t xml:space="preserve"> </w:t>
      </w:r>
      <m:oMath>
        <m:sSub>
          <m:e>
            <m:r>
              <m:t>D</m:t>
            </m:r>
          </m:e>
          <m:sub>
            <m:r>
              <m:t>a</m:t>
            </m:r>
          </m:sub>
        </m:sSub>
      </m:oMath>
      <w:r>
        <w:t xml:space="preserve"> </w:t>
      </w:r>
      <w:r>
        <w:t xml:space="preserve">and the target maximum probability</w:t>
      </w:r>
      <w:r>
        <w:t xml:space="preserve"> </w:t>
      </w:r>
      <m:oMath>
        <m:sSub>
          <m:e>
            <m:r>
              <m:t>p</m:t>
            </m:r>
          </m:e>
          <m:sub>
            <m:r>
              <m:t>e</m:t>
            </m:r>
          </m:sub>
        </m:sSub>
      </m:oMath>
      <w:r>
        <w:t xml:space="preserve"> </w:t>
      </w:r>
      <w:r>
        <w:t xml:space="preserve">that</w:t>
      </w:r>
      <w:r>
        <w:t xml:space="preserve"> </w:t>
      </w:r>
      <m:oMath>
        <m:sSub>
          <m:e>
            <m:r>
              <m:t>D</m:t>
            </m:r>
          </m:e>
          <m:sub>
            <m:r>
              <m:t>n</m:t>
            </m:r>
          </m:sub>
        </m:sSub>
      </m:oMath>
      <w:r>
        <w:t xml:space="preserve"> </w:t>
      </w:r>
      <w:r>
        <w:t xml:space="preserve">exceeds</w:t>
      </w:r>
      <w:r>
        <w:t xml:space="preserve"> </w:t>
      </w:r>
      <m:oMath>
        <m:sSub>
          <m:e>
            <m:r>
              <m:t>D</m:t>
            </m:r>
          </m:e>
          <m:sub>
            <m:r>
              <m:t>a</m:t>
            </m:r>
          </m:sub>
        </m:sSub>
      </m:oMath>
      <w:r>
        <w:t xml:space="preserve">. The normalized coefficient</w:t>
      </w:r>
      <w:r>
        <w:t xml:space="preserve"> </w:t>
      </w:r>
      <m:oMath>
        <m:sSub>
          <m:e>
            <m:r>
              <m:t>k</m:t>
            </m:r>
          </m:e>
          <m:sub>
            <m:r>
              <m:t>h</m:t>
            </m:r>
          </m:sub>
        </m:sSub>
      </m:oMath>
      <w:r>
        <w:t xml:space="preserve"> </w:t>
      </w:r>
      <w:r>
        <w:t xml:space="preserve">expresses</w:t>
      </w:r>
      <w:r>
        <w:t xml:space="preserve"> </w:t>
      </w:r>
      <m:oMath>
        <m:sSub>
          <m:e>
            <m:r>
              <m:t>k</m:t>
            </m:r>
          </m:e>
          <m:sub>
            <m:r>
              <m:rPr>
                <m:sty m:val="p"/>
              </m:rPr>
              <m:t>max</m:t>
            </m:r>
          </m:sub>
        </m:sSub>
      </m:oMath>
      <w:r>
        <w:t xml:space="preserve"> </w:t>
      </w:r>
      <w:r>
        <w:t xml:space="preserve">as a percentage of the site-condition PGA after site response is accounted for in each geometry–material combination, and the coefficients are reported by geometry, material and seismic demand. For the slopes considered,</w:t>
      </w:r>
      <w:r>
        <w:t xml:space="preserve"> </w:t>
      </w:r>
      <m:oMath>
        <m:sSub>
          <m:e>
            <m:r>
              <m:t>D</m:t>
            </m:r>
          </m:e>
          <m:sub>
            <m:r>
              <m:t>n</m:t>
            </m:r>
          </m:sub>
        </m:sSub>
      </m:oMath>
      <w:r>
        <w:t xml:space="preserve"> </w:t>
      </w:r>
      <w:r>
        <w:t xml:space="preserve">is estimated probabilistically by combining empirical regression models within a lognormal framework.</w:t>
      </w:r>
    </w:p>
    <w:p>
      <w:pPr>
        <w:pStyle w:val="BodyText"/>
      </w:pPr>
      <w:r>
        <w:t xml:space="preserve">The horizontal pseudostatic coefficient is derived in this assessment from the allowable permanent displacement</w:t>
      </w:r>
      <w:r>
        <w:t xml:space="preserve"> </w:t>
      </w:r>
      <m:oMath>
        <m:sSub>
          <m:e>
            <m:r>
              <m:t>D</m:t>
            </m:r>
          </m:e>
          <m:sub>
            <m:r>
              <m:t>a</m:t>
            </m:r>
          </m:sub>
        </m:sSub>
      </m:oMath>
      <w:r>
        <w:t xml:space="preserve"> </w:t>
      </w:r>
      <w:r>
        <w:t xml:space="preserve">of the potentially sliding mass</w:t>
      </w:r>
      <w:r>
        <w:t xml:space="preserve"> </w:t>
      </w:r>
      <w:r>
        <w:t xml:space="preserve">(</w:t>
      </w:r>
      <w:hyperlink w:anchor="ref-BrayTravasarou2009">
        <w:r>
          <w:rPr>
            <w:rStyle w:val="Hyperlink"/>
          </w:rPr>
          <w:t xml:space="preserve">Bray &amp; Travasarou, 2009</w:t>
        </w:r>
      </w:hyperlink>
      <w:r>
        <w:t xml:space="preserve">;</w:t>
      </w:r>
      <w:r>
        <w:t xml:space="preserve"> </w:t>
      </w:r>
      <w:hyperlink w:anchor="ref-MacedoEtAl2018">
        <w:r>
          <w:rPr>
            <w:rStyle w:val="Hyperlink"/>
          </w:rPr>
          <w:t xml:space="preserve">Macedo et al., 2018</w:t>
        </w:r>
      </w:hyperlink>
      <w:r>
        <w:t xml:space="preserve">)</w:t>
      </w:r>
      <w:r>
        <w:t xml:space="preserve">. The seismic demand and the fundamental periods established in the preceding chapters allow the</w:t>
      </w:r>
      <w:r>
        <w:t xml:space="preserve"> </w:t>
      </w:r>
      <m:oMath>
        <m:sSub>
          <m:e>
            <m:r>
              <m:t>D</m:t>
            </m:r>
          </m:e>
          <m:sub>
            <m:r>
              <m:t>n</m:t>
            </m:r>
          </m:sub>
        </m:sSub>
        <m:r>
          <m:rPr>
            <m:sty m:val="p"/>
          </m:rPr>
          <m:t>(</m:t>
        </m:r>
        <m:sSub>
          <m:e>
            <m:r>
              <m:t>k</m:t>
            </m:r>
          </m:e>
          <m:sub>
            <m:r>
              <m:t>y</m:t>
            </m:r>
          </m:sub>
        </m:sSub>
        <m:r>
          <m:rPr>
            <m:sty m:val="p"/>
          </m:rPr>
          <m:t>)</m:t>
        </m:r>
      </m:oMath>
      <w:r>
        <w:t xml:space="preserve"> </w:t>
      </w:r>
      <w:r>
        <w:t xml:space="preserve">relations between the Newmark permanent displacement and the yield coefficient to be computed; their inversion yields</w:t>
      </w:r>
      <w:r>
        <w:t xml:space="preserve"> </w:t>
      </w:r>
      <m:oMath>
        <m:sSub>
          <m:e>
            <m:r>
              <m:t>k</m:t>
            </m:r>
          </m:e>
          <m:sub>
            <m:r>
              <m:rPr>
                <m:sty m:val="p"/>
              </m:rPr>
              <m:t>max</m:t>
            </m:r>
          </m:sub>
        </m:sSub>
      </m:oMath>
      <w:r>
        <w:t xml:space="preserve">, and its normalization by the PGA transformed to the</w:t>
      </w:r>
      <w:r>
        <w:t xml:space="preserve"> </w:t>
      </w:r>
      <m:oMath>
        <m:sSub>
          <m:e>
            <m:r>
              <m:t>V</m:t>
            </m:r>
          </m:e>
          <m:sub>
            <m:r>
              <m:t>S</m:t>
            </m:r>
            <m:r>
              <m:t>30</m:t>
            </m:r>
          </m:sub>
        </m:sSub>
      </m:oMath>
      <w:r>
        <w:t xml:space="preserve"> </w:t>
      </w:r>
      <w:r>
        <w:t xml:space="preserve">of each geometry–material combination yields</w:t>
      </w:r>
      <w:r>
        <w:t xml:space="preserve"> </w:t>
      </w:r>
      <m:oMath>
        <m:sSub>
          <m:e>
            <m:r>
              <m:t>k</m:t>
            </m:r>
          </m:e>
          <m:sub>
            <m:r>
              <m:t>h</m:t>
            </m:r>
          </m:sub>
        </m:sSub>
      </m:oMath>
      <w:r>
        <w:t xml:space="preserve">, so that the result traceably links the deformation objective to the horizontal action employed in the stability verification. The yield acceleration</w:t>
      </w:r>
      <w:r>
        <w:t xml:space="preserve"> </w:t>
      </w:r>
      <m:oMath>
        <m:sSub>
          <m:e>
            <m:r>
              <m:t>a</m:t>
            </m:r>
          </m:e>
          <m:sub>
            <m:r>
              <m:t>y</m:t>
            </m:r>
          </m:sub>
        </m:sSub>
      </m:oMath>
      <w:r>
        <w:t xml:space="preserve"> </w:t>
      </w:r>
      <w:r>
        <w:t xml:space="preserve">represents the acceleration level that mobilizes the available resistance along the potential failure mechanism, and its dimensionless form is</w:t>
      </w:r>
      <w:r>
        <w:t xml:space="preserve"> </w:t>
      </w:r>
      <m:oMath>
        <m:sSub>
          <m:e>
            <m:r>
              <m:t>k</m:t>
            </m:r>
          </m:e>
          <m:sub>
            <m:r>
              <m:t>y</m:t>
            </m:r>
          </m:sub>
        </m:sSub>
        <m:r>
          <m:rPr>
            <m:sty m:val="p"/>
          </m:rPr>
          <m:t>=</m:t>
        </m:r>
        <m:sSub>
          <m:e>
            <m:r>
              <m:t>a</m:t>
            </m:r>
          </m:e>
          <m:sub>
            <m:r>
              <m:t>y</m:t>
            </m:r>
          </m:sub>
        </m:sSub>
        <m:r>
          <m:rPr>
            <m:sty m:val="p"/>
          </m:rPr>
          <m:t>/</m:t>
        </m:r>
        <m:r>
          <m:t>g</m:t>
        </m:r>
      </m:oMath>
      <w:r>
        <w:t xml:space="preserve">; for each allowable displacement and target exceedance probability, the analysis determines the</w:t>
      </w:r>
      <w:r>
        <w:t xml:space="preserve"> </w:t>
      </w:r>
      <m:oMath>
        <m:sSub>
          <m:e>
            <m:r>
              <m:t>k</m:t>
            </m:r>
          </m:e>
          <m:sub>
            <m:r>
              <m:t>y</m:t>
            </m:r>
          </m:sub>
        </m:sSub>
      </m:oMath>
      <w:r>
        <w:t xml:space="preserve"> </w:t>
      </w:r>
      <w:r>
        <w:t xml:space="preserve">threshold that satisfies the performance criterion, and that threshold is</w:t>
      </w:r>
      <w:r>
        <w:t xml:space="preserve"> </w:t>
      </w:r>
      <m:oMath>
        <m:sSub>
          <m:e>
            <m:r>
              <m:t>k</m:t>
            </m:r>
          </m:e>
          <m:sub>
            <m:r>
              <m:rPr>
                <m:sty m:val="p"/>
              </m:rPr>
              <m:t>max</m:t>
            </m:r>
          </m:sub>
        </m:sSub>
      </m:oMath>
      <w:r>
        <w:t xml:space="preserve">, the coefficient applied in the pseudostatic limit-equilibrium verification.</w:t>
      </w:r>
    </w:p>
    <w:p>
      <w:pPr>
        <w:pStyle w:val="BodyText"/>
      </w:pPr>
      <w:r>
        <w:t xml:space="preserve">In the Newmark sliding-block method</w:t>
      </w:r>
      <w:r>
        <w:t xml:space="preserve"> </w:t>
      </w:r>
      <w:r>
        <w:t xml:space="preserve">(</w:t>
      </w:r>
      <w:hyperlink w:anchor="ref-Newmark1965">
        <w:r>
          <w:rPr>
            <w:rStyle w:val="Hyperlink"/>
          </w:rPr>
          <w:t xml:space="preserve">Newmark, 1965</w:t>
        </w:r>
      </w:hyperlink>
      <w:r>
        <w:t xml:space="preserve">)</w:t>
      </w:r>
      <w:r>
        <w:t xml:space="preserve">, the potentially sliding wedge is represented as a rigid block resting on an inclined plane: relative motion begins when the driving acceleration exceeds the yield acceleration</w:t>
      </w:r>
      <w:r>
        <w:t xml:space="preserve"> </w:t>
      </w:r>
      <m:oMath>
        <m:sSub>
          <m:e>
            <m:r>
              <m:t>a</m:t>
            </m:r>
          </m:e>
          <m:sub>
            <m:r>
              <m:t>y</m:t>
            </m:r>
          </m:sub>
        </m:sSub>
        <m:r>
          <m:rPr>
            <m:sty m:val="p"/>
          </m:rPr>
          <m:t>=</m:t>
        </m:r>
        <m:sSub>
          <m:e>
            <m:r>
              <m:t>k</m:t>
            </m:r>
          </m:e>
          <m:sub>
            <m:r>
              <m:t>y</m:t>
            </m:r>
          </m:sub>
        </m:sSub>
        <m:r>
          <m:t>g</m:t>
        </m:r>
      </m:oMath>
      <w:r>
        <w:t xml:space="preserve"> </w:t>
      </w:r>
      <w:r>
        <w:t xml:space="preserve">and continues until the relative velocity returns to zero, and the permanent displacement is the sum of those episodes over the duration of the earthquake motion, obtained by double integration of the acceleration excess. The extension of the procedure to dams and embankments</w:t>
      </w:r>
      <w:r>
        <w:t xml:space="preserve"> </w:t>
      </w:r>
      <w:r>
        <w:t xml:space="preserve">(</w:t>
      </w:r>
      <w:hyperlink w:anchor="ref-MakdisiSeed1978">
        <w:r>
          <w:rPr>
            <w:rStyle w:val="Hyperlink"/>
          </w:rPr>
          <w:t xml:space="preserve">Makdisi &amp; Seed, 1978</w:t>
        </w:r>
      </w:hyperlink>
      <w:r>
        <w:t xml:space="preserve">)</w:t>
      </w:r>
      <w:r>
        <w:t xml:space="preserve"> </w:t>
      </w:r>
      <w:r>
        <w:t xml:space="preserve">derived the equivalent acceleration of the sliding mass from its dynamic response and is the direct antecedent of the flexible formulations. The adopted empirical relations represent the accumulated displacement statistically through two idealizations: rigid-block models relate the displacement to measures of the base excitation, and flexible-block models additionally incorporate the dynamic response of the mass through</w:t>
      </w:r>
      <w:r>
        <w:t xml:space="preserve"> </w:t>
      </w:r>
      <m:oMath>
        <m:sSub>
          <m:e>
            <m:r>
              <m:t>T</m:t>
            </m:r>
          </m:e>
          <m:sub>
            <m:r>
              <m:t>s</m:t>
            </m:r>
          </m:sub>
        </m:sSub>
      </m:oMath>
      <w:r>
        <w:t xml:space="preserve"> </w:t>
      </w:r>
      <w:r>
        <w:t xml:space="preserve">and the spectral acceleration evaluated at a period proportional to</w:t>
      </w:r>
      <w:r>
        <w:t xml:space="preserve"> </w:t>
      </w:r>
      <m:oMath>
        <m:sSub>
          <m:e>
            <m:r>
              <m:t>T</m:t>
            </m:r>
          </m:e>
          <m:sub>
            <m:r>
              <m:t>s</m:t>
            </m:r>
          </m:sub>
        </m:sSub>
      </m:oMath>
      <w:r>
        <w:t xml:space="preserve">.</w:t>
      </w:r>
    </w:p>
    <w:p>
      <w:pPr>
        <w:pStyle w:val="BodyText"/>
      </w:pPr>
      <w:r>
        <w:t xml:space="preserve">The displacement calculation uses the seismic demand and the fundamental periods established in Chapter</w:t>
      </w:r>
      <w:r>
        <w:t xml:space="preserve"> </w:t>
      </w:r>
      <w:hyperlink w:anchor="sec-slope_periods">
        <w:r>
          <w:rPr>
            <w:rStyle w:val="Hyperlink"/>
          </w:rPr>
          <w:t xml:space="preserve">5.1</w:t>
        </w:r>
      </w:hyperlink>
      <w:r>
        <w:t xml:space="preserve">. For each geometry, material and seismic demand – the probabilistic spectrum of each evaluated return period and the MCE scenario – a joint sample of the intensity measures required by the rigid-block and flexible formulations is constructed; that sample is common to all models, so their differences represent the displacement formulation rather than incompatible seismic demands. Two inputs feed that sample. The probabilistic input for each return period is the reference-rock UHS, which for 10,000 years represents the MDE, and the MCE input is the rock spectrum of each scenario; both retain the complete distribution of the rock demand, and both are defined for</w:t>
      </w:r>
      <w:r>
        <w:t xml:space="preserve"> </w:t>
      </w:r>
      <m:oMath>
        <m:sSub>
          <m:e>
            <m:r>
              <m:t>V</m:t>
            </m:r>
          </m:e>
          <m:sub>
            <m:r>
              <m:t>S</m:t>
            </m:r>
            <m:r>
              <m:t>30</m:t>
            </m:r>
          </m:sub>
        </m:sSub>
        <m:r>
          <m:rPr>
            <m:sty m:val="p"/>
          </m:rPr>
          <m:t>=</m:t>
        </m:r>
        <m:sSub>
          <m:e>
            <m:r>
              <m:t>V</m:t>
            </m:r>
          </m:e>
          <m:sub>
            <m:r>
              <m:rPr>
                <m:sty m:val="p"/>
              </m:rPr>
              <m:t>r</m:t>
            </m:r>
            <m:r>
              <m:rPr>
                <m:sty m:val="p"/>
              </m:rPr>
              <m:t>e</m:t>
            </m:r>
            <m:r>
              <m:rPr>
                <m:sty m:val="p"/>
              </m:rPr>
              <m:t>f</m:t>
            </m:r>
          </m:sub>
        </m:sSub>
        <m:r>
          <m:rPr>
            <m:sty m:val="p"/>
          </m:rPr>
          <m:t>=</m:t>
        </m:r>
        <m:r>
          <m:t>760</m:t>
        </m:r>
      </m:oMath>
      <w:r>
        <w:t xml:space="preserve"> </w:t>
      </w:r>
      <w:r>
        <w:t xml:space="preserve">m/s. For each geometry and material scenario, the spectral ordinates and the PGA are transformed to the corresponding</w:t>
      </w:r>
      <w:r>
        <w:t xml:space="preserve"> </w:t>
      </w:r>
      <m:oMath>
        <m:sSub>
          <m:e>
            <m:r>
              <m:t>V</m:t>
            </m:r>
          </m:e>
          <m:sub>
            <m:r>
              <m:t>S</m:t>
            </m:r>
            <m:r>
              <m:t>30</m:t>
            </m:r>
          </m:sub>
        </m:sSub>
      </m:oMath>
      <w:r>
        <w:t xml:space="preserve"> </w:t>
      </w:r>
      <w:r>
        <w:t xml:space="preserve">through the</w:t>
      </w:r>
      <w:r>
        <w:t xml:space="preserve"> </w:t>
      </w:r>
      <w:r>
        <w:rPr>
          <w:rStyle w:val="VerbatimChar"/>
        </w:rPr>
        <w:t xml:space="preserve">ST20</w:t>
      </w:r>
      <w:r>
        <w:t xml:space="preserve"> </w:t>
      </w:r>
      <w:r>
        <w:t xml:space="preserve">amplification model</w:t>
      </w:r>
      <w:r>
        <w:t xml:space="preserve"> </w:t>
      </w:r>
      <w:r>
        <w:t xml:space="preserve">(</w:t>
      </w:r>
      <w:hyperlink w:anchor="ref-Hashash2020">
        <w:r>
          <w:rPr>
            <w:rStyle w:val="Hyperlink"/>
          </w:rPr>
          <w:t xml:space="preserve">Hashash et al., 2020</w:t>
        </w:r>
      </w:hyperlink>
      <w:r>
        <w:t xml:space="preserve">;</w:t>
      </w:r>
      <w:r>
        <w:t xml:space="preserve"> </w:t>
      </w:r>
      <w:hyperlink w:anchor="ref-Stewart2020">
        <w:r>
          <w:rPr>
            <w:rStyle w:val="Hyperlink"/>
          </w:rPr>
          <w:t xml:space="preserve">Stewart et al., 2020</w:t>
        </w:r>
      </w:hyperlink>
      <w:r>
        <w:t xml:space="preserve">)</w:t>
      </w:r>
      <w:r>
        <w:t xml:space="preserve">.</w:t>
      </w:r>
    </w:p>
    <w:p>
      <w:pPr>
        <w:pStyle w:val="BodyText"/>
      </w:pPr>
      <w:r>
        <w:t xml:space="preserve">At the site condition of each scenario, the joint sample comprises PGA,</w:t>
      </w:r>
      <w:r>
        <w:t xml:space="preserve"> </w:t>
      </w:r>
      <m:oMath>
        <m:sSub>
          <m:e>
            <m:r>
              <m:t>S</m:t>
            </m:r>
          </m:e>
          <m:sub>
            <m:r>
              <m:t>a</m:t>
            </m:r>
          </m:sub>
        </m:sSub>
        <m:r>
          <m:rPr>
            <m:sty m:val="p"/>
          </m:rPr>
          <m:t>(</m:t>
        </m:r>
        <m:r>
          <m:t>1.3</m:t>
        </m:r>
        <m:sSub>
          <m:e>
            <m:r>
              <m:t>T</m:t>
            </m:r>
          </m:e>
          <m:sub>
            <m:r>
              <m:t>s</m:t>
            </m:r>
          </m:sub>
        </m:sSub>
        <m:r>
          <m:rPr>
            <m:sty m:val="p"/>
          </m:rPr>
          <m:t>)</m:t>
        </m:r>
      </m:oMath>
      <w:r>
        <w:t xml:space="preserve">, and</w:t>
      </w:r>
      <w:r>
        <w:t xml:space="preserve"> </w:t>
      </w:r>
      <m:oMath>
        <m:sSub>
          <m:e>
            <m:r>
              <m:t>S</m:t>
            </m:r>
          </m:e>
          <m:sub>
            <m:r>
              <m:t>a</m:t>
            </m:r>
          </m:sub>
        </m:sSub>
        <m:r>
          <m:rPr>
            <m:sty m:val="p"/>
          </m:rPr>
          <m:t>(</m:t>
        </m:r>
        <m:r>
          <m:t>1.5</m:t>
        </m:r>
        <m:sSub>
          <m:e>
            <m:r>
              <m:t>T</m:t>
            </m:r>
          </m:e>
          <m:sub>
            <m:r>
              <m:t>s</m:t>
            </m:r>
          </m:sub>
        </m:sSub>
        <m:r>
          <m:rPr>
            <m:sty m:val="p"/>
          </m:rPr>
          <m:t>)</m:t>
        </m:r>
      </m:oMath>
      <w:r>
        <w:t xml:space="preserve">. The three measures are represented through empirical marginals in</w:t>
      </w:r>
      <w:r>
        <w:t xml:space="preserve"> </w:t>
      </w:r>
      <m:oMath>
        <m:r>
          <m:rPr>
            <m:sty m:val="p"/>
          </m:rPr>
          <m:t>ln</m:t>
        </m:r>
        <m:sSub>
          <m:e>
            <m:r>
              <m:t>S</m:t>
            </m:r>
          </m:e>
          <m:sub>
            <m:r>
              <m:t>a</m:t>
            </m:r>
          </m:sub>
        </m:sSub>
      </m:oMath>
      <w:r>
        <w:t xml:space="preserve"> </w:t>
      </w:r>
      <w:r>
        <w:t xml:space="preserve">and a Gaussian copula with the full inter-period correlation matrix</w:t>
      </w:r>
      <w:r>
        <w:t xml:space="preserve"> </w:t>
      </w:r>
      <w:r>
        <w:t xml:space="preserve">(</w:t>
      </w:r>
      <w:hyperlink w:anchor="ref-BakerJayaram2008">
        <w:r>
          <w:rPr>
            <w:rStyle w:val="Hyperlink"/>
          </w:rPr>
          <w:t xml:space="preserve">Baker &amp; Jayaram, 2008</w:t>
        </w:r>
      </w:hyperlink>
      <w:r>
        <w:t xml:space="preserve">)</w:t>
      </w:r>
      <w:r>
        <w:t xml:space="preserve">, and the samples are recentered to preserve the mean of each amplified marginal; in each realization, the three intensities remain paired, and each displacement formulation uses the measures entering its regression. The Arias intensity used by</w:t>
      </w:r>
      <w:r>
        <w:t xml:space="preserve"> </w:t>
      </w:r>
      <w:r>
        <w:rPr>
          <w:rStyle w:val="VerbatimChar"/>
        </w:rPr>
        <w:t xml:space="preserve">JB07</w:t>
      </w:r>
      <w:r>
        <w:t xml:space="preserve"> </w:t>
      </w:r>
      <w:r>
        <w:t xml:space="preserve">and</w:t>
      </w:r>
      <w:r>
        <w:t xml:space="preserve"> </w:t>
      </w:r>
      <w:r>
        <w:rPr>
          <w:rStyle w:val="VerbatimChar"/>
        </w:rPr>
        <w:t xml:space="preserve">SR08</w:t>
      </w:r>
      <w:r>
        <w:t xml:space="preserve"> </w:t>
      </w:r>
      <w:r>
        <w:t xml:space="preserve">completes the set of intensity measures; it is estimated for each realization from the PGA</w:t>
      </w:r>
      <w:r>
        <w:t xml:space="preserve"> </w:t>
      </w:r>
      <w:r>
        <w:t xml:space="preserve">(</w:t>
      </w:r>
      <w:hyperlink w:anchor="ref-Verri2023a">
        <w:r>
          <w:rPr>
            <w:rStyle w:val="Hyperlink"/>
          </w:rPr>
          <w:t xml:space="preserve">Verri Kozlowski, 2023</w:t>
        </w:r>
      </w:hyperlink>
      <w:r>
        <w:t xml:space="preserve">)</w:t>
      </w:r>
      <w:r>
        <w:t xml:space="preserve">, and the relation is applied deterministically, so that each PGA realization determines a single value of</w:t>
      </w:r>
      <w:r>
        <w:t xml:space="preserve"> </w:t>
      </w:r>
      <m:oMath>
        <m:sSub>
          <m:e>
            <m:r>
              <m:t>I</m:t>
            </m:r>
          </m:e>
          <m:sub>
            <m:r>
              <m:t>A</m:t>
            </m:r>
          </m:sub>
        </m:sSub>
      </m:oMath>
      <w:r>
        <w:t xml:space="preserve"> </w:t>
      </w:r>
      <w:r>
        <w:t xml:space="preserve">and the displacement sample propagates the PGA variability.</w:t>
      </w:r>
    </w:p>
    <w:p>
      <w:pPr>
        <w:pStyle w:val="BodyText"/>
      </w:pPr>
      <w:r>
        <w:t xml:space="preserve">For each scenario, 30 values of</w:t>
      </w:r>
      <w:r>
        <w:t xml:space="preserve"> </w:t>
      </w:r>
      <m:oMath>
        <m:sSub>
          <m:e>
            <m:r>
              <m:t>k</m:t>
            </m:r>
          </m:e>
          <m:sub>
            <m:r>
              <m:t>y</m:t>
            </m:r>
          </m:sub>
        </m:sSub>
      </m:oMath>
      <w:r>
        <w:t xml:space="preserve"> </w:t>
      </w:r>
      <w:r>
        <w:t xml:space="preserve">are evaluated, logarithmically spaced between 0.01 and</w:t>
      </w:r>
      <w:r>
        <w:t xml:space="preserve"> </w:t>
      </w:r>
      <m:oMath>
        <m:r>
          <m:rPr>
            <m:sty m:val="p"/>
          </m:rPr>
          <m:t>max</m:t>
        </m:r>
        <m:r>
          <m:rPr>
            <m:sty m:val="p"/>
          </m:rPr>
          <m:t>(</m:t>
        </m:r>
        <m:bar>
          <m:barPr>
            <m:pos m:val="top"/>
          </m:barPr>
          <m:e>
            <m:r>
              <m:rPr>
                <m:sty m:val="p"/>
              </m:rPr>
              <m:t>P</m:t>
            </m:r>
            <m:r>
              <m:rPr>
                <m:sty m:val="p"/>
              </m:rPr>
              <m:t>G</m:t>
            </m:r>
            <m:r>
              <m:rPr>
                <m:sty m:val="p"/>
              </m:rPr>
              <m:t>A</m:t>
            </m:r>
          </m:e>
        </m:bar>
        <m:r>
          <m:rPr>
            <m:sty m:val="p"/>
          </m:rPr>
          <m:t>,</m:t>
        </m:r>
        <m:r>
          <m:t>0.80</m:t>
        </m:r>
        <m:r>
          <m:rPr>
            <m:sty m:val="p"/>
          </m:rPr>
          <m:t>)</m:t>
        </m:r>
      </m:oMath>
      <w:r>
        <w:t xml:space="preserve">, where</w:t>
      </w:r>
      <w:r>
        <w:t xml:space="preserve"> </w:t>
      </w:r>
      <m:oMath>
        <m:bar>
          <m:barPr>
            <m:pos m:val="top"/>
          </m:barPr>
          <m:e>
            <m:r>
              <m:rPr>
                <m:sty m:val="p"/>
              </m:rPr>
              <m:t>P</m:t>
            </m:r>
            <m:r>
              <m:rPr>
                <m:sty m:val="p"/>
              </m:rPr>
              <m:t>G</m:t>
            </m:r>
            <m:r>
              <m:rPr>
                <m:sty m:val="p"/>
              </m:rPr>
              <m:t>A</m:t>
            </m:r>
          </m:e>
        </m:bar>
      </m:oMath>
      <w:r>
        <w:t xml:space="preserve"> </w:t>
      </w:r>
      <w:r>
        <w:t xml:space="preserve">is the mean site-condition PGA of the scenario. That interval establishes the computed range of the</w:t>
      </w:r>
      <w:r>
        <w:t xml:space="preserve"> </w:t>
      </w:r>
      <m:oMath>
        <m:sSub>
          <m:e>
            <m:r>
              <m:t>D</m:t>
            </m:r>
          </m:e>
          <m:sub>
            <m:r>
              <m:t>n</m:t>
            </m:r>
          </m:sub>
        </m:sSub>
        <m:r>
          <m:rPr>
            <m:sty m:val="p"/>
          </m:rPr>
          <m:t>(</m:t>
        </m:r>
        <m:sSub>
          <m:e>
            <m:r>
              <m:t>k</m:t>
            </m:r>
          </m:e>
          <m:sub>
            <m:r>
              <m:t>y</m:t>
            </m:r>
          </m:sub>
        </m:sSub>
        <m:r>
          <m:rPr>
            <m:sty m:val="p"/>
          </m:rPr>
          <m:t>)</m:t>
        </m:r>
      </m:oMath>
      <w:r>
        <w:t xml:space="preserve"> </w:t>
      </w:r>
      <w:r>
        <w:t xml:space="preserve">relations, over which the formulations are evaluated and the inversion to</w:t>
      </w:r>
      <w:r>
        <w:t xml:space="preserve"> </w:t>
      </w:r>
      <m:oMath>
        <m:sSub>
          <m:e>
            <m:r>
              <m:t>k</m:t>
            </m:r>
          </m:e>
          <m:sub>
            <m:r>
              <m:rPr>
                <m:sty m:val="p"/>
              </m:rPr>
              <m:t>max</m:t>
            </m:r>
          </m:sub>
        </m:sSub>
      </m:oMath>
      <w:r>
        <w:t xml:space="preserve"> </w:t>
      </w:r>
      <w:r>
        <w:t xml:space="preserve">operates.</w:t>
      </w:r>
    </w:p>
    <w:p>
      <w:pPr>
        <w:pStyle w:val="BodyText"/>
      </w:pPr>
      <w:r>
        <w:t xml:space="preserve">Each active formulation estimates the Newmark permanent displacement</w:t>
      </w:r>
      <w:r>
        <w:t xml:space="preserve"> </w:t>
      </w:r>
      <w:r>
        <w:t xml:space="preserve">(</w:t>
      </w:r>
      <w:hyperlink w:anchor="ref-Newmark1965">
        <w:r>
          <w:rPr>
            <w:rStyle w:val="Hyperlink"/>
          </w:rPr>
          <w:t xml:space="preserve">1965</w:t>
        </w:r>
      </w:hyperlink>
      <w:r>
        <w:t xml:space="preserve">)</w:t>
      </w:r>
      <w:r>
        <w:t xml:space="preserve"> </w:t>
      </w:r>
      <w:r>
        <w:t xml:space="preserve">of the sliding mass from the yield acceleration and the intensity measures of its regression, and all of them express the positive displacement</w:t>
      </w:r>
      <w:r>
        <w:t xml:space="preserve"> </w:t>
      </w:r>
      <m:oMath>
        <m:sSub>
          <m:e>
            <m:r>
              <m:t>D</m:t>
            </m:r>
          </m:e>
          <m:sub>
            <m:r>
              <m:t>n</m:t>
            </m:r>
          </m:sub>
        </m:sSub>
      </m:oMath>
      <w:r>
        <w:t xml:space="preserve">, in centimeters, through</w:t>
      </w:r>
    </w:p>
    <w:p>
      <w:pPr>
        <w:pStyle w:val="Equation"/>
      </w:pPr>
      <w:bookmarkStart w:id="131" w:name="eq-newmark-lognormal"/>
      <w:r>
        <w:tab/>
      </w:r>
      <m:oMath>
        <m:sSub>
          <m:e>
            <m:r>
              <m:t>D</m:t>
            </m:r>
          </m:e>
          <m:sub>
            <m:r>
              <m:t>n</m:t>
            </m:r>
          </m:sub>
        </m:sSub>
        <m:r>
          <m:rPr>
            <m:sty m:val="p"/>
          </m:rPr>
          <m:t>=</m:t>
        </m:r>
        <m:r>
          <m:rPr>
            <m:sty m:val="p"/>
          </m:rPr>
          <m:t>exp</m:t>
        </m:r>
        <m:r>
          <m:t>​</m:t>
        </m:r>
        <m:d>
          <m:dPr>
            <m:begChr m:val="("/>
            <m:sepChr m:val=""/>
            <m:endChr m:val=")"/>
            <m:grow/>
          </m:dPr>
          <m:e>
            <m:sSub>
              <m:e>
                <m:r>
                  <m:t>μ</m:t>
                </m:r>
              </m:e>
              <m:sub>
                <m:r>
                  <m:rPr>
                    <m:sty m:val="p"/>
                  </m:rPr>
                  <m:t>ln</m:t>
                </m:r>
                <m:r>
                  <m:t>D</m:t>
                </m:r>
              </m:sub>
            </m:sSub>
            <m:r>
              <m:rPr>
                <m:sty m:val="p"/>
              </m:rPr>
              <m:t>+</m:t>
            </m:r>
            <m:r>
              <m:t>ϵ</m:t>
            </m:r>
            <m:sSub>
              <m:e>
                <m:r>
                  <m:t>σ</m:t>
                </m:r>
              </m:e>
              <m:sub>
                <m:r>
                  <m:rPr>
                    <m:sty m:val="p"/>
                  </m:rPr>
                  <m:t>ln</m:t>
                </m:r>
                <m:r>
                  <m:t>D</m:t>
                </m:r>
              </m:sub>
            </m:sSub>
          </m:e>
        </m:d>
        <m:r>
          <m:rPr>
            <m:sty m:val="p"/>
          </m:rPr>
          <m:t>,</m:t>
        </m:r>
        <m:r>
          <m:t>  </m:t>
        </m:r>
        <m:r>
          <m:t>ϵ</m:t>
        </m:r>
        <m:r>
          <m:rPr>
            <m:sty m:val="p"/>
          </m:rPr>
          <m:t>∼</m:t>
        </m:r>
        <m:r>
          <m:rPr>
            <m:scr m:val="script"/>
            <m:sty m:val="p"/>
          </m:rPr>
          <m:t>N</m:t>
        </m:r>
        <m:r>
          <m:rPr>
            <m:sty m:val="p"/>
          </m:rPr>
          <m:t>(</m:t>
        </m:r>
        <m:r>
          <m:t>0</m:t>
        </m:r>
        <m:r>
          <m:rPr>
            <m:sty m:val="p"/>
          </m:rPr>
          <m:t>,</m:t>
        </m:r>
        <m:r>
          <m:t>1</m:t>
        </m:r>
        <m:r>
          <m:rPr>
            <m:sty m:val="p"/>
          </m:rPr>
          <m:t>)</m:t>
        </m:r>
        <m:r>
          <m:rPr>
            <m:sty m:val="p"/>
          </m:rPr>
          <m:t>,</m:t>
        </m:r>
      </m:oMath>
      <w:r>
        <w:tab/>
      </w:r>
      <w:r>
        <w:t xml:space="preserve">(5.12)</w:t>
      </w:r>
      <w:bookmarkEnd w:id="131"/>
    </w:p>
    <w:p>
      <w:pPr>
        <w:pStyle w:val="BodyText"/>
      </w:pPr>
      <w:r>
        <w:t xml:space="preserve">where</w:t>
      </w:r>
      <w:r>
        <w:t xml:space="preserve"> </w:t>
      </w:r>
      <m:oMath>
        <m:sSub>
          <m:e>
            <m:r>
              <m:t>μ</m:t>
            </m:r>
          </m:e>
          <m:sub>
            <m:r>
              <m:rPr>
                <m:sty m:val="p"/>
              </m:rPr>
              <m:t>ln</m:t>
            </m:r>
            <m:r>
              <m:t>D</m:t>
            </m:r>
          </m:sub>
        </m:sSub>
      </m:oMath>
      <w:r>
        <w:t xml:space="preserve"> </w:t>
      </w:r>
      <w:r>
        <w:t xml:space="preserve">and</w:t>
      </w:r>
      <w:r>
        <w:t xml:space="preserve"> </w:t>
      </w:r>
      <m:oMath>
        <m:sSub>
          <m:e>
            <m:r>
              <m:t>σ</m:t>
            </m:r>
          </m:e>
          <m:sub>
            <m:r>
              <m:rPr>
                <m:sty m:val="p"/>
              </m:rPr>
              <m:t>ln</m:t>
            </m:r>
            <m:r>
              <m:t>D</m:t>
            </m:r>
          </m:sub>
        </m:sSub>
      </m:oMath>
      <w:r>
        <w:t xml:space="preserve"> </w:t>
      </w:r>
      <w:r>
        <w:t xml:space="preserve">are the mean and standard deviation of</w:t>
      </w:r>
      <w:r>
        <w:t xml:space="preserve"> </w:t>
      </w:r>
      <m:oMath>
        <m:r>
          <m:rPr>
            <m:sty m:val="p"/>
          </m:rPr>
          <m:t>ln</m:t>
        </m:r>
        <m:sSub>
          <m:e>
            <m:r>
              <m:t>D</m:t>
            </m:r>
          </m:e>
          <m:sub>
            <m:r>
              <m:t>n</m:t>
            </m:r>
          </m:sub>
        </m:sSub>
      </m:oMath>
      <w:r>
        <w:t xml:space="preserve"> </w:t>
      </w:r>
      <w:r>
        <w:t xml:space="preserve">defined by each model, and</w:t>
      </w:r>
      <w:r>
        <w:t xml:space="preserve"> </w:t>
      </w:r>
      <m:oMath>
        <m:r>
          <m:t>ϵ</m:t>
        </m:r>
      </m:oMath>
      <w:r>
        <w:t xml:space="preserve"> </w:t>
      </w:r>
      <w:r>
        <w:t xml:space="preserve">is a standard-normal residual. Some source formulations contain a discrete branch of zero or negligible displacement; the implemented evaluation uses exclusively the positive lognormal branch. In every formulation,</w:t>
      </w:r>
      <w:r>
        <w:t xml:space="preserve"> </w:t>
      </w:r>
      <m:oMath>
        <m:sSub>
          <m:e>
            <m:r>
              <m:t>k</m:t>
            </m:r>
          </m:e>
          <m:sub>
            <m:r>
              <m:t>y</m:t>
            </m:r>
          </m:sub>
        </m:sSub>
      </m:oMath>
      <w:r>
        <w:t xml:space="preserve">, PGA, and</w:t>
      </w:r>
      <w:r>
        <w:t xml:space="preserve"> </w:t>
      </w:r>
      <m:oMath>
        <m:sSub>
          <m:e>
            <m:r>
              <m:t>S</m:t>
            </m:r>
          </m:e>
          <m:sub>
            <m:r>
              <m:t>a</m:t>
            </m:r>
          </m:sub>
        </m:sSub>
      </m:oMath>
      <w:r>
        <w:t xml:space="preserve"> </w:t>
      </w:r>
      <w:r>
        <w:t xml:space="preserve">are expressed in units of</w:t>
      </w:r>
      <w:r>
        <w:t xml:space="preserve"> </w:t>
      </w:r>
      <m:oMath>
        <m:r>
          <m:t>g</m:t>
        </m:r>
      </m:oMath>
      <w:r>
        <w:t xml:space="preserve"> </w:t>
      </w:r>
      <w:r>
        <w:t xml:space="preserve">– the acceleration of gravity –</w:t>
      </w:r>
      <w:r>
        <w:t xml:space="preserve"> </w:t>
      </w:r>
      <m:oMath>
        <m:sSub>
          <m:e>
            <m:r>
              <m:t>I</m:t>
            </m:r>
          </m:e>
          <m:sub>
            <m:r>
              <m:t>A</m:t>
            </m:r>
          </m:sub>
        </m:sSub>
      </m:oMath>
      <w:r>
        <w:t xml:space="preserve"> </w:t>
      </w:r>
      <w:r>
        <w:t xml:space="preserve">in m/s, and</w:t>
      </w:r>
      <w:r>
        <w:t xml:space="preserve"> </w:t>
      </w:r>
      <m:oMath>
        <m:sSub>
          <m:e>
            <m:r>
              <m:t>T</m:t>
            </m:r>
          </m:e>
          <m:sub>
            <m:r>
              <m:t>s</m:t>
            </m:r>
          </m:sub>
        </m:sSub>
      </m:oMath>
      <w:r>
        <w:t xml:space="preserve"> </w:t>
      </w:r>
      <w:r>
        <w:t xml:space="preserve">in seconds; the Arias intensity is derived from the PGA of each realization according to</w:t>
      </w:r>
      <w:r>
        <w:t xml:space="preserve"> </w:t>
      </w:r>
      <w:hyperlink w:anchor="eq-newmark-arias">
        <w:r>
          <w:rPr>
            <w:rStyle w:val="Hyperlink"/>
          </w:rPr>
          <w:t xml:space="preserve">6.3</w:t>
        </w:r>
      </w:hyperlink>
      <w:r>
        <w:t xml:space="preserve">, and the reference magnitude assigned to each seismic demand is applied to its geometry–material combinations. The published form of each formulation is reproduced in Appendix</w:t>
      </w:r>
      <w:r>
        <w:t xml:space="preserve"> </w:t>
      </w:r>
      <w:hyperlink w:anchor="sec-newmark-appendix">
        <w:r>
          <w:rPr>
            <w:rStyle w:val="Hyperlink"/>
          </w:rPr>
          <w:t xml:space="preserve">6.5</w:t>
        </w:r>
      </w:hyperlink>
      <w:r>
        <w:t xml:space="preserve">. The performance-based seismic coefficient is defined by</w:t>
      </w:r>
    </w:p>
    <w:p>
      <w:pPr>
        <w:pStyle w:val="Equation"/>
      </w:pPr>
      <w:bookmarkStart w:id="132" w:name="eq-kmax-criterion"/>
      <w:r>
        <w:tab/>
      </w:r>
      <m:oMath>
        <m:sSub>
          <m:e>
            <m:r>
              <m:t>k</m:t>
            </m:r>
          </m:e>
          <m:sub>
            <m:r>
              <m:rPr>
                <m:sty m:val="p"/>
              </m:rPr>
              <m:t>max</m:t>
            </m:r>
          </m:sub>
        </m:sSub>
        <m:r>
          <m:rPr>
            <m:sty m:val="p"/>
          </m:rPr>
          <m:t>(</m:t>
        </m:r>
        <m:sSub>
          <m:e>
            <m:r>
              <m:t>p</m:t>
            </m:r>
          </m:e>
          <m:sub>
            <m:r>
              <m:t>e</m:t>
            </m:r>
          </m:sub>
        </m:sSub>
        <m:r>
          <m:rPr>
            <m:sty m:val="p"/>
          </m:rPr>
          <m:t>∣</m:t>
        </m:r>
        <m:sSub>
          <m:e>
            <m:r>
              <m:t>D</m:t>
            </m:r>
          </m:e>
          <m:sub>
            <m:r>
              <m:t>a</m:t>
            </m:r>
          </m:sub>
        </m:sSub>
        <m:r>
          <m:rPr>
            <m:sty m:val="p"/>
          </m:rPr>
          <m:t>)</m:t>
        </m:r>
        <m:r>
          <m:rPr>
            <m:sty m:val="p"/>
          </m:rPr>
          <m:t>=</m:t>
        </m:r>
        <m:r>
          <m:rPr>
            <m:sty m:val="p"/>
          </m:rPr>
          <m:t>inf</m:t>
        </m:r>
        <m:d>
          <m:dPr>
            <m:begChr m:val="{"/>
            <m:sepChr m:val=""/>
            <m:endChr m:val="}"/>
            <m:grow/>
          </m:dPr>
          <m:e>
            <m:sSub>
              <m:e>
                <m:r>
                  <m:t>k</m:t>
                </m:r>
              </m:e>
              <m:sub>
                <m:r>
                  <m:t>y</m:t>
                </m:r>
              </m:sub>
            </m:sSub>
            <m:r>
              <m:rPr>
                <m:sty m:val="p"/>
              </m:rPr>
              <m:t>:</m:t>
            </m:r>
            <m:r>
              <m:t>P</m:t>
            </m:r>
            <m:r>
              <m:rPr>
                <m:sty m:val="p"/>
              </m:rPr>
              <m:t>[</m:t>
            </m:r>
            <m:sSub>
              <m:e>
                <m:r>
                  <m:t>D</m:t>
                </m:r>
              </m:e>
              <m:sub>
                <m:r>
                  <m:t>n</m:t>
                </m:r>
              </m:sub>
            </m:sSub>
            <m:r>
              <m:rPr>
                <m:sty m:val="p"/>
              </m:rPr>
              <m:t>(</m:t>
            </m:r>
            <m:sSub>
              <m:e>
                <m:r>
                  <m:t>k</m:t>
                </m:r>
              </m:e>
              <m:sub>
                <m:r>
                  <m:t>y</m:t>
                </m:r>
              </m:sub>
            </m:sSub>
            <m:r>
              <m:rPr>
                <m:sty m:val="p"/>
              </m:rPr>
              <m:t>)</m:t>
            </m:r>
            <m:r>
              <m:rPr>
                <m:sty m:val="p"/>
              </m:rPr>
              <m:t>&gt;</m:t>
            </m:r>
            <m:sSub>
              <m:e>
                <m:r>
                  <m:t>D</m:t>
                </m:r>
              </m:e>
              <m:sub>
                <m:r>
                  <m:t>a</m:t>
                </m:r>
              </m:sub>
            </m:sSub>
            <m:r>
              <m:rPr>
                <m:sty m:val="p"/>
              </m:rPr>
              <m:t>]</m:t>
            </m:r>
            <m:r>
              <m:rPr>
                <m:sty m:val="p"/>
              </m:rPr>
              <m:t>≤</m:t>
            </m:r>
            <m:sSub>
              <m:e>
                <m:r>
                  <m:t>p</m:t>
                </m:r>
              </m:e>
              <m:sub>
                <m:r>
                  <m:t>e</m:t>
                </m:r>
              </m:sub>
            </m:sSub>
          </m:e>
        </m:d>
        <m:r>
          <m:rPr>
            <m:sty m:val="p"/>
          </m:rPr>
          <m:t>.</m:t>
        </m:r>
      </m:oMath>
      <w:r>
        <w:tab/>
      </w:r>
      <w:r>
        <w:t xml:space="preserve">(5.13)</w:t>
      </w:r>
      <w:bookmarkEnd w:id="132"/>
    </w:p>
    <w:p>
      <w:pPr>
        <w:pStyle w:val="BodyText"/>
      </w:pPr>
      <w:r>
        <w:t xml:space="preserve">where</w:t>
      </w:r>
      <w:r>
        <w:t xml:space="preserve"> </w:t>
      </w:r>
      <m:oMath>
        <m:sSub>
          <m:e>
            <m:r>
              <m:t>p</m:t>
            </m:r>
          </m:e>
          <m:sub>
            <m:r>
              <m:t>e</m:t>
            </m:r>
          </m:sub>
        </m:sSub>
      </m:oMath>
      <w:r>
        <w:t xml:space="preserve"> </w:t>
      </w:r>
      <w:r>
        <w:t xml:space="preserve">is the target probability that</w:t>
      </w:r>
      <w:r>
        <w:t xml:space="preserve"> </w:t>
      </w:r>
      <m:oMath>
        <m:sSub>
          <m:e>
            <m:r>
              <m:t>D</m:t>
            </m:r>
          </m:e>
          <m:sub>
            <m:r>
              <m:t>n</m:t>
            </m:r>
          </m:sub>
        </m:sSub>
      </m:oMath>
      <w:r>
        <w:t xml:space="preserve"> </w:t>
      </w:r>
      <w:r>
        <w:t xml:space="preserve">exceeds</w:t>
      </w:r>
      <w:r>
        <w:t xml:space="preserve"> </w:t>
      </w:r>
      <m:oMath>
        <m:sSub>
          <m:e>
            <m:r>
              <m:t>D</m:t>
            </m:r>
          </m:e>
          <m:sub>
            <m:r>
              <m:t>a</m:t>
            </m:r>
          </m:sub>
        </m:sSub>
      </m:oMath>
      <w:r>
        <w:t xml:space="preserve">:</w:t>
      </w:r>
      <w:r>
        <w:t xml:space="preserve"> </w:t>
      </w:r>
      <m:oMath>
        <m:sSub>
          <m:e>
            <m:r>
              <m:t>k</m:t>
            </m:r>
          </m:e>
          <m:sub>
            <m:r>
              <m:rPr>
                <m:sty m:val="p"/>
              </m:rPr>
              <m:t>max</m:t>
            </m:r>
          </m:sub>
        </m:sSub>
      </m:oMath>
      <w:r>
        <w:t xml:space="preserve"> </w:t>
      </w:r>
      <w:r>
        <w:t xml:space="preserve">is the smallest</w:t>
      </w:r>
      <w:r>
        <w:t xml:space="preserve"> </w:t>
      </w:r>
      <m:oMath>
        <m:sSub>
          <m:e>
            <m:r>
              <m:t>k</m:t>
            </m:r>
          </m:e>
          <m:sub>
            <m:r>
              <m:t>y</m:t>
            </m:r>
          </m:sub>
        </m:sSub>
      </m:oMath>
      <w:r>
        <w:t xml:space="preserve"> </w:t>
      </w:r>
      <w:r>
        <w:t xml:space="preserve">for which the probability of exceeding the allowable displacement is at most</w:t>
      </w:r>
      <w:r>
        <w:t xml:space="preserve"> </w:t>
      </w:r>
      <m:oMath>
        <m:sSub>
          <m:e>
            <m:r>
              <m:t>p</m:t>
            </m:r>
          </m:e>
          <m:sub>
            <m:r>
              <m:t>e</m:t>
            </m:r>
          </m:sub>
        </m:sSub>
      </m:oMath>
      <w:r>
        <w:t xml:space="preserve">. The normalized coefficient, reported as a percentage of the PGA [% of PGA], is calculated using the site-condition PGA transformed to the</w:t>
      </w:r>
      <w:r>
        <w:t xml:space="preserve"> </w:t>
      </w:r>
      <m:oMath>
        <m:sSub>
          <m:e>
            <m:r>
              <m:t>V</m:t>
            </m:r>
          </m:e>
          <m:sub>
            <m:r>
              <m:t>S</m:t>
            </m:r>
            <m:r>
              <m:t>30</m:t>
            </m:r>
          </m:sub>
        </m:sSub>
      </m:oMath>
      <w:r>
        <w:t xml:space="preserve"> </w:t>
      </w:r>
      <w:r>
        <w:t xml:space="preserve">of the geometry–material combination evaluated for each demand:</w:t>
      </w:r>
    </w:p>
    <w:p>
      <w:pPr>
        <w:pStyle w:val="Equation"/>
      </w:pPr>
      <w:bookmarkStart w:id="133" w:name="eq-kh-normalization"/>
      <w:r>
        <w:tab/>
      </w:r>
      <m:oMath>
        <m:sSub>
          <m:e>
            <m:r>
              <m:t>k</m:t>
            </m:r>
          </m:e>
          <m:sub>
            <m:r>
              <m:t>h</m:t>
            </m:r>
          </m:sub>
        </m:sSub>
        <m:r>
          <m:rPr>
            <m:sty m:val="p"/>
          </m:rPr>
          <m:t>=</m:t>
        </m:r>
        <m:r>
          <m:t>100</m:t>
        </m:r>
        <m:r>
          <m:t> </m:t>
        </m:r>
        <m:f>
          <m:fPr>
            <m:type m:val="bar"/>
          </m:fPr>
          <m:num>
            <m:sSub>
              <m:e>
                <m:r>
                  <m:t>k</m:t>
                </m:r>
              </m:e>
              <m:sub>
                <m:r>
                  <m:rPr>
                    <m:sty m:val="p"/>
                  </m:rPr>
                  <m:t>max</m:t>
                </m:r>
              </m:sub>
            </m:sSub>
          </m:num>
          <m:den>
            <m:r>
              <m:rPr>
                <m:sty m:val="p"/>
              </m:rPr>
              <m:t>P</m:t>
            </m:r>
            <m:r>
              <m:rPr>
                <m:sty m:val="p"/>
              </m:rPr>
              <m:t>G</m:t>
            </m:r>
            <m:r>
              <m:rPr>
                <m:sty m:val="p"/>
              </m:rPr>
              <m:t>A</m:t>
            </m:r>
            <m:r>
              <m:rPr>
                <m:sty m:val="p"/>
              </m:rPr>
              <m:t>(</m:t>
            </m:r>
            <m:sSub>
              <m:e>
                <m:r>
                  <m:t>V</m:t>
                </m:r>
              </m:e>
              <m:sub>
                <m:r>
                  <m:t>S</m:t>
                </m:r>
                <m:r>
                  <m:t>30</m:t>
                </m:r>
              </m:sub>
            </m:sSub>
            <m:r>
              <m:rPr>
                <m:sty m:val="p"/>
              </m:rPr>
              <m:t>)</m:t>
            </m:r>
          </m:den>
        </m:f>
        <m:r>
          <m:rPr>
            <m:sty m:val="p"/>
          </m:rPr>
          <m:t>.</m:t>
        </m:r>
      </m:oMath>
      <w:r>
        <w:tab/>
      </w:r>
      <w:r>
        <w:t xml:space="preserve">(5.14)</w:t>
      </w:r>
      <w:bookmarkEnd w:id="133"/>
    </w:p>
    <w:p>
      <w:pPr>
        <w:pStyle w:val="BodyText"/>
      </w:pPr>
      <m:oMath>
        <m:sSub>
          <m:e>
            <m:r>
              <m:t>k</m:t>
            </m:r>
          </m:e>
          <m:sub>
            <m:r>
              <m:rPr>
                <m:sty m:val="p"/>
              </m:rPr>
              <m:t>max</m:t>
            </m:r>
          </m:sub>
        </m:sSub>
      </m:oMath>
      <w:r>
        <w:t xml:space="preserve"> </w:t>
      </w:r>
      <w:r>
        <w:t xml:space="preserve">is expressed in units of</w:t>
      </w:r>
      <w:r>
        <w:t xml:space="preserve"> </w:t>
      </w:r>
      <m:oMath>
        <m:r>
          <m:t>g</m:t>
        </m:r>
      </m:oMath>
      <w:r>
        <w:t xml:space="preserve"> </w:t>
      </w:r>
      <w:r>
        <w:t xml:space="preserve">and</w:t>
      </w:r>
      <w:r>
        <w:t xml:space="preserve"> </w:t>
      </w:r>
      <m:oMath>
        <m:sSub>
          <m:e>
            <m:r>
              <m:t>k</m:t>
            </m:r>
          </m:e>
          <m:sub>
            <m:r>
              <m:t>h</m:t>
            </m:r>
          </m:sub>
        </m:sSub>
      </m:oMath>
      <w:r>
        <w:t xml:space="preserve"> </w:t>
      </w:r>
      <w:r>
        <w:t xml:space="preserve">as a percentage of the PGA of the corresponding site condition. These two quantities express the displacement criterion as the horizontal action of the pseudostatic verification.</w:t>
      </w:r>
    </w:p>
    <w:p>
      <w:pPr>
        <w:pStyle w:val="BodyText"/>
      </w:pPr>
      <w:r>
        <w:t xml:space="preserve">The five formulations are evaluated individually and combined into the three sets that the tables and figures identify as</w:t>
      </w:r>
      <w:r>
        <w:t xml:space="preserve"> </w:t>
      </w:r>
      <w:r>
        <w:rPr>
          <w:rStyle w:val="VerbatimChar"/>
        </w:rPr>
        <w:t xml:space="preserve">IDn</w:t>
      </w:r>
      <w:r>
        <w:t xml:space="preserve">:</w:t>
      </w:r>
      <w:r>
        <w:t xml:space="preserve"> </w:t>
      </w:r>
      <w:r>
        <w:rPr>
          <w:rStyle w:val="VerbatimChar"/>
        </w:rPr>
        <w:t xml:space="preserve">rigid</w:t>
      </w:r>
      <w:r>
        <w:t xml:space="preserve">,</w:t>
      </w:r>
      <w:r>
        <w:t xml:space="preserve"> </w:t>
      </w:r>
      <w:r>
        <w:rPr>
          <w:rStyle w:val="VerbatimChar"/>
        </w:rPr>
        <w:t xml:space="preserve">flexible</w:t>
      </w:r>
      <w:r>
        <w:t xml:space="preserve"> </w:t>
      </w:r>
      <w:r>
        <w:t xml:space="preserve">and</w:t>
      </w:r>
      <w:r>
        <w:t xml:space="preserve"> </w:t>
      </w:r>
      <w:r>
        <w:rPr>
          <w:rStyle w:val="VerbatimChar"/>
        </w:rPr>
        <w:t xml:space="preserve">ensemble</w:t>
      </w:r>
      <w:r>
        <w:t xml:space="preserve">. The displacement model provides individual realizations for AM88, JB07, SR08, BT07, and a fifth formulation selected by the tectonic context: BM17 for projects with subduction control and BM19 for projects with shallow crustal control. The overall design set, identified as</w:t>
      </w:r>
      <w:r>
        <w:t xml:space="preserve"> </w:t>
      </w:r>
      <w:r>
        <w:rPr>
          <w:rStyle w:val="VerbatimChar"/>
        </w:rPr>
        <w:t xml:space="preserve">ensemble</w:t>
      </w:r>
      <w:r>
        <w:t xml:space="preserve">, combines AM88, JB07, SR08, BT07, and the active BM branch with equal weights; the rigid family combines AM88, JB07, and SR08, and the flexible family combines BT07 and the active BM branch. The rigid family thus relates the displacement to measures of the base excitation, the flexible family additionally incorporates the dynamic response of the sliding mass through</w:t>
      </w:r>
      <w:r>
        <w:t xml:space="preserve"> </w:t>
      </w:r>
      <m:oMath>
        <m:sSub>
          <m:e>
            <m:r>
              <m:t>T</m:t>
            </m:r>
          </m:e>
          <m:sub>
            <m:r>
              <m:t>s</m:t>
            </m:r>
          </m:sub>
        </m:sSub>
      </m:oMath>
      <w:r>
        <w:t xml:space="preserve">, and the ensemble is the design set that combines both. For each</w:t>
      </w:r>
      <w:r>
        <w:t xml:space="preserve"> </w:t>
      </w:r>
      <m:oMath>
        <m:sSub>
          <m:e>
            <m:r>
              <m:t>k</m:t>
            </m:r>
          </m:e>
          <m:sub>
            <m:r>
              <m:t>y</m:t>
            </m:r>
          </m:sub>
        </m:sSub>
      </m:oMath>
      <w:r>
        <w:t xml:space="preserve">, the displacements of a family are summarized from the weighted empirical distribution of the realizations of its models.</w:t>
      </w:r>
    </w:p>
    <w:p>
      <w:pPr>
        <w:pStyle w:val="BodyText"/>
      </w:pPr>
      <w:r>
        <w:t xml:space="preserve">All models receive the same joint sample of PGA and spectral accelerations, and a single realization of</w:t>
      </w:r>
      <w:r>
        <w:t xml:space="preserve"> </w:t>
      </w:r>
      <m:oMath>
        <m:r>
          <m:t>ϵ</m:t>
        </m:r>
      </m:oMath>
      <w:r>
        <w:t xml:space="preserve"> </w:t>
      </w:r>
      <w:r>
        <w:t xml:space="preserve">is shared across the models and across all values of</w:t>
      </w:r>
      <w:r>
        <w:t xml:space="preserve"> </w:t>
      </w:r>
      <m:oMath>
        <m:sSub>
          <m:e>
            <m:r>
              <m:t>k</m:t>
            </m:r>
          </m:e>
          <m:sub>
            <m:r>
              <m:t>y</m:t>
            </m:r>
          </m:sub>
        </m:sSub>
      </m:oMath>
      <w:r>
        <w:t xml:space="preserve">; each formulation scales that residual through its own</w:t>
      </w:r>
      <w:r>
        <w:t xml:space="preserve"> </w:t>
      </w:r>
      <m:oMath>
        <m:sSub>
          <m:e>
            <m:r>
              <m:t>σ</m:t>
            </m:r>
          </m:e>
          <m:sub>
            <m:r>
              <m:rPr>
                <m:sty m:val="p"/>
              </m:rPr>
              <m:t>ln</m:t>
            </m:r>
            <m:r>
              <m:t>D</m:t>
            </m:r>
          </m:sub>
        </m:sSub>
      </m:oMath>
      <w:r>
        <w:t xml:space="preserve">, and the sampled PGA is retained with each realization so that the inversion preserves the pairing between displacement and seismic demand. The realizations of</w:t>
      </w:r>
      <w:r>
        <w:t xml:space="preserve"> </w:t>
      </w:r>
      <m:oMath>
        <m:sSub>
          <m:e>
            <m:r>
              <m:t>D</m:t>
            </m:r>
          </m:e>
          <m:sub>
            <m:r>
              <m:t>n</m:t>
            </m:r>
          </m:sub>
        </m:sSub>
      </m:oMath>
      <w:r>
        <w:t xml:space="preserve"> </w:t>
      </w:r>
      <w:r>
        <w:t xml:space="preserve">are calculated for each material class with its mean dynamic properties; the fractiles of the stiffness profiles and of</w:t>
      </w:r>
      <w:r>
        <w:t xml:space="preserve"> </w:t>
      </w:r>
      <m:oMath>
        <m:sSub>
          <m:e>
            <m:r>
              <m:t>T</m:t>
            </m:r>
          </m:e>
          <m:sub>
            <m:r>
              <m:t>s</m:t>
            </m:r>
          </m:sub>
        </m:sSub>
      </m:oMath>
      <w:r>
        <w:t xml:space="preserve"> </w:t>
      </w:r>
      <w:r>
        <w:t xml:space="preserve">are reported in Chapter</w:t>
      </w:r>
      <w:r>
        <w:t xml:space="preserve"> </w:t>
      </w:r>
      <w:hyperlink w:anchor="sec-slope_periods">
        <w:r>
          <w:rPr>
            <w:rStyle w:val="Hyperlink"/>
          </w:rPr>
          <w:t xml:space="preserve">5.1</w:t>
        </w:r>
      </w:hyperlink>
      <w:r>
        <w:t xml:space="preserve"> </w:t>
      </w:r>
      <w:r>
        <w:t xml:space="preserve">and are not propagated as additional realizations in the displacement calculation, and each material class is kept as a separate scenario through the inversion to</w:t>
      </w:r>
      <w:r>
        <w:t xml:space="preserve"> </w:t>
      </w:r>
      <m:oMath>
        <m:sSub>
          <m:e>
            <m:r>
              <m:t>k</m:t>
            </m:r>
          </m:e>
          <m:sub>
            <m:r>
              <m:rPr>
                <m:sty m:val="p"/>
              </m:rPr>
              <m:t>max</m:t>
            </m:r>
          </m:sub>
        </m:sSub>
      </m:oMath>
      <w:r>
        <w:t xml:space="preserve">, so the displacement curves are not averaged across materials before that operation.</w:t>
      </w:r>
    </w:p>
    <w:p>
      <w:pPr>
        <w:pStyle w:val="BodyText"/>
      </w:pPr>
      <w:r>
        <w:t xml:space="preserve">For each model and realization, the computed</w:t>
      </w:r>
      <w:r>
        <w:t xml:space="preserve"> </w:t>
      </w:r>
      <m:oMath>
        <m:sSub>
          <m:e>
            <m:r>
              <m:t>D</m:t>
            </m:r>
          </m:e>
          <m:sub>
            <m:r>
              <m:t>n</m:t>
            </m:r>
          </m:sub>
        </m:sSub>
        <m:r>
          <m:rPr>
            <m:sty m:val="p"/>
          </m:rPr>
          <m:t>(</m:t>
        </m:r>
        <m:sSub>
          <m:e>
            <m:r>
              <m:t>k</m:t>
            </m:r>
          </m:e>
          <m:sub>
            <m:r>
              <m:t>y</m:t>
            </m:r>
          </m:sub>
        </m:sSub>
        <m:r>
          <m:rPr>
            <m:sty m:val="p"/>
          </m:rPr>
          <m:t>)</m:t>
        </m:r>
      </m:oMath>
      <w:r>
        <w:t xml:space="preserve"> </w:t>
      </w:r>
      <w:r>
        <w:t xml:space="preserve">relation is projected onto a non-increasing curve and inverted in the</w:t>
      </w:r>
      <w:r>
        <w:t xml:space="preserve"> </w:t>
      </w:r>
      <m:oMath>
        <m:r>
          <m:rPr>
            <m:sty m:val="p"/>
          </m:rPr>
          <m:t>(</m:t>
        </m:r>
        <m:r>
          <m:rPr>
            <m:sty m:val="p"/>
          </m:rPr>
          <m:t>ln</m:t>
        </m:r>
        <m:sSub>
          <m:e>
            <m:r>
              <m:t>D</m:t>
            </m:r>
          </m:e>
          <m:sub>
            <m:r>
              <m:t>n</m:t>
            </m:r>
          </m:sub>
        </m:sSub>
        <m:r>
          <m:rPr>
            <m:sty m:val="p"/>
          </m:rPr>
          <m:t>,</m:t>
        </m:r>
        <m:r>
          <m:rPr>
            <m:sty m:val="p"/>
          </m:rPr>
          <m:t>ln</m:t>
        </m:r>
        <m:sSub>
          <m:e>
            <m:r>
              <m:t>k</m:t>
            </m:r>
          </m:e>
          <m:sub>
            <m:r>
              <m:t>y</m:t>
            </m:r>
          </m:sub>
        </m:sSub>
        <m:r>
          <m:rPr>
            <m:sty m:val="p"/>
          </m:rPr>
          <m:t>)</m:t>
        </m:r>
      </m:oMath>
      <w:r>
        <w:t xml:space="preserve"> </w:t>
      </w:r>
      <w:r>
        <w:t xml:space="preserve">plane to solve the criterion of</w:t>
      </w:r>
      <w:r>
        <w:t xml:space="preserve"> </w:t>
      </w:r>
      <w:hyperlink w:anchor="eq-kmax-criterion">
        <w:r>
          <w:rPr>
            <w:rStyle w:val="Hyperlink"/>
          </w:rPr>
          <w:t xml:space="preserve">5.13</w:t>
        </w:r>
      </w:hyperlink>
      <w:r>
        <w:t xml:space="preserve">; when</w:t>
      </w:r>
      <w:r>
        <w:t xml:space="preserve"> </w:t>
      </w:r>
      <m:oMath>
        <m:sSub>
          <m:e>
            <m:r>
              <m:t>D</m:t>
            </m:r>
          </m:e>
          <m:sub>
            <m:r>
              <m:t>a</m:t>
            </m:r>
          </m:sub>
        </m:sSub>
      </m:oMath>
      <w:r>
        <w:t xml:space="preserve"> </w:t>
      </w:r>
      <w:r>
        <w:t xml:space="preserve">falls outside the calculated range, the relation is extrapolated in that plane from the two points at the corresponding end, with the single exception of the AM88 limit treated in Appendix</w:t>
      </w:r>
      <w:r>
        <w:t xml:space="preserve"> </w:t>
      </w:r>
      <w:hyperlink w:anchor="sec-newmark-appendix">
        <w:r>
          <w:rPr>
            <w:rStyle w:val="Hyperlink"/>
          </w:rPr>
          <w:t xml:space="preserve">6.5</w:t>
        </w:r>
      </w:hyperlink>
      <w:r>
        <w:t xml:space="preserve">. The inversion is performed first for each model within each realization. The root distributions of the models are then combined with the family weights and summarized through the arithmetic mean and the empirical fractiles</w:t>
      </w:r>
      <w:r>
        <w:t xml:space="preserve"> </w:t>
      </w:r>
      <m:oMath>
        <m:r>
          <m:t>q</m:t>
        </m:r>
        <m:r>
          <m:rPr>
            <m:sty m:val="p"/>
          </m:rPr>
          <m:t>=</m:t>
        </m:r>
        <m:r>
          <m:t>0.05</m:t>
        </m:r>
      </m:oMath>
      <w:r>
        <w:t xml:space="preserve">, 0.10, 0.16, 0.50, 0.84, 0.90, and 0.95</w:t>
      </w:r>
      <w:r>
        <w:t xml:space="preserve"> </w:t>
      </w:r>
      <w:r>
        <w:t xml:space="preserve">(</w:t>
      </w:r>
      <w:hyperlink w:anchor="ref-VerriKozlowski2026Newmark">
        <w:r>
          <w:rPr>
            <w:rStyle w:val="Hyperlink"/>
          </w:rPr>
          <w:t xml:space="preserve">Verri Kozlowski, 2026a</w:t>
        </w:r>
      </w:hyperlink>
      <w:r>
        <w:t xml:space="preserve">)</w:t>
      </w:r>
      <w:r>
        <w:t xml:space="preserve">. Because of the decreasing relation between</w:t>
      </w:r>
      <w:r>
        <w:t xml:space="preserve"> </w:t>
      </w:r>
      <m:oMath>
        <m:sSub>
          <m:e>
            <m:r>
              <m:t>D</m:t>
            </m:r>
          </m:e>
          <m:sub>
            <m:r>
              <m:t>n</m:t>
            </m:r>
          </m:sub>
        </m:sSub>
      </m:oMath>
      <w:r>
        <w:t xml:space="preserve"> </w:t>
      </w:r>
      <w:r>
        <w:t xml:space="preserve">and</w:t>
      </w:r>
      <w:r>
        <w:t xml:space="preserve"> </w:t>
      </w:r>
      <m:oMath>
        <m:sSub>
          <m:e>
            <m:r>
              <m:t>k</m:t>
            </m:r>
          </m:e>
          <m:sub>
            <m:r>
              <m:t>y</m:t>
            </m:r>
          </m:sub>
        </m:sSub>
      </m:oMath>
      <w:r>
        <w:t xml:space="preserve">, the fractile associated with the exceedance target satisfies expression</w:t>
      </w:r>
      <w:r>
        <w:t xml:space="preserve"> </w:t>
      </w:r>
      <w:hyperlink w:anchor="eq-kmax-fractile">
        <w:r>
          <w:rPr>
            <w:rStyle w:val="Hyperlink"/>
          </w:rPr>
          <w:t xml:space="preserve">5.15</w:t>
        </w:r>
      </w:hyperlink>
      <w:r>
        <w:t xml:space="preserve">, where</w:t>
      </w:r>
      <w:r>
        <w:t xml:space="preserve"> </w:t>
      </w:r>
      <m:oMath>
        <m:r>
          <m:t>q</m:t>
        </m:r>
        <m:r>
          <m:rPr>
            <m:sty m:val="p"/>
          </m:rPr>
          <m:t>=</m:t>
        </m:r>
        <m:r>
          <m:t>0.84</m:t>
        </m:r>
      </m:oMath>
      <w:r>
        <w:t xml:space="preserve"> </w:t>
      </w:r>
      <w:r>
        <w:t xml:space="preserve">corresponds to an exceedance probability of</w:t>
      </w:r>
      <w:r>
        <w:t xml:space="preserve"> </w:t>
      </w:r>
      <m:oMath>
        <m:sSub>
          <m:e>
            <m:r>
              <m:t>p</m:t>
            </m:r>
          </m:e>
          <m:sub>
            <m:r>
              <m:t>e</m:t>
            </m:r>
          </m:sub>
        </m:sSub>
        <m:r>
          <m:rPr>
            <m:sty m:val="p"/>
          </m:rPr>
          <m:t>=</m:t>
        </m:r>
        <m:r>
          <m:t>16</m:t>
        </m:r>
        <m:r>
          <m:rPr>
            <m:sty m:val="p"/>
          </m:rPr>
          <m:t>%</m:t>
        </m:r>
      </m:oMath>
      <w:r>
        <w:t xml:space="preserve">.</w:t>
      </w:r>
    </w:p>
    <w:p>
      <w:pPr>
        <w:pStyle w:val="Equation"/>
      </w:pPr>
      <w:bookmarkStart w:id="134" w:name="eq-kmax-fractile"/>
      <w:r>
        <w:tab/>
      </w:r>
      <m:oMath>
        <m:r>
          <m:t>q</m:t>
        </m:r>
        <m:r>
          <m:rPr>
            <m:sty m:val="p"/>
          </m:rPr>
          <m:t>=</m:t>
        </m:r>
        <m:r>
          <m:t>1</m:t>
        </m:r>
        <m:r>
          <m:rPr>
            <m:sty m:val="p"/>
          </m:rPr>
          <m:t>−</m:t>
        </m:r>
        <m:sSub>
          <m:e>
            <m:r>
              <m:t>p</m:t>
            </m:r>
          </m:e>
          <m:sub>
            <m:r>
              <m:t>e</m:t>
            </m:r>
          </m:sub>
        </m:sSub>
      </m:oMath>
      <w:r>
        <w:tab/>
      </w:r>
      <w:r>
        <w:t xml:space="preserve">(5.15)</w:t>
      </w:r>
      <w:bookmarkEnd w:id="134"/>
    </w:p>
    <w:p>
      <w:pPr>
        <w:pStyle w:val="BodyText"/>
      </w:pPr>
      <w:r>
        <w:t xml:space="preserve">The</w:t>
      </w:r>
      <w:r>
        <w:t xml:space="preserve"> </w:t>
      </w:r>
      <m:oMath>
        <m:r>
          <m:t>q</m:t>
        </m:r>
      </m:oMath>
      <w:r>
        <w:t xml:space="preserve"> </w:t>
      </w:r>
      <w:r>
        <w:t xml:space="preserve">fractiles are therefore the statistics associated with the criterion expressed through</w:t>
      </w:r>
      <w:r>
        <w:t xml:space="preserve"> </w:t>
      </w:r>
      <m:oMath>
        <m:sSub>
          <m:e>
            <m:r>
              <m:t>p</m:t>
            </m:r>
          </m:e>
          <m:sub>
            <m:r>
              <m:t>e</m:t>
            </m:r>
          </m:sub>
        </m:sSub>
      </m:oMath>
      <w:r>
        <w:t xml:space="preserve">; the arithmetic mean summarizes the center of the simulated distribution and does not represent a target probability. The evaluation uses 300 realizations for each demand – the probabilistic spectrum of each return period</w:t>
      </w:r>
      <w:r>
        <w:t xml:space="preserve"> </w:t>
      </w:r>
      <m:oMath>
        <m:sSub>
          <m:e>
            <m:r>
              <m:t>T</m:t>
            </m:r>
          </m:e>
          <m:sub>
            <m:r>
              <m:t>R</m:t>
            </m:r>
          </m:sub>
        </m:sSub>
      </m:oMath>
      <w:r>
        <w:t xml:space="preserve"> </w:t>
      </w:r>
      <w:r>
        <w:t xml:space="preserve">= 100, 200, 500, 1,000, 2,000, 2,500, 5,000, 10,000 years and the MCE – and a grid of allowable displacements</w:t>
      </w:r>
      <w:r>
        <w:t xml:space="preserve"> </w:t>
      </w:r>
      <m:oMath>
        <m:sSub>
          <m:e>
            <m:r>
              <m:t>D</m:t>
            </m:r>
          </m:e>
          <m:sub>
            <m:r>
              <m:t>a</m:t>
            </m:r>
          </m:sub>
        </m:sSub>
      </m:oMath>
      <w:r>
        <w:t xml:space="preserve"> </w:t>
      </w:r>
      <w:r>
        <w:t xml:space="preserve">ranging from 1.35 to 337.50 cm. This grid contains, for every slope height, the damage thresholds</w:t>
      </w:r>
      <w:r>
        <w:t xml:space="preserve"> </w:t>
      </w:r>
      <m:oMath>
        <m:sSub>
          <m:e>
            <m:r>
              <m:t>D</m:t>
            </m:r>
          </m:e>
          <m:sub>
            <m:r>
              <m:t>a</m:t>
            </m:r>
          </m:sub>
        </m:sSub>
        <m:r>
          <m:rPr>
            <m:sty m:val="p"/>
          </m:rPr>
          <m:t>/</m:t>
        </m:r>
        <m:r>
          <m:t>H</m:t>
        </m:r>
      </m:oMath>
      <w:r>
        <w:t xml:space="preserve"> </w:t>
      </w:r>
      <w:r>
        <w:t xml:space="preserve">= 0.1, 0.4, 1.0, 2.5% of Chapter</w:t>
      </w:r>
      <w:r>
        <w:t xml:space="preserve"> </w:t>
      </w:r>
      <w:hyperlink w:anchor="sec-criteria">
        <w:r>
          <w:rPr>
            <w:rStyle w:val="Hyperlink"/>
          </w:rPr>
          <w:t xml:space="preserve">4.2</w:t>
        </w:r>
      </w:hyperlink>
      <w:r>
        <w:t xml:space="preserve">, at which the coefficient tables are reported and which the coefficient figures shade; values of</w:t>
      </w:r>
      <w:r>
        <w:t xml:space="preserve"> </w:t>
      </w:r>
      <m:oMath>
        <m:sSub>
          <m:e>
            <m:r>
              <m:t>D</m:t>
            </m:r>
          </m:e>
          <m:sub>
            <m:r>
              <m:t>a</m:t>
            </m:r>
          </m:sub>
        </m:sSub>
      </m:oMath>
      <w:r>
        <w:t xml:space="preserve"> </w:t>
      </w:r>
      <w:r>
        <w:t xml:space="preserve">that exceed the calculated range of a realization are obtained through the logarithmic extrapolation defined above.</w:t>
      </w:r>
    </w:p>
    <w:p>
      <w:pPr>
        <w:pStyle w:val="BodyText"/>
      </w:pPr>
      <w:r>
        <w:t xml:space="preserve">The Newmark displacements were computed with the</w:t>
      </w:r>
      <w:r>
        <w:t xml:space="preserve"> </w:t>
      </w:r>
      <w:r>
        <w:rPr>
          <w:rStyle w:val="VerbatimChar"/>
        </w:rPr>
        <w:t xml:space="preserve">ensemble</w:t>
      </w:r>
      <w:r>
        <w:t xml:space="preserve"> </w:t>
      </w:r>
      <w:r>
        <w:t xml:space="preserve">set of five formulations:</w:t>
      </w:r>
      <w:r>
        <w:t xml:space="preserve"> </w:t>
      </w:r>
      <w:r>
        <w:rPr>
          <w:rStyle w:val="VerbatimChar"/>
        </w:rPr>
        <w:t xml:space="preserve">AM88</w:t>
      </w:r>
      <w:r>
        <w:t xml:space="preserve">,</w:t>
      </w:r>
      <w:r>
        <w:t xml:space="preserve"> </w:t>
      </w:r>
      <w:r>
        <w:rPr>
          <w:rStyle w:val="VerbatimChar"/>
        </w:rPr>
        <w:t xml:space="preserve">JB07</w:t>
      </w:r>
      <w:r>
        <w:t xml:space="preserve">, and</w:t>
      </w:r>
      <w:r>
        <w:t xml:space="preserve"> </w:t>
      </w:r>
      <w:r>
        <w:rPr>
          <w:rStyle w:val="VerbatimChar"/>
        </w:rPr>
        <w:t xml:space="preserve">SR08</w:t>
      </w:r>
      <w:r>
        <w:t xml:space="preserve"> </w:t>
      </w:r>
      <w:r>
        <w:t xml:space="preserve">for the rigid block, and</w:t>
      </w:r>
      <w:r>
        <w:t xml:space="preserve"> </w:t>
      </w:r>
      <w:r>
        <w:rPr>
          <w:rStyle w:val="VerbatimChar"/>
        </w:rPr>
        <w:t xml:space="preserve">BT07</w:t>
      </w:r>
      <w:r>
        <w:t xml:space="preserve"> </w:t>
      </w:r>
      <w:r>
        <w:t xml:space="preserve">and</w:t>
      </w:r>
      <w:r>
        <w:t xml:space="preserve"> </w:t>
      </w:r>
      <w:r>
        <w:rPr>
          <w:rStyle w:val="VerbatimChar"/>
        </w:rPr>
        <w:t xml:space="preserve">BM19</w:t>
      </w:r>
      <w:r>
        <w:t xml:space="preserve"> </w:t>
      </w:r>
      <w:r>
        <w:t xml:space="preserve">for the flexible block,</w:t>
      </w:r>
      <w:r>
        <w:t xml:space="preserve"> </w:t>
      </w:r>
      <w:r>
        <w:rPr>
          <w:rStyle w:val="VerbatimChar"/>
        </w:rPr>
        <w:t xml:space="preserve">BM19</w:t>
      </w:r>
      <w:r>
        <w:t xml:space="preserve"> </w:t>
      </w:r>
      <w:r>
        <w:t xml:space="preserve">being the branch for projects with crustal control, with equal weights. Every formulation received the reference magnitude assigned to each seismic demand and the demand of each of the 8 return periods, 100, 200, 500, 1,000, 2,000, 2,500, 5,000, and 10,000 years, and of the MCE, with 300 realizations per demand, over the 5 slope heights from 27 to 135 m, the 8 material classes, and the relative displacement grid</w:t>
      </w:r>
      <w:r>
        <w:t xml:space="preserve"> </w:t>
      </w:r>
      <m:oMath>
        <m:sSub>
          <m:e>
            <m:r>
              <m:t>D</m:t>
            </m:r>
          </m:e>
          <m:sub>
            <m:r>
              <m:t>a</m:t>
            </m:r>
          </m:sub>
        </m:sSub>
        <m:r>
          <m:rPr>
            <m:sty m:val="p"/>
          </m:rPr>
          <m:t>/</m:t>
        </m:r>
        <m:sSub>
          <m:e>
            <m:r>
              <m:t>H</m:t>
            </m:r>
          </m:e>
          <m:sub>
            <m:r>
              <m:t>s</m:t>
            </m:r>
          </m:sub>
        </m:sSub>
      </m:oMath>
      <w:r>
        <w:t xml:space="preserve"> </w:t>
      </w:r>
      <w:r>
        <w:t xml:space="preserve">= 0.05, 0.10, 0.25, 0.40, 0.50, 1.00, and 2.50 %.</w:t>
      </w:r>
    </w:p>
    <w:p>
      <w:pPr>
        <w:pStyle w:val="BodyText"/>
      </w:pPr>
      <w:r>
        <w:t xml:space="preserve">The reference magnitudes assigned to the seismic demands were</w:t>
      </w:r>
      <w:r>
        <w:t xml:space="preserve"> </w:t>
      </w:r>
      <m:oMath>
        <m:sSub>
          <m:e>
            <m:r>
              <m:t>M</m:t>
            </m:r>
          </m:e>
          <m:sub>
            <m:r>
              <m:t>w</m:t>
            </m:r>
          </m:sub>
        </m:sSub>
      </m:oMath>
      <w:r>
        <w:t xml:space="preserve"> </w:t>
      </w:r>
      <w:r>
        <w:t xml:space="preserve">= 5.5 for</w:t>
      </w:r>
      <w:r>
        <w:t xml:space="preserve"> </w:t>
      </w:r>
      <m:oMath>
        <m:sSub>
          <m:e>
            <m:r>
              <m:t>T</m:t>
            </m:r>
          </m:e>
          <m:sub>
            <m:r>
              <m:t>R</m:t>
            </m:r>
          </m:sub>
        </m:sSub>
      </m:oMath>
      <w:r>
        <w:t xml:space="preserve"> </w:t>
      </w:r>
      <w:r>
        <w:t xml:space="preserve">= 100, 200, 500, 1,000, 2,000, and 2,500 years;</w:t>
      </w:r>
      <w:r>
        <w:t xml:space="preserve"> </w:t>
      </w:r>
      <m:oMath>
        <m:sSub>
          <m:e>
            <m:r>
              <m:t>M</m:t>
            </m:r>
          </m:e>
          <m:sub>
            <m:r>
              <m:t>w</m:t>
            </m:r>
          </m:sub>
        </m:sSub>
      </m:oMath>
      <w:r>
        <w:t xml:space="preserve"> </w:t>
      </w:r>
      <w:r>
        <w:t xml:space="preserve">= 6.5 for</w:t>
      </w:r>
      <w:r>
        <w:t xml:space="preserve"> </w:t>
      </w:r>
      <m:oMath>
        <m:sSub>
          <m:e>
            <m:r>
              <m:t>T</m:t>
            </m:r>
          </m:e>
          <m:sub>
            <m:r>
              <m:t>R</m:t>
            </m:r>
          </m:sub>
        </m:sSub>
      </m:oMath>
      <w:r>
        <w:t xml:space="preserve"> </w:t>
      </w:r>
      <w:r>
        <w:t xml:space="preserve">= 5,000 and 10,000 years and the MCE. Within each demand, the same magnitude was used for the geometry–material combinations.</w:t>
      </w:r>
    </w:p>
    <w:p>
      <w:pPr>
        <w:pStyle w:val="BodyText"/>
      </w:pPr>
      <w:r>
        <w:t xml:space="preserve">The Newmark displacement curves are developed in the</w:t>
      </w:r>
      <w:r>
        <w:t xml:space="preserve"> </w:t>
      </w:r>
      <w:hyperlink r:id="rId12">
        <w:r>
          <w:rPr>
            <w:rStyle w:val="Hyperlink"/>
          </w:rPr>
          <w:t xml:space="preserve">Ground-Motion Design Parameters</w:t>
        </w:r>
      </w:hyperlink>
      <w:r>
        <w:t xml:space="preserve"> </w:t>
      </w:r>
      <w:r>
        <w:t xml:space="preserve">annex.</w:t>
      </w:r>
    </w:p>
    <w:p>
      <w:pPr>
        <w:pStyle w:val="BodyText"/>
      </w:pPr>
      <w:r>
        <w:t xml:space="preserve">The seismic coefficients</w:t>
      </w:r>
      <w:r>
        <w:t xml:space="preserve"> </w:t>
      </w:r>
      <m:oMath>
        <m:sSub>
          <m:e>
            <m:r>
              <m:t>k</m:t>
            </m:r>
          </m:e>
          <m:sub>
            <m:r>
              <m:t>m</m:t>
            </m:r>
            <m:r>
              <m:t>a</m:t>
            </m:r>
            <m:r>
              <m:t>x</m:t>
            </m:r>
          </m:sub>
        </m:sSub>
      </m:oMath>
      <w:r>
        <w:t xml:space="preserve"> </w:t>
      </w:r>
      <w:r>
        <w:t xml:space="preserve">and</w:t>
      </w:r>
      <w:r>
        <w:t xml:space="preserve"> </w:t>
      </w:r>
      <m:oMath>
        <m:sSub>
          <m:e>
            <m:r>
              <m:t>k</m:t>
            </m:r>
          </m:e>
          <m:sub>
            <m:r>
              <m:t>h</m:t>
            </m:r>
          </m:sub>
        </m:sSub>
      </m:oMath>
      <w:r>
        <w:t xml:space="preserve"> </w:t>
      </w:r>
      <w:r>
        <w:t xml:space="preserve">are developed in the</w:t>
      </w:r>
      <w:r>
        <w:t xml:space="preserve"> </w:t>
      </w:r>
      <w:hyperlink r:id="rId12">
        <w:r>
          <w:rPr>
            <w:rStyle w:val="Hyperlink"/>
          </w:rPr>
          <w:t xml:space="preserve">Ground-Motion Design Parameters</w:t>
        </w:r>
      </w:hyperlink>
      <w:r>
        <w:t xml:space="preserve"> </w:t>
      </w:r>
      <w:r>
        <w:t xml:space="preserve">annex.</w:t>
      </w:r>
    </w:p>
    <w:p>
      <w:pPr>
        <w:pStyle w:val="BodyText"/>
      </w:pPr>
      <w:r>
        <w:t xml:space="preserve"> </w:t>
      </w:r>
    </w:p>
    <w:bookmarkStart w:id="135" w:name="tbl-kh-sites"/>
    <w:p>
      <w:pPr>
        <w:pStyle w:val="ImageCaption"/>
        <w:spacing w:before="200"/>
        <w:jc w:val="left"/>
      </w:pPr>
      <w:r>
        <w:t xml:space="preserve">Table 5.4: MCE seismic coefficients</w:t>
      </w:r>
      <w:r>
        <w:t xml:space="preserve"> </w:t>
      </w:r>
      <m:oMath>
        <m:sSub>
          <m:e>
            <m:r>
              <m:t>k</m:t>
            </m:r>
          </m:e>
          <m:sub>
            <m:r>
              <m:t>h</m:t>
            </m:r>
          </m:sub>
        </m:sSub>
      </m:oMath>
      <w:r>
        <w:t xml:space="preserve"> </w:t>
      </w:r>
      <w:r>
        <w:t xml:space="preserve">[% of PGA] from the ensemble model. Each cell reports the minimum–maximum range across the material scenarios, from their mean estimates. The range describes variation between materials; it is not a confidence interval or a simulation fractile.</w:t>
      </w:r>
      <w:r>
        <w:t xml:space="preserve"> </w:t>
      </w:r>
      <w:r>
        <w:rPr>
          <w:rStyle w:val="VerbatimChar"/>
        </w:rPr>
        <w:t xml:space="preserve">siteID</w:t>
      </w:r>
      <w:r>
        <w:t xml:space="preserve"> </w:t>
      </w:r>
      <w:r>
        <w:t xml:space="preserve">identifies the site and</w:t>
      </w:r>
      <w:r>
        <w:t xml:space="preserve"> </w:t>
      </w:r>
      <m:oMath>
        <m:sSub>
          <m:e>
            <m:r>
              <m:t>H</m:t>
            </m:r>
          </m:e>
          <m:sub>
            <m:r>
              <m:t>s</m:t>
            </m:r>
          </m:sub>
        </m:sSub>
      </m:oMath>
      <w:r>
        <w:t xml:space="preserve"> </w:t>
      </w:r>
      <w:r>
        <w:t xml:space="preserve">the slope height, in m. The remaining column headings are the relative displacement limits</w:t>
      </w:r>
      <w:r>
        <w:t xml:space="preserve"> </w:t>
      </w:r>
      <m:oMath>
        <m:sSub>
          <m:e>
            <m:r>
              <m:t>D</m:t>
            </m:r>
          </m:e>
          <m:sub>
            <m:r>
              <m:t>a</m:t>
            </m:r>
          </m:sub>
        </m:sSub>
        <m:r>
          <m:rPr>
            <m:sty m:val="p"/>
          </m:rPr>
          <m:t>/</m:t>
        </m:r>
        <m:sSub>
          <m:e>
            <m:r>
              <m:t>H</m:t>
            </m:r>
          </m:e>
          <m:sub>
            <m:r>
              <m:t>s</m:t>
            </m:r>
          </m:sub>
        </m:sSub>
      </m:oMath>
      <w:r>
        <w:t xml:space="preserve"> </w:t>
      </w:r>
      <w:r>
        <w:t xml:space="preserve">[%]. The column colors match the performance bands in the figures.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siteID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H</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33.6–42.0</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19.2–23.8</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11.8–14.7</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6.4–8.0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31.5–38.9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18.2–22.0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11.4–13.4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30.6–38.1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17.4–21.2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10.6–12.9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5.8–6.9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25.7–29.5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14.0–16.2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8.1–9.6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4.2–5.1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CFD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16.3–17.5</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7.7–8.4</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4.1–4.5</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2.2–2.4</w:t>
            </w:r>
          </w:p>
        </w:tc>
      </w:tr>
    </w:tbl>
    <w:bookmarkEnd w:id="135"/>
    <w:p/>
    <w:p>
      <w:pPr>
        <w:pStyle w:val="BodyText"/>
      </w:pPr>
      <w:r>
        <w:t xml:space="preserve"> </w:t>
      </w:r>
    </w:p>
    <w:bookmarkEnd w:id="136"/>
    <w:bookmarkEnd w:id="137"/>
    <w:bookmarkStart w:id="274" w:name="references"/>
    <w:p>
      <w:pPr>
        <w:pStyle w:val="Heading1"/>
      </w:pPr>
      <w:r>
        <w:t xml:space="preserve">References</w:t>
      </w:r>
    </w:p>
    <w:bookmarkStart w:id="273" w:name="refs"/>
    <w:bookmarkStart w:id="139" w:name="ref-AbrahamsonGulerce2022"/>
    <w:p>
      <w:pPr>
        <w:pStyle w:val="Bibliography"/>
      </w:pPr>
      <w:r>
        <w:t xml:space="preserve">Abrahamson, N. A., &amp; Gulerce, Z. (2022). Summary of the</w:t>
      </w:r>
      <w:r>
        <w:t xml:space="preserve"> </w:t>
      </w:r>
      <w:r>
        <w:t xml:space="preserve">Abrahamson</w:t>
      </w:r>
      <w:r>
        <w:t xml:space="preserve"> </w:t>
      </w:r>
      <w:r>
        <w:t xml:space="preserve">and</w:t>
      </w:r>
      <w:r>
        <w:t xml:space="preserve"> </w:t>
      </w:r>
      <w:r>
        <w:t xml:space="preserve">Gulerce</w:t>
      </w:r>
      <w:r>
        <w:t xml:space="preserve"> </w:t>
      </w:r>
      <w:r>
        <w:t xml:space="preserve">NGA-SUB</w:t>
      </w:r>
      <w:r>
        <w:t xml:space="preserve"> </w:t>
      </w:r>
      <w:r>
        <w:t xml:space="preserve">Ground-Motion</w:t>
      </w:r>
      <w:r>
        <w:t xml:space="preserve"> </w:t>
      </w:r>
      <w:r>
        <w:t xml:space="preserve">Model</w:t>
      </w:r>
      <w:r>
        <w:t xml:space="preserve"> </w:t>
      </w:r>
      <w:r>
        <w:t xml:space="preserve">for</w:t>
      </w:r>
      <w:r>
        <w:t xml:space="preserve"> </w:t>
      </w:r>
      <w:r>
        <w:t xml:space="preserve">Subduction</w:t>
      </w:r>
      <w:r>
        <w:t xml:space="preserve"> </w:t>
      </w:r>
      <w:r>
        <w:t xml:space="preserve">Earthquakes</w:t>
      </w:r>
      <w:r>
        <w:t xml:space="preserve">.</w:t>
      </w:r>
      <w:r>
        <w:t xml:space="preserve"> </w:t>
      </w:r>
      <w:r>
        <w:rPr>
          <w:i/>
          <w:iCs/>
        </w:rPr>
        <w:t xml:space="preserve">Earthquake Spectra</w:t>
      </w:r>
      <w:r>
        <w:t xml:space="preserve">,</w:t>
      </w:r>
      <w:r>
        <w:t xml:space="preserve"> </w:t>
      </w:r>
      <w:r>
        <w:rPr>
          <w:i/>
          <w:iCs/>
        </w:rPr>
        <w:t xml:space="preserve">38</w:t>
      </w:r>
      <w:r>
        <w:t xml:space="preserve">(2), 1207–1231.</w:t>
      </w:r>
      <w:r>
        <w:t xml:space="preserve"> </w:t>
      </w:r>
      <w:hyperlink r:id="rId138">
        <w:r>
          <w:rPr>
            <w:rStyle w:val="Hyperlink"/>
          </w:rPr>
          <w:t xml:space="preserve">https://doi.org/10.1177/87552930221114374</w:t>
        </w:r>
      </w:hyperlink>
    </w:p>
    <w:bookmarkEnd w:id="139"/>
    <w:bookmarkStart w:id="141" w:name="ref-AbrahamsonEtAl2018"/>
    <w:p>
      <w:pPr>
        <w:pStyle w:val="Bibliography"/>
      </w:pPr>
      <w:r>
        <w:t xml:space="preserve">Abrahamson, N. A., Kuehn, N., Gulerce, Z., Gregor, N., Bozorgnia, Y., Parker, G., Stewart, J., Boore, D., Campbell, K., Chiou, B., Idriss, I. M., Youngs, R., &amp; Atkinson, G. (2018).</w:t>
      </w:r>
      <w:r>
        <w:t xml:space="preserve"> </w:t>
      </w:r>
      <w:r>
        <w:rPr>
          <w:i/>
          <w:iCs/>
        </w:rPr>
        <w:t xml:space="preserve">Update of the</w:t>
      </w:r>
      <w:r>
        <w:rPr>
          <w:i/>
          <w:iCs/>
        </w:rPr>
        <w:t xml:space="preserve"> </w:t>
      </w:r>
      <w:r>
        <w:rPr>
          <w:i/>
          <w:iCs/>
        </w:rPr>
        <w:t xml:space="preserve">BC Hydro</w:t>
      </w:r>
      <w:r>
        <w:rPr>
          <w:i/>
          <w:iCs/>
        </w:rPr>
        <w:t xml:space="preserve"> </w:t>
      </w:r>
      <w:r>
        <w:rPr>
          <w:i/>
          <w:iCs/>
        </w:rPr>
        <w:t xml:space="preserve">Subduction</w:t>
      </w:r>
      <w:r>
        <w:rPr>
          <w:i/>
          <w:iCs/>
        </w:rPr>
        <w:t xml:space="preserve"> </w:t>
      </w:r>
      <w:r>
        <w:rPr>
          <w:i/>
          <w:iCs/>
        </w:rPr>
        <w:t xml:space="preserve">Ground-Motion</w:t>
      </w:r>
      <w:r>
        <w:rPr>
          <w:i/>
          <w:iCs/>
        </w:rPr>
        <w:t xml:space="preserve"> </w:t>
      </w:r>
      <w:r>
        <w:rPr>
          <w:i/>
          <w:iCs/>
        </w:rPr>
        <w:t xml:space="preserve">Model</w:t>
      </w:r>
      <w:r>
        <w:rPr>
          <w:i/>
          <w:iCs/>
        </w:rPr>
        <w:t xml:space="preserve"> </w:t>
      </w:r>
      <w:r>
        <w:rPr>
          <w:i/>
          <w:iCs/>
        </w:rPr>
        <w:t xml:space="preserve">using the</w:t>
      </w:r>
      <w:r>
        <w:rPr>
          <w:i/>
          <w:iCs/>
        </w:rPr>
        <w:t xml:space="preserve"> </w:t>
      </w:r>
      <w:r>
        <w:rPr>
          <w:i/>
          <w:iCs/>
        </w:rPr>
        <w:t xml:space="preserve">NGA-Subduction</w:t>
      </w:r>
      <w:r>
        <w:rPr>
          <w:i/>
          <w:iCs/>
        </w:rPr>
        <w:t xml:space="preserve"> </w:t>
      </w:r>
      <w:r>
        <w:rPr>
          <w:i/>
          <w:iCs/>
        </w:rPr>
        <w:t xml:space="preserve">Dataset</w:t>
      </w:r>
      <w:r>
        <w:t xml:space="preserve"> </w:t>
      </w:r>
      <w:r>
        <w:t xml:space="preserve">(No. 2018/02). Pacific Earthquake Engineering Research Center.</w:t>
      </w:r>
      <w:r>
        <w:t xml:space="preserve"> </w:t>
      </w:r>
      <w:hyperlink r:id="rId140">
        <w:r>
          <w:rPr>
            <w:rStyle w:val="Hyperlink"/>
          </w:rPr>
          <w:t xml:space="preserve">https://peer.berkeley.edu/publications/2018-02</w:t>
        </w:r>
      </w:hyperlink>
    </w:p>
    <w:bookmarkEnd w:id="141"/>
    <w:bookmarkStart w:id="143" w:name="ref-AbrahamsonEtAl2016"/>
    <w:p>
      <w:pPr>
        <w:pStyle w:val="Bibliography"/>
      </w:pPr>
      <w:r>
        <w:t xml:space="preserve">Abrahamson, N., Gregor, N., &amp; Addo, K. (2016).</w:t>
      </w:r>
      <w:r>
        <w:t xml:space="preserve"> </w:t>
      </w:r>
      <w:r>
        <w:t xml:space="preserve">BC Hydro</w:t>
      </w:r>
      <w:r>
        <w:t xml:space="preserve"> </w:t>
      </w:r>
      <w:r>
        <w:t xml:space="preserve">Ground</w:t>
      </w:r>
      <w:r>
        <w:t xml:space="preserve"> </w:t>
      </w:r>
      <w:r>
        <w:t xml:space="preserve">Motion</w:t>
      </w:r>
      <w:r>
        <w:t xml:space="preserve"> </w:t>
      </w:r>
      <w:r>
        <w:t xml:space="preserve">Prediction</w:t>
      </w:r>
      <w:r>
        <w:t xml:space="preserve"> </w:t>
      </w:r>
      <w:r>
        <w:t xml:space="preserve">Equations</w:t>
      </w:r>
      <w:r>
        <w:t xml:space="preserve"> </w:t>
      </w:r>
      <w:r>
        <w:t xml:space="preserve">for</w:t>
      </w:r>
      <w:r>
        <w:t xml:space="preserve"> </w:t>
      </w:r>
      <w:r>
        <w:t xml:space="preserve">Subduction</w:t>
      </w:r>
      <w:r>
        <w:t xml:space="preserve"> </w:t>
      </w:r>
      <w:r>
        <w:t xml:space="preserve">Earthquakes</w:t>
      </w:r>
      <w:r>
        <w:t xml:space="preserve">.</w:t>
      </w:r>
      <w:r>
        <w:t xml:space="preserve"> </w:t>
      </w:r>
      <w:r>
        <w:rPr>
          <w:i/>
          <w:iCs/>
        </w:rPr>
        <w:t xml:space="preserve">Earthquake Spectra</w:t>
      </w:r>
      <w:r>
        <w:t xml:space="preserve">,</w:t>
      </w:r>
      <w:r>
        <w:t xml:space="preserve"> </w:t>
      </w:r>
      <w:r>
        <w:rPr>
          <w:i/>
          <w:iCs/>
        </w:rPr>
        <w:t xml:space="preserve">32</w:t>
      </w:r>
      <w:r>
        <w:t xml:space="preserve">(1), 23–44.</w:t>
      </w:r>
      <w:r>
        <w:t xml:space="preserve"> </w:t>
      </w:r>
      <w:hyperlink r:id="rId142">
        <w:r>
          <w:rPr>
            <w:rStyle w:val="Hyperlink"/>
          </w:rPr>
          <w:t xml:space="preserve">https://doi.org/10.1193/051712EQS188MR</w:t>
        </w:r>
      </w:hyperlink>
    </w:p>
    <w:bookmarkEnd w:id="143"/>
    <w:bookmarkStart w:id="144" w:name="ref-Aliberti2019"/>
    <w:p>
      <w:pPr>
        <w:pStyle w:val="Bibliography"/>
      </w:pPr>
      <w:r>
        <w:t xml:space="preserve">Aliberti, D., Biondi, G., Cascone, E., &amp; Rampello, S. (2019). Performance</w:t>
      </w:r>
      <w:r>
        <w:t xml:space="preserve"> </w:t>
      </w:r>
      <w:r>
        <w:t xml:space="preserve">Indexes</w:t>
      </w:r>
      <w:r>
        <w:t xml:space="preserve"> </w:t>
      </w:r>
      <w:r>
        <w:t xml:space="preserve">for</w:t>
      </w:r>
      <w:r>
        <w:t xml:space="preserve"> </w:t>
      </w:r>
      <w:r>
        <w:t xml:space="preserve">Seismic</w:t>
      </w:r>
      <w:r>
        <w:t xml:space="preserve"> </w:t>
      </w:r>
      <w:r>
        <w:t xml:space="preserve">Analyses</w:t>
      </w:r>
      <w:r>
        <w:t xml:space="preserve"> </w:t>
      </w:r>
      <w:r>
        <w:t xml:space="preserve">of</w:t>
      </w:r>
      <w:r>
        <w:t xml:space="preserve"> </w:t>
      </w:r>
      <w:r>
        <w:t xml:space="preserve">Earth</w:t>
      </w:r>
      <w:r>
        <w:t xml:space="preserve"> </w:t>
      </w:r>
      <w:r>
        <w:t xml:space="preserve">Dams</w:t>
      </w:r>
      <w:r>
        <w:t xml:space="preserve">. In F. Silvestri &amp; N. Moraci (Eds.),</w:t>
      </w:r>
      <w:r>
        <w:t xml:space="preserve"> </w:t>
      </w:r>
      <w:r>
        <w:rPr>
          <w:i/>
          <w:iCs/>
        </w:rPr>
        <w:t xml:space="preserve">Earthquake geotechnical engineering for protection and development of environment and constructions</w:t>
      </w:r>
      <w:r>
        <w:t xml:space="preserve"> </w:t>
      </w:r>
      <w:r>
        <w:t xml:space="preserve">(pp. 1066–1073). Associazione Geotecnica Italiana.</w:t>
      </w:r>
    </w:p>
    <w:bookmarkEnd w:id="144"/>
    <w:bookmarkStart w:id="146" w:name="ref-AmbraseysMenu1988"/>
    <w:p>
      <w:pPr>
        <w:pStyle w:val="Bibliography"/>
      </w:pPr>
      <w:r>
        <w:t xml:space="preserve">Ambraseys, N. N., &amp; Menu, J. M. (1988). Earthquake-induced</w:t>
      </w:r>
      <w:r>
        <w:t xml:space="preserve"> </w:t>
      </w:r>
      <w:r>
        <w:t xml:space="preserve">Ground</w:t>
      </w:r>
      <w:r>
        <w:t xml:space="preserve"> </w:t>
      </w:r>
      <w:r>
        <w:t xml:space="preserve">Displacements</w:t>
      </w:r>
      <w:r>
        <w:t xml:space="preserve">.</w:t>
      </w:r>
      <w:r>
        <w:t xml:space="preserve"> </w:t>
      </w:r>
      <w:r>
        <w:rPr>
          <w:i/>
          <w:iCs/>
        </w:rPr>
        <w:t xml:space="preserve">Earthquake Engineering &amp; Structural Dynamics</w:t>
      </w:r>
      <w:r>
        <w:t xml:space="preserve">,</w:t>
      </w:r>
      <w:r>
        <w:t xml:space="preserve"> </w:t>
      </w:r>
      <w:r>
        <w:rPr>
          <w:i/>
          <w:iCs/>
        </w:rPr>
        <w:t xml:space="preserve">16</w:t>
      </w:r>
      <w:r>
        <w:t xml:space="preserve">(7), 985–1006.</w:t>
      </w:r>
      <w:r>
        <w:t xml:space="preserve"> </w:t>
      </w:r>
      <w:hyperlink r:id="rId145">
        <w:r>
          <w:rPr>
            <w:rStyle w:val="Hyperlink"/>
          </w:rPr>
          <w:t xml:space="preserve">https://doi.org/10.1002/eqe.4290160704</w:t>
        </w:r>
      </w:hyperlink>
    </w:p>
    <w:bookmarkEnd w:id="146"/>
    <w:bookmarkStart w:id="148" w:name="ref-AndersonEtAl2008"/>
    <w:p>
      <w:pPr>
        <w:pStyle w:val="Bibliography"/>
      </w:pPr>
      <w:r>
        <w:t xml:space="preserve">Anderson, D. G., Martin, G. R., Lam, I. P., &amp; Wang, J. N. (2008).</w:t>
      </w:r>
      <w:r>
        <w:t xml:space="preserve"> </w:t>
      </w:r>
      <w:r>
        <w:rPr>
          <w:i/>
          <w:iCs/>
        </w:rPr>
        <w:t xml:space="preserve">Seismic</w:t>
      </w:r>
      <w:r>
        <w:rPr>
          <w:i/>
          <w:iCs/>
        </w:rPr>
        <w:t xml:space="preserve"> </w:t>
      </w:r>
      <w:r>
        <w:rPr>
          <w:i/>
          <w:iCs/>
        </w:rPr>
        <w:t xml:space="preserve">Analysis</w:t>
      </w:r>
      <w:r>
        <w:rPr>
          <w:i/>
          <w:iCs/>
        </w:rPr>
        <w:t xml:space="preserve"> </w:t>
      </w:r>
      <w:r>
        <w:rPr>
          <w:i/>
          <w:iCs/>
        </w:rPr>
        <w:t xml:space="preserve">and</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Retaining</w:t>
      </w:r>
      <w:r>
        <w:rPr>
          <w:i/>
          <w:iCs/>
        </w:rPr>
        <w:t xml:space="preserve"> </w:t>
      </w:r>
      <w:r>
        <w:rPr>
          <w:i/>
          <w:iCs/>
        </w:rPr>
        <w:t xml:space="preserve">Walls</w:t>
      </w:r>
      <w:r>
        <w:rPr>
          <w:i/>
          <w:iCs/>
        </w:rPr>
        <w:t xml:space="preserve">,</w:t>
      </w:r>
      <w:r>
        <w:rPr>
          <w:i/>
          <w:iCs/>
        </w:rPr>
        <w:t xml:space="preserve"> </w:t>
      </w:r>
      <w:r>
        <w:rPr>
          <w:i/>
          <w:iCs/>
        </w:rPr>
        <w:t xml:space="preserve">Buried</w:t>
      </w:r>
      <w:r>
        <w:rPr>
          <w:i/>
          <w:iCs/>
        </w:rPr>
        <w:t xml:space="preserve"> </w:t>
      </w:r>
      <w:r>
        <w:rPr>
          <w:i/>
          <w:iCs/>
        </w:rPr>
        <w:t xml:space="preserve">Structures</w:t>
      </w:r>
      <w:r>
        <w:rPr>
          <w:i/>
          <w:iCs/>
        </w:rPr>
        <w:t xml:space="preserve">,</w:t>
      </w:r>
      <w:r>
        <w:rPr>
          <w:i/>
          <w:iCs/>
        </w:rPr>
        <w:t xml:space="preserve"> </w:t>
      </w:r>
      <w:r>
        <w:rPr>
          <w:i/>
          <w:iCs/>
        </w:rPr>
        <w:t xml:space="preserve">Slopes</w:t>
      </w:r>
      <w:r>
        <w:rPr>
          <w:i/>
          <w:iCs/>
        </w:rPr>
        <w:t xml:space="preserve">, and</w:t>
      </w:r>
      <w:r>
        <w:rPr>
          <w:i/>
          <w:iCs/>
        </w:rPr>
        <w:t xml:space="preserve"> </w:t>
      </w:r>
      <w:r>
        <w:rPr>
          <w:i/>
          <w:iCs/>
        </w:rPr>
        <w:t xml:space="preserve">Embankments</w:t>
      </w:r>
      <w:r>
        <w:t xml:space="preserve"> </w:t>
      </w:r>
      <w:r>
        <w:t xml:space="preserve">(NCHRP Report No. 611). Transportation Research Board.</w:t>
      </w:r>
      <w:r>
        <w:t xml:space="preserve"> </w:t>
      </w:r>
      <w:hyperlink r:id="rId147">
        <w:r>
          <w:rPr>
            <w:rStyle w:val="Hyperlink"/>
          </w:rPr>
          <w:t xml:space="preserve">https://www.ce.memphis.edu/7137/PDFs/Seismic%20Manual/nchrp_rpt_611.pdf</w:t>
        </w:r>
      </w:hyperlink>
    </w:p>
    <w:bookmarkEnd w:id="148"/>
    <w:bookmarkStart w:id="150" w:name="ref-Aristeidou2024"/>
    <w:p>
      <w:pPr>
        <w:pStyle w:val="Bibliography"/>
      </w:pPr>
      <w:r>
        <w:t xml:space="preserve">Aristeidou, S., Shahnazaryan, D., &amp; O’Reilly, G. J. (2024). Ground motion prediction equations using artificial neural networks for active shallow crustal earthquakes.</w:t>
      </w:r>
      <w:r>
        <w:t xml:space="preserve"> </w:t>
      </w:r>
      <w:r>
        <w:rPr>
          <w:i/>
          <w:iCs/>
        </w:rPr>
        <w:t xml:space="preserve">Soil Dynamics and Earthquake Engineering</w:t>
      </w:r>
      <w:r>
        <w:t xml:space="preserve">.</w:t>
      </w:r>
      <w:r>
        <w:t xml:space="preserve"> </w:t>
      </w:r>
      <w:hyperlink r:id="rId149">
        <w:r>
          <w:rPr>
            <w:rStyle w:val="Hyperlink"/>
          </w:rPr>
          <w:t xml:space="preserve">https://doi.org/10.1016/j.soildyn.2024.108851</w:t>
        </w:r>
      </w:hyperlink>
    </w:p>
    <w:bookmarkEnd w:id="150"/>
    <w:bookmarkStart w:id="152" w:name="ref-Atkinson2022NZ"/>
    <w:p>
      <w:pPr>
        <w:pStyle w:val="Bibliography"/>
      </w:pPr>
      <w:r>
        <w:t xml:space="preserve">Atkinson, G. M. (2022). Backbone</w:t>
      </w:r>
      <w:r>
        <w:t xml:space="preserve"> </w:t>
      </w:r>
      <w:r>
        <w:t xml:space="preserve">Ground</w:t>
      </w:r>
      <w:r>
        <w:t xml:space="preserve"> </w:t>
      </w:r>
      <w:r>
        <w:t xml:space="preserve">Motion</w:t>
      </w:r>
      <w:r>
        <w:t xml:space="preserve"> </w:t>
      </w:r>
      <w:r>
        <w:t xml:space="preserve">Models</w:t>
      </w:r>
      <w:r>
        <w:t xml:space="preserve"> </w:t>
      </w:r>
      <w:r>
        <w:t xml:space="preserve">for</w:t>
      </w:r>
      <w:r>
        <w:t xml:space="preserve"> </w:t>
      </w:r>
      <w:r>
        <w:t xml:space="preserve">Crustal</w:t>
      </w:r>
      <w:r>
        <w:t xml:space="preserve"> </w:t>
      </w:r>
      <w:r>
        <w:t xml:space="preserve">Earthquakes</w:t>
      </w:r>
      <w:r>
        <w:t xml:space="preserve"> </w:t>
      </w:r>
      <w:r>
        <w:t xml:space="preserve">in the 2022</w:t>
      </w:r>
      <w:r>
        <w:t xml:space="preserve"> </w:t>
      </w:r>
      <w:r>
        <w:t xml:space="preserve">New Zealand</w:t>
      </w:r>
      <w:r>
        <w:t xml:space="preserve"> </w:t>
      </w:r>
      <w:r>
        <w:t xml:space="preserve">National</w:t>
      </w:r>
      <w:r>
        <w:t xml:space="preserve"> </w:t>
      </w:r>
      <w:r>
        <w:t xml:space="preserve">Seismic</w:t>
      </w:r>
      <w:r>
        <w:t xml:space="preserve"> </w:t>
      </w:r>
      <w:r>
        <w:t xml:space="preserve">Hazard</w:t>
      </w:r>
      <w:r>
        <w:t xml:space="preserve"> </w:t>
      </w:r>
      <w:r>
        <w:t xml:space="preserve">Model</w:t>
      </w:r>
      <w:r>
        <w:t xml:space="preserve">.</w:t>
      </w:r>
      <w:r>
        <w:t xml:space="preserve"> </w:t>
      </w:r>
      <w:r>
        <w:rPr>
          <w:i/>
          <w:iCs/>
        </w:rPr>
        <w:t xml:space="preserve">Bulletin of the Seismological Society of America</w:t>
      </w:r>
      <w:r>
        <w:t xml:space="preserve">,</w:t>
      </w:r>
      <w:r>
        <w:t xml:space="preserve"> </w:t>
      </w:r>
      <w:r>
        <w:rPr>
          <w:i/>
          <w:iCs/>
        </w:rPr>
        <w:t xml:space="preserve">114</w:t>
      </w:r>
      <w:r>
        <w:t xml:space="preserve">(1), 350–370.</w:t>
      </w:r>
      <w:r>
        <w:t xml:space="preserve"> </w:t>
      </w:r>
      <w:hyperlink r:id="rId151">
        <w:r>
          <w:rPr>
            <w:rStyle w:val="Hyperlink"/>
          </w:rPr>
          <w:t xml:space="preserve">https://pubs.geoscienceworld.org/ssa/bssa/article-abstract/114/1/350/631700/</w:t>
        </w:r>
      </w:hyperlink>
    </w:p>
    <w:bookmarkEnd w:id="152"/>
    <w:bookmarkStart w:id="154" w:name="ref-AtkinsonBoore2006"/>
    <w:p>
      <w:pPr>
        <w:pStyle w:val="Bibliography"/>
      </w:pPr>
      <w:r>
        <w:t xml:space="preserve">Atkinson, G. M., &amp; Boore, D. M. (2006). Earthquake</w:t>
      </w:r>
      <w:r>
        <w:t xml:space="preserve"> </w:t>
      </w:r>
      <w:r>
        <w:t xml:space="preserve">Ground-Motion</w:t>
      </w:r>
      <w:r>
        <w:t xml:space="preserve"> </w:t>
      </w:r>
      <w:r>
        <w:t xml:space="preserve">Prediction</w:t>
      </w:r>
      <w:r>
        <w:t xml:space="preserve"> </w:t>
      </w:r>
      <w:r>
        <w:t xml:space="preserve">Equations</w:t>
      </w:r>
      <w:r>
        <w:t xml:space="preserve"> </w:t>
      </w:r>
      <w:r>
        <w:t xml:space="preserve">for</w:t>
      </w:r>
      <w:r>
        <w:t xml:space="preserve"> </w:t>
      </w:r>
      <w:r>
        <w:t xml:space="preserve">Eastern</w:t>
      </w:r>
      <w:r>
        <w:t xml:space="preserve"> </w:t>
      </w:r>
      <w:r>
        <w:t xml:space="preserve">North America</w:t>
      </w:r>
      <w:r>
        <w:t xml:space="preserve">.</w:t>
      </w:r>
      <w:r>
        <w:t xml:space="preserve"> </w:t>
      </w:r>
      <w:r>
        <w:rPr>
          <w:i/>
          <w:iCs/>
        </w:rPr>
        <w:t xml:space="preserve">Bulletin of the Seismological Society of America</w:t>
      </w:r>
      <w:r>
        <w:t xml:space="preserve">,</w:t>
      </w:r>
      <w:r>
        <w:t xml:space="preserve"> </w:t>
      </w:r>
      <w:r>
        <w:rPr>
          <w:i/>
          <w:iCs/>
        </w:rPr>
        <w:t xml:space="preserve">96</w:t>
      </w:r>
      <w:r>
        <w:t xml:space="preserve">(6), 2181–2205.</w:t>
      </w:r>
      <w:r>
        <w:t xml:space="preserve"> </w:t>
      </w:r>
      <w:hyperlink r:id="rId153">
        <w:r>
          <w:rPr>
            <w:rStyle w:val="Hyperlink"/>
          </w:rPr>
          <w:t xml:space="preserve">https://doi.org/10.1785/0120050245</w:t>
        </w:r>
      </w:hyperlink>
    </w:p>
    <w:bookmarkEnd w:id="154"/>
    <w:bookmarkStart w:id="156" w:name="ref-AtkinsonBoore2011"/>
    <w:p>
      <w:pPr>
        <w:pStyle w:val="Bibliography"/>
      </w:pPr>
      <w:r>
        <w:t xml:space="preserve">Atkinson, G. M., &amp; Boore, D. M. (2011). Modifications to</w:t>
      </w:r>
      <w:r>
        <w:t xml:space="preserve"> </w:t>
      </w:r>
      <w:r>
        <w:t xml:space="preserve">Existing</w:t>
      </w:r>
      <w:r>
        <w:t xml:space="preserve"> </w:t>
      </w:r>
      <w:r>
        <w:t xml:space="preserve">Ground-Motion</w:t>
      </w:r>
      <w:r>
        <w:t xml:space="preserve"> </w:t>
      </w:r>
      <w:r>
        <w:t xml:space="preserve">Prediction</w:t>
      </w:r>
      <w:r>
        <w:t xml:space="preserve"> </w:t>
      </w:r>
      <w:r>
        <w:t xml:space="preserve">Equations</w:t>
      </w:r>
      <w:r>
        <w:t xml:space="preserve"> </w:t>
      </w:r>
      <w:r>
        <w:t xml:space="preserve">in</w:t>
      </w:r>
      <w:r>
        <w:t xml:space="preserve"> </w:t>
      </w:r>
      <w:r>
        <w:t xml:space="preserve">Light</w:t>
      </w:r>
      <w:r>
        <w:t xml:space="preserve"> </w:t>
      </w:r>
      <w:r>
        <w:t xml:space="preserve">of</w:t>
      </w:r>
      <w:r>
        <w:t xml:space="preserve"> </w:t>
      </w:r>
      <w:r>
        <w:t xml:space="preserve">New</w:t>
      </w:r>
      <w:r>
        <w:t xml:space="preserve"> </w:t>
      </w:r>
      <w:r>
        <w:t xml:space="preserve">Data</w:t>
      </w:r>
      <w:r>
        <w:t xml:space="preserve">.</w:t>
      </w:r>
      <w:r>
        <w:t xml:space="preserve"> </w:t>
      </w:r>
      <w:r>
        <w:rPr>
          <w:i/>
          <w:iCs/>
        </w:rPr>
        <w:t xml:space="preserve">Bulletin of the Seismological Society of America</w:t>
      </w:r>
      <w:r>
        <w:t xml:space="preserve">,</w:t>
      </w:r>
      <w:r>
        <w:t xml:space="preserve"> </w:t>
      </w:r>
      <w:r>
        <w:rPr>
          <w:i/>
          <w:iCs/>
        </w:rPr>
        <w:t xml:space="preserve">101</w:t>
      </w:r>
      <w:r>
        <w:t xml:space="preserve">(3), 1121–1135.</w:t>
      </w:r>
      <w:r>
        <w:t xml:space="preserve"> </w:t>
      </w:r>
      <w:hyperlink r:id="rId155">
        <w:r>
          <w:rPr>
            <w:rStyle w:val="Hyperlink"/>
          </w:rPr>
          <w:t xml:space="preserve">https://doi.org/10.1785/0120100270</w:t>
        </w:r>
      </w:hyperlink>
    </w:p>
    <w:bookmarkEnd w:id="156"/>
    <w:bookmarkStart w:id="158" w:name="ref-AtkinsonMacias2009"/>
    <w:p>
      <w:pPr>
        <w:pStyle w:val="Bibliography"/>
      </w:pPr>
      <w:r>
        <w:t xml:space="preserve">Atkinson, G. M., &amp; Macias, M. (2009). Predicted</w:t>
      </w:r>
      <w:r>
        <w:t xml:space="preserve"> </w:t>
      </w:r>
      <w:r>
        <w:t xml:space="preserve">Ground</w:t>
      </w:r>
      <w:r>
        <w:t xml:space="preserve"> </w:t>
      </w:r>
      <w:r>
        <w:t xml:space="preserve">Motions</w:t>
      </w:r>
      <w:r>
        <w:t xml:space="preserve"> </w:t>
      </w:r>
      <w:r>
        <w:t xml:space="preserve">for</w:t>
      </w:r>
      <w:r>
        <w:t xml:space="preserve"> </w:t>
      </w:r>
      <w:r>
        <w:t xml:space="preserve">Great</w:t>
      </w:r>
      <w:r>
        <w:t xml:space="preserve"> </w:t>
      </w:r>
      <w:r>
        <w:t xml:space="preserve">Interface</w:t>
      </w:r>
      <w:r>
        <w:t xml:space="preserve"> </w:t>
      </w:r>
      <w:r>
        <w:t xml:space="preserve">Earthquakes</w:t>
      </w:r>
      <w:r>
        <w:t xml:space="preserve"> </w:t>
      </w:r>
      <w:r>
        <w:t xml:space="preserve">in the</w:t>
      </w:r>
      <w:r>
        <w:t xml:space="preserve"> </w:t>
      </w:r>
      <w:r>
        <w:t xml:space="preserve">Cascadia</w:t>
      </w:r>
      <w:r>
        <w:t xml:space="preserve"> </w:t>
      </w:r>
      <w:r>
        <w:t xml:space="preserve">Subduction</w:t>
      </w:r>
      <w:r>
        <w:t xml:space="preserve"> </w:t>
      </w:r>
      <w:r>
        <w:t xml:space="preserve">Zone</w:t>
      </w:r>
      <w:r>
        <w:t xml:space="preserve">.</w:t>
      </w:r>
      <w:r>
        <w:t xml:space="preserve"> </w:t>
      </w:r>
      <w:r>
        <w:rPr>
          <w:i/>
          <w:iCs/>
        </w:rPr>
        <w:t xml:space="preserve">Bulletin of the Seismological Society of America</w:t>
      </w:r>
      <w:r>
        <w:t xml:space="preserve">,</w:t>
      </w:r>
      <w:r>
        <w:t xml:space="preserve"> </w:t>
      </w:r>
      <w:r>
        <w:rPr>
          <w:i/>
          <w:iCs/>
        </w:rPr>
        <w:t xml:space="preserve">99</w:t>
      </w:r>
      <w:r>
        <w:t xml:space="preserve">(3), 1552–1578.</w:t>
      </w:r>
      <w:r>
        <w:t xml:space="preserve"> </w:t>
      </w:r>
      <w:hyperlink r:id="rId157">
        <w:r>
          <w:rPr>
            <w:rStyle w:val="Hyperlink"/>
          </w:rPr>
          <w:t xml:space="preserve">https://pubs.geoscienceworld.org/ssa/bssa/article-abstract/99/3/1552/350126</w:t>
        </w:r>
      </w:hyperlink>
    </w:p>
    <w:bookmarkEnd w:id="158"/>
    <w:bookmarkStart w:id="159" w:name="ref-ANCOLD2012"/>
    <w:p>
      <w:pPr>
        <w:pStyle w:val="Bibliography"/>
      </w:pPr>
      <w:r>
        <w:t xml:space="preserve">Australian National Committee on Large Dams. (2012).</w:t>
      </w:r>
      <w:r>
        <w:t xml:space="preserve"> </w:t>
      </w:r>
      <w:r>
        <w:rPr>
          <w:i/>
          <w:iCs/>
        </w:rPr>
        <w:t xml:space="preserve">Guidelines on</w:t>
      </w:r>
      <w:r>
        <w:rPr>
          <w:i/>
          <w:iCs/>
        </w:rPr>
        <w:t xml:space="preserve"> </w:t>
      </w:r>
      <w:r>
        <w:rPr>
          <w:i/>
          <w:iCs/>
        </w:rPr>
        <w:t xml:space="preserve">Tailings</w:t>
      </w:r>
      <w:r>
        <w:rPr>
          <w:i/>
          <w:iCs/>
        </w:rPr>
        <w:t xml:space="preserve"> </w:t>
      </w:r>
      <w:r>
        <w:rPr>
          <w:i/>
          <w:iCs/>
        </w:rPr>
        <w:t xml:space="preserve">Dams</w:t>
      </w:r>
      <w:r>
        <w:rPr>
          <w:i/>
          <w:iCs/>
        </w:rPr>
        <w:t xml:space="preserve">:</w:t>
      </w:r>
      <w:r>
        <w:rPr>
          <w:i/>
          <w:iCs/>
        </w:rPr>
        <w:t xml:space="preserve"> </w:t>
      </w:r>
      <w:r>
        <w:rPr>
          <w:i/>
          <w:iCs/>
        </w:rPr>
        <w:t xml:space="preserve">Planning</w:t>
      </w:r>
      <w:r>
        <w:rPr>
          <w:i/>
          <w:iCs/>
        </w:rPr>
        <w:t xml:space="preserve">,</w:t>
      </w:r>
      <w:r>
        <w:rPr>
          <w:i/>
          <w:iCs/>
        </w:rPr>
        <w:t xml:space="preserve"> </w:t>
      </w:r>
      <w:r>
        <w:rPr>
          <w:i/>
          <w:iCs/>
        </w:rPr>
        <w:t xml:space="preserve">Design</w:t>
      </w:r>
      <w:r>
        <w:rPr>
          <w:i/>
          <w:iCs/>
        </w:rPr>
        <w:t xml:space="preserve">,</w:t>
      </w:r>
      <w:r>
        <w:rPr>
          <w:i/>
          <w:iCs/>
        </w:rPr>
        <w:t xml:space="preserve"> </w:t>
      </w:r>
      <w:r>
        <w:rPr>
          <w:i/>
          <w:iCs/>
        </w:rPr>
        <w:t xml:space="preserve">Construction</w:t>
      </w:r>
      <w:r>
        <w:rPr>
          <w:i/>
          <w:iCs/>
        </w:rPr>
        <w:t xml:space="preserve">,</w:t>
      </w:r>
      <w:r>
        <w:rPr>
          <w:i/>
          <w:iCs/>
        </w:rPr>
        <w:t xml:space="preserve"> </w:t>
      </w:r>
      <w:r>
        <w:rPr>
          <w:i/>
          <w:iCs/>
        </w:rPr>
        <w:t xml:space="preserve">Operation</w:t>
      </w:r>
      <w:r>
        <w:rPr>
          <w:i/>
          <w:iCs/>
        </w:rPr>
        <w:t xml:space="preserve"> </w:t>
      </w:r>
      <w:r>
        <w:rPr>
          <w:i/>
          <w:iCs/>
        </w:rPr>
        <w:t xml:space="preserve">and</w:t>
      </w:r>
      <w:r>
        <w:rPr>
          <w:i/>
          <w:iCs/>
        </w:rPr>
        <w:t xml:space="preserve"> </w:t>
      </w:r>
      <w:r>
        <w:rPr>
          <w:i/>
          <w:iCs/>
        </w:rPr>
        <w:t xml:space="preserve">Closure</w:t>
      </w:r>
      <w:r>
        <w:t xml:space="preserve">. Australian National Committee on Large Dams.</w:t>
      </w:r>
    </w:p>
    <w:bookmarkEnd w:id="159"/>
    <w:bookmarkStart w:id="160" w:name="ref-ancold2019"/>
    <w:p>
      <w:pPr>
        <w:pStyle w:val="Bibliography"/>
      </w:pPr>
      <w:r>
        <w:t xml:space="preserve">Australian National Committee on Large Dams (ANCOLD). (2019).</w:t>
      </w:r>
      <w:r>
        <w:t xml:space="preserve"> </w:t>
      </w:r>
      <w:r>
        <w:rPr>
          <w:i/>
          <w:iCs/>
        </w:rPr>
        <w:t xml:space="preserve">Guidelines on</w:t>
      </w:r>
      <w:r>
        <w:rPr>
          <w:i/>
          <w:iCs/>
        </w:rPr>
        <w:t xml:space="preserve"> </w:t>
      </w:r>
      <w:r>
        <w:rPr>
          <w:i/>
          <w:iCs/>
        </w:rPr>
        <w:t xml:space="preserve">Tailings</w:t>
      </w:r>
      <w:r>
        <w:rPr>
          <w:i/>
          <w:iCs/>
        </w:rPr>
        <w:t xml:space="preserve"> </w:t>
      </w:r>
      <w:r>
        <w:rPr>
          <w:i/>
          <w:iCs/>
        </w:rPr>
        <w:t xml:space="preserve">Dams</w:t>
      </w:r>
      <w:r>
        <w:rPr>
          <w:i/>
          <w:iCs/>
        </w:rPr>
        <w:t xml:space="preserve"> </w:t>
      </w:r>
      <w:r>
        <w:rPr>
          <w:i/>
          <w:iCs/>
        </w:rPr>
        <w:t xml:space="preserve">–</w:t>
      </w:r>
      <w:r>
        <w:rPr>
          <w:i/>
          <w:iCs/>
        </w:rPr>
        <w:t xml:space="preserve"> </w:t>
      </w:r>
      <w:r>
        <w:rPr>
          <w:i/>
          <w:iCs/>
        </w:rPr>
        <w:t xml:space="preserve">Planning</w:t>
      </w:r>
      <w:r>
        <w:rPr>
          <w:i/>
          <w:iCs/>
        </w:rPr>
        <w:t xml:space="preserve">,</w:t>
      </w:r>
      <w:r>
        <w:rPr>
          <w:i/>
          <w:iCs/>
        </w:rPr>
        <w:t xml:space="preserve"> </w:t>
      </w:r>
      <w:r>
        <w:rPr>
          <w:i/>
          <w:iCs/>
        </w:rPr>
        <w:t xml:space="preserve">Design</w:t>
      </w:r>
      <w:r>
        <w:rPr>
          <w:i/>
          <w:iCs/>
        </w:rPr>
        <w:t xml:space="preserve">,</w:t>
      </w:r>
      <w:r>
        <w:rPr>
          <w:i/>
          <w:iCs/>
        </w:rPr>
        <w:t xml:space="preserve"> </w:t>
      </w:r>
      <w:r>
        <w:rPr>
          <w:i/>
          <w:iCs/>
        </w:rPr>
        <w:t xml:space="preserve">Construction</w:t>
      </w:r>
      <w:r>
        <w:rPr>
          <w:i/>
          <w:iCs/>
        </w:rPr>
        <w:t xml:space="preserve">,</w:t>
      </w:r>
      <w:r>
        <w:rPr>
          <w:i/>
          <w:iCs/>
        </w:rPr>
        <w:t xml:space="preserve"> </w:t>
      </w:r>
      <w:r>
        <w:rPr>
          <w:i/>
          <w:iCs/>
        </w:rPr>
        <w:t xml:space="preserve">Operation</w:t>
      </w:r>
      <w:r>
        <w:rPr>
          <w:i/>
          <w:iCs/>
        </w:rPr>
        <w:t xml:space="preserve"> </w:t>
      </w:r>
      <w:r>
        <w:rPr>
          <w:i/>
          <w:iCs/>
        </w:rPr>
        <w:t xml:space="preserve">and</w:t>
      </w:r>
      <w:r>
        <w:rPr>
          <w:i/>
          <w:iCs/>
        </w:rPr>
        <w:t xml:space="preserve"> </w:t>
      </w:r>
      <w:r>
        <w:rPr>
          <w:i/>
          <w:iCs/>
        </w:rPr>
        <w:t xml:space="preserve">Closure</w:t>
      </w:r>
      <w:r>
        <w:rPr>
          <w:i/>
          <w:iCs/>
        </w:rPr>
        <w:t xml:space="preserve"> </w:t>
      </w:r>
      <w:r>
        <w:rPr>
          <w:i/>
          <w:iCs/>
        </w:rPr>
        <w:t xml:space="preserve">(2019</w:t>
      </w:r>
      <w:r>
        <w:rPr>
          <w:i/>
          <w:iCs/>
        </w:rPr>
        <w:t xml:space="preserve"> </w:t>
      </w:r>
      <w:r>
        <w:rPr>
          <w:i/>
          <w:iCs/>
        </w:rPr>
        <w:t xml:space="preserve">Update</w:t>
      </w:r>
      <w:r>
        <w:rPr>
          <w:i/>
          <w:iCs/>
        </w:rPr>
        <w:t xml:space="preserve">)</w:t>
      </w:r>
      <w:r>
        <w:t xml:space="preserve">. Addendum to ANCOLD Guidelines on Tailings Dams, July 2019; ANCOLD.</w:t>
      </w:r>
    </w:p>
    <w:bookmarkEnd w:id="160"/>
    <w:bookmarkStart w:id="162" w:name="ref-Baker2021"/>
    <w:p>
      <w:pPr>
        <w:pStyle w:val="Bibliography"/>
      </w:pPr>
      <w:r>
        <w:t xml:space="preserve">Baker, J. W., Bradley, B. A., &amp; Stafford, P. J. (2021).</w:t>
      </w:r>
      <w:r>
        <w:t xml:space="preserve"> </w:t>
      </w:r>
      <w:r>
        <w:rPr>
          <w:i/>
          <w:iCs/>
        </w:rPr>
        <w:t xml:space="preserve">Seismic</w:t>
      </w:r>
      <w:r>
        <w:rPr>
          <w:i/>
          <w:iCs/>
        </w:rPr>
        <w:t xml:space="preserve"> </w:t>
      </w:r>
      <w:r>
        <w:rPr>
          <w:i/>
          <w:iCs/>
        </w:rPr>
        <w:t xml:space="preserve">Hazard</w:t>
      </w:r>
      <w:r>
        <w:rPr>
          <w:i/>
          <w:iCs/>
        </w:rPr>
        <w:t xml:space="preserve"> </w:t>
      </w:r>
      <w:r>
        <w:rPr>
          <w:i/>
          <w:iCs/>
        </w:rPr>
        <w:t xml:space="preserve">and</w:t>
      </w:r>
      <w:r>
        <w:rPr>
          <w:i/>
          <w:iCs/>
        </w:rPr>
        <w:t xml:space="preserve"> </w:t>
      </w:r>
      <w:r>
        <w:rPr>
          <w:i/>
          <w:iCs/>
        </w:rPr>
        <w:t xml:space="preserve">Risk</w:t>
      </w:r>
      <w:r>
        <w:rPr>
          <w:i/>
          <w:iCs/>
        </w:rPr>
        <w:t xml:space="preserve"> </w:t>
      </w:r>
      <w:r>
        <w:rPr>
          <w:i/>
          <w:iCs/>
        </w:rPr>
        <w:t xml:space="preserve">Analysis</w:t>
      </w:r>
      <w:r>
        <w:t xml:space="preserve">. Cambridge University Press.</w:t>
      </w:r>
      <w:r>
        <w:t xml:space="preserve"> </w:t>
      </w:r>
      <w:hyperlink r:id="rId161">
        <w:r>
          <w:rPr>
            <w:rStyle w:val="Hyperlink"/>
          </w:rPr>
          <w:t xml:space="preserve">https://doi.org/10.1017/9781108425056</w:t>
        </w:r>
      </w:hyperlink>
    </w:p>
    <w:bookmarkEnd w:id="162"/>
    <w:bookmarkStart w:id="164" w:name="ref-BakerCornell2006"/>
    <w:p>
      <w:pPr>
        <w:pStyle w:val="Bibliography"/>
      </w:pPr>
      <w:r>
        <w:t xml:space="preserve">Baker, J. W., &amp; Cornell, C. A. (2006). Spectral</w:t>
      </w:r>
      <w:r>
        <w:t xml:space="preserve"> </w:t>
      </w:r>
      <w:r>
        <w:t xml:space="preserve">Shape</w:t>
      </w:r>
      <w:r>
        <w:t xml:space="preserve">,</w:t>
      </w:r>
      <w:r>
        <w:t xml:space="preserve"> </w:t>
      </w:r>
      <w:r>
        <w:t xml:space="preserve">Epsilon</w:t>
      </w:r>
      <w:r>
        <w:t xml:space="preserve"> </w:t>
      </w:r>
      <w:r>
        <w:t xml:space="preserve">and</w:t>
      </w:r>
      <w:r>
        <w:t xml:space="preserve"> </w:t>
      </w:r>
      <w:r>
        <w:t xml:space="preserve">Record</w:t>
      </w:r>
      <w:r>
        <w:t xml:space="preserve"> </w:t>
      </w:r>
      <w:r>
        <w:t xml:space="preserve">Selection</w:t>
      </w:r>
      <w:r>
        <w:t xml:space="preserve">.</w:t>
      </w:r>
      <w:r>
        <w:t xml:space="preserve"> </w:t>
      </w:r>
      <w:r>
        <w:rPr>
          <w:i/>
          <w:iCs/>
        </w:rPr>
        <w:t xml:space="preserve">Earthquake Engineering &amp; Structural Dynamics</w:t>
      </w:r>
      <w:r>
        <w:t xml:space="preserve">,</w:t>
      </w:r>
      <w:r>
        <w:t xml:space="preserve"> </w:t>
      </w:r>
      <w:r>
        <w:rPr>
          <w:i/>
          <w:iCs/>
        </w:rPr>
        <w:t xml:space="preserve">35</w:t>
      </w:r>
      <w:r>
        <w:t xml:space="preserve">(9), 1077–1095.</w:t>
      </w:r>
      <w:r>
        <w:t xml:space="preserve"> </w:t>
      </w:r>
      <w:hyperlink r:id="rId163">
        <w:r>
          <w:rPr>
            <w:rStyle w:val="Hyperlink"/>
          </w:rPr>
          <w:t xml:space="preserve">https://doi.org/10.1002/eqe.571</w:t>
        </w:r>
      </w:hyperlink>
    </w:p>
    <w:bookmarkEnd w:id="164"/>
    <w:bookmarkStart w:id="166" w:name="ref-BakerJayaram2008"/>
    <w:p>
      <w:pPr>
        <w:pStyle w:val="Bibliography"/>
      </w:pPr>
      <w:r>
        <w:t xml:space="preserve">Baker, J. W., &amp; Jayaram, N. (2008). Correlation of</w:t>
      </w:r>
      <w:r>
        <w:t xml:space="preserve"> </w:t>
      </w:r>
      <w:r>
        <w:t xml:space="preserve">Spectral</w:t>
      </w:r>
      <w:r>
        <w:t xml:space="preserve"> </w:t>
      </w:r>
      <w:r>
        <w:t xml:space="preserve">Acceleration</w:t>
      </w:r>
      <w:r>
        <w:t xml:space="preserve"> </w:t>
      </w:r>
      <w:r>
        <w:t xml:space="preserve">Values</w:t>
      </w:r>
      <w:r>
        <w:t xml:space="preserve"> </w:t>
      </w:r>
      <w:r>
        <w:t xml:space="preserve">from</w:t>
      </w:r>
      <w:r>
        <w:t xml:space="preserve"> </w:t>
      </w:r>
      <w:r>
        <w:t xml:space="preserve">NGA</w:t>
      </w:r>
      <w:r>
        <w:t xml:space="preserve"> </w:t>
      </w:r>
      <w:r>
        <w:t xml:space="preserve">Ground</w:t>
      </w:r>
      <w:r>
        <w:t xml:space="preserve"> </w:t>
      </w:r>
      <w:r>
        <w:t xml:space="preserve">Motion</w:t>
      </w:r>
      <w:r>
        <w:t xml:space="preserve"> </w:t>
      </w:r>
      <w:r>
        <w:t xml:space="preserve">Models</w:t>
      </w:r>
      <w:r>
        <w:t xml:space="preserve">.</w:t>
      </w:r>
      <w:r>
        <w:t xml:space="preserve"> </w:t>
      </w:r>
      <w:r>
        <w:rPr>
          <w:i/>
          <w:iCs/>
        </w:rPr>
        <w:t xml:space="preserve">Earthquake Spectra</w:t>
      </w:r>
      <w:r>
        <w:t xml:space="preserve">,</w:t>
      </w:r>
      <w:r>
        <w:t xml:space="preserve"> </w:t>
      </w:r>
      <w:r>
        <w:rPr>
          <w:i/>
          <w:iCs/>
        </w:rPr>
        <w:t xml:space="preserve">24</w:t>
      </w:r>
      <w:r>
        <w:t xml:space="preserve">(1), 299–317.</w:t>
      </w:r>
      <w:r>
        <w:t xml:space="preserve"> </w:t>
      </w:r>
      <w:hyperlink r:id="rId165">
        <w:r>
          <w:rPr>
            <w:rStyle w:val="Hyperlink"/>
          </w:rPr>
          <w:t xml:space="preserve">https://doi.org/10.1193/1.2857544</w:t>
        </w:r>
      </w:hyperlink>
    </w:p>
    <w:bookmarkEnd w:id="166"/>
    <w:bookmarkStart w:id="167" w:name="ref-Bazzurro1999"/>
    <w:p>
      <w:pPr>
        <w:pStyle w:val="Bibliography"/>
      </w:pPr>
      <w:r>
        <w:t xml:space="preserve">Bazzurro, P., &amp; Cornell, C. A. (1999). Disaggregation of</w:t>
      </w:r>
      <w:r>
        <w:t xml:space="preserve"> </w:t>
      </w:r>
      <w:r>
        <w:t xml:space="preserve">Seismic</w:t>
      </w:r>
      <w:r>
        <w:t xml:space="preserve"> </w:t>
      </w:r>
      <w:r>
        <w:t xml:space="preserve">Hazard</w:t>
      </w:r>
      <w:r>
        <w:t xml:space="preserve">.</w:t>
      </w:r>
      <w:r>
        <w:t xml:space="preserve"> </w:t>
      </w:r>
      <w:r>
        <w:rPr>
          <w:i/>
          <w:iCs/>
        </w:rPr>
        <w:t xml:space="preserve">Bulletin of the Seismological Society of America</w:t>
      </w:r>
      <w:r>
        <w:t xml:space="preserve">,</w:t>
      </w:r>
      <w:r>
        <w:t xml:space="preserve"> </w:t>
      </w:r>
      <w:r>
        <w:rPr>
          <w:i/>
          <w:iCs/>
        </w:rPr>
        <w:t xml:space="preserve">89</w:t>
      </w:r>
      <w:r>
        <w:t xml:space="preserve">(2), 501–520.</w:t>
      </w:r>
    </w:p>
    <w:bookmarkEnd w:id="167"/>
    <w:bookmarkStart w:id="169" w:name="ref-Boore2008"/>
    <w:p>
      <w:pPr>
        <w:pStyle w:val="Bibliography"/>
      </w:pPr>
      <w:r>
        <w:t xml:space="preserve">Boore, D. M., &amp; Atkinson, G. M. (2008). Ground-motion prediction equations for the average horizontal component of PGA, PGV, and 5%-damped PSA at spectral periods between 0.01 s and 10.0 s.</w:t>
      </w:r>
      <w:r>
        <w:t xml:space="preserve"> </w:t>
      </w:r>
      <w:r>
        <w:rPr>
          <w:i/>
          <w:iCs/>
        </w:rPr>
        <w:t xml:space="preserve">Earthquake Spectra</w:t>
      </w:r>
      <w:r>
        <w:t xml:space="preserve">,</w:t>
      </w:r>
      <w:r>
        <w:t xml:space="preserve"> </w:t>
      </w:r>
      <w:r>
        <w:rPr>
          <w:i/>
          <w:iCs/>
        </w:rPr>
        <w:t xml:space="preserve">24</w:t>
      </w:r>
      <w:r>
        <w:t xml:space="preserve">(1), 99–138.</w:t>
      </w:r>
      <w:r>
        <w:t xml:space="preserve"> </w:t>
      </w:r>
      <w:hyperlink r:id="rId168">
        <w:r>
          <w:rPr>
            <w:rStyle w:val="Hyperlink"/>
          </w:rPr>
          <w:t xml:space="preserve">https://doi.org/10.1193/1.2830434</w:t>
        </w:r>
      </w:hyperlink>
    </w:p>
    <w:bookmarkEnd w:id="169"/>
    <w:bookmarkStart w:id="171" w:name="ref-Boore2021Greece"/>
    <w:p>
      <w:pPr>
        <w:pStyle w:val="Bibliography"/>
      </w:pPr>
      <w:r>
        <w:t xml:space="preserve">Boore, D. M., Stewart, J. P., Skarlatoudis, A. A., Seyhan, E., Margaris, B., Theodoulidis, N., Scordilis, E., Kalogeras, I., Klimis, N., &amp; Melis, N. S. (2021). A</w:t>
      </w:r>
      <w:r>
        <w:t xml:space="preserve"> </w:t>
      </w:r>
      <w:r>
        <w:t xml:space="preserve">Ground-Motion</w:t>
      </w:r>
      <w:r>
        <w:t xml:space="preserve"> </w:t>
      </w:r>
      <w:r>
        <w:t xml:space="preserve">Prediction</w:t>
      </w:r>
      <w:r>
        <w:t xml:space="preserve"> </w:t>
      </w:r>
      <w:r>
        <w:t xml:space="preserve">Model</w:t>
      </w:r>
      <w:r>
        <w:t xml:space="preserve"> </w:t>
      </w:r>
      <w:r>
        <w:t xml:space="preserve">for</w:t>
      </w:r>
      <w:r>
        <w:t xml:space="preserve"> </w:t>
      </w:r>
      <w:r>
        <w:t xml:space="preserve">Shallow</w:t>
      </w:r>
      <w:r>
        <w:t xml:space="preserve"> </w:t>
      </w:r>
      <w:r>
        <w:t xml:space="preserve">Crustal</w:t>
      </w:r>
      <w:r>
        <w:t xml:space="preserve"> </w:t>
      </w:r>
      <w:r>
        <w:t xml:space="preserve">Earthquakes</w:t>
      </w:r>
      <w:r>
        <w:t xml:space="preserve"> </w:t>
      </w:r>
      <w:r>
        <w:t xml:space="preserve">in</w:t>
      </w:r>
      <w:r>
        <w:t xml:space="preserve"> </w:t>
      </w:r>
      <w:r>
        <w:t xml:space="preserve">Greece</w:t>
      </w:r>
      <w:r>
        <w:t xml:space="preserve">.</w:t>
      </w:r>
      <w:r>
        <w:t xml:space="preserve"> </w:t>
      </w:r>
      <w:r>
        <w:rPr>
          <w:i/>
          <w:iCs/>
        </w:rPr>
        <w:t xml:space="preserve">Bulletin of the Seismological Society of America</w:t>
      </w:r>
      <w:r>
        <w:t xml:space="preserve">,</w:t>
      </w:r>
      <w:r>
        <w:t xml:space="preserve"> </w:t>
      </w:r>
      <w:r>
        <w:rPr>
          <w:i/>
          <w:iCs/>
        </w:rPr>
        <w:t xml:space="preserve">111</w:t>
      </w:r>
      <w:r>
        <w:t xml:space="preserve">(2), 857–874.</w:t>
      </w:r>
      <w:r>
        <w:t xml:space="preserve"> </w:t>
      </w:r>
      <w:hyperlink r:id="rId170">
        <w:r>
          <w:rPr>
            <w:rStyle w:val="Hyperlink"/>
          </w:rPr>
          <w:t xml:space="preserve">https://doi.org/10.1785/0120200270</w:t>
        </w:r>
      </w:hyperlink>
    </w:p>
    <w:bookmarkEnd w:id="171"/>
    <w:bookmarkStart w:id="173" w:name="ref-Borcherdt2012"/>
    <w:p>
      <w:pPr>
        <w:pStyle w:val="Bibliography"/>
      </w:pPr>
      <w:r>
        <w:t xml:space="preserve">Borcherdt, R. D. (2012). Empirical</w:t>
      </w:r>
      <w:r>
        <w:t xml:space="preserve"> </w:t>
      </w:r>
      <w:r>
        <w:t xml:space="preserve">Evidence</w:t>
      </w:r>
      <w:r>
        <w:t xml:space="preserve"> </w:t>
      </w:r>
      <w:r>
        <w:t xml:space="preserve">for</w:t>
      </w:r>
      <w:r>
        <w:t xml:space="preserve"> </w:t>
      </w:r>
      <w:r>
        <w:t xml:space="preserve">Site</w:t>
      </w:r>
      <w:r>
        <w:t xml:space="preserve"> </w:t>
      </w:r>
      <w:r>
        <w:t xml:space="preserve">Coefficients</w:t>
      </w:r>
      <w:r>
        <w:t xml:space="preserve"> </w:t>
      </w:r>
      <w:r>
        <w:t xml:space="preserve">in</w:t>
      </w:r>
      <w:r>
        <w:t xml:space="preserve"> </w:t>
      </w:r>
      <w:r>
        <w:t xml:space="preserve">Building</w:t>
      </w:r>
      <w:r>
        <w:t xml:space="preserve"> </w:t>
      </w:r>
      <w:r>
        <w:t xml:space="preserve">Code</w:t>
      </w:r>
      <w:r>
        <w:t xml:space="preserve"> </w:t>
      </w:r>
      <w:r>
        <w:t xml:space="preserve">Provisions</w:t>
      </w:r>
      <w:r>
        <w:t xml:space="preserve">.</w:t>
      </w:r>
      <w:r>
        <w:t xml:space="preserve"> </w:t>
      </w:r>
      <w:r>
        <w:rPr>
          <w:i/>
          <w:iCs/>
        </w:rPr>
        <w:t xml:space="preserve">Earthquake Spectra</w:t>
      </w:r>
      <w:r>
        <w:t xml:space="preserve">,</w:t>
      </w:r>
      <w:r>
        <w:t xml:space="preserve"> </w:t>
      </w:r>
      <w:r>
        <w:rPr>
          <w:i/>
          <w:iCs/>
        </w:rPr>
        <w:t xml:space="preserve">28</w:t>
      </w:r>
      <w:r>
        <w:t xml:space="preserve">(S1), S17–S35.</w:t>
      </w:r>
      <w:r>
        <w:t xml:space="preserve"> </w:t>
      </w:r>
      <w:hyperlink r:id="rId172">
        <w:r>
          <w:rPr>
            <w:rStyle w:val="Hyperlink"/>
          </w:rPr>
          <w:t xml:space="preserve">https://doi.org/10.1193/1.4000047</w:t>
        </w:r>
      </w:hyperlink>
    </w:p>
    <w:bookmarkEnd w:id="173"/>
    <w:bookmarkStart w:id="175" w:name="ref-Bradley2022NZ"/>
    <w:p>
      <w:pPr>
        <w:pStyle w:val="Bibliography"/>
      </w:pPr>
      <w:r>
        <w:t xml:space="preserve">Bradley, B. A. et al.</w:t>
      </w:r>
      <w:r>
        <w:t xml:space="preserve"> (2022). The</w:t>
      </w:r>
      <w:r>
        <w:t xml:space="preserve"> </w:t>
      </w:r>
      <w:r>
        <w:t xml:space="preserve">Ground</w:t>
      </w:r>
      <w:r>
        <w:t xml:space="preserve"> </w:t>
      </w:r>
      <w:r>
        <w:t xml:space="preserve">Motion</w:t>
      </w:r>
      <w:r>
        <w:t xml:space="preserve"> </w:t>
      </w:r>
      <w:r>
        <w:t xml:space="preserve">Characterization</w:t>
      </w:r>
      <w:r>
        <w:t xml:space="preserve"> </w:t>
      </w:r>
      <w:r>
        <w:t xml:space="preserve">Model</w:t>
      </w:r>
      <w:r>
        <w:t xml:space="preserve"> </w:t>
      </w:r>
      <w:r>
        <w:t xml:space="preserve">for the 2022</w:t>
      </w:r>
      <w:r>
        <w:t xml:space="preserve"> </w:t>
      </w:r>
      <w:r>
        <w:t xml:space="preserve">New Zealand</w:t>
      </w:r>
      <w:r>
        <w:t xml:space="preserve"> </w:t>
      </w:r>
      <w:r>
        <w:t xml:space="preserve">National</w:t>
      </w:r>
      <w:r>
        <w:t xml:space="preserve"> </w:t>
      </w:r>
      <w:r>
        <w:t xml:space="preserve">Seismic</w:t>
      </w:r>
      <w:r>
        <w:t xml:space="preserve"> </w:t>
      </w:r>
      <w:r>
        <w:t xml:space="preserve">Hazard</w:t>
      </w:r>
      <w:r>
        <w:t xml:space="preserve"> </w:t>
      </w:r>
      <w:r>
        <w:t xml:space="preserve">Model</w:t>
      </w:r>
      <w:r>
        <w:t xml:space="preserve">.</w:t>
      </w:r>
      <w:r>
        <w:t xml:space="preserve"> </w:t>
      </w:r>
      <w:r>
        <w:rPr>
          <w:i/>
          <w:iCs/>
        </w:rPr>
        <w:t xml:space="preserve">Bulletin of the Seismological Society of America</w:t>
      </w:r>
      <w:r>
        <w:t xml:space="preserve">,</w:t>
      </w:r>
      <w:r>
        <w:t xml:space="preserve"> </w:t>
      </w:r>
      <w:r>
        <w:rPr>
          <w:i/>
          <w:iCs/>
        </w:rPr>
        <w:t xml:space="preserve">114</w:t>
      </w:r>
      <w:r>
        <w:t xml:space="preserve">(1), 329–349.</w:t>
      </w:r>
      <w:r>
        <w:t xml:space="preserve"> </w:t>
      </w:r>
      <w:hyperlink r:id="rId174">
        <w:r>
          <w:rPr>
            <w:rStyle w:val="Hyperlink"/>
          </w:rPr>
          <w:t xml:space="preserve">https://pubs.geoscienceworld.org/ssa/bssa/article/114/1/329/631789/</w:t>
        </w:r>
      </w:hyperlink>
    </w:p>
    <w:bookmarkEnd w:id="175"/>
    <w:bookmarkStart w:id="177" w:name="ref-BrayMacedo2019"/>
    <w:p>
      <w:pPr>
        <w:pStyle w:val="Bibliography"/>
      </w:pPr>
      <w:r>
        <w:t xml:space="preserve">Bray, J. D., &amp; Macedo, J. (2019). Procedure for</w:t>
      </w:r>
      <w:r>
        <w:t xml:space="preserve"> </w:t>
      </w:r>
      <w:r>
        <w:t xml:space="preserve">Estimating</w:t>
      </w:r>
      <w:r>
        <w:t xml:space="preserve"> </w:t>
      </w:r>
      <w:r>
        <w:t xml:space="preserve">Shear-Induced</w:t>
      </w:r>
      <w:r>
        <w:t xml:space="preserve"> </w:t>
      </w:r>
      <w:r>
        <w:t xml:space="preserve">Seismic</w:t>
      </w:r>
      <w:r>
        <w:t xml:space="preserve"> </w:t>
      </w:r>
      <w:r>
        <w:t xml:space="preserve">Slope</w:t>
      </w:r>
      <w:r>
        <w:t xml:space="preserve"> </w:t>
      </w:r>
      <w:r>
        <w:t xml:space="preserve">Displacement</w:t>
      </w:r>
      <w:r>
        <w:t xml:space="preserve"> </w:t>
      </w:r>
      <w:r>
        <w:t xml:space="preserve">for</w:t>
      </w:r>
      <w:r>
        <w:t xml:space="preserve"> </w:t>
      </w:r>
      <w:r>
        <w:t xml:space="preserve">Shallow</w:t>
      </w:r>
      <w:r>
        <w:t xml:space="preserve"> </w:t>
      </w:r>
      <w:r>
        <w:t xml:space="preserve">Crustal</w:t>
      </w:r>
      <w:r>
        <w:t xml:space="preserve"> </w:t>
      </w:r>
      <w:r>
        <w:t xml:space="preserve">Earthquakes</w:t>
      </w:r>
      <w:r>
        <w:t xml:space="preserve">.</w:t>
      </w:r>
      <w:r>
        <w:t xml:space="preserve"> </w:t>
      </w:r>
      <w:r>
        <w:rPr>
          <w:i/>
          <w:iCs/>
        </w:rPr>
        <w:t xml:space="preserve">Journal of Geotechnical and Geoenvironmental Engineering</w:t>
      </w:r>
      <w:r>
        <w:t xml:space="preserve">,</w:t>
      </w:r>
      <w:r>
        <w:t xml:space="preserve"> </w:t>
      </w:r>
      <w:r>
        <w:rPr>
          <w:i/>
          <w:iCs/>
        </w:rPr>
        <w:t xml:space="preserve">145</w:t>
      </w:r>
      <w:r>
        <w:t xml:space="preserve">(12), 04019106.</w:t>
      </w:r>
      <w:r>
        <w:t xml:space="preserve"> </w:t>
      </w:r>
      <w:hyperlink r:id="rId176">
        <w:r>
          <w:rPr>
            <w:rStyle w:val="Hyperlink"/>
          </w:rPr>
          <w:t xml:space="preserve">https://doi.org/10.1061/(ASCE)GT.1943-5606.0002143</w:t>
        </w:r>
      </w:hyperlink>
    </w:p>
    <w:bookmarkEnd w:id="177"/>
    <w:bookmarkStart w:id="179" w:name="ref-BrayEtAl2018"/>
    <w:p>
      <w:pPr>
        <w:pStyle w:val="Bibliography"/>
      </w:pPr>
      <w:r>
        <w:t xml:space="preserve">Bray, J. D., Macedo, J., &amp; Travasarou, T. (2018). Simplified</w:t>
      </w:r>
      <w:r>
        <w:t xml:space="preserve"> </w:t>
      </w:r>
      <w:r>
        <w:t xml:space="preserve">Procedure</w:t>
      </w:r>
      <w:r>
        <w:t xml:space="preserve"> </w:t>
      </w:r>
      <w:r>
        <w:t xml:space="preserve">for</w:t>
      </w:r>
      <w:r>
        <w:t xml:space="preserve"> </w:t>
      </w:r>
      <w:r>
        <w:t xml:space="preserve">Estimating</w:t>
      </w:r>
      <w:r>
        <w:t xml:space="preserve"> </w:t>
      </w:r>
      <w:r>
        <w:t xml:space="preserve">Seismic</w:t>
      </w:r>
      <w:r>
        <w:t xml:space="preserve"> </w:t>
      </w:r>
      <w:r>
        <w:t xml:space="preserve">Slope</w:t>
      </w:r>
      <w:r>
        <w:t xml:space="preserve"> </w:t>
      </w:r>
      <w:r>
        <w:t xml:space="preserve">Displacements</w:t>
      </w:r>
      <w:r>
        <w:t xml:space="preserve"> </w:t>
      </w:r>
      <w:r>
        <w:t xml:space="preserve">for</w:t>
      </w:r>
      <w:r>
        <w:t xml:space="preserve"> </w:t>
      </w:r>
      <w:r>
        <w:t xml:space="preserve">Subduction</w:t>
      </w:r>
      <w:r>
        <w:t xml:space="preserve"> </w:t>
      </w:r>
      <w:r>
        <w:t xml:space="preserve">Zone</w:t>
      </w:r>
      <w:r>
        <w:t xml:space="preserve"> </w:t>
      </w:r>
      <w:r>
        <w:t xml:space="preserve">Earthquakes</w:t>
      </w:r>
      <w:r>
        <w:t xml:space="preserve">.</w:t>
      </w:r>
      <w:r>
        <w:t xml:space="preserve"> </w:t>
      </w:r>
      <w:r>
        <w:rPr>
          <w:i/>
          <w:iCs/>
        </w:rPr>
        <w:t xml:space="preserve">Journal of Geotechnical and Geoenvironmental Engineering</w:t>
      </w:r>
      <w:r>
        <w:t xml:space="preserve">,</w:t>
      </w:r>
      <w:r>
        <w:t xml:space="preserve"> </w:t>
      </w:r>
      <w:r>
        <w:rPr>
          <w:i/>
          <w:iCs/>
        </w:rPr>
        <w:t xml:space="preserve">144</w:t>
      </w:r>
      <w:r>
        <w:t xml:space="preserve">(3), 04017124.</w:t>
      </w:r>
      <w:r>
        <w:t xml:space="preserve"> </w:t>
      </w:r>
      <w:hyperlink r:id="rId178">
        <w:r>
          <w:rPr>
            <w:rStyle w:val="Hyperlink"/>
          </w:rPr>
          <w:t xml:space="preserve">https://doi.org/10.1061/(ASCE)GT.1943-5606.0001833</w:t>
        </w:r>
      </w:hyperlink>
    </w:p>
    <w:bookmarkEnd w:id="179"/>
    <w:bookmarkStart w:id="181" w:name="ref-BrayTravasarou2007"/>
    <w:p>
      <w:pPr>
        <w:pStyle w:val="Bibliography"/>
      </w:pPr>
      <w:r>
        <w:t xml:space="preserve">Bray, J. D., &amp; Travasarou, T. (2007). Simplified</w:t>
      </w:r>
      <w:r>
        <w:t xml:space="preserve"> </w:t>
      </w:r>
      <w:r>
        <w:t xml:space="preserve">Procedure</w:t>
      </w:r>
      <w:r>
        <w:t xml:space="preserve"> </w:t>
      </w:r>
      <w:r>
        <w:t xml:space="preserve">for</w:t>
      </w:r>
      <w:r>
        <w:t xml:space="preserve"> </w:t>
      </w:r>
      <w:r>
        <w:t xml:space="preserve">Estimating</w:t>
      </w:r>
      <w:r>
        <w:t xml:space="preserve"> </w:t>
      </w:r>
      <w:r>
        <w:t xml:space="preserve">Earthquake-Induced</w:t>
      </w:r>
      <w:r>
        <w:t xml:space="preserve"> </w:t>
      </w:r>
      <w:r>
        <w:t xml:space="preserve">Deviatoric</w:t>
      </w:r>
      <w:r>
        <w:t xml:space="preserve"> </w:t>
      </w:r>
      <w:r>
        <w:t xml:space="preserve">Slope</w:t>
      </w:r>
      <w:r>
        <w:t xml:space="preserve"> </w:t>
      </w:r>
      <w:r>
        <w:t xml:space="preserve">Displacements</w:t>
      </w:r>
      <w:r>
        <w:t xml:space="preserve">.</w:t>
      </w:r>
      <w:r>
        <w:t xml:space="preserve"> </w:t>
      </w:r>
      <w:r>
        <w:rPr>
          <w:i/>
          <w:iCs/>
        </w:rPr>
        <w:t xml:space="preserve">Journal of Geotechnical and Geoenvironmental Engineering</w:t>
      </w:r>
      <w:r>
        <w:t xml:space="preserve">,</w:t>
      </w:r>
      <w:r>
        <w:t xml:space="preserve"> </w:t>
      </w:r>
      <w:r>
        <w:rPr>
          <w:i/>
          <w:iCs/>
        </w:rPr>
        <w:t xml:space="preserve">133</w:t>
      </w:r>
      <w:r>
        <w:t xml:space="preserve">(4), 381–392.</w:t>
      </w:r>
      <w:r>
        <w:t xml:space="preserve"> </w:t>
      </w:r>
      <w:hyperlink r:id="rId180">
        <w:r>
          <w:rPr>
            <w:rStyle w:val="Hyperlink"/>
          </w:rPr>
          <w:t xml:space="preserve">https://doi.org/10.1061/(ASCE)1090-0241(2007)133:4(381)</w:t>
        </w:r>
      </w:hyperlink>
    </w:p>
    <w:bookmarkEnd w:id="181"/>
    <w:bookmarkStart w:id="183" w:name="ref-BrayTravasarou2009"/>
    <w:p>
      <w:pPr>
        <w:pStyle w:val="Bibliography"/>
      </w:pPr>
      <w:r>
        <w:t xml:space="preserve">Bray, J. D., &amp; Travasarou, T. (2009). Pseudostatic</w:t>
      </w:r>
      <w:r>
        <w:t xml:space="preserve"> </w:t>
      </w:r>
      <w:r>
        <w:t xml:space="preserve">Coefficient</w:t>
      </w:r>
      <w:r>
        <w:t xml:space="preserve"> </w:t>
      </w:r>
      <w:r>
        <w:t xml:space="preserve">for</w:t>
      </w:r>
      <w:r>
        <w:t xml:space="preserve"> </w:t>
      </w:r>
      <w:r>
        <w:t xml:space="preserve">Use</w:t>
      </w:r>
      <w:r>
        <w:t xml:space="preserve"> </w:t>
      </w:r>
      <w:r>
        <w:t xml:space="preserve">in</w:t>
      </w:r>
      <w:r>
        <w:t xml:space="preserve"> </w:t>
      </w:r>
      <w:r>
        <w:t xml:space="preserve">Simplified</w:t>
      </w:r>
      <w:r>
        <w:t xml:space="preserve"> </w:t>
      </w:r>
      <w:r>
        <w:t xml:space="preserve">Seismic</w:t>
      </w:r>
      <w:r>
        <w:t xml:space="preserve"> </w:t>
      </w:r>
      <w:r>
        <w:t xml:space="preserve">Slope</w:t>
      </w:r>
      <w:r>
        <w:t xml:space="preserve"> </w:t>
      </w:r>
      <w:r>
        <w:t xml:space="preserve">Stability</w:t>
      </w:r>
      <w:r>
        <w:t xml:space="preserve"> </w:t>
      </w:r>
      <w:r>
        <w:t xml:space="preserve">Evaluation</w:t>
      </w:r>
      <w:r>
        <w:t xml:space="preserve">.</w:t>
      </w:r>
      <w:r>
        <w:t xml:space="preserve"> </w:t>
      </w:r>
      <w:r>
        <w:rPr>
          <w:i/>
          <w:iCs/>
        </w:rPr>
        <w:t xml:space="preserve">Journal of Geotechnical and Geoenvironmental Engineering</w:t>
      </w:r>
      <w:r>
        <w:t xml:space="preserve">,</w:t>
      </w:r>
      <w:r>
        <w:t xml:space="preserve"> </w:t>
      </w:r>
      <w:r>
        <w:rPr>
          <w:i/>
          <w:iCs/>
        </w:rPr>
        <w:t xml:space="preserve">135</w:t>
      </w:r>
      <w:r>
        <w:t xml:space="preserve">(9), 1336–1340.</w:t>
      </w:r>
      <w:r>
        <w:t xml:space="preserve"> </w:t>
      </w:r>
      <w:hyperlink r:id="rId182">
        <w:r>
          <w:rPr>
            <w:rStyle w:val="Hyperlink"/>
          </w:rPr>
          <w:t xml:space="preserve">https://doi.org/10.1061/(ASCE)GT.1943-5606.0000012</w:t>
        </w:r>
      </w:hyperlink>
    </w:p>
    <w:bookmarkEnd w:id="183"/>
    <w:bookmarkStart w:id="184" w:name="ref-BSSC2015"/>
    <w:p>
      <w:pPr>
        <w:pStyle w:val="Bibliography"/>
      </w:pPr>
      <w:r>
        <w:t xml:space="preserve">Building Seismic Safety Council. (2015).</w:t>
      </w:r>
      <w:r>
        <w:t xml:space="preserve"> </w:t>
      </w:r>
      <w:r>
        <w:rPr>
          <w:i/>
          <w:iCs/>
        </w:rPr>
        <w:t xml:space="preserve">NEHRP</w:t>
      </w:r>
      <w:r>
        <w:rPr>
          <w:i/>
          <w:iCs/>
        </w:rPr>
        <w:t xml:space="preserve"> </w:t>
      </w:r>
      <w:r>
        <w:rPr>
          <w:i/>
          <w:iCs/>
        </w:rPr>
        <w:t xml:space="preserve">Recommended</w:t>
      </w:r>
      <w:r>
        <w:rPr>
          <w:i/>
          <w:iCs/>
        </w:rPr>
        <w:t xml:space="preserve"> </w:t>
      </w:r>
      <w:r>
        <w:rPr>
          <w:i/>
          <w:iCs/>
        </w:rPr>
        <w:t xml:space="preserve">Seismic</w:t>
      </w:r>
      <w:r>
        <w:rPr>
          <w:i/>
          <w:iCs/>
        </w:rPr>
        <w:t xml:space="preserve"> </w:t>
      </w:r>
      <w:r>
        <w:rPr>
          <w:i/>
          <w:iCs/>
        </w:rPr>
        <w:t xml:space="preserve">Provisions</w:t>
      </w:r>
      <w:r>
        <w:rPr>
          <w:i/>
          <w:iCs/>
        </w:rPr>
        <w:t xml:space="preserve"> </w:t>
      </w:r>
      <w:r>
        <w:rPr>
          <w:i/>
          <w:iCs/>
        </w:rPr>
        <w:t xml:space="preserve">for</w:t>
      </w:r>
      <w:r>
        <w:rPr>
          <w:i/>
          <w:iCs/>
        </w:rPr>
        <w:t xml:space="preserve"> </w:t>
      </w:r>
      <w:r>
        <w:rPr>
          <w:i/>
          <w:iCs/>
        </w:rPr>
        <w:t xml:space="preserve">New</w:t>
      </w:r>
      <w:r>
        <w:rPr>
          <w:i/>
          <w:iCs/>
        </w:rPr>
        <w:t xml:space="preserve"> </w:t>
      </w:r>
      <w:r>
        <w:rPr>
          <w:i/>
          <w:iCs/>
        </w:rPr>
        <w:t xml:space="preserve">Buildings</w:t>
      </w:r>
      <w:r>
        <w:rPr>
          <w:i/>
          <w:iCs/>
        </w:rPr>
        <w:t xml:space="preserve"> </w:t>
      </w:r>
      <w:r>
        <w:rPr>
          <w:i/>
          <w:iCs/>
        </w:rPr>
        <w:t xml:space="preserve">and</w:t>
      </w:r>
      <w:r>
        <w:rPr>
          <w:i/>
          <w:iCs/>
        </w:rPr>
        <w:t xml:space="preserve"> </w:t>
      </w:r>
      <w:r>
        <w:rPr>
          <w:i/>
          <w:iCs/>
        </w:rPr>
        <w:t xml:space="preserve">Other</w:t>
      </w:r>
      <w:r>
        <w:rPr>
          <w:i/>
          <w:iCs/>
        </w:rPr>
        <w:t xml:space="preserve"> </w:t>
      </w:r>
      <w:r>
        <w:rPr>
          <w:i/>
          <w:iCs/>
        </w:rPr>
        <w:t xml:space="preserve">Structures</w:t>
      </w:r>
      <w:r>
        <w:t xml:space="preserve"> </w:t>
      </w:r>
      <w:r>
        <w:t xml:space="preserve">(Nos. FEMA P-1050-1). Federal Emergency Management Agency.</w:t>
      </w:r>
    </w:p>
    <w:bookmarkEnd w:id="184"/>
    <w:bookmarkStart w:id="186" w:name="ref-CampbellBozorgnia2014"/>
    <w:p>
      <w:pPr>
        <w:pStyle w:val="Bibliography"/>
      </w:pPr>
      <w:r>
        <w:t xml:space="preserve">Campbell, K. W., &amp; Bozorgnia, Y. (2014).</w:t>
      </w:r>
      <w:r>
        <w:t xml:space="preserve"> </w:t>
      </w:r>
      <w:r>
        <w:t xml:space="preserve">NGA-West2</w:t>
      </w:r>
      <w:r>
        <w:t xml:space="preserve"> </w:t>
      </w:r>
      <w:r>
        <w:t xml:space="preserve">Ground</w:t>
      </w:r>
      <w:r>
        <w:t xml:space="preserve"> </w:t>
      </w:r>
      <w:r>
        <w:t xml:space="preserve">Motion</w:t>
      </w:r>
      <w:r>
        <w:t xml:space="preserve"> </w:t>
      </w:r>
      <w:r>
        <w:t xml:space="preserve">Model</w:t>
      </w:r>
      <w:r>
        <w:t xml:space="preserve"> </w:t>
      </w:r>
      <w:r>
        <w:t xml:space="preserve">for the</w:t>
      </w:r>
      <w:r>
        <w:t xml:space="preserve"> </w:t>
      </w:r>
      <w:r>
        <w:t xml:space="preserve">Average</w:t>
      </w:r>
      <w:r>
        <w:t xml:space="preserve"> </w:t>
      </w:r>
      <w:r>
        <w:t xml:space="preserve">Horizontal</w:t>
      </w:r>
      <w:r>
        <w:t xml:space="preserve"> </w:t>
      </w:r>
      <w:r>
        <w:t xml:space="preserve">Components</w:t>
      </w:r>
      <w:r>
        <w:t xml:space="preserve"> </w:t>
      </w:r>
      <w:r>
        <w:t xml:space="preserve">of</w:t>
      </w:r>
      <w:r>
        <w:t xml:space="preserve"> </w:t>
      </w:r>
      <w:r>
        <w:t xml:space="preserve">PGA</w:t>
      </w:r>
      <w:r>
        <w:t xml:space="preserve">,</w:t>
      </w:r>
      <w:r>
        <w:t xml:space="preserve"> </w:t>
      </w:r>
      <w:r>
        <w:t xml:space="preserve">PGV</w:t>
      </w:r>
      <w:r>
        <w:t xml:space="preserve">, and 5%</w:t>
      </w:r>
      <w:r>
        <w:t xml:space="preserve"> </w:t>
      </w:r>
      <w:r>
        <w:t xml:space="preserve">Damped</w:t>
      </w:r>
      <w:r>
        <w:t xml:space="preserve"> </w:t>
      </w:r>
      <w:r>
        <w:t xml:space="preserve">Linear</w:t>
      </w:r>
      <w:r>
        <w:t xml:space="preserve"> </w:t>
      </w:r>
      <w:r>
        <w:t xml:space="preserve">Acceleration</w:t>
      </w:r>
      <w:r>
        <w:t xml:space="preserve"> </w:t>
      </w:r>
      <w:r>
        <w:t xml:space="preserve">Response</w:t>
      </w:r>
      <w:r>
        <w:t xml:space="preserve"> </w:t>
      </w:r>
      <w:r>
        <w:t xml:space="preserve">Spectra</w:t>
      </w:r>
      <w:r>
        <w:t xml:space="preserve">.</w:t>
      </w:r>
      <w:r>
        <w:t xml:space="preserve"> </w:t>
      </w:r>
      <w:r>
        <w:rPr>
          <w:i/>
          <w:iCs/>
        </w:rPr>
        <w:t xml:space="preserve">Earthquake Spectra</w:t>
      </w:r>
      <w:r>
        <w:t xml:space="preserve">,</w:t>
      </w:r>
      <w:r>
        <w:t xml:space="preserve"> </w:t>
      </w:r>
      <w:r>
        <w:rPr>
          <w:i/>
          <w:iCs/>
        </w:rPr>
        <w:t xml:space="preserve">30</w:t>
      </w:r>
      <w:r>
        <w:t xml:space="preserve">(3), 1087–1115.</w:t>
      </w:r>
      <w:r>
        <w:t xml:space="preserve"> </w:t>
      </w:r>
      <w:hyperlink r:id="rId185">
        <w:r>
          <w:rPr>
            <w:rStyle w:val="Hyperlink"/>
          </w:rPr>
          <w:t xml:space="preserve">https://doi.org/10.1193/062913EQS175M</w:t>
        </w:r>
      </w:hyperlink>
    </w:p>
    <w:bookmarkEnd w:id="186"/>
    <w:bookmarkStart w:id="187" w:name="ref-CDA2019"/>
    <w:p>
      <w:pPr>
        <w:pStyle w:val="Bibliography"/>
      </w:pPr>
      <w:r>
        <w:t xml:space="preserve">Canadian Dam Association. (2019).</w:t>
      </w:r>
      <w:r>
        <w:t xml:space="preserve"> </w:t>
      </w:r>
      <w:r>
        <w:rPr>
          <w:i/>
          <w:iCs/>
        </w:rPr>
        <w:t xml:space="preserve">Dam</w:t>
      </w:r>
      <w:r>
        <w:rPr>
          <w:i/>
          <w:iCs/>
        </w:rPr>
        <w:t xml:space="preserve"> </w:t>
      </w:r>
      <w:r>
        <w:rPr>
          <w:i/>
          <w:iCs/>
        </w:rPr>
        <w:t xml:space="preserve">Safety</w:t>
      </w:r>
      <w:r>
        <w:rPr>
          <w:i/>
          <w:iCs/>
        </w:rPr>
        <w:t xml:space="preserve"> </w:t>
      </w:r>
      <w:r>
        <w:rPr>
          <w:i/>
          <w:iCs/>
        </w:rPr>
        <w:t xml:space="preserve">Guidelines</w:t>
      </w:r>
      <w:r>
        <w:t xml:space="preserve">. Canadian Dam Association.</w:t>
      </w:r>
    </w:p>
    <w:bookmarkEnd w:id="187"/>
    <w:bookmarkStart w:id="188" w:name="ref-cda2021"/>
    <w:p>
      <w:pPr>
        <w:pStyle w:val="Bibliography"/>
      </w:pPr>
      <w:r>
        <w:t xml:space="preserve">Canadian Dam Association (CDA). (2021).</w:t>
      </w:r>
      <w:r>
        <w:t xml:space="preserve"> </w:t>
      </w:r>
      <w:r>
        <w:rPr>
          <w:i/>
          <w:iCs/>
        </w:rPr>
        <w:t xml:space="preserve">Technical</w:t>
      </w:r>
      <w:r>
        <w:rPr>
          <w:i/>
          <w:iCs/>
        </w:rPr>
        <w:t xml:space="preserve"> </w:t>
      </w:r>
      <w:r>
        <w:rPr>
          <w:i/>
          <w:iCs/>
        </w:rPr>
        <w:t xml:space="preserve">Bulletin</w:t>
      </w:r>
      <w:r>
        <w:rPr>
          <w:i/>
          <w:iCs/>
        </w:rPr>
        <w:t xml:space="preserv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Dam</w:t>
      </w:r>
      <w:r>
        <w:rPr>
          <w:i/>
          <w:iCs/>
        </w:rPr>
        <w:t xml:space="preserve"> </w:t>
      </w:r>
      <w:r>
        <w:rPr>
          <w:i/>
          <w:iCs/>
        </w:rPr>
        <w:t xml:space="preserve">Safety</w:t>
      </w:r>
      <w:r>
        <w:rPr>
          <w:i/>
          <w:iCs/>
        </w:rPr>
        <w:t xml:space="preserve"> </w:t>
      </w:r>
      <w:r>
        <w:rPr>
          <w:i/>
          <w:iCs/>
        </w:rPr>
        <w:t xml:space="preserve">Guidelines</w:t>
      </w:r>
      <w:r>
        <w:rPr>
          <w:i/>
          <w:iCs/>
        </w:rPr>
        <w:t xml:space="preserve"> </w:t>
      </w:r>
      <w:r>
        <w:rPr>
          <w:i/>
          <w:iCs/>
        </w:rPr>
        <w:t xml:space="preserve">to</w:t>
      </w:r>
      <w:r>
        <w:rPr>
          <w:i/>
          <w:iCs/>
        </w:rPr>
        <w:t xml:space="preserve"> </w:t>
      </w:r>
      <w:r>
        <w:rPr>
          <w:i/>
          <w:iCs/>
        </w:rPr>
        <w:t xml:space="preserve">Mining</w:t>
      </w:r>
      <w:r>
        <w:rPr>
          <w:i/>
          <w:iCs/>
        </w:rPr>
        <w:t xml:space="preserve"> </w:t>
      </w:r>
      <w:r>
        <w:rPr>
          <w:i/>
          <w:iCs/>
        </w:rPr>
        <w:t xml:space="preserve">Dams</w:t>
      </w:r>
      <w:r>
        <w:t xml:space="preserve">. CDA Technical Bulletin (first issued 2014, updated 2019; published in English 2021); CDA.</w:t>
      </w:r>
    </w:p>
    <w:bookmarkEnd w:id="188"/>
    <w:bookmarkStart w:id="190" w:name="ref-Chao2020"/>
    <w:p>
      <w:pPr>
        <w:pStyle w:val="Bibliography"/>
      </w:pPr>
      <w:r>
        <w:t xml:space="preserve">Chao, S.-H., Chiou, B., Hsu, C.-C., &amp; Lin, P.-S. (2020). A</w:t>
      </w:r>
      <w:r>
        <w:t xml:space="preserve"> </w:t>
      </w:r>
      <w:r>
        <w:t xml:space="preserve">Horizontal</w:t>
      </w:r>
      <w:r>
        <w:t xml:space="preserve"> </w:t>
      </w:r>
      <w:r>
        <w:t xml:space="preserve">Ground-Motion</w:t>
      </w:r>
      <w:r>
        <w:t xml:space="preserve"> </w:t>
      </w:r>
      <w:r>
        <w:t xml:space="preserve">Model</w:t>
      </w:r>
      <w:r>
        <w:t xml:space="preserve"> </w:t>
      </w:r>
      <w:r>
        <w:t xml:space="preserve">for</w:t>
      </w:r>
      <w:r>
        <w:t xml:space="preserve"> </w:t>
      </w:r>
      <w:r>
        <w:t xml:space="preserve">Crustal</w:t>
      </w:r>
      <w:r>
        <w:t xml:space="preserve"> </w:t>
      </w:r>
      <w:r>
        <w:t xml:space="preserve">and</w:t>
      </w:r>
      <w:r>
        <w:t xml:space="preserve"> </w:t>
      </w:r>
      <w:r>
        <w:t xml:space="preserve">Subduction</w:t>
      </w:r>
      <w:r>
        <w:t xml:space="preserve"> </w:t>
      </w:r>
      <w:r>
        <w:t xml:space="preserve">Earthquakes</w:t>
      </w:r>
      <w:r>
        <w:t xml:space="preserve"> </w:t>
      </w:r>
      <w:r>
        <w:t xml:space="preserve">in</w:t>
      </w:r>
      <w:r>
        <w:t xml:space="preserve"> </w:t>
      </w:r>
      <w:r>
        <w:t xml:space="preserve">Taiwan</w:t>
      </w:r>
      <w:r>
        <w:t xml:space="preserve">.</w:t>
      </w:r>
      <w:r>
        <w:t xml:space="preserve"> </w:t>
      </w:r>
      <w:r>
        <w:rPr>
          <w:i/>
          <w:iCs/>
        </w:rPr>
        <w:t xml:space="preserve">Earthquake Spectra</w:t>
      </w:r>
      <w:r>
        <w:t xml:space="preserve">.</w:t>
      </w:r>
      <w:r>
        <w:t xml:space="preserve"> </w:t>
      </w:r>
      <w:hyperlink r:id="rId189">
        <w:r>
          <w:rPr>
            <w:rStyle w:val="Hyperlink"/>
          </w:rPr>
          <w:t xml:space="preserve">https://doi.org/10.1177/8755293019891711</w:t>
        </w:r>
      </w:hyperlink>
    </w:p>
    <w:bookmarkEnd w:id="190"/>
    <w:bookmarkStart w:id="191" w:name="ref-Cornell1968"/>
    <w:p>
      <w:pPr>
        <w:pStyle w:val="Bibliography"/>
      </w:pPr>
      <w:r>
        <w:t xml:space="preserve">Cornell, C. A. (1968). Engineering</w:t>
      </w:r>
      <w:r>
        <w:t xml:space="preserve"> </w:t>
      </w:r>
      <w:r>
        <w:t xml:space="preserve">Seismic</w:t>
      </w:r>
      <w:r>
        <w:t xml:space="preserve"> </w:t>
      </w:r>
      <w:r>
        <w:t xml:space="preserve">Risk</w:t>
      </w:r>
      <w:r>
        <w:t xml:space="preserve"> </w:t>
      </w:r>
      <w:r>
        <w:t xml:space="preserve">Analysis</w:t>
      </w:r>
      <w:r>
        <w:t xml:space="preserve">.</w:t>
      </w:r>
      <w:r>
        <w:t xml:space="preserve"> </w:t>
      </w:r>
      <w:r>
        <w:rPr>
          <w:i/>
          <w:iCs/>
        </w:rPr>
        <w:t xml:space="preserve">Bulletin of the Seismological Society of America</w:t>
      </w:r>
      <w:r>
        <w:t xml:space="preserve">,</w:t>
      </w:r>
      <w:r>
        <w:t xml:space="preserve"> </w:t>
      </w:r>
      <w:r>
        <w:rPr>
          <w:i/>
          <w:iCs/>
        </w:rPr>
        <w:t xml:space="preserve">58</w:t>
      </w:r>
      <w:r>
        <w:t xml:space="preserve">(5), 1583–1606.</w:t>
      </w:r>
    </w:p>
    <w:bookmarkEnd w:id="191"/>
    <w:bookmarkStart w:id="193" w:name="ref-DakoulasGazetas1985Inhomogeneous"/>
    <w:p>
      <w:pPr>
        <w:pStyle w:val="Bibliography"/>
      </w:pPr>
      <w:r>
        <w:t xml:space="preserve">Dakoulas, P., &amp; Gazetas, G. (1985). A</w:t>
      </w:r>
      <w:r>
        <w:t xml:space="preserve"> </w:t>
      </w:r>
      <w:r>
        <w:t xml:space="preserve">Class</w:t>
      </w:r>
      <w:r>
        <w:t xml:space="preserve"> </w:t>
      </w:r>
      <w:r>
        <w:t xml:space="preserve">of</w:t>
      </w:r>
      <w:r>
        <w:t xml:space="preserve"> </w:t>
      </w:r>
      <w:r>
        <w:t xml:space="preserve">Inhomogeneous</w:t>
      </w:r>
      <w:r>
        <w:t xml:space="preserve"> </w:t>
      </w:r>
      <w:r>
        <w:t xml:space="preserve">Shear</w:t>
      </w:r>
      <w:r>
        <w:t xml:space="preserve"> </w:t>
      </w:r>
      <w:r>
        <w:t xml:space="preserve">Models</w:t>
      </w:r>
      <w:r>
        <w:t xml:space="preserve"> </w:t>
      </w:r>
      <w:r>
        <w:t xml:space="preserve">for</w:t>
      </w:r>
      <w:r>
        <w:t xml:space="preserve"> </w:t>
      </w:r>
      <w:r>
        <w:t xml:space="preserve">Seismic</w:t>
      </w:r>
      <w:r>
        <w:t xml:space="preserve"> </w:t>
      </w:r>
      <w:r>
        <w:t xml:space="preserve">Response</w:t>
      </w:r>
      <w:r>
        <w:t xml:space="preserve"> </w:t>
      </w:r>
      <w:r>
        <w:t xml:space="preserve">of</w:t>
      </w:r>
      <w:r>
        <w:t xml:space="preserve"> </w:t>
      </w:r>
      <w:r>
        <w:t xml:space="preserve">Dams</w:t>
      </w:r>
      <w:r>
        <w:t xml:space="preserve"> </w:t>
      </w:r>
      <w:r>
        <w:t xml:space="preserve">and</w:t>
      </w:r>
      <w:r>
        <w:t xml:space="preserve"> </w:t>
      </w:r>
      <w:r>
        <w:t xml:space="preserve">Embankments</w:t>
      </w:r>
      <w:r>
        <w:t xml:space="preserve">.</w:t>
      </w:r>
      <w:r>
        <w:t xml:space="preserve"> </w:t>
      </w:r>
      <w:r>
        <w:rPr>
          <w:i/>
          <w:iCs/>
        </w:rPr>
        <w:t xml:space="preserve">International Journal of Soil Dynamics and Earthquake Engineering</w:t>
      </w:r>
      <w:r>
        <w:t xml:space="preserve">,</w:t>
      </w:r>
      <w:r>
        <w:t xml:space="preserve"> </w:t>
      </w:r>
      <w:r>
        <w:rPr>
          <w:i/>
          <w:iCs/>
        </w:rPr>
        <w:t xml:space="preserve">4</w:t>
      </w:r>
      <w:r>
        <w:t xml:space="preserve">(4), 166–182.</w:t>
      </w:r>
      <w:r>
        <w:t xml:space="preserve"> </w:t>
      </w:r>
      <w:hyperlink r:id="rId192">
        <w:r>
          <w:rPr>
            <w:rStyle w:val="Hyperlink"/>
          </w:rPr>
          <w:t xml:space="preserve">https://doi.org/10.1016/0261-7277(85)90037-3</w:t>
        </w:r>
      </w:hyperlink>
    </w:p>
    <w:bookmarkEnd w:id="193"/>
    <w:bookmarkStart w:id="195" w:name="ref-DragomiretskiyZosso2014"/>
    <w:p>
      <w:pPr>
        <w:pStyle w:val="Bibliography"/>
      </w:pPr>
      <w:r>
        <w:t xml:space="preserve">Dragomiretskiy, K., &amp; Zosso, D. (2014). Variational</w:t>
      </w:r>
      <w:r>
        <w:t xml:space="preserve"> </w:t>
      </w:r>
      <w:r>
        <w:t xml:space="preserve">Mode</w:t>
      </w:r>
      <w:r>
        <w:t xml:space="preserve"> </w:t>
      </w:r>
      <w:r>
        <w:t xml:space="preserve">Decomposition</w:t>
      </w:r>
      <w:r>
        <w:t xml:space="preserve">.</w:t>
      </w:r>
      <w:r>
        <w:t xml:space="preserve"> </w:t>
      </w:r>
      <w:r>
        <w:rPr>
          <w:i/>
          <w:iCs/>
        </w:rPr>
        <w:t xml:space="preserve">IEEE Transactions on Signal Processing</w:t>
      </w:r>
      <w:r>
        <w:t xml:space="preserve">,</w:t>
      </w:r>
      <w:r>
        <w:t xml:space="preserve"> </w:t>
      </w:r>
      <w:r>
        <w:rPr>
          <w:i/>
          <w:iCs/>
        </w:rPr>
        <w:t xml:space="preserve">62</w:t>
      </w:r>
      <w:r>
        <w:t xml:space="preserve">(3), 531–544.</w:t>
      </w:r>
      <w:r>
        <w:t xml:space="preserve"> </w:t>
      </w:r>
      <w:hyperlink r:id="rId194">
        <w:r>
          <w:rPr>
            <w:rStyle w:val="Hyperlink"/>
          </w:rPr>
          <w:t xml:space="preserve">https://doi.org/10.1109/TSP.2013.2288675</w:t>
        </w:r>
      </w:hyperlink>
    </w:p>
    <w:bookmarkEnd w:id="195"/>
    <w:bookmarkStart w:id="196" w:name="ref-CEN2004"/>
    <w:p>
      <w:pPr>
        <w:pStyle w:val="Bibliography"/>
      </w:pPr>
      <w:r>
        <w:t xml:space="preserve">European Committee for Standardization. (2004).</w:t>
      </w:r>
      <w:r>
        <w:t xml:space="preserve"> </w:t>
      </w:r>
      <w:r>
        <w:rPr>
          <w:i/>
          <w:iCs/>
        </w:rPr>
        <w:t xml:space="preserve">Eurocode 8:</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Structures</w:t>
      </w:r>
      <w:r>
        <w:rPr>
          <w:i/>
          <w:iCs/>
        </w:rPr>
        <w:t xml:space="preserve"> </w:t>
      </w:r>
      <w:r>
        <w:rPr>
          <w:i/>
          <w:iCs/>
        </w:rPr>
        <w:t xml:space="preserve">for</w:t>
      </w:r>
      <w:r>
        <w:rPr>
          <w:i/>
          <w:iCs/>
        </w:rPr>
        <w:t xml:space="preserve"> </w:t>
      </w:r>
      <w:r>
        <w:rPr>
          <w:i/>
          <w:iCs/>
        </w:rPr>
        <w:t xml:space="preserve">Earthquake</w:t>
      </w:r>
      <w:r>
        <w:rPr>
          <w:i/>
          <w:iCs/>
        </w:rPr>
        <w:t xml:space="preserve"> </w:t>
      </w:r>
      <w:r>
        <w:rPr>
          <w:i/>
          <w:iCs/>
        </w:rPr>
        <w:t xml:space="preserve">Resistance</w:t>
      </w:r>
      <w:r>
        <w:rPr>
          <w:i/>
          <w:iCs/>
        </w:rPr>
        <w:t xml:space="preserve"> </w:t>
      </w:r>
      <w:r>
        <w:rPr>
          <w:i/>
          <w:iCs/>
        </w:rPr>
        <w:t xml:space="preserve">–</w:t>
      </w:r>
      <w:r>
        <w:rPr>
          <w:i/>
          <w:iCs/>
        </w:rPr>
        <w:t xml:space="preserve"> </w:t>
      </w:r>
      <w:r>
        <w:rPr>
          <w:i/>
          <w:iCs/>
        </w:rPr>
        <w:t xml:space="preserve">Part</w:t>
      </w:r>
      <w:r>
        <w:rPr>
          <w:i/>
          <w:iCs/>
        </w:rPr>
        <w:t xml:space="preserve"> </w:t>
      </w:r>
      <w:r>
        <w:rPr>
          <w:i/>
          <w:iCs/>
        </w:rPr>
        <w:t xml:space="preserve">5:</w:t>
      </w:r>
      <w:r>
        <w:rPr>
          <w:i/>
          <w:iCs/>
        </w:rPr>
        <w:t xml:space="preserve"> </w:t>
      </w:r>
      <w:r>
        <w:rPr>
          <w:i/>
          <w:iCs/>
        </w:rPr>
        <w:t xml:space="preserve">Foundations</w:t>
      </w:r>
      <w:r>
        <w:rPr>
          <w:i/>
          <w:iCs/>
        </w:rPr>
        <w:t xml:space="preserve">,</w:t>
      </w:r>
      <w:r>
        <w:rPr>
          <w:i/>
          <w:iCs/>
        </w:rPr>
        <w:t xml:space="preserve"> </w:t>
      </w:r>
      <w:r>
        <w:rPr>
          <w:i/>
          <w:iCs/>
        </w:rPr>
        <w:t xml:space="preserve">Retaining</w:t>
      </w:r>
      <w:r>
        <w:rPr>
          <w:i/>
          <w:iCs/>
        </w:rPr>
        <w:t xml:space="preserve"> </w:t>
      </w:r>
      <w:r>
        <w:rPr>
          <w:i/>
          <w:iCs/>
        </w:rPr>
        <w:t xml:space="preserve">Structures</w:t>
      </w:r>
      <w:r>
        <w:rPr>
          <w:i/>
          <w:iCs/>
        </w:rPr>
        <w:t xml:space="preserve"> </w:t>
      </w:r>
      <w:r>
        <w:rPr>
          <w:i/>
          <w:iCs/>
        </w:rPr>
        <w:t xml:space="preserve">and</w:t>
      </w:r>
      <w:r>
        <w:rPr>
          <w:i/>
          <w:iCs/>
        </w:rPr>
        <w:t xml:space="preserve"> </w:t>
      </w:r>
      <w:r>
        <w:rPr>
          <w:i/>
          <w:iCs/>
        </w:rPr>
        <w:t xml:space="preserve">Geotechnical</w:t>
      </w:r>
      <w:r>
        <w:rPr>
          <w:i/>
          <w:iCs/>
        </w:rPr>
        <w:t xml:space="preserve"> </w:t>
      </w:r>
      <w:r>
        <w:rPr>
          <w:i/>
          <w:iCs/>
        </w:rPr>
        <w:t xml:space="preserve">Aspects</w:t>
      </w:r>
      <w:r>
        <w:t xml:space="preserve"> </w:t>
      </w:r>
      <w:r>
        <w:t xml:space="preserve">(European Standard Nos. EN 1998-5). European Committee for Standardization.</w:t>
      </w:r>
    </w:p>
    <w:bookmarkEnd w:id="196"/>
    <w:bookmarkStart w:id="197" w:name="ref-FEMA2005"/>
    <w:p>
      <w:pPr>
        <w:pStyle w:val="Bibliography"/>
      </w:pPr>
      <w:r>
        <w:t xml:space="preserve">Federal Emergency Management Agency. (2005).</w:t>
      </w:r>
      <w:r>
        <w:t xml:space="preserve"> </w:t>
      </w:r>
      <w:r>
        <w:rPr>
          <w:i/>
          <w:iCs/>
        </w:rPr>
        <w:t xml:space="preserve">Federal</w:t>
      </w:r>
      <w:r>
        <w:rPr>
          <w:i/>
          <w:iCs/>
        </w:rPr>
        <w:t xml:space="preserve"> </w:t>
      </w:r>
      <w:r>
        <w:rPr>
          <w:i/>
          <w:iCs/>
        </w:rPr>
        <w:t xml:space="preserve">Guidelines</w:t>
      </w:r>
      <w:r>
        <w:rPr>
          <w:i/>
          <w:iCs/>
        </w:rPr>
        <w:t xml:space="preserve"> </w:t>
      </w:r>
      <w:r>
        <w:rPr>
          <w:i/>
          <w:iCs/>
        </w:rPr>
        <w:t xml:space="preserve">for</w:t>
      </w:r>
      <w:r>
        <w:rPr>
          <w:i/>
          <w:iCs/>
        </w:rPr>
        <w:t xml:space="preserve"> </w:t>
      </w:r>
      <w:r>
        <w:rPr>
          <w:i/>
          <w:iCs/>
        </w:rPr>
        <w:t xml:space="preserve">Dam</w:t>
      </w:r>
      <w:r>
        <w:rPr>
          <w:i/>
          <w:iCs/>
        </w:rPr>
        <w:t xml:space="preserve"> </w:t>
      </w:r>
      <w:r>
        <w:rPr>
          <w:i/>
          <w:iCs/>
        </w:rPr>
        <w:t xml:space="preserve">Safety</w:t>
      </w:r>
      <w:r>
        <w:rPr>
          <w:i/>
          <w:iCs/>
        </w:rPr>
        <w:t xml:space="preserve">:</w:t>
      </w:r>
      <w:r>
        <w:rPr>
          <w:i/>
          <w:iCs/>
        </w:rPr>
        <w:t xml:space="preserve"> </w:t>
      </w:r>
      <w:r>
        <w:rPr>
          <w:i/>
          <w:iCs/>
        </w:rPr>
        <w:t xml:space="preserve">Earthquake</w:t>
      </w:r>
      <w:r>
        <w:rPr>
          <w:i/>
          <w:iCs/>
        </w:rPr>
        <w:t xml:space="preserve"> </w:t>
      </w:r>
      <w:r>
        <w:rPr>
          <w:i/>
          <w:iCs/>
        </w:rPr>
        <w:t xml:space="preserve">Analyses</w:t>
      </w:r>
      <w:r>
        <w:rPr>
          <w:i/>
          <w:iCs/>
        </w:rPr>
        <w:t xml:space="preserve"> </w:t>
      </w:r>
      <w:r>
        <w:rPr>
          <w:i/>
          <w:iCs/>
        </w:rPr>
        <w:t xml:space="preserve">and</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Dams</w:t>
      </w:r>
      <w:r>
        <w:t xml:space="preserve"> </w:t>
      </w:r>
      <w:r>
        <w:t xml:space="preserve">(Nos. P-65). Federal Emergency Management Agency.</w:t>
      </w:r>
    </w:p>
    <w:bookmarkEnd w:id="197"/>
    <w:bookmarkStart w:id="199" w:name="ref-OpenQuakeEngine"/>
    <w:p>
      <w:pPr>
        <w:pStyle w:val="Bibliography"/>
      </w:pPr>
      <w:r>
        <w:t xml:space="preserve">GEM Foundation. (2023).</w:t>
      </w:r>
      <w:r>
        <w:t xml:space="preserve"> </w:t>
      </w:r>
      <w:r>
        <w:rPr>
          <w:i/>
          <w:iCs/>
        </w:rPr>
        <w:t xml:space="preserve">OpenQuake Engine</w:t>
      </w:r>
      <w:r>
        <w:rPr>
          <w:i/>
          <w:iCs/>
        </w:rPr>
        <w:t xml:space="preserve"> </w:t>
      </w:r>
      <w:r>
        <w:rPr>
          <w:i/>
          <w:iCs/>
        </w:rPr>
        <w:t xml:space="preserve">User</w:t>
      </w:r>
      <w:r>
        <w:rPr>
          <w:i/>
          <w:iCs/>
        </w:rPr>
        <w:t xml:space="preserve"> </w:t>
      </w:r>
      <w:r>
        <w:rPr>
          <w:i/>
          <w:iCs/>
        </w:rPr>
        <w:t xml:space="preserve">Manual</w:t>
      </w:r>
      <w:r>
        <w:t xml:space="preserve">.</w:t>
      </w:r>
      <w:r>
        <w:t xml:space="preserve"> </w:t>
      </w:r>
      <w:hyperlink r:id="rId198">
        <w:r>
          <w:rPr>
            <w:rStyle w:val="Hyperlink"/>
          </w:rPr>
          <w:t xml:space="preserve">https://docs.openquake.org/oq-engine/current/manual/</w:t>
        </w:r>
      </w:hyperlink>
    </w:p>
    <w:bookmarkEnd w:id="199"/>
    <w:bookmarkStart w:id="200" w:name="ref-AS1726-2017"/>
    <w:p>
      <w:pPr>
        <w:pStyle w:val="Bibliography"/>
      </w:pPr>
      <w:r>
        <w:t xml:space="preserve">Geotechnical</w:t>
      </w:r>
      <w:r>
        <w:t xml:space="preserve"> </w:t>
      </w:r>
      <w:r>
        <w:t xml:space="preserve">Site</w:t>
      </w:r>
      <w:r>
        <w:t xml:space="preserve"> </w:t>
      </w:r>
      <w:r>
        <w:t xml:space="preserve">Investigations</w:t>
      </w:r>
      <w:r>
        <w:t xml:space="preserve">, Pub. L. No. AS 1726 (2017).</w:t>
      </w:r>
    </w:p>
    <w:bookmarkEnd w:id="200"/>
    <w:bookmarkStart w:id="202" w:name="ref-OpenQuakeManual2024"/>
    <w:p>
      <w:pPr>
        <w:pStyle w:val="Bibliography"/>
      </w:pPr>
      <w:r>
        <w:t xml:space="preserve">Global Earthquake Model Foundation. (2024).</w:t>
      </w:r>
      <w:r>
        <w:t xml:space="preserve"> </w:t>
      </w:r>
      <w:r>
        <w:rPr>
          <w:i/>
          <w:iCs/>
        </w:rPr>
        <w:t xml:space="preserve">OpenQuake</w:t>
      </w:r>
      <w:r>
        <w:rPr>
          <w:i/>
          <w:iCs/>
        </w:rPr>
        <w:t xml:space="preserve"> </w:t>
      </w:r>
      <w:r>
        <w:rPr>
          <w:i/>
          <w:iCs/>
        </w:rPr>
        <w:t xml:space="preserve">Engine</w:t>
      </w:r>
      <w:r>
        <w:rPr>
          <w:i/>
          <w:iCs/>
        </w:rPr>
        <w:t xml:space="preserve"> </w:t>
      </w:r>
      <w:r>
        <w:rPr>
          <w:i/>
          <w:iCs/>
        </w:rPr>
        <w:t xml:space="preserve">User</w:t>
      </w:r>
      <w:r>
        <w:rPr>
          <w:i/>
          <w:iCs/>
        </w:rPr>
        <w:t xml:space="preserve"> </w:t>
      </w:r>
      <w:r>
        <w:rPr>
          <w:i/>
          <w:iCs/>
        </w:rPr>
        <w:t xml:space="preserve">Manual</w:t>
      </w:r>
      <w:r>
        <w:rPr>
          <w:i/>
          <w:iCs/>
        </w:rPr>
        <w:t xml:space="preserve">,</w:t>
      </w:r>
      <w:r>
        <w:rPr>
          <w:i/>
          <w:iCs/>
        </w:rPr>
        <w:t xml:space="preserve"> </w:t>
      </w:r>
      <w:r>
        <w:rPr>
          <w:i/>
          <w:iCs/>
        </w:rPr>
        <w:t xml:space="preserve">Version</w:t>
      </w:r>
      <w:r>
        <w:rPr>
          <w:i/>
          <w:iCs/>
        </w:rPr>
        <w:t xml:space="preserve"> </w:t>
      </w:r>
      <w:r>
        <w:rPr>
          <w:i/>
          <w:iCs/>
        </w:rPr>
        <w:t xml:space="preserve">3.21</w:t>
      </w:r>
      <w:r>
        <w:t xml:space="preserve">.</w:t>
      </w:r>
      <w:r>
        <w:t xml:space="preserve"> </w:t>
      </w:r>
      <w:hyperlink r:id="rId201">
        <w:r>
          <w:rPr>
            <w:rStyle w:val="Hyperlink"/>
          </w:rPr>
          <w:t xml:space="preserve">https://docs.openquake.org/oq-engine/3.21/</w:t>
        </w:r>
      </w:hyperlink>
    </w:p>
    <w:bookmarkEnd w:id="202"/>
    <w:bookmarkStart w:id="204" w:name="ref-gistm2020"/>
    <w:p>
      <w:pPr>
        <w:pStyle w:val="Bibliography"/>
      </w:pPr>
      <w:r>
        <w:t xml:space="preserve">Global Tailings Review (ICMM, UNEP, PRI). (2020).</w:t>
      </w:r>
      <w:r>
        <w:t xml:space="preserve"> </w:t>
      </w:r>
      <w:r>
        <w:rPr>
          <w:i/>
          <w:iCs/>
        </w:rPr>
        <w:t xml:space="preserve">Global</w:t>
      </w:r>
      <w:r>
        <w:rPr>
          <w:i/>
          <w:iCs/>
        </w:rPr>
        <w:t xml:space="preserve"> </w:t>
      </w:r>
      <w:r>
        <w:rPr>
          <w:i/>
          <w:iCs/>
        </w:rPr>
        <w:t xml:space="preserve">Industry</w:t>
      </w:r>
      <w:r>
        <w:rPr>
          <w:i/>
          <w:iCs/>
        </w:rPr>
        <w:t xml:space="preserve"> </w:t>
      </w:r>
      <w:r>
        <w:rPr>
          <w:i/>
          <w:iCs/>
        </w:rPr>
        <w:t xml:space="preserve">Standard</w:t>
      </w:r>
      <w:r>
        <w:rPr>
          <w:i/>
          <w:iCs/>
        </w:rPr>
        <w:t xml:space="preserve"> </w:t>
      </w:r>
      <w:r>
        <w:rPr>
          <w:i/>
          <w:iCs/>
        </w:rPr>
        <w:t xml:space="preserve">on</w:t>
      </w:r>
      <w:r>
        <w:rPr>
          <w:i/>
          <w:iCs/>
        </w:rPr>
        <w:t xml:space="preserve"> </w:t>
      </w:r>
      <w:r>
        <w:rPr>
          <w:i/>
          <w:iCs/>
        </w:rPr>
        <w:t xml:space="preserve">Tailings</w:t>
      </w:r>
      <w:r>
        <w:rPr>
          <w:i/>
          <w:iCs/>
        </w:rPr>
        <w:t xml:space="preserve"> </w:t>
      </w:r>
      <w:r>
        <w:rPr>
          <w:i/>
          <w:iCs/>
        </w:rPr>
        <w:t xml:space="preserve">Management</w:t>
      </w:r>
      <w:r>
        <w:t xml:space="preserve">.</w:t>
      </w:r>
      <w:r>
        <w:t xml:space="preserve"> </w:t>
      </w:r>
      <w:hyperlink r:id="rId203">
        <w:r>
          <w:rPr>
            <w:rStyle w:val="Hyperlink"/>
          </w:rPr>
          <w:t xml:space="preserve">https://globaltailingsreview.org/wp-content/uploads/2020/08/global-industry-standard-on-tailings-management.pdf</w:t>
        </w:r>
      </w:hyperlink>
      <w:r>
        <w:t xml:space="preserve">; Global Tailings Review.</w:t>
      </w:r>
    </w:p>
    <w:bookmarkEnd w:id="204"/>
    <w:bookmarkStart w:id="206" w:name="ref-Goulet2017"/>
    <w:p>
      <w:pPr>
        <w:pStyle w:val="Bibliography"/>
      </w:pPr>
      <w:r>
        <w:t xml:space="preserve">Goulet, C. A., Bozorgnia, Y., Abrahamson, N., et al.</w:t>
      </w:r>
      <w:r>
        <w:t xml:space="preserve"> (2017).</w:t>
      </w:r>
      <w:r>
        <w:t xml:space="preserve"> </w:t>
      </w:r>
      <w:r>
        <w:rPr>
          <w:i/>
          <w:iCs/>
        </w:rPr>
        <w:t xml:space="preserve">Central and</w:t>
      </w:r>
      <w:r>
        <w:rPr>
          <w:i/>
          <w:iCs/>
        </w:rPr>
        <w:t xml:space="preserve"> </w:t>
      </w:r>
      <w:r>
        <w:rPr>
          <w:i/>
          <w:iCs/>
        </w:rPr>
        <w:t xml:space="preserve">Eastern</w:t>
      </w:r>
      <w:r>
        <w:rPr>
          <w:i/>
          <w:iCs/>
        </w:rPr>
        <w:t xml:space="preserve"> </w:t>
      </w:r>
      <w:r>
        <w:rPr>
          <w:i/>
          <w:iCs/>
        </w:rPr>
        <w:t xml:space="preserve">North-America</w:t>
      </w:r>
      <w:r>
        <w:rPr>
          <w:i/>
          <w:iCs/>
        </w:rPr>
        <w:t xml:space="preserve"> </w:t>
      </w:r>
      <w:r>
        <w:rPr>
          <w:i/>
          <w:iCs/>
        </w:rPr>
        <w:t xml:space="preserve">Ground-Motion</w:t>
      </w:r>
      <w:r>
        <w:rPr>
          <w:i/>
          <w:iCs/>
        </w:rPr>
        <w:t xml:space="preserve"> </w:t>
      </w:r>
      <w:r>
        <w:rPr>
          <w:i/>
          <w:iCs/>
        </w:rPr>
        <w:t xml:space="preserve">Characterization</w:t>
      </w:r>
      <w:r>
        <w:rPr>
          <w:i/>
          <w:iCs/>
        </w:rPr>
        <w:t xml:space="preserve"> </w:t>
      </w:r>
      <w:r>
        <w:rPr>
          <w:i/>
          <w:iCs/>
        </w:rPr>
        <w:t xml:space="preserve">–</w:t>
      </w:r>
      <w:r>
        <w:rPr>
          <w:i/>
          <w:iCs/>
        </w:rPr>
        <w:t xml:space="preserve"> </w:t>
      </w:r>
      <w:r>
        <w:rPr>
          <w:i/>
          <w:iCs/>
        </w:rPr>
        <w:t xml:space="preserve">NGA-East</w:t>
      </w:r>
      <w:r>
        <w:rPr>
          <w:i/>
          <w:iCs/>
        </w:rPr>
        <w:t xml:space="preserve">:</w:t>
      </w:r>
      <w:r>
        <w:rPr>
          <w:i/>
          <w:iCs/>
        </w:rPr>
        <w:t xml:space="preserve"> </w:t>
      </w:r>
      <w:r>
        <w:rPr>
          <w:i/>
          <w:iCs/>
        </w:rPr>
        <w:t xml:space="preserve">Final</w:t>
      </w:r>
      <w:r>
        <w:rPr>
          <w:i/>
          <w:iCs/>
        </w:rPr>
        <w:t xml:space="preserve"> </w:t>
      </w:r>
      <w:r>
        <w:rPr>
          <w:i/>
          <w:iCs/>
        </w:rPr>
        <w:t xml:space="preserve">Report</w:t>
      </w:r>
      <w:r>
        <w:t xml:space="preserve"> </w:t>
      </w:r>
      <w:r>
        <w:t xml:space="preserve">(No. 2017/03). Pacific Earthquake Engineering Research Center.</w:t>
      </w:r>
      <w:r>
        <w:t xml:space="preserve"> </w:t>
      </w:r>
      <w:hyperlink r:id="rId205">
        <w:r>
          <w:rPr>
            <w:rStyle w:val="Hyperlink"/>
          </w:rPr>
          <w:t xml:space="preserve">https://peer.berkeley.edu/new-peer-report-201703</w:t>
        </w:r>
      </w:hyperlink>
    </w:p>
    <w:bookmarkEnd w:id="206"/>
    <w:bookmarkStart w:id="208" w:name="ref-HardinBlack1968"/>
    <w:p>
      <w:pPr>
        <w:pStyle w:val="Bibliography"/>
      </w:pPr>
      <w:r>
        <w:t xml:space="preserve">Hardin, B. O., &amp; Black, W. L. (1968). Vibration</w:t>
      </w:r>
      <w:r>
        <w:t xml:space="preserve"> </w:t>
      </w:r>
      <w:r>
        <w:t xml:space="preserve">Modulus</w:t>
      </w:r>
      <w:r>
        <w:t xml:space="preserve"> </w:t>
      </w:r>
      <w:r>
        <w:t xml:space="preserve">of</w:t>
      </w:r>
      <w:r>
        <w:t xml:space="preserve"> </w:t>
      </w:r>
      <w:r>
        <w:t xml:space="preserve">Normally</w:t>
      </w:r>
      <w:r>
        <w:t xml:space="preserve"> </w:t>
      </w:r>
      <w:r>
        <w:t xml:space="preserve">Consolidated</w:t>
      </w:r>
      <w:r>
        <w:t xml:space="preserve"> </w:t>
      </w:r>
      <w:r>
        <w:t xml:space="preserve">Clay</w:t>
      </w:r>
      <w:r>
        <w:t xml:space="preserve">.</w:t>
      </w:r>
      <w:r>
        <w:t xml:space="preserve"> </w:t>
      </w:r>
      <w:r>
        <w:rPr>
          <w:i/>
          <w:iCs/>
        </w:rPr>
        <w:t xml:space="preserve">Journal of the Soil Mechanics and Foundations Division</w:t>
      </w:r>
      <w:r>
        <w:t xml:space="preserve">,</w:t>
      </w:r>
      <w:r>
        <w:t xml:space="preserve"> </w:t>
      </w:r>
      <w:r>
        <w:rPr>
          <w:i/>
          <w:iCs/>
        </w:rPr>
        <w:t xml:space="preserve">94</w:t>
      </w:r>
      <w:r>
        <w:t xml:space="preserve">(2), 353–369.</w:t>
      </w:r>
      <w:r>
        <w:t xml:space="preserve"> </w:t>
      </w:r>
      <w:hyperlink r:id="rId207">
        <w:r>
          <w:rPr>
            <w:rStyle w:val="Hyperlink"/>
          </w:rPr>
          <w:t xml:space="preserve">https://doi.org/10.1061/JSFEAQ.0001100</w:t>
        </w:r>
      </w:hyperlink>
    </w:p>
    <w:bookmarkEnd w:id="208"/>
    <w:bookmarkStart w:id="210" w:name="ref-HardinDrnevich1972"/>
    <w:p>
      <w:pPr>
        <w:pStyle w:val="Bibliography"/>
      </w:pPr>
      <w:r>
        <w:t xml:space="preserve">Hardin, B. O., &amp; Drnevich, V. P. (1972). Shear</w:t>
      </w:r>
      <w:r>
        <w:t xml:space="preserve"> </w:t>
      </w:r>
      <w:r>
        <w:t xml:space="preserve">Modulus</w:t>
      </w:r>
      <w:r>
        <w:t xml:space="preserve"> </w:t>
      </w:r>
      <w:r>
        <w:t xml:space="preserve">and</w:t>
      </w:r>
      <w:r>
        <w:t xml:space="preserve"> </w:t>
      </w:r>
      <w:r>
        <w:t xml:space="preserve">Damping</w:t>
      </w:r>
      <w:r>
        <w:t xml:space="preserve"> </w:t>
      </w:r>
      <w:r>
        <w:t xml:space="preserve">in</w:t>
      </w:r>
      <w:r>
        <w:t xml:space="preserve"> </w:t>
      </w:r>
      <w:r>
        <w:t xml:space="preserve">Soils</w:t>
      </w:r>
      <w:r>
        <w:t xml:space="preserve">:</w:t>
      </w:r>
      <w:r>
        <w:t xml:space="preserve"> </w:t>
      </w:r>
      <w:r>
        <w:t xml:space="preserve">Measurement</w:t>
      </w:r>
      <w:r>
        <w:t xml:space="preserve"> </w:t>
      </w:r>
      <w:r>
        <w:t xml:space="preserve">and</w:t>
      </w:r>
      <w:r>
        <w:t xml:space="preserve"> </w:t>
      </w:r>
      <w:r>
        <w:t xml:space="preserve">Parameter</w:t>
      </w:r>
      <w:r>
        <w:t xml:space="preserve"> </w:t>
      </w:r>
      <w:r>
        <w:t xml:space="preserve">Effects</w:t>
      </w:r>
      <w:r>
        <w:t xml:space="preserve">.</w:t>
      </w:r>
      <w:r>
        <w:t xml:space="preserve"> </w:t>
      </w:r>
      <w:r>
        <w:rPr>
          <w:i/>
          <w:iCs/>
        </w:rPr>
        <w:t xml:space="preserve">Journal of the Soil Mechanics and Foundations Division</w:t>
      </w:r>
      <w:r>
        <w:t xml:space="preserve">,</w:t>
      </w:r>
      <w:r>
        <w:t xml:space="preserve"> </w:t>
      </w:r>
      <w:r>
        <w:rPr>
          <w:i/>
          <w:iCs/>
        </w:rPr>
        <w:t xml:space="preserve">98</w:t>
      </w:r>
      <w:r>
        <w:t xml:space="preserve">(6), 603–624.</w:t>
      </w:r>
      <w:r>
        <w:t xml:space="preserve"> </w:t>
      </w:r>
      <w:hyperlink r:id="rId209">
        <w:r>
          <w:rPr>
            <w:rStyle w:val="Hyperlink"/>
          </w:rPr>
          <w:t xml:space="preserve">https://doi.org/10.1061/JSFEAQ.0001756</w:t>
        </w:r>
      </w:hyperlink>
    </w:p>
    <w:bookmarkEnd w:id="210"/>
    <w:bookmarkStart w:id="212" w:name="ref-Hashash2020"/>
    <w:p>
      <w:pPr>
        <w:pStyle w:val="Bibliography"/>
      </w:pPr>
      <w:r>
        <w:t xml:space="preserve">Hashash, Y. M. A., Ilhan, O., Harmon, J. A., Parker, G. A., Stewart, J. P., Rathje, E. M., Campbell, K. W., &amp; Silva, W. J. (2020). Nonlinear</w:t>
      </w:r>
      <w:r>
        <w:t xml:space="preserve"> </w:t>
      </w:r>
      <w:r>
        <w:t xml:space="preserve">Site</w:t>
      </w:r>
      <w:r>
        <w:t xml:space="preserve"> </w:t>
      </w:r>
      <w:r>
        <w:t xml:space="preserve">Amplification</w:t>
      </w:r>
      <w:r>
        <w:t xml:space="preserve"> </w:t>
      </w:r>
      <w:r>
        <w:t xml:space="preserve">Model</w:t>
      </w:r>
      <w:r>
        <w:t xml:space="preserve"> </w:t>
      </w:r>
      <w:r>
        <w:t xml:space="preserve">for</w:t>
      </w:r>
      <w:r>
        <w:t xml:space="preserve"> </w:t>
      </w:r>
      <w:r>
        <w:t xml:space="preserve">Ergodic</w:t>
      </w:r>
      <w:r>
        <w:t xml:space="preserve"> </w:t>
      </w:r>
      <w:r>
        <w:t xml:space="preserve">Seismic</w:t>
      </w:r>
      <w:r>
        <w:t xml:space="preserve"> </w:t>
      </w:r>
      <w:r>
        <w:t xml:space="preserve">Hazard</w:t>
      </w:r>
      <w:r>
        <w:t xml:space="preserve"> </w:t>
      </w:r>
      <w:r>
        <w:t xml:space="preserve">Analysis</w:t>
      </w:r>
      <w:r>
        <w:t xml:space="preserve"> </w:t>
      </w:r>
      <w:r>
        <w:t xml:space="preserve">in</w:t>
      </w:r>
      <w:r>
        <w:t xml:space="preserve"> </w:t>
      </w:r>
      <w:r>
        <w:t xml:space="preserve">Central</w:t>
      </w:r>
      <w:r>
        <w:t xml:space="preserve"> </w:t>
      </w:r>
      <w:r>
        <w:t xml:space="preserve">and</w:t>
      </w:r>
      <w:r>
        <w:t xml:space="preserve"> </w:t>
      </w:r>
      <w:r>
        <w:t xml:space="preserve">Eastern</w:t>
      </w:r>
      <w:r>
        <w:t xml:space="preserve"> </w:t>
      </w:r>
      <w:r>
        <w:t xml:space="preserve">North</w:t>
      </w:r>
      <w:r>
        <w:t xml:space="preserve"> </w:t>
      </w:r>
      <w:r>
        <w:t xml:space="preserve">America</w:t>
      </w:r>
      <w:r>
        <w:t xml:space="preserve">.</w:t>
      </w:r>
      <w:r>
        <w:t xml:space="preserve"> </w:t>
      </w:r>
      <w:r>
        <w:rPr>
          <w:i/>
          <w:iCs/>
        </w:rPr>
        <w:t xml:space="preserve">Earthquake Spectra</w:t>
      </w:r>
      <w:r>
        <w:t xml:space="preserve">,</w:t>
      </w:r>
      <w:r>
        <w:t xml:space="preserve"> </w:t>
      </w:r>
      <w:r>
        <w:rPr>
          <w:i/>
          <w:iCs/>
        </w:rPr>
        <w:t xml:space="preserve">36</w:t>
      </w:r>
      <w:r>
        <w:t xml:space="preserve">(1), 69–86.</w:t>
      </w:r>
      <w:r>
        <w:t xml:space="preserve"> </w:t>
      </w:r>
      <w:hyperlink r:id="rId211">
        <w:r>
          <w:rPr>
            <w:rStyle w:val="Hyperlink"/>
          </w:rPr>
          <w:t xml:space="preserve">https://doi.org/10.1177/8755293019878193</w:t>
        </w:r>
      </w:hyperlink>
    </w:p>
    <w:bookmarkEnd w:id="212"/>
    <w:bookmarkStart w:id="214" w:name="ref-HuangEtAl1998"/>
    <w:p>
      <w:pPr>
        <w:pStyle w:val="Bibliography"/>
      </w:pPr>
      <w:r>
        <w:t xml:space="preserve">Huang, N. E., Shen, Z., Long, S. R., Wu, M. C., Shih, H. H., Zheng, Q., Yen, N.-C., Tung, C. C., &amp; Liu, H. H. (1998). The</w:t>
      </w:r>
      <w:r>
        <w:t xml:space="preserve"> </w:t>
      </w:r>
      <w:r>
        <w:t xml:space="preserve">Empirical</w:t>
      </w:r>
      <w:r>
        <w:t xml:space="preserve"> </w:t>
      </w:r>
      <w:r>
        <w:t xml:space="preserve">Mode</w:t>
      </w:r>
      <w:r>
        <w:t xml:space="preserve"> </w:t>
      </w:r>
      <w:r>
        <w:t xml:space="preserve">Decomposition</w:t>
      </w:r>
      <w:r>
        <w:t xml:space="preserve"> </w:t>
      </w:r>
      <w:r>
        <w:t xml:space="preserve">and the</w:t>
      </w:r>
      <w:r>
        <w:t xml:space="preserve"> </w:t>
      </w:r>
      <w:r>
        <w:t xml:space="preserve">Hilbert</w:t>
      </w:r>
      <w:r>
        <w:t xml:space="preserve"> </w:t>
      </w:r>
      <w:r>
        <w:t xml:space="preserve">Spectrum</w:t>
      </w:r>
      <w:r>
        <w:t xml:space="preserve"> </w:t>
      </w:r>
      <w:r>
        <w:t xml:space="preserve">for</w:t>
      </w:r>
      <w:r>
        <w:t xml:space="preserve"> </w:t>
      </w:r>
      <w:r>
        <w:t xml:space="preserve">Nonlinear</w:t>
      </w:r>
      <w:r>
        <w:t xml:space="preserve"> </w:t>
      </w:r>
      <w:r>
        <w:t xml:space="preserve">and</w:t>
      </w:r>
      <w:r>
        <w:t xml:space="preserve"> </w:t>
      </w:r>
      <w:r>
        <w:t xml:space="preserve">Non-Stationary</w:t>
      </w:r>
      <w:r>
        <w:t xml:space="preserve"> </w:t>
      </w:r>
      <w:r>
        <w:t xml:space="preserve">Time</w:t>
      </w:r>
      <w:r>
        <w:t xml:space="preserve"> </w:t>
      </w:r>
      <w:r>
        <w:t xml:space="preserve">Series</w:t>
      </w:r>
      <w:r>
        <w:t xml:space="preserve"> </w:t>
      </w:r>
      <w:r>
        <w:t xml:space="preserve">Analysis</w:t>
      </w:r>
      <w:r>
        <w:t xml:space="preserve">.</w:t>
      </w:r>
      <w:r>
        <w:t xml:space="preserve"> </w:t>
      </w:r>
      <w:r>
        <w:rPr>
          <w:i/>
          <w:iCs/>
        </w:rPr>
        <w:t xml:space="preserve">Proceedings of the Royal Society of London. Series A: Mathematical, Physical and Engineering Sciences</w:t>
      </w:r>
      <w:r>
        <w:t xml:space="preserve">,</w:t>
      </w:r>
      <w:r>
        <w:t xml:space="preserve"> </w:t>
      </w:r>
      <w:r>
        <w:rPr>
          <w:i/>
          <w:iCs/>
        </w:rPr>
        <w:t xml:space="preserve">454</w:t>
      </w:r>
      <w:r>
        <w:t xml:space="preserve">(1971), 903–995.</w:t>
      </w:r>
      <w:r>
        <w:t xml:space="preserve"> </w:t>
      </w:r>
      <w:hyperlink r:id="rId213">
        <w:r>
          <w:rPr>
            <w:rStyle w:val="Hyperlink"/>
          </w:rPr>
          <w:t xml:space="preserve">https://doi.org/10.1098/rspa.1998.0193</w:t>
        </w:r>
      </w:hyperlink>
    </w:p>
    <w:bookmarkEnd w:id="214"/>
    <w:bookmarkStart w:id="215" w:name="ref-ICOLD2016"/>
    <w:p>
      <w:pPr>
        <w:pStyle w:val="Bibliography"/>
      </w:pPr>
      <w:r>
        <w:t xml:space="preserve">International Commission on Large Dams. (2016).</w:t>
      </w:r>
      <w:r>
        <w:t xml:space="preserve"> </w:t>
      </w:r>
      <w:r>
        <w:rPr>
          <w:i/>
          <w:iCs/>
        </w:rPr>
        <w:t xml:space="preserve">Selecting</w:t>
      </w:r>
      <w:r>
        <w:rPr>
          <w:i/>
          <w:iCs/>
        </w:rPr>
        <w:t xml:space="preserve"> </w:t>
      </w:r>
      <w:r>
        <w:rPr>
          <w:i/>
          <w:iCs/>
        </w:rPr>
        <w:t xml:space="preserve">Seismic</w:t>
      </w:r>
      <w:r>
        <w:rPr>
          <w:i/>
          <w:iCs/>
        </w:rPr>
        <w:t xml:space="preserve"> </w:t>
      </w:r>
      <w:r>
        <w:rPr>
          <w:i/>
          <w:iCs/>
        </w:rPr>
        <w:t xml:space="preserve">Parameters</w:t>
      </w:r>
      <w:r>
        <w:rPr>
          <w:i/>
          <w:iCs/>
        </w:rPr>
        <w:t xml:space="preserve"> </w:t>
      </w:r>
      <w:r>
        <w:rPr>
          <w:i/>
          <w:iCs/>
        </w:rPr>
        <w:t xml:space="preserve">for</w:t>
      </w:r>
      <w:r>
        <w:rPr>
          <w:i/>
          <w:iCs/>
        </w:rPr>
        <w:t xml:space="preserve"> </w:t>
      </w:r>
      <w:r>
        <w:rPr>
          <w:i/>
          <w:iCs/>
        </w:rPr>
        <w:t xml:space="preserve">Large</w:t>
      </w:r>
      <w:r>
        <w:rPr>
          <w:i/>
          <w:iCs/>
        </w:rPr>
        <w:t xml:space="preserve"> </w:t>
      </w:r>
      <w:r>
        <w:rPr>
          <w:i/>
          <w:iCs/>
        </w:rPr>
        <w:t xml:space="preserve">Dams</w:t>
      </w:r>
      <w:r>
        <w:rPr>
          <w:i/>
          <w:iCs/>
        </w:rPr>
        <w:t xml:space="preserve"> </w:t>
      </w:r>
      <w:r>
        <w:rPr>
          <w:i/>
          <w:iCs/>
        </w:rPr>
        <w:t xml:space="preserve">–</w:t>
      </w:r>
      <w:r>
        <w:rPr>
          <w:i/>
          <w:iCs/>
        </w:rPr>
        <w:t xml:space="preserve"> </w:t>
      </w:r>
      <w:r>
        <w:rPr>
          <w:i/>
          <w:iCs/>
        </w:rPr>
        <w:t xml:space="preserve">Guidelines</w:t>
      </w:r>
      <w:r>
        <w:t xml:space="preserve"> </w:t>
      </w:r>
      <w:r>
        <w:t xml:space="preserve">(Bulletin No. 148). International Commission on Large Dams.</w:t>
      </w:r>
    </w:p>
    <w:bookmarkEnd w:id="215"/>
    <w:bookmarkStart w:id="217" w:name="ref-Ishihara1996"/>
    <w:p>
      <w:pPr>
        <w:pStyle w:val="Bibliography"/>
      </w:pPr>
      <w:r>
        <w:t xml:space="preserve">Ishihara, K. (1996).</w:t>
      </w:r>
      <w:r>
        <w:t xml:space="preserve"> </w:t>
      </w:r>
      <w:r>
        <w:rPr>
          <w:i/>
          <w:iCs/>
        </w:rPr>
        <w:t xml:space="preserve">Soil</w:t>
      </w:r>
      <w:r>
        <w:rPr>
          <w:i/>
          <w:iCs/>
        </w:rPr>
        <w:t xml:space="preserve"> </w:t>
      </w:r>
      <w:r>
        <w:rPr>
          <w:i/>
          <w:iCs/>
        </w:rPr>
        <w:t xml:space="preserve">Behaviour</w:t>
      </w:r>
      <w:r>
        <w:rPr>
          <w:i/>
          <w:iCs/>
        </w:rPr>
        <w:t xml:space="preserve"> </w:t>
      </w:r>
      <w:r>
        <w:rPr>
          <w:i/>
          <w:iCs/>
        </w:rPr>
        <w:t xml:space="preserve">in</w:t>
      </w:r>
      <w:r>
        <w:rPr>
          <w:i/>
          <w:iCs/>
        </w:rPr>
        <w:t xml:space="preserve"> </w:t>
      </w:r>
      <w:r>
        <w:rPr>
          <w:i/>
          <w:iCs/>
        </w:rPr>
        <w:t xml:space="preserve">Earthquake</w:t>
      </w:r>
      <w:r>
        <w:rPr>
          <w:i/>
          <w:iCs/>
        </w:rPr>
        <w:t xml:space="preserve"> </w:t>
      </w:r>
      <w:r>
        <w:rPr>
          <w:i/>
          <w:iCs/>
        </w:rPr>
        <w:t xml:space="preserve">Geotechnics</w:t>
      </w:r>
      <w:r>
        <w:t xml:space="preserve">. Clarendon Press; Oxford University Press.</w:t>
      </w:r>
      <w:r>
        <w:t xml:space="preserve"> </w:t>
      </w:r>
      <w:hyperlink r:id="rId216">
        <w:r>
          <w:rPr>
            <w:rStyle w:val="Hyperlink"/>
          </w:rPr>
          <w:t xml:space="preserve">https://doi.org/10.1093/oso/9780198562245.001.0001</w:t>
        </w:r>
      </w:hyperlink>
    </w:p>
    <w:bookmarkEnd w:id="217"/>
    <w:bookmarkStart w:id="219" w:name="ref-Jaimes2020"/>
    <w:p>
      <w:pPr>
        <w:pStyle w:val="Bibliography"/>
      </w:pPr>
      <w:r>
        <w:t xml:space="preserve">Jaimes, M. A., &amp; Garcia-Soto, A. D. (2020). Updated</w:t>
      </w:r>
      <w:r>
        <w:t xml:space="preserve"> </w:t>
      </w:r>
      <w:r>
        <w:t xml:space="preserve">Ground-Motion</w:t>
      </w:r>
      <w:r>
        <w:t xml:space="preserve"> </w:t>
      </w:r>
      <w:r>
        <w:t xml:space="preserve">Prediction</w:t>
      </w:r>
      <w:r>
        <w:t xml:space="preserve"> </w:t>
      </w:r>
      <w:r>
        <w:t xml:space="preserve">Equations</w:t>
      </w:r>
      <w:r>
        <w:t xml:space="preserve"> </w:t>
      </w:r>
      <w:r>
        <w:t xml:space="preserve">for</w:t>
      </w:r>
      <w:r>
        <w:t xml:space="preserve"> </w:t>
      </w:r>
      <w:r>
        <w:t xml:space="preserve">Mexican</w:t>
      </w:r>
      <w:r>
        <w:t xml:space="preserve"> </w:t>
      </w:r>
      <w:r>
        <w:t xml:space="preserve">Intermediate-Depth</w:t>
      </w:r>
      <w:r>
        <w:t xml:space="preserve"> </w:t>
      </w:r>
      <w:r>
        <w:t xml:space="preserve">Intraslab</w:t>
      </w:r>
      <w:r>
        <w:t xml:space="preserve"> </w:t>
      </w:r>
      <w:r>
        <w:t xml:space="preserve">Earthquakes</w:t>
      </w:r>
      <w:r>
        <w:t xml:space="preserve"> </w:t>
      </w:r>
      <w:r>
        <w:t xml:space="preserve">Including</w:t>
      </w:r>
      <w:r>
        <w:t xml:space="preserve"> </w:t>
      </w:r>
      <w:r>
        <w:t xml:space="preserve">V/H</w:t>
      </w:r>
      <w:r>
        <w:t xml:space="preserve"> </w:t>
      </w:r>
      <w:r>
        <w:t xml:space="preserve">Ratios</w:t>
      </w:r>
      <w:r>
        <w:t xml:space="preserve">.</w:t>
      </w:r>
      <w:r>
        <w:t xml:space="preserve"> </w:t>
      </w:r>
      <w:r>
        <w:rPr>
          <w:i/>
          <w:iCs/>
        </w:rPr>
        <w:t xml:space="preserve">Earthquake Spectra</w:t>
      </w:r>
      <w:r>
        <w:t xml:space="preserve">,</w:t>
      </w:r>
      <w:r>
        <w:t xml:space="preserve"> </w:t>
      </w:r>
      <w:r>
        <w:rPr>
          <w:i/>
          <w:iCs/>
        </w:rPr>
        <w:t xml:space="preserve">36</w:t>
      </w:r>
      <w:r>
        <w:t xml:space="preserve">(1), 196–216.</w:t>
      </w:r>
      <w:r>
        <w:t xml:space="preserve"> </w:t>
      </w:r>
      <w:hyperlink r:id="rId218">
        <w:r>
          <w:rPr>
            <w:rStyle w:val="Hyperlink"/>
          </w:rPr>
          <w:t xml:space="preserve">https://doi.org/10.1177/8755293019899947</w:t>
        </w:r>
      </w:hyperlink>
    </w:p>
    <w:bookmarkEnd w:id="219"/>
    <w:bookmarkStart w:id="221" w:name="ref-Jibson2007"/>
    <w:p>
      <w:pPr>
        <w:pStyle w:val="Bibliography"/>
      </w:pPr>
      <w:r>
        <w:t xml:space="preserve">Jibson, R. W. (2007). Regression</w:t>
      </w:r>
      <w:r>
        <w:t xml:space="preserve"> </w:t>
      </w:r>
      <w:r>
        <w:t xml:space="preserve">Models</w:t>
      </w:r>
      <w:r>
        <w:t xml:space="preserve"> </w:t>
      </w:r>
      <w:r>
        <w:t xml:space="preserve">for</w:t>
      </w:r>
      <w:r>
        <w:t xml:space="preserve"> </w:t>
      </w:r>
      <w:r>
        <w:t xml:space="preserve">Estimating</w:t>
      </w:r>
      <w:r>
        <w:t xml:space="preserve"> </w:t>
      </w:r>
      <w:r>
        <w:t xml:space="preserve">Coseismic</w:t>
      </w:r>
      <w:r>
        <w:t xml:space="preserve"> </w:t>
      </w:r>
      <w:r>
        <w:t xml:space="preserve">Landslide</w:t>
      </w:r>
      <w:r>
        <w:t xml:space="preserve"> </w:t>
      </w:r>
      <w:r>
        <w:t xml:space="preserve">Displacement</w:t>
      </w:r>
      <w:r>
        <w:t xml:space="preserve">.</w:t>
      </w:r>
      <w:r>
        <w:t xml:space="preserve"> </w:t>
      </w:r>
      <w:r>
        <w:rPr>
          <w:i/>
          <w:iCs/>
        </w:rPr>
        <w:t xml:space="preserve">Engineering Geology</w:t>
      </w:r>
      <w:r>
        <w:t xml:space="preserve">,</w:t>
      </w:r>
      <w:r>
        <w:t xml:space="preserve"> </w:t>
      </w:r>
      <w:r>
        <w:rPr>
          <w:i/>
          <w:iCs/>
        </w:rPr>
        <w:t xml:space="preserve">91</w:t>
      </w:r>
      <w:r>
        <w:t xml:space="preserve">(2–4), 209–218.</w:t>
      </w:r>
      <w:r>
        <w:t xml:space="preserve"> </w:t>
      </w:r>
      <w:hyperlink r:id="rId220">
        <w:r>
          <w:rPr>
            <w:rStyle w:val="Hyperlink"/>
          </w:rPr>
          <w:t xml:space="preserve">https://doi.org/10.1016/j.enggeo.2007.01.013</w:t>
        </w:r>
      </w:hyperlink>
    </w:p>
    <w:bookmarkEnd w:id="221"/>
    <w:bookmarkStart w:id="223" w:name="ref-Kotha2020"/>
    <w:p>
      <w:pPr>
        <w:pStyle w:val="Bibliography"/>
      </w:pPr>
      <w:r>
        <w:t xml:space="preserve">Kotha, S. R., Weatherill, G., Bindi, D., &amp; Cotton, F. (2020). A</w:t>
      </w:r>
      <w:r>
        <w:t xml:space="preserve"> </w:t>
      </w:r>
      <w:r>
        <w:t xml:space="preserve">Regionally-Adaptable</w:t>
      </w:r>
      <w:r>
        <w:t xml:space="preserve"> </w:t>
      </w:r>
      <w:r>
        <w:t xml:space="preserve">Ground-Motion</w:t>
      </w:r>
      <w:r>
        <w:t xml:space="preserve"> </w:t>
      </w:r>
      <w:r>
        <w:t xml:space="preserve">Model</w:t>
      </w:r>
      <w:r>
        <w:t xml:space="preserve"> </w:t>
      </w:r>
      <w:r>
        <w:t xml:space="preserve">for</w:t>
      </w:r>
      <w:r>
        <w:t xml:space="preserve"> </w:t>
      </w:r>
      <w:r>
        <w:t xml:space="preserve">Shallow</w:t>
      </w:r>
      <w:r>
        <w:t xml:space="preserve"> </w:t>
      </w:r>
      <w:r>
        <w:t xml:space="preserve">Crustal</w:t>
      </w:r>
      <w:r>
        <w:t xml:space="preserve"> </w:t>
      </w:r>
      <w:r>
        <w:t xml:space="preserve">Earthquakes</w:t>
      </w:r>
      <w:r>
        <w:t xml:space="preserve"> </w:t>
      </w:r>
      <w:r>
        <w:t xml:space="preserve">in</w:t>
      </w:r>
      <w:r>
        <w:t xml:space="preserve"> </w:t>
      </w:r>
      <w:r>
        <w:t xml:space="preserve">Europe</w:t>
      </w:r>
      <w:r>
        <w:t xml:space="preserve">.</w:t>
      </w:r>
      <w:r>
        <w:t xml:space="preserve"> </w:t>
      </w:r>
      <w:r>
        <w:rPr>
          <w:i/>
          <w:iCs/>
        </w:rPr>
        <w:t xml:space="preserve">Bulletin of Earthquake Engineering</w:t>
      </w:r>
      <w:r>
        <w:t xml:space="preserve">,</w:t>
      </w:r>
      <w:r>
        <w:t xml:space="preserve"> </w:t>
      </w:r>
      <w:r>
        <w:rPr>
          <w:i/>
          <w:iCs/>
        </w:rPr>
        <w:t xml:space="preserve">18</w:t>
      </w:r>
      <w:r>
        <w:t xml:space="preserve">, 4091–4125.</w:t>
      </w:r>
      <w:r>
        <w:t xml:space="preserve"> </w:t>
      </w:r>
      <w:hyperlink r:id="rId222">
        <w:r>
          <w:rPr>
            <w:rStyle w:val="Hyperlink"/>
          </w:rPr>
          <w:t xml:space="preserve">https://doi.org/10.1007/s10518-020-00869-1</w:t>
        </w:r>
      </w:hyperlink>
    </w:p>
    <w:bookmarkEnd w:id="223"/>
    <w:bookmarkStart w:id="224" w:name="ref-Kramer1997"/>
    <w:p>
      <w:pPr>
        <w:pStyle w:val="Bibliography"/>
      </w:pPr>
      <w:r>
        <w:t xml:space="preserve">Kramer, S. (1997).</w:t>
      </w:r>
      <w:r>
        <w:t xml:space="preserve"> </w:t>
      </w:r>
      <w:r>
        <w:rPr>
          <w:i/>
          <w:iCs/>
        </w:rPr>
        <w:t xml:space="preserve">Geotechnical earthquake engineering</w:t>
      </w:r>
      <w:r>
        <w:t xml:space="preserve">. Prentice Hall.</w:t>
      </w:r>
    </w:p>
    <w:bookmarkEnd w:id="224"/>
    <w:bookmarkStart w:id="226" w:name="ref-Kuehn2020"/>
    <w:p>
      <w:pPr>
        <w:pStyle w:val="Bibliography"/>
      </w:pPr>
      <w:r>
        <w:t xml:space="preserve">Kuehn, N. M., Bozorgnia, Y., Campbell, K. W., &amp; Gregor, N. (2020).</w:t>
      </w:r>
      <w:r>
        <w:t xml:space="preserve"> </w:t>
      </w:r>
      <w:r>
        <w:rPr>
          <w:i/>
          <w:iCs/>
        </w:rPr>
        <w:t xml:space="preserve">Partially</w:t>
      </w:r>
      <w:r>
        <w:rPr>
          <w:i/>
          <w:iCs/>
        </w:rPr>
        <w:t xml:space="preserve"> </w:t>
      </w:r>
      <w:r>
        <w:rPr>
          <w:i/>
          <w:iCs/>
        </w:rPr>
        <w:t xml:space="preserve">Non-Ergodic</w:t>
      </w:r>
      <w:r>
        <w:rPr>
          <w:i/>
          <w:iCs/>
        </w:rPr>
        <w:t xml:space="preserve"> </w:t>
      </w:r>
      <w:r>
        <w:rPr>
          <w:i/>
          <w:iCs/>
        </w:rPr>
        <w:t xml:space="preserve">Ground-Motion</w:t>
      </w:r>
      <w:r>
        <w:rPr>
          <w:i/>
          <w:iCs/>
        </w:rPr>
        <w:t xml:space="preserve"> </w:t>
      </w:r>
      <w:r>
        <w:rPr>
          <w:i/>
          <w:iCs/>
        </w:rPr>
        <w:t xml:space="preserve">Model</w:t>
      </w:r>
      <w:r>
        <w:rPr>
          <w:i/>
          <w:iCs/>
        </w:rPr>
        <w:t xml:space="preserve"> </w:t>
      </w:r>
      <w:r>
        <w:rPr>
          <w:i/>
          <w:iCs/>
        </w:rPr>
        <w:t xml:space="preserve">for</w:t>
      </w:r>
      <w:r>
        <w:rPr>
          <w:i/>
          <w:iCs/>
        </w:rPr>
        <w:t xml:space="preserve"> </w:t>
      </w:r>
      <w:r>
        <w:rPr>
          <w:i/>
          <w:iCs/>
        </w:rPr>
        <w:t xml:space="preserve">Subduction</w:t>
      </w:r>
      <w:r>
        <w:rPr>
          <w:i/>
          <w:iCs/>
        </w:rPr>
        <w:t xml:space="preserve"> </w:t>
      </w:r>
      <w:r>
        <w:rPr>
          <w:i/>
          <w:iCs/>
        </w:rPr>
        <w:t xml:space="preserve">Regions</w:t>
      </w:r>
      <w:r>
        <w:rPr>
          <w:i/>
          <w:iCs/>
        </w:rPr>
        <w:t xml:space="preserve"> </w:t>
      </w:r>
      <w:r>
        <w:rPr>
          <w:i/>
          <w:iCs/>
        </w:rPr>
        <w:t xml:space="preserve">Using</w:t>
      </w:r>
      <w:r>
        <w:rPr>
          <w:i/>
          <w:iCs/>
        </w:rPr>
        <w:t xml:space="preserve"> </w:t>
      </w:r>
      <w:r>
        <w:rPr>
          <w:i/>
          <w:iCs/>
        </w:rPr>
        <w:t xml:space="preserve">the</w:t>
      </w:r>
      <w:r>
        <w:rPr>
          <w:i/>
          <w:iCs/>
        </w:rPr>
        <w:t xml:space="preserve"> </w:t>
      </w:r>
      <w:r>
        <w:rPr>
          <w:i/>
          <w:iCs/>
        </w:rPr>
        <w:t xml:space="preserve">NGA-Subduction</w:t>
      </w:r>
      <w:r>
        <w:rPr>
          <w:i/>
          <w:iCs/>
        </w:rPr>
        <w:t xml:space="preserve"> </w:t>
      </w:r>
      <w:r>
        <w:rPr>
          <w:i/>
          <w:iCs/>
        </w:rPr>
        <w:t xml:space="preserve">Database</w:t>
      </w:r>
      <w:r>
        <w:t xml:space="preserve"> </w:t>
      </w:r>
      <w:r>
        <w:t xml:space="preserve">(No. 2020/04). Pacific Earthquake Engineering Research Center.</w:t>
      </w:r>
      <w:r>
        <w:t xml:space="preserve"> </w:t>
      </w:r>
      <w:hyperlink r:id="rId225">
        <w:r>
          <w:rPr>
            <w:rStyle w:val="Hyperlink"/>
          </w:rPr>
          <w:t xml:space="preserve">https://peer.berkeley.edu/publications/2020-04</w:t>
        </w:r>
      </w:hyperlink>
    </w:p>
    <w:bookmarkEnd w:id="226"/>
    <w:bookmarkStart w:id="227" w:name="ref-Luco2007"/>
    <w:p>
      <w:pPr>
        <w:pStyle w:val="Bibliography"/>
      </w:pPr>
      <w:r>
        <w:t xml:space="preserve">Luco, N., Ellingwood, B. R., Hamburger, R. O., Hooper, J. D., Kimball, J. K., &amp; Kircher, C. A. (2007). Risk-targeted versus</w:t>
      </w:r>
      <w:r>
        <w:t xml:space="preserve"> </w:t>
      </w:r>
      <w:r>
        <w:t xml:space="preserve">Current</w:t>
      </w:r>
      <w:r>
        <w:t xml:space="preserve"> </w:t>
      </w:r>
      <w:r>
        <w:t xml:space="preserve">Seismic</w:t>
      </w:r>
      <w:r>
        <w:t xml:space="preserve"> </w:t>
      </w:r>
      <w:r>
        <w:t xml:space="preserve">Design</w:t>
      </w:r>
      <w:r>
        <w:t xml:space="preserve"> </w:t>
      </w:r>
      <w:r>
        <w:t xml:space="preserve">Maps</w:t>
      </w:r>
      <w:r>
        <w:t xml:space="preserve"> </w:t>
      </w:r>
      <w:r>
        <w:t xml:space="preserve">for the</w:t>
      </w:r>
      <w:r>
        <w:t xml:space="preserve"> </w:t>
      </w:r>
      <w:r>
        <w:t xml:space="preserve">Conterminous</w:t>
      </w:r>
      <w:r>
        <w:t xml:space="preserve"> </w:t>
      </w:r>
      <w:r>
        <w:t xml:space="preserve">United</w:t>
      </w:r>
      <w:r>
        <w:t xml:space="preserve"> </w:t>
      </w:r>
      <w:r>
        <w:t xml:space="preserve">States</w:t>
      </w:r>
      <w:r>
        <w:t xml:space="preserve">.</w:t>
      </w:r>
      <w:r>
        <w:t xml:space="preserve"> </w:t>
      </w:r>
      <w:r>
        <w:rPr>
          <w:i/>
          <w:iCs/>
        </w:rPr>
        <w:t xml:space="preserve">SEAOC 2007 Convention Proceedings</w:t>
      </w:r>
      <w:r>
        <w:t xml:space="preserve">.</w:t>
      </w:r>
    </w:p>
    <w:bookmarkEnd w:id="227"/>
    <w:bookmarkStart w:id="229" w:name="ref-MacedoEtAl2018"/>
    <w:p>
      <w:pPr>
        <w:pStyle w:val="Bibliography"/>
      </w:pPr>
      <w:r>
        <w:t xml:space="preserve">Macedo, J., Bray, J. D., Abrahamson, N. A., &amp; Travasarou, T. (2018). Performance-based</w:t>
      </w:r>
      <w:r>
        <w:t xml:space="preserve"> </w:t>
      </w:r>
      <w:r>
        <w:t xml:space="preserve">Probabilistic</w:t>
      </w:r>
      <w:r>
        <w:t xml:space="preserve"> </w:t>
      </w:r>
      <w:r>
        <w:t xml:space="preserve">Seismic</w:t>
      </w:r>
      <w:r>
        <w:t xml:space="preserve"> </w:t>
      </w:r>
      <w:r>
        <w:t xml:space="preserve">Slope</w:t>
      </w:r>
      <w:r>
        <w:t xml:space="preserve"> </w:t>
      </w:r>
      <w:r>
        <w:t xml:space="preserve">Displacement</w:t>
      </w:r>
      <w:r>
        <w:t xml:space="preserve"> </w:t>
      </w:r>
      <w:r>
        <w:t xml:space="preserve">Procedure</w:t>
      </w:r>
      <w:r>
        <w:t xml:space="preserve">.</w:t>
      </w:r>
      <w:r>
        <w:t xml:space="preserve"> </w:t>
      </w:r>
      <w:r>
        <w:rPr>
          <w:i/>
          <w:iCs/>
        </w:rPr>
        <w:t xml:space="preserve">Earthquake Spectra</w:t>
      </w:r>
      <w:r>
        <w:t xml:space="preserve">,</w:t>
      </w:r>
      <w:r>
        <w:t xml:space="preserve"> </w:t>
      </w:r>
      <w:r>
        <w:rPr>
          <w:i/>
          <w:iCs/>
        </w:rPr>
        <w:t xml:space="preserve">34</w:t>
      </w:r>
      <w:r>
        <w:t xml:space="preserve">(2), 673–695.</w:t>
      </w:r>
      <w:r>
        <w:t xml:space="preserve"> </w:t>
      </w:r>
      <w:hyperlink r:id="rId228">
        <w:r>
          <w:rPr>
            <w:rStyle w:val="Hyperlink"/>
          </w:rPr>
          <w:t xml:space="preserve">https://doi.org/10.1193/122516EQS251M</w:t>
        </w:r>
      </w:hyperlink>
    </w:p>
    <w:bookmarkEnd w:id="229"/>
    <w:bookmarkStart w:id="231" w:name="ref-MakdisiSeed1978"/>
    <w:p>
      <w:pPr>
        <w:pStyle w:val="Bibliography"/>
      </w:pPr>
      <w:r>
        <w:t xml:space="preserve">Makdisi, F. I., &amp; Seed, H. B. (1978). Simplified</w:t>
      </w:r>
      <w:r>
        <w:t xml:space="preserve"> </w:t>
      </w:r>
      <w:r>
        <w:t xml:space="preserve">Procedure</w:t>
      </w:r>
      <w:r>
        <w:t xml:space="preserve"> </w:t>
      </w:r>
      <w:r>
        <w:t xml:space="preserve">for</w:t>
      </w:r>
      <w:r>
        <w:t xml:space="preserve"> </w:t>
      </w:r>
      <w:r>
        <w:t xml:space="preserve">Estimating</w:t>
      </w:r>
      <w:r>
        <w:t xml:space="preserve"> </w:t>
      </w:r>
      <w:r>
        <w:t xml:space="preserve">Dam</w:t>
      </w:r>
      <w:r>
        <w:t xml:space="preserve"> </w:t>
      </w:r>
      <w:r>
        <w:t xml:space="preserve">and</w:t>
      </w:r>
      <w:r>
        <w:t xml:space="preserve"> </w:t>
      </w:r>
      <w:r>
        <w:t xml:space="preserve">Embankment</w:t>
      </w:r>
      <w:r>
        <w:t xml:space="preserve"> </w:t>
      </w:r>
      <w:r>
        <w:t xml:space="preserve">Earthquake-Induced</w:t>
      </w:r>
      <w:r>
        <w:t xml:space="preserve"> </w:t>
      </w:r>
      <w:r>
        <w:t xml:space="preserve">Deformations</w:t>
      </w:r>
      <w:r>
        <w:t xml:space="preserve">.</w:t>
      </w:r>
      <w:r>
        <w:t xml:space="preserve"> </w:t>
      </w:r>
      <w:r>
        <w:rPr>
          <w:i/>
          <w:iCs/>
        </w:rPr>
        <w:t xml:space="preserve">Journal of the Geotechnical Engineering Division</w:t>
      </w:r>
      <w:r>
        <w:t xml:space="preserve">,</w:t>
      </w:r>
      <w:r>
        <w:t xml:space="preserve"> </w:t>
      </w:r>
      <w:r>
        <w:rPr>
          <w:i/>
          <w:iCs/>
        </w:rPr>
        <w:t xml:space="preserve">104</w:t>
      </w:r>
      <w:r>
        <w:t xml:space="preserve">(GT7), 849–867.</w:t>
      </w:r>
      <w:r>
        <w:t xml:space="preserve"> </w:t>
      </w:r>
      <w:hyperlink r:id="rId230">
        <w:r>
          <w:rPr>
            <w:rStyle w:val="Hyperlink"/>
          </w:rPr>
          <w:t xml:space="preserve">https://doi.org/10.1061/AJGEB6.0000668</w:t>
        </w:r>
      </w:hyperlink>
    </w:p>
    <w:bookmarkEnd w:id="231"/>
    <w:bookmarkStart w:id="232" w:name="ref-McGuire2004"/>
    <w:p>
      <w:pPr>
        <w:pStyle w:val="Bibliography"/>
      </w:pPr>
      <w:r>
        <w:t xml:space="preserve">McGuire, R. K. (2004). Seismic</w:t>
      </w:r>
      <w:r>
        <w:t xml:space="preserve"> </w:t>
      </w:r>
      <w:r>
        <w:t xml:space="preserve">Hazard</w:t>
      </w:r>
      <w:r>
        <w:t xml:space="preserve"> </w:t>
      </w:r>
      <w:r>
        <w:t xml:space="preserve">and</w:t>
      </w:r>
      <w:r>
        <w:t xml:space="preserve"> </w:t>
      </w:r>
      <w:r>
        <w:t xml:space="preserve">Risk</w:t>
      </w:r>
      <w:r>
        <w:t xml:space="preserve"> </w:t>
      </w:r>
      <w:r>
        <w:t xml:space="preserve">Analysis</w:t>
      </w:r>
      <w:r>
        <w:t xml:space="preserve">.</w:t>
      </w:r>
      <w:r>
        <w:t xml:space="preserve"> </w:t>
      </w:r>
      <w:r>
        <w:rPr>
          <w:i/>
          <w:iCs/>
        </w:rPr>
        <w:t xml:space="preserve">Earthquake Engineering Research Institute</w:t>
      </w:r>
      <w:r>
        <w:t xml:space="preserve">.</w:t>
      </w:r>
    </w:p>
    <w:bookmarkEnd w:id="232"/>
    <w:bookmarkStart w:id="233" w:name="ref-ASCE722"/>
    <w:p>
      <w:pPr>
        <w:pStyle w:val="Bibliography"/>
      </w:pPr>
      <w:r>
        <w:t xml:space="preserve">Minimum</w:t>
      </w:r>
      <w:r>
        <w:t xml:space="preserve"> </w:t>
      </w:r>
      <w:r>
        <w:t xml:space="preserve">Design</w:t>
      </w:r>
      <w:r>
        <w:t xml:space="preserve"> </w:t>
      </w:r>
      <w:r>
        <w:t xml:space="preserve">Loads</w:t>
      </w:r>
      <w:r>
        <w:t xml:space="preserve"> </w:t>
      </w:r>
      <w:r>
        <w:t xml:space="preserve">and</w:t>
      </w:r>
      <w:r>
        <w:t xml:space="preserve"> </w:t>
      </w:r>
      <w:r>
        <w:t xml:space="preserve">Associated</w:t>
      </w:r>
      <w:r>
        <w:t xml:space="preserve"> </w:t>
      </w:r>
      <w:r>
        <w:t xml:space="preserve">Criteria</w:t>
      </w:r>
      <w:r>
        <w:t xml:space="preserve"> </w:t>
      </w:r>
      <w:r>
        <w:t xml:space="preserve">for</w:t>
      </w:r>
      <w:r>
        <w:t xml:space="preserve"> </w:t>
      </w:r>
      <w:r>
        <w:t xml:space="preserve">Buildings</w:t>
      </w:r>
      <w:r>
        <w:t xml:space="preserve"> </w:t>
      </w:r>
      <w:r>
        <w:t xml:space="preserve">and</w:t>
      </w:r>
      <w:r>
        <w:t xml:space="preserve"> </w:t>
      </w:r>
      <w:r>
        <w:t xml:space="preserve">Other</w:t>
      </w:r>
      <w:r>
        <w:t xml:space="preserve"> </w:t>
      </w:r>
      <w:r>
        <w:t xml:space="preserve">Structures</w:t>
      </w:r>
      <w:r>
        <w:t xml:space="preserve">, Pub. L. No. ASCE/SEI 7-22 (2022).</w:t>
      </w:r>
    </w:p>
    <w:bookmarkEnd w:id="233"/>
    <w:bookmarkStart w:id="235" w:name="ref-Montalva2017"/>
    <w:p>
      <w:pPr>
        <w:pStyle w:val="Bibliography"/>
      </w:pPr>
      <w:r>
        <w:t xml:space="preserve">Montalva, G. A., Bastias, N., &amp; Rodriguez-Marek, A. (2017). Ground-motion</w:t>
      </w:r>
      <w:r>
        <w:t xml:space="preserve"> </w:t>
      </w:r>
      <w:r>
        <w:t xml:space="preserve">Prediction</w:t>
      </w:r>
      <w:r>
        <w:t xml:space="preserve"> </w:t>
      </w:r>
      <w:r>
        <w:t xml:space="preserve">Equation</w:t>
      </w:r>
      <w:r>
        <w:t xml:space="preserve"> </w:t>
      </w:r>
      <w:r>
        <w:t xml:space="preserve">for the</w:t>
      </w:r>
      <w:r>
        <w:t xml:space="preserve"> </w:t>
      </w:r>
      <w:r>
        <w:t xml:space="preserve">Chilean</w:t>
      </w:r>
      <w:r>
        <w:t xml:space="preserve"> </w:t>
      </w:r>
      <w:r>
        <w:t xml:space="preserve">Subduction</w:t>
      </w:r>
      <w:r>
        <w:t xml:space="preserve"> </w:t>
      </w:r>
      <w:r>
        <w:t xml:space="preserve">Zone</w:t>
      </w:r>
      <w:r>
        <w:t xml:space="preserve">.</w:t>
      </w:r>
      <w:r>
        <w:t xml:space="preserve"> </w:t>
      </w:r>
      <w:r>
        <w:rPr>
          <w:i/>
          <w:iCs/>
        </w:rPr>
        <w:t xml:space="preserve">Bulletin of the Seismological Society of America</w:t>
      </w:r>
      <w:r>
        <w:t xml:space="preserve">,</w:t>
      </w:r>
      <w:r>
        <w:t xml:space="preserve"> </w:t>
      </w:r>
      <w:r>
        <w:rPr>
          <w:i/>
          <w:iCs/>
        </w:rPr>
        <w:t xml:space="preserve">107</w:t>
      </w:r>
      <w:r>
        <w:t xml:space="preserve">(2), 901–911.</w:t>
      </w:r>
      <w:r>
        <w:t xml:space="preserve"> </w:t>
      </w:r>
      <w:hyperlink r:id="rId234">
        <w:r>
          <w:rPr>
            <w:rStyle w:val="Hyperlink"/>
          </w:rPr>
          <w:t xml:space="preserve">https://doi.org/10.1785/0120160221</w:t>
        </w:r>
      </w:hyperlink>
    </w:p>
    <w:bookmarkEnd w:id="235"/>
    <w:bookmarkStart w:id="237" w:name="ref-Springer2023LT"/>
    <w:p>
      <w:pPr>
        <w:pStyle w:val="Bibliography"/>
      </w:pPr>
      <w:r>
        <w:t xml:space="preserve">Motaghed, S., Eftekhari, N., &amp; Mohammadi, M. (2023). Logic tree branch weight assignment and epistemic uncertainty representation in probabilistic seismic hazard analysis.</w:t>
      </w:r>
      <w:r>
        <w:t xml:space="preserve"> </w:t>
      </w:r>
      <w:r>
        <w:rPr>
          <w:i/>
          <w:iCs/>
        </w:rPr>
        <w:t xml:space="preserve">Journal of Seismology</w:t>
      </w:r>
      <w:r>
        <w:t xml:space="preserve">.</w:t>
      </w:r>
      <w:r>
        <w:t xml:space="preserve"> </w:t>
      </w:r>
      <w:hyperlink r:id="rId236">
        <w:r>
          <w:rPr>
            <w:rStyle w:val="Hyperlink"/>
          </w:rPr>
          <w:t xml:space="preserve">https://doi.org/10.1007/s10950-023-10177-1</w:t>
        </w:r>
      </w:hyperlink>
    </w:p>
    <w:bookmarkEnd w:id="237"/>
    <w:bookmarkStart w:id="238" w:name="ref-NBC2020"/>
    <w:p>
      <w:pPr>
        <w:pStyle w:val="Bibliography"/>
      </w:pPr>
      <w:r>
        <w:t xml:space="preserve">National</w:t>
      </w:r>
      <w:r>
        <w:t xml:space="preserve"> </w:t>
      </w:r>
      <w:r>
        <w:t xml:space="preserve">Building</w:t>
      </w:r>
      <w:r>
        <w:t xml:space="preserve"> </w:t>
      </w:r>
      <w:r>
        <w:t xml:space="preserve">Code</w:t>
      </w:r>
      <w:r>
        <w:t xml:space="preserve"> </w:t>
      </w:r>
      <w:r>
        <w:t xml:space="preserve">of</w:t>
      </w:r>
      <w:r>
        <w:t xml:space="preserve"> </w:t>
      </w:r>
      <w:r>
        <w:t xml:space="preserve">Canada</w:t>
      </w:r>
      <w:r>
        <w:t xml:space="preserve">, Pub. L. No. NBC 2020 (2020).</w:t>
      </w:r>
    </w:p>
    <w:bookmarkEnd w:id="238"/>
    <w:bookmarkStart w:id="239" w:name="ref-NIST2011"/>
    <w:p>
      <w:pPr>
        <w:pStyle w:val="Bibliography"/>
      </w:pPr>
      <w:r>
        <w:t xml:space="preserve">NEHRP Consultants Joint Venture. (2011).</w:t>
      </w:r>
      <w:r>
        <w:t xml:space="preserve"> </w:t>
      </w:r>
      <w:r>
        <w:rPr>
          <w:i/>
          <w:iCs/>
        </w:rPr>
        <w:t xml:space="preserve">Selecting and</w:t>
      </w:r>
      <w:r>
        <w:rPr>
          <w:i/>
          <w:iCs/>
        </w:rPr>
        <w:t xml:space="preserve"> </w:t>
      </w:r>
      <w:r>
        <w:rPr>
          <w:i/>
          <w:iCs/>
        </w:rPr>
        <w:t xml:space="preserve">Scaling</w:t>
      </w:r>
      <w:r>
        <w:rPr>
          <w:i/>
          <w:iCs/>
        </w:rPr>
        <w:t xml:space="preserve"> </w:t>
      </w:r>
      <w:r>
        <w:rPr>
          <w:i/>
          <w:iCs/>
        </w:rPr>
        <w:t xml:space="preserve">Earthquake</w:t>
      </w:r>
      <w:r>
        <w:rPr>
          <w:i/>
          <w:iCs/>
        </w:rPr>
        <w:t xml:space="preserve"> </w:t>
      </w:r>
      <w:r>
        <w:rPr>
          <w:i/>
          <w:iCs/>
        </w:rPr>
        <w:t xml:space="preserve">Ground</w:t>
      </w:r>
      <w:r>
        <w:rPr>
          <w:i/>
          <w:iCs/>
        </w:rPr>
        <w:t xml:space="preserve"> </w:t>
      </w:r>
      <w:r>
        <w:rPr>
          <w:i/>
          <w:iCs/>
        </w:rPr>
        <w:t xml:space="preserve">Motions</w:t>
      </w:r>
      <w:r>
        <w:rPr>
          <w:i/>
          <w:iCs/>
        </w:rPr>
        <w:t xml:space="preserve"> </w:t>
      </w:r>
      <w:r>
        <w:rPr>
          <w:i/>
          <w:iCs/>
        </w:rPr>
        <w:t xml:space="preserve">for</w:t>
      </w:r>
      <w:r>
        <w:rPr>
          <w:i/>
          <w:iCs/>
        </w:rPr>
        <w:t xml:space="preserve"> </w:t>
      </w:r>
      <w:r>
        <w:rPr>
          <w:i/>
          <w:iCs/>
        </w:rPr>
        <w:t xml:space="preserve">Performing</w:t>
      </w:r>
      <w:r>
        <w:rPr>
          <w:i/>
          <w:iCs/>
        </w:rPr>
        <w:t xml:space="preserve"> </w:t>
      </w:r>
      <w:r>
        <w:rPr>
          <w:i/>
          <w:iCs/>
        </w:rPr>
        <w:t xml:space="preserve">Response-History</w:t>
      </w:r>
      <w:r>
        <w:rPr>
          <w:i/>
          <w:iCs/>
        </w:rPr>
        <w:t xml:space="preserve"> </w:t>
      </w:r>
      <w:r>
        <w:rPr>
          <w:i/>
          <w:iCs/>
        </w:rPr>
        <w:t xml:space="preserve">Analyses</w:t>
      </w:r>
      <w:r>
        <w:t xml:space="preserve"> </w:t>
      </w:r>
      <w:r>
        <w:t xml:space="preserve">(Nos. NIST GCR 11-917-15). National Institute of Standards; Technology.</w:t>
      </w:r>
    </w:p>
    <w:bookmarkEnd w:id="239"/>
    <w:bookmarkStart w:id="241" w:name="ref-Newmark1965"/>
    <w:p>
      <w:pPr>
        <w:pStyle w:val="Bibliography"/>
      </w:pPr>
      <w:r>
        <w:t xml:space="preserve">Newmark, N. M. (1965). Effects of</w:t>
      </w:r>
      <w:r>
        <w:t xml:space="preserve"> </w:t>
      </w:r>
      <w:r>
        <w:t xml:space="preserve">Earthquakes</w:t>
      </w:r>
      <w:r>
        <w:t xml:space="preserve"> </w:t>
      </w:r>
      <w:r>
        <w:t xml:space="preserve">on</w:t>
      </w:r>
      <w:r>
        <w:t xml:space="preserve"> </w:t>
      </w:r>
      <w:r>
        <w:t xml:space="preserve">Dams</w:t>
      </w:r>
      <w:r>
        <w:t xml:space="preserve"> </w:t>
      </w:r>
      <w:r>
        <w:t xml:space="preserve">and</w:t>
      </w:r>
      <w:r>
        <w:t xml:space="preserve"> </w:t>
      </w:r>
      <w:r>
        <w:t xml:space="preserve">Embankments</w:t>
      </w:r>
      <w:r>
        <w:t xml:space="preserve">.</w:t>
      </w:r>
      <w:r>
        <w:t xml:space="preserve"> </w:t>
      </w:r>
      <w:r>
        <w:rPr>
          <w:i/>
          <w:iCs/>
        </w:rPr>
        <w:t xml:space="preserve">Géotechnique</w:t>
      </w:r>
      <w:r>
        <w:t xml:space="preserve">,</w:t>
      </w:r>
      <w:r>
        <w:t xml:space="preserve"> </w:t>
      </w:r>
      <w:r>
        <w:rPr>
          <w:i/>
          <w:iCs/>
        </w:rPr>
        <w:t xml:space="preserve">15</w:t>
      </w:r>
      <w:r>
        <w:t xml:space="preserve">(2), 139–160.</w:t>
      </w:r>
      <w:r>
        <w:t xml:space="preserve"> </w:t>
      </w:r>
      <w:hyperlink r:id="rId240">
        <w:r>
          <w:rPr>
            <w:rStyle w:val="Hyperlink"/>
          </w:rPr>
          <w:t xml:space="preserve">https://doi.org/10.1680/geot.1965.15.2.139</w:t>
        </w:r>
      </w:hyperlink>
    </w:p>
    <w:bookmarkEnd w:id="241"/>
    <w:bookmarkStart w:id="243" w:name="ref-Parker2022"/>
    <w:p>
      <w:pPr>
        <w:pStyle w:val="Bibliography"/>
      </w:pPr>
      <w:r>
        <w:t xml:space="preserve">Parker, G. A., Stewart, J. P., Boore, D. M., Atkinson, G. M., &amp; Hassani, B. (2022).</w:t>
      </w:r>
      <w:r>
        <w:t xml:space="preserve"> </w:t>
      </w:r>
      <w:r>
        <w:t xml:space="preserve">NGA-Subduction</w:t>
      </w:r>
      <w:r>
        <w:t xml:space="preserve"> </w:t>
      </w:r>
      <w:r>
        <w:t xml:space="preserve">Global</w:t>
      </w:r>
      <w:r>
        <w:t xml:space="preserve"> </w:t>
      </w:r>
      <w:r>
        <w:t xml:space="preserve">Ground</w:t>
      </w:r>
      <w:r>
        <w:t xml:space="preserve"> </w:t>
      </w:r>
      <w:r>
        <w:t xml:space="preserve">Motion</w:t>
      </w:r>
      <w:r>
        <w:t xml:space="preserve"> </w:t>
      </w:r>
      <w:r>
        <w:t xml:space="preserve">Models</w:t>
      </w:r>
      <w:r>
        <w:t xml:space="preserve"> </w:t>
      </w:r>
      <w:r>
        <w:t xml:space="preserve">with</w:t>
      </w:r>
      <w:r>
        <w:t xml:space="preserve"> </w:t>
      </w:r>
      <w:r>
        <w:t xml:space="preserve">Regional</w:t>
      </w:r>
      <w:r>
        <w:t xml:space="preserve"> </w:t>
      </w:r>
      <w:r>
        <w:t xml:space="preserve">Adjustment</w:t>
      </w:r>
      <w:r>
        <w:t xml:space="preserve"> </w:t>
      </w:r>
      <w:r>
        <w:t xml:space="preserve">Factors</w:t>
      </w:r>
      <w:r>
        <w:t xml:space="preserve">.</w:t>
      </w:r>
      <w:r>
        <w:t xml:space="preserve"> </w:t>
      </w:r>
      <w:r>
        <w:rPr>
          <w:i/>
          <w:iCs/>
        </w:rPr>
        <w:t xml:space="preserve">Earthquake Spectra</w:t>
      </w:r>
      <w:r>
        <w:t xml:space="preserve">,</w:t>
      </w:r>
      <w:r>
        <w:t xml:space="preserve"> </w:t>
      </w:r>
      <w:r>
        <w:rPr>
          <w:i/>
          <w:iCs/>
        </w:rPr>
        <w:t xml:space="preserve">38</w:t>
      </w:r>
      <w:r>
        <w:t xml:space="preserve">(2), 456–493.</w:t>
      </w:r>
      <w:r>
        <w:t xml:space="preserve"> </w:t>
      </w:r>
      <w:hyperlink r:id="rId242">
        <w:r>
          <w:rPr>
            <w:rStyle w:val="Hyperlink"/>
          </w:rPr>
          <w:t xml:space="preserve">https://doi.org/10.1177/87552930211034889</w:t>
        </w:r>
      </w:hyperlink>
    </w:p>
    <w:bookmarkEnd w:id="243"/>
    <w:bookmarkStart w:id="245" w:name="ref-Pezeshk2011"/>
    <w:p>
      <w:pPr>
        <w:pStyle w:val="Bibliography"/>
      </w:pPr>
      <w:r>
        <w:t xml:space="preserve">Pezeshk, S., Zandieh, A., &amp; Tavakoli, B. (2011). Hybrid</w:t>
      </w:r>
      <w:r>
        <w:t xml:space="preserve"> </w:t>
      </w:r>
      <w:r>
        <w:t xml:space="preserve">Empirical</w:t>
      </w:r>
      <w:r>
        <w:t xml:space="preserve"> </w:t>
      </w:r>
      <w:r>
        <w:t xml:space="preserve">Ground-Motion</w:t>
      </w:r>
      <w:r>
        <w:t xml:space="preserve"> </w:t>
      </w:r>
      <w:r>
        <w:t xml:space="preserve">Prediction</w:t>
      </w:r>
      <w:r>
        <w:t xml:space="preserve"> </w:t>
      </w:r>
      <w:r>
        <w:t xml:space="preserve">Equations</w:t>
      </w:r>
      <w:r>
        <w:t xml:space="preserve"> </w:t>
      </w:r>
      <w:r>
        <w:t xml:space="preserve">for</w:t>
      </w:r>
      <w:r>
        <w:t xml:space="preserve"> </w:t>
      </w:r>
      <w:r>
        <w:t xml:space="preserve">Eastern</w:t>
      </w:r>
      <w:r>
        <w:t xml:space="preserve"> </w:t>
      </w:r>
      <w:r>
        <w:t xml:space="preserve">North America</w:t>
      </w:r>
      <w:r>
        <w:t xml:space="preserve"> </w:t>
      </w:r>
      <w:r>
        <w:t xml:space="preserve">Using</w:t>
      </w:r>
      <w:r>
        <w:t xml:space="preserve"> </w:t>
      </w:r>
      <w:r>
        <w:t xml:space="preserve">NGA</w:t>
      </w:r>
      <w:r>
        <w:t xml:space="preserve"> </w:t>
      </w:r>
      <w:r>
        <w:t xml:space="preserve">Models</w:t>
      </w:r>
      <w:r>
        <w:t xml:space="preserve"> </w:t>
      </w:r>
      <w:r>
        <w:t xml:space="preserve">and</w:t>
      </w:r>
      <w:r>
        <w:t xml:space="preserve"> </w:t>
      </w:r>
      <w:r>
        <w:t xml:space="preserve">Updated</w:t>
      </w:r>
      <w:r>
        <w:t xml:space="preserve"> </w:t>
      </w:r>
      <w:r>
        <w:t xml:space="preserve">Seismological</w:t>
      </w:r>
      <w:r>
        <w:t xml:space="preserve"> </w:t>
      </w:r>
      <w:r>
        <w:t xml:space="preserve">Parameters</w:t>
      </w:r>
      <w:r>
        <w:t xml:space="preserve">.</w:t>
      </w:r>
      <w:r>
        <w:t xml:space="preserve"> </w:t>
      </w:r>
      <w:r>
        <w:rPr>
          <w:i/>
          <w:iCs/>
        </w:rPr>
        <w:t xml:space="preserve">Bulletin of the Seismological Society of America</w:t>
      </w:r>
      <w:r>
        <w:t xml:space="preserve">,</w:t>
      </w:r>
      <w:r>
        <w:t xml:space="preserve"> </w:t>
      </w:r>
      <w:r>
        <w:rPr>
          <w:i/>
          <w:iCs/>
        </w:rPr>
        <w:t xml:space="preserve">101</w:t>
      </w:r>
      <w:r>
        <w:t xml:space="preserve">(4), 1859–1870.</w:t>
      </w:r>
      <w:r>
        <w:t xml:space="preserve"> </w:t>
      </w:r>
      <w:hyperlink r:id="rId244">
        <w:r>
          <w:rPr>
            <w:rStyle w:val="Hyperlink"/>
          </w:rPr>
          <w:t xml:space="preserve">https://doi.org/10.1785/0120100082</w:t>
        </w:r>
      </w:hyperlink>
    </w:p>
    <w:bookmarkEnd w:id="245"/>
    <w:bookmarkStart w:id="247" w:name="ref-Phung2020"/>
    <w:p>
      <w:pPr>
        <w:pStyle w:val="Bibliography"/>
      </w:pPr>
      <w:r>
        <w:t xml:space="preserve">Phung, V.-L., Abrahamson, N., Mazzoni, S., &amp; Bozorgnia, Y. (2020). Ground</w:t>
      </w:r>
      <w:r>
        <w:t xml:space="preserve"> </w:t>
      </w:r>
      <w:r>
        <w:t xml:space="preserve">Motion</w:t>
      </w:r>
      <w:r>
        <w:t xml:space="preserve"> </w:t>
      </w:r>
      <w:r>
        <w:t xml:space="preserve">Models</w:t>
      </w:r>
      <w:r>
        <w:t xml:space="preserve"> </w:t>
      </w:r>
      <w:r>
        <w:t xml:space="preserve">for</w:t>
      </w:r>
      <w:r>
        <w:t xml:space="preserve"> </w:t>
      </w:r>
      <w:r>
        <w:t xml:space="preserve">Taiwan</w:t>
      </w:r>
      <w:r>
        <w:t xml:space="preserve">:</w:t>
      </w:r>
      <w:r>
        <w:t xml:space="preserve"> </w:t>
      </w:r>
      <w:r>
        <w:t xml:space="preserve">Crustal</w:t>
      </w:r>
      <w:r>
        <w:t xml:space="preserve"> </w:t>
      </w:r>
      <w:r>
        <w:t xml:space="preserve">and</w:t>
      </w:r>
      <w:r>
        <w:t xml:space="preserve"> </w:t>
      </w:r>
      <w:r>
        <w:t xml:space="preserve">Subduction</w:t>
      </w:r>
      <w:r>
        <w:t xml:space="preserve"> </w:t>
      </w:r>
      <w:r>
        <w:t xml:space="preserve">Earthquakes</w:t>
      </w:r>
      <w:r>
        <w:t xml:space="preserve">.</w:t>
      </w:r>
      <w:r>
        <w:t xml:space="preserve"> </w:t>
      </w:r>
      <w:r>
        <w:rPr>
          <w:i/>
          <w:iCs/>
        </w:rPr>
        <w:t xml:space="preserve">Earthquake Spectra</w:t>
      </w:r>
      <w:r>
        <w:t xml:space="preserve">.</w:t>
      </w:r>
      <w:r>
        <w:t xml:space="preserve"> </w:t>
      </w:r>
      <w:hyperlink r:id="rId246">
        <w:r>
          <w:rPr>
            <w:rStyle w:val="Hyperlink"/>
          </w:rPr>
          <w:t xml:space="preserve">https://journals.sagepub.com/doi/abs/10.1177/87552930211061168</w:t>
        </w:r>
      </w:hyperlink>
    </w:p>
    <w:bookmarkEnd w:id="247"/>
    <w:bookmarkStart w:id="248" w:name="ref-SaygiliRathje2008"/>
    <w:p>
      <w:pPr>
        <w:pStyle w:val="Bibliography"/>
      </w:pPr>
      <w:r>
        <w:t xml:space="preserve">Saygili, G., &amp; Rathje, E. M. (2008). Empirical</w:t>
      </w:r>
      <w:r>
        <w:t xml:space="preserve"> </w:t>
      </w:r>
      <w:r>
        <w:t xml:space="preserve">Predictive</w:t>
      </w:r>
      <w:r>
        <w:t xml:space="preserve"> </w:t>
      </w:r>
      <w:r>
        <w:t xml:space="preserve">Models</w:t>
      </w:r>
      <w:r>
        <w:t xml:space="preserve"> </w:t>
      </w:r>
      <w:r>
        <w:t xml:space="preserve">for</w:t>
      </w:r>
      <w:r>
        <w:t xml:space="preserve"> </w:t>
      </w:r>
      <w:r>
        <w:t xml:space="preserve">Earthquake-Induced</w:t>
      </w:r>
      <w:r>
        <w:t xml:space="preserve"> </w:t>
      </w:r>
      <w:r>
        <w:t xml:space="preserve">Sliding</w:t>
      </w:r>
      <w:r>
        <w:t xml:space="preserve"> </w:t>
      </w:r>
      <w:r>
        <w:t xml:space="preserve">Displacements</w:t>
      </w:r>
      <w:r>
        <w:t xml:space="preserve"> </w:t>
      </w:r>
      <w:r>
        <w:t xml:space="preserve">of</w:t>
      </w:r>
      <w:r>
        <w:t xml:space="preserve"> </w:t>
      </w:r>
      <w:r>
        <w:t xml:space="preserve">Slopes</w:t>
      </w:r>
      <w:r>
        <w:t xml:space="preserve">.</w:t>
      </w:r>
      <w:r>
        <w:t xml:space="preserve"> </w:t>
      </w:r>
      <w:r>
        <w:rPr>
          <w:i/>
          <w:iCs/>
        </w:rPr>
        <w:t xml:space="preserve">Journal of Geotechnical and Geoenvironmental Engineering</w:t>
      </w:r>
      <w:r>
        <w:t xml:space="preserve">,</w:t>
      </w:r>
      <w:r>
        <w:t xml:space="preserve"> </w:t>
      </w:r>
      <w:r>
        <w:rPr>
          <w:i/>
          <w:iCs/>
        </w:rPr>
        <w:t xml:space="preserve">134</w:t>
      </w:r>
      <w:r>
        <w:t xml:space="preserve">(6), 790–803.</w:t>
      </w:r>
    </w:p>
    <w:bookmarkEnd w:id="248"/>
    <w:bookmarkStart w:id="250" w:name="ref-UBCThesis"/>
    <w:p>
      <w:pPr>
        <w:pStyle w:val="Bibliography"/>
      </w:pPr>
      <w:r>
        <w:rPr>
          <w:i/>
          <w:iCs/>
        </w:rPr>
        <w:t xml:space="preserve">Seismic</w:t>
      </w:r>
      <w:r>
        <w:rPr>
          <w:i/>
          <w:iCs/>
        </w:rPr>
        <w:t xml:space="preserve"> </w:t>
      </w:r>
      <w:r>
        <w:rPr>
          <w:i/>
          <w:iCs/>
        </w:rPr>
        <w:t xml:space="preserve">Permanent</w:t>
      </w:r>
      <w:r>
        <w:rPr>
          <w:i/>
          <w:iCs/>
        </w:rPr>
        <w:t xml:space="preserve"> </w:t>
      </w:r>
      <w:r>
        <w:rPr>
          <w:i/>
          <w:iCs/>
        </w:rPr>
        <w:t xml:space="preserve">Displacements</w:t>
      </w:r>
      <w:r>
        <w:rPr>
          <w:i/>
          <w:iCs/>
        </w:rPr>
        <w:t xml:space="preserve"> </w:t>
      </w:r>
      <w:r>
        <w:rPr>
          <w:i/>
          <w:iCs/>
        </w:rPr>
        <w:t xml:space="preserve">for</w:t>
      </w:r>
      <w:r>
        <w:rPr>
          <w:i/>
          <w:iCs/>
        </w:rPr>
        <w:t xml:space="preserve"> </w:t>
      </w:r>
      <w:r>
        <w:rPr>
          <w:i/>
          <w:iCs/>
        </w:rPr>
        <w:t xml:space="preserve">Tailings</w:t>
      </w:r>
      <w:r>
        <w:rPr>
          <w:i/>
          <w:iCs/>
        </w:rPr>
        <w:t xml:space="preserve"> </w:t>
      </w:r>
      <w:r>
        <w:rPr>
          <w:i/>
          <w:iCs/>
        </w:rPr>
        <w:t xml:space="preserve">Storage</w:t>
      </w:r>
      <w:r>
        <w:rPr>
          <w:i/>
          <w:iCs/>
        </w:rPr>
        <w:t xml:space="preserve"> </w:t>
      </w:r>
      <w:r>
        <w:rPr>
          <w:i/>
          <w:iCs/>
        </w:rPr>
        <w:t xml:space="preserve">Facilities</w:t>
      </w:r>
      <w:r>
        <w:rPr>
          <w:i/>
          <w:iCs/>
        </w:rPr>
        <w:t xml:space="preserve"> </w:t>
      </w:r>
      <w:r>
        <w:rPr>
          <w:i/>
          <w:iCs/>
        </w:rPr>
        <w:t xml:space="preserve">and</w:t>
      </w:r>
      <w:r>
        <w:rPr>
          <w:i/>
          <w:iCs/>
        </w:rPr>
        <w:t xml:space="preserve"> </w:t>
      </w:r>
      <w:r>
        <w:rPr>
          <w:i/>
          <w:iCs/>
        </w:rPr>
        <w:t xml:space="preserve">Waste</w:t>
      </w:r>
      <w:r>
        <w:rPr>
          <w:i/>
          <w:iCs/>
        </w:rPr>
        <w:t xml:space="preserve"> </w:t>
      </w:r>
      <w:r>
        <w:rPr>
          <w:i/>
          <w:iCs/>
        </w:rPr>
        <w:t xml:space="preserve">Rock</w:t>
      </w:r>
      <w:r>
        <w:rPr>
          <w:i/>
          <w:iCs/>
        </w:rPr>
        <w:t xml:space="preserve"> </w:t>
      </w:r>
      <w:r>
        <w:rPr>
          <w:i/>
          <w:iCs/>
        </w:rPr>
        <w:t xml:space="preserve">Dumps</w:t>
      </w:r>
      <w:r>
        <w:t xml:space="preserve">. (n.d.). Graduate thesis, University of British Columbia.</w:t>
      </w:r>
      <w:r>
        <w:t xml:space="preserve"> </w:t>
      </w:r>
      <w:hyperlink r:id="rId249">
        <w:r>
          <w:rPr>
            <w:rStyle w:val="Hyperlink"/>
          </w:rPr>
          <w:t xml:space="preserve">https://open.library.ubc.ca/soa/cIRcle/collections/59368/items/1.0314230</w:t>
        </w:r>
      </w:hyperlink>
    </w:p>
    <w:bookmarkEnd w:id="250"/>
    <w:bookmarkStart w:id="252" w:name="ref-ShibataSoelarno1975"/>
    <w:p>
      <w:pPr>
        <w:pStyle w:val="Bibliography"/>
      </w:pPr>
      <w:r>
        <w:t xml:space="preserve">Shibata, T., &amp; Soelarno, D. S. (1975). Stress-strain</w:t>
      </w:r>
      <w:r>
        <w:t xml:space="preserve"> </w:t>
      </w:r>
      <w:r>
        <w:t xml:space="preserve">Characteristics</w:t>
      </w:r>
      <w:r>
        <w:t xml:space="preserve"> </w:t>
      </w:r>
      <w:r>
        <w:t xml:space="preserve">of</w:t>
      </w:r>
      <w:r>
        <w:t xml:space="preserve"> </w:t>
      </w:r>
      <w:r>
        <w:t xml:space="preserve">Sands</w:t>
      </w:r>
      <w:r>
        <w:t xml:space="preserve"> </w:t>
      </w:r>
      <w:r>
        <w:t xml:space="preserve">Under</w:t>
      </w:r>
      <w:r>
        <w:t xml:space="preserve"> </w:t>
      </w:r>
      <w:r>
        <w:t xml:space="preserve">Cyclic</w:t>
      </w:r>
      <w:r>
        <w:t xml:space="preserve"> </w:t>
      </w:r>
      <w:r>
        <w:t xml:space="preserve">Loading</w:t>
      </w:r>
      <w:r>
        <w:t xml:space="preserve">.</w:t>
      </w:r>
      <w:r>
        <w:t xml:space="preserve"> </w:t>
      </w:r>
      <w:r>
        <w:rPr>
          <w:i/>
          <w:iCs/>
        </w:rPr>
        <w:t xml:space="preserve">Proceedings of the Japan Society of Civil Engineers</w:t>
      </w:r>
      <w:r>
        <w:t xml:space="preserve">,</w:t>
      </w:r>
      <w:r>
        <w:t xml:space="preserve"> </w:t>
      </w:r>
      <w:r>
        <w:rPr>
          <w:i/>
          <w:iCs/>
        </w:rPr>
        <w:t xml:space="preserve">1975</w:t>
      </w:r>
      <w:r>
        <w:t xml:space="preserve">(239), 57–65.</w:t>
      </w:r>
      <w:r>
        <w:t xml:space="preserve"> </w:t>
      </w:r>
      <w:hyperlink r:id="rId251">
        <w:r>
          <w:rPr>
            <w:rStyle w:val="Hyperlink"/>
          </w:rPr>
          <w:t xml:space="preserve">https://doi.org/10.2208/jscej1969.1975.57</w:t>
        </w:r>
      </w:hyperlink>
    </w:p>
    <w:bookmarkEnd w:id="252"/>
    <w:bookmarkStart w:id="254" w:name="ref-Si2020"/>
    <w:p>
      <w:pPr>
        <w:pStyle w:val="Bibliography"/>
      </w:pPr>
      <w:r>
        <w:t xml:space="preserve">Si, H., Midorikawa, S., &amp; Kishida, T. (2020).</w:t>
      </w:r>
      <w:r>
        <w:t xml:space="preserve"> </w:t>
      </w:r>
      <w:r>
        <w:rPr>
          <w:i/>
          <w:iCs/>
        </w:rPr>
        <w:t xml:space="preserve">NGA-Subduction</w:t>
      </w:r>
      <w:r>
        <w:rPr>
          <w:i/>
          <w:iCs/>
        </w:rPr>
        <w:t xml:space="preserve"> </w:t>
      </w:r>
      <w:r>
        <w:rPr>
          <w:i/>
          <w:iCs/>
        </w:rPr>
        <w:t xml:space="preserve">Ground</w:t>
      </w:r>
      <w:r>
        <w:rPr>
          <w:i/>
          <w:iCs/>
        </w:rPr>
        <w:t xml:space="preserve"> </w:t>
      </w:r>
      <w:r>
        <w:rPr>
          <w:i/>
          <w:iCs/>
        </w:rPr>
        <w:t xml:space="preserve">Motion</w:t>
      </w:r>
      <w:r>
        <w:rPr>
          <w:i/>
          <w:iCs/>
        </w:rPr>
        <w:t xml:space="preserve"> </w:t>
      </w:r>
      <w:r>
        <w:rPr>
          <w:i/>
          <w:iCs/>
        </w:rPr>
        <w:t xml:space="preserve">Model</w:t>
      </w:r>
      <w:r>
        <w:rPr>
          <w:i/>
          <w:iCs/>
        </w:rPr>
        <w:t xml:space="preserve"> </w:t>
      </w:r>
      <w:r>
        <w:rPr>
          <w:i/>
          <w:iCs/>
        </w:rPr>
        <w:t xml:space="preserve">for</w:t>
      </w:r>
      <w:r>
        <w:rPr>
          <w:i/>
          <w:iCs/>
        </w:rPr>
        <w:t xml:space="preserve"> </w:t>
      </w:r>
      <w:r>
        <w:rPr>
          <w:i/>
          <w:iCs/>
        </w:rPr>
        <w:t xml:space="preserve">Japan</w:t>
      </w:r>
      <w:r>
        <w:t xml:space="preserve"> </w:t>
      </w:r>
      <w:r>
        <w:t xml:space="preserve">(No. 2020/06). Pacific Earthquake Engineering Research Center.</w:t>
      </w:r>
      <w:r>
        <w:t xml:space="preserve"> </w:t>
      </w:r>
      <w:hyperlink r:id="rId253">
        <w:r>
          <w:rPr>
            <w:rStyle w:val="Hyperlink"/>
          </w:rPr>
          <w:t xml:space="preserve">https://peer.berkeley.edu/publications/2020-06</w:t>
        </w:r>
      </w:hyperlink>
    </w:p>
    <w:bookmarkEnd w:id="254"/>
    <w:bookmarkStart w:id="256" w:name="ref-Somerville2009"/>
    <w:p>
      <w:pPr>
        <w:pStyle w:val="Bibliography"/>
      </w:pPr>
      <w:r>
        <w:t xml:space="preserve">Somerville, P., Graves, R., Collins, N., Song, S. G., Ni, S., &amp; Cummins, P. (2009). Source and</w:t>
      </w:r>
      <w:r>
        <w:t xml:space="preserve"> </w:t>
      </w:r>
      <w:r>
        <w:t xml:space="preserve">Ground</w:t>
      </w:r>
      <w:r>
        <w:t xml:space="preserve"> </w:t>
      </w:r>
      <w:r>
        <w:t xml:space="preserve">Motion</w:t>
      </w:r>
      <w:r>
        <w:t xml:space="preserve"> </w:t>
      </w:r>
      <w:r>
        <w:t xml:space="preserve">Models</w:t>
      </w:r>
      <w:r>
        <w:t xml:space="preserve"> </w:t>
      </w:r>
      <w:r>
        <w:t xml:space="preserve">for</w:t>
      </w:r>
      <w:r>
        <w:t xml:space="preserve"> </w:t>
      </w:r>
      <w:r>
        <w:t xml:space="preserve">Australian</w:t>
      </w:r>
      <w:r>
        <w:t xml:space="preserve"> </w:t>
      </w:r>
      <w:r>
        <w:t xml:space="preserve">Earthquakes</w:t>
      </w:r>
      <w:r>
        <w:t xml:space="preserve">.</w:t>
      </w:r>
      <w:r>
        <w:t xml:space="preserve"> </w:t>
      </w:r>
      <w:r>
        <w:rPr>
          <w:i/>
          <w:iCs/>
        </w:rPr>
        <w:t xml:space="preserve">Proceedings of the Australian Earthquake Engineering Society Conference</w:t>
      </w:r>
      <w:r>
        <w:t xml:space="preserve">.</w:t>
      </w:r>
      <w:r>
        <w:t xml:space="preserve"> </w:t>
      </w:r>
      <w:hyperlink r:id="rId255">
        <w:r>
          <w:rPr>
            <w:rStyle w:val="Hyperlink"/>
          </w:rPr>
          <w:t xml:space="preserve">https://www.aees.org.au/wp-content/uploads/2013/11/Somerville-et-al.pdf</w:t>
        </w:r>
      </w:hyperlink>
    </w:p>
    <w:bookmarkEnd w:id="256"/>
    <w:bookmarkStart w:id="258" w:name="ref-Stewart2020"/>
    <w:p>
      <w:pPr>
        <w:pStyle w:val="Bibliography"/>
      </w:pPr>
      <w:r>
        <w:t xml:space="preserve">Stewart, J. P., Parker, G. A., Atkinson, G. M., Boore, D. M., Hashash, Y. M. A., &amp; Silva, W. J. (2020). Ergodic</w:t>
      </w:r>
      <w:r>
        <w:t xml:space="preserve"> </w:t>
      </w:r>
      <w:r>
        <w:t xml:space="preserve">Site</w:t>
      </w:r>
      <w:r>
        <w:t xml:space="preserve"> </w:t>
      </w:r>
      <w:r>
        <w:t xml:space="preserve">Amplification</w:t>
      </w:r>
      <w:r>
        <w:t xml:space="preserve"> </w:t>
      </w:r>
      <w:r>
        <w:t xml:space="preserve">Model</w:t>
      </w:r>
      <w:r>
        <w:t xml:space="preserve"> </w:t>
      </w:r>
      <w:r>
        <w:t xml:space="preserve">for</w:t>
      </w:r>
      <w:r>
        <w:t xml:space="preserve"> </w:t>
      </w:r>
      <w:r>
        <w:t xml:space="preserve">Central</w:t>
      </w:r>
      <w:r>
        <w:t xml:space="preserve"> </w:t>
      </w:r>
      <w:r>
        <w:t xml:space="preserve">and</w:t>
      </w:r>
      <w:r>
        <w:t xml:space="preserve"> </w:t>
      </w:r>
      <w:r>
        <w:t xml:space="preserve">Eastern</w:t>
      </w:r>
      <w:r>
        <w:t xml:space="preserve"> </w:t>
      </w:r>
      <w:r>
        <w:t xml:space="preserve">North</w:t>
      </w:r>
      <w:r>
        <w:t xml:space="preserve"> </w:t>
      </w:r>
      <w:r>
        <w:t xml:space="preserve">America</w:t>
      </w:r>
      <w:r>
        <w:t xml:space="preserve">.</w:t>
      </w:r>
      <w:r>
        <w:t xml:space="preserve"> </w:t>
      </w:r>
      <w:r>
        <w:rPr>
          <w:i/>
          <w:iCs/>
        </w:rPr>
        <w:t xml:space="preserve">Earthquake Spectra</w:t>
      </w:r>
      <w:r>
        <w:t xml:space="preserve">,</w:t>
      </w:r>
      <w:r>
        <w:t xml:space="preserve"> </w:t>
      </w:r>
      <w:r>
        <w:rPr>
          <w:i/>
          <w:iCs/>
        </w:rPr>
        <w:t xml:space="preserve">36</w:t>
      </w:r>
      <w:r>
        <w:t xml:space="preserve">(1), 42–68.</w:t>
      </w:r>
      <w:r>
        <w:t xml:space="preserve"> </w:t>
      </w:r>
      <w:hyperlink r:id="rId257">
        <w:r>
          <w:rPr>
            <w:rStyle w:val="Hyperlink"/>
          </w:rPr>
          <w:t xml:space="preserve">https://doi.org/10.1177/8755293019878185</w:t>
        </w:r>
      </w:hyperlink>
    </w:p>
    <w:bookmarkEnd w:id="258"/>
    <w:bookmarkStart w:id="260" w:name="ref-USACE1995"/>
    <w:p>
      <w:pPr>
        <w:pStyle w:val="Bibliography"/>
      </w:pPr>
      <w:r>
        <w:t xml:space="preserve">U.S. Army Corps of Engineers. (1995).</w:t>
      </w:r>
      <w:r>
        <w:t xml:space="preserve"> </w:t>
      </w:r>
      <w:r>
        <w:rPr>
          <w:i/>
          <w:iCs/>
        </w:rPr>
        <w:t xml:space="preserve">Earthquake</w:t>
      </w:r>
      <w:r>
        <w:rPr>
          <w:i/>
          <w:iCs/>
        </w:rPr>
        <w:t xml:space="preserve"> </w:t>
      </w:r>
      <w:r>
        <w:rPr>
          <w:i/>
          <w:iCs/>
        </w:rPr>
        <w:t xml:space="preserve">Design</w:t>
      </w:r>
      <w:r>
        <w:rPr>
          <w:i/>
          <w:iCs/>
        </w:rPr>
        <w:t xml:space="preserve"> </w:t>
      </w:r>
      <w:r>
        <w:rPr>
          <w:i/>
          <w:iCs/>
        </w:rPr>
        <w:t xml:space="preserve">and</w:t>
      </w:r>
      <w:r>
        <w:rPr>
          <w:i/>
          <w:iCs/>
        </w:rPr>
        <w:t xml:space="preserve"> </w:t>
      </w:r>
      <w:r>
        <w:rPr>
          <w:i/>
          <w:iCs/>
        </w:rPr>
        <w:t xml:space="preserve">Evaluation</w:t>
      </w:r>
      <w:r>
        <w:rPr>
          <w:i/>
          <w:iCs/>
        </w:rPr>
        <w:t xml:space="preserve"> </w:t>
      </w:r>
      <w:r>
        <w:rPr>
          <w:i/>
          <w:iCs/>
        </w:rPr>
        <w:t xml:space="preserve">for</w:t>
      </w:r>
      <w:r>
        <w:rPr>
          <w:i/>
          <w:iCs/>
        </w:rPr>
        <w:t xml:space="preserve"> </w:t>
      </w:r>
      <w:r>
        <w:rPr>
          <w:i/>
          <w:iCs/>
        </w:rPr>
        <w:t xml:space="preserve">Civil</w:t>
      </w:r>
      <w:r>
        <w:rPr>
          <w:i/>
          <w:iCs/>
        </w:rPr>
        <w:t xml:space="preserve"> </w:t>
      </w:r>
      <w:r>
        <w:rPr>
          <w:i/>
          <w:iCs/>
        </w:rPr>
        <w:t xml:space="preserve">Works</w:t>
      </w:r>
      <w:r>
        <w:rPr>
          <w:i/>
          <w:iCs/>
        </w:rPr>
        <w:t xml:space="preserve"> </w:t>
      </w:r>
      <w:r>
        <w:rPr>
          <w:i/>
          <w:iCs/>
        </w:rPr>
        <w:t xml:space="preserve">Projects</w:t>
      </w:r>
      <w:r>
        <w:t xml:space="preserve"> </w:t>
      </w:r>
      <w:r>
        <w:t xml:space="preserve">(Engineer Regulation Nos. ER 1110-2-1806). U.S. Army Corps of Engineers.</w:t>
      </w:r>
      <w:r>
        <w:t xml:space="preserve"> </w:t>
      </w:r>
      <w:hyperlink r:id="rId259">
        <w:r>
          <w:rPr>
            <w:rStyle w:val="Hyperlink"/>
          </w:rPr>
          <w:t xml:space="preserve">https://www.publications.usace.army.mil/Portals/76/Publications/EngineerRegulations/ER_1110-2-1806.pdf</w:t>
        </w:r>
      </w:hyperlink>
    </w:p>
    <w:bookmarkEnd w:id="260"/>
    <w:bookmarkStart w:id="262" w:name="ref-USACE2003"/>
    <w:p>
      <w:pPr>
        <w:pStyle w:val="Bibliography"/>
      </w:pPr>
      <w:r>
        <w:t xml:space="preserve">U.S. Army Corps of Engineers. (2003).</w:t>
      </w:r>
      <w:r>
        <w:t xml:space="preserve"> </w:t>
      </w:r>
      <w:r>
        <w:rPr>
          <w:i/>
          <w:iCs/>
        </w:rPr>
        <w:t xml:space="preserve">Slope</w:t>
      </w:r>
      <w:r>
        <w:rPr>
          <w:i/>
          <w:iCs/>
        </w:rPr>
        <w:t xml:space="preserve"> </w:t>
      </w:r>
      <w:r>
        <w:rPr>
          <w:i/>
          <w:iCs/>
        </w:rPr>
        <w:t xml:space="preserve">Stability</w:t>
      </w:r>
      <w:r>
        <w:t xml:space="preserve"> </w:t>
      </w:r>
      <w:r>
        <w:t xml:space="preserve">(Engineer Manual Nos. EM 1110-2-1902). U.S. Army Corps of Engineers.</w:t>
      </w:r>
      <w:r>
        <w:t xml:space="preserve"> </w:t>
      </w:r>
      <w:hyperlink r:id="rId261">
        <w:r>
          <w:rPr>
            <w:rStyle w:val="Hyperlink"/>
          </w:rPr>
          <w:t xml:space="preserve">https://www.publications.usace.army.mil/Portals/76/Publications/EngineerManuals/EM_1110-2-1902.pdf</w:t>
        </w:r>
      </w:hyperlink>
    </w:p>
    <w:bookmarkEnd w:id="262"/>
    <w:bookmarkStart w:id="264" w:name="ref-USACE2005"/>
    <w:p>
      <w:pPr>
        <w:pStyle w:val="Bibliography"/>
      </w:pPr>
      <w:r>
        <w:t xml:space="preserve">U.S. Army Corps of Engineers. (2005).</w:t>
      </w:r>
      <w:r>
        <w:t xml:space="preserve"> </w:t>
      </w:r>
      <w:r>
        <w:rPr>
          <w:i/>
          <w:iCs/>
        </w:rPr>
        <w:t xml:space="preserve">Stability of</w:t>
      </w:r>
      <w:r>
        <w:rPr>
          <w:i/>
          <w:iCs/>
        </w:rPr>
        <w:t xml:space="preserve"> </w:t>
      </w:r>
      <w:r>
        <w:rPr>
          <w:i/>
          <w:iCs/>
        </w:rPr>
        <w:t xml:space="preserve">Concrete</w:t>
      </w:r>
      <w:r>
        <w:rPr>
          <w:i/>
          <w:iCs/>
        </w:rPr>
        <w:t xml:space="preserve"> </w:t>
      </w:r>
      <w:r>
        <w:rPr>
          <w:i/>
          <w:iCs/>
        </w:rPr>
        <w:t xml:space="preserve">Structures</w:t>
      </w:r>
      <w:r>
        <w:t xml:space="preserve"> </w:t>
      </w:r>
      <w:r>
        <w:t xml:space="preserve">(Engineer Manual Nos. EM 1110-2-2100). U.S. Army Corps of Engineers.</w:t>
      </w:r>
      <w:r>
        <w:t xml:space="preserve"> </w:t>
      </w:r>
      <w:hyperlink r:id="rId263">
        <w:r>
          <w:rPr>
            <w:rStyle w:val="Hyperlink"/>
          </w:rPr>
          <w:t xml:space="preserve">https://www.publications.usace.army.mil/portals/76/publications/engineermanuals/em_1110-2-2100.pdf</w:t>
        </w:r>
      </w:hyperlink>
    </w:p>
    <w:bookmarkEnd w:id="264"/>
    <w:bookmarkStart w:id="266" w:name="ref-NRCSSHAC2012"/>
    <w:p>
      <w:pPr>
        <w:pStyle w:val="Bibliography"/>
      </w:pPr>
      <w:r>
        <w:t xml:space="preserve">U.S. Nuclear Regulatory Commission. (2012).</w:t>
      </w:r>
      <w:r>
        <w:t xml:space="preserve"> </w:t>
      </w:r>
      <w:r>
        <w:rPr>
          <w:i/>
          <w:iCs/>
        </w:rPr>
        <w:t xml:space="preserve">Practical</w:t>
      </w:r>
      <w:r>
        <w:rPr>
          <w:i/>
          <w:iCs/>
        </w:rPr>
        <w:t xml:space="preserve"> </w:t>
      </w:r>
      <w:r>
        <w:rPr>
          <w:i/>
          <w:iCs/>
        </w:rPr>
        <w:t xml:space="preserve">Implementation</w:t>
      </w:r>
      <w:r>
        <w:rPr>
          <w:i/>
          <w:iCs/>
        </w:rPr>
        <w:t xml:space="preserve"> </w:t>
      </w:r>
      <w:r>
        <w:rPr>
          <w:i/>
          <w:iCs/>
        </w:rPr>
        <w:t xml:space="preserve">Guidelines</w:t>
      </w:r>
      <w:r>
        <w:rPr>
          <w:i/>
          <w:iCs/>
        </w:rPr>
        <w:t xml:space="preserve"> </w:t>
      </w:r>
      <w:r>
        <w:rPr>
          <w:i/>
          <w:iCs/>
        </w:rPr>
        <w:t xml:space="preserve">for</w:t>
      </w:r>
      <w:r>
        <w:rPr>
          <w:i/>
          <w:iCs/>
        </w:rPr>
        <w:t xml:space="preserve"> </w:t>
      </w:r>
      <w:r>
        <w:rPr>
          <w:i/>
          <w:iCs/>
        </w:rPr>
        <w:t xml:space="preserve">SSHAC</w:t>
      </w:r>
      <w:r>
        <w:rPr>
          <w:i/>
          <w:iCs/>
        </w:rPr>
        <w:t xml:space="preserve"> </w:t>
      </w:r>
      <w:r>
        <w:rPr>
          <w:i/>
          <w:iCs/>
        </w:rPr>
        <w:t xml:space="preserve">Level</w:t>
      </w:r>
      <w:r>
        <w:rPr>
          <w:i/>
          <w:iCs/>
        </w:rPr>
        <w:t xml:space="preserve"> </w:t>
      </w:r>
      <w:r>
        <w:rPr>
          <w:i/>
          <w:iCs/>
        </w:rPr>
        <w:t xml:space="preserve">3 and 4</w:t>
      </w:r>
      <w:r>
        <w:rPr>
          <w:i/>
          <w:iCs/>
        </w:rPr>
        <w:t xml:space="preserve"> </w:t>
      </w:r>
      <w:r>
        <w:rPr>
          <w:i/>
          <w:iCs/>
        </w:rPr>
        <w:t xml:space="preserve">Hazard</w:t>
      </w:r>
      <w:r>
        <w:rPr>
          <w:i/>
          <w:iCs/>
        </w:rPr>
        <w:t xml:space="preserve"> </w:t>
      </w:r>
      <w:r>
        <w:rPr>
          <w:i/>
          <w:iCs/>
        </w:rPr>
        <w:t xml:space="preserve">Studies</w:t>
      </w:r>
      <w:r>
        <w:t xml:space="preserve"> </w:t>
      </w:r>
      <w:r>
        <w:t xml:space="preserve">(Nos. NUREG-2117). U.S. Nuclear Regulatory Commission.</w:t>
      </w:r>
      <w:r>
        <w:t xml:space="preserve"> </w:t>
      </w:r>
      <w:hyperlink r:id="rId265">
        <w:r>
          <w:rPr>
            <w:rStyle w:val="Hyperlink"/>
          </w:rPr>
          <w:t xml:space="preserve">https://www.nrc.gov/reading-rm/doc-collections/nuregs/staff/sr2117/</w:t>
        </w:r>
      </w:hyperlink>
    </w:p>
    <w:bookmarkEnd w:id="266"/>
    <w:bookmarkStart w:id="268" w:name="ref-Verri2023a"/>
    <w:p>
      <w:pPr>
        <w:pStyle w:val="Bibliography"/>
      </w:pPr>
      <w:r>
        <w:t xml:space="preserve">Verri Kozlowski, A. (2023). Modelos</w:t>
      </w:r>
      <w:r>
        <w:t xml:space="preserve"> </w:t>
      </w:r>
      <w:r>
        <w:t xml:space="preserve">Paramétricos</w:t>
      </w:r>
      <w:r>
        <w:t xml:space="preserve"> </w:t>
      </w:r>
      <w:r>
        <w:t xml:space="preserve">para la</w:t>
      </w:r>
      <w:r>
        <w:t xml:space="preserve"> </w:t>
      </w:r>
      <w:r>
        <w:t xml:space="preserve">Selección</w:t>
      </w:r>
      <w:r>
        <w:t xml:space="preserve"> </w:t>
      </w:r>
      <w:r>
        <w:t xml:space="preserve">de</w:t>
      </w:r>
      <w:r>
        <w:t xml:space="preserve"> </w:t>
      </w:r>
      <w:r>
        <w:t xml:space="preserve">Sismos</w:t>
      </w:r>
      <w:r>
        <w:t xml:space="preserve"> </w:t>
      </w:r>
      <w:r>
        <w:t xml:space="preserve">de</w:t>
      </w:r>
      <w:r>
        <w:t xml:space="preserve"> </w:t>
      </w:r>
      <w:r>
        <w:t xml:space="preserve">Diseño</w:t>
      </w:r>
      <w:r>
        <w:t xml:space="preserve"> </w:t>
      </w:r>
      <w:r>
        <w:t xml:space="preserve">en</w:t>
      </w:r>
      <w:r>
        <w:t xml:space="preserve"> </w:t>
      </w:r>
      <w:r>
        <w:t xml:space="preserve">Infraestructura</w:t>
      </w:r>
      <w:r>
        <w:t xml:space="preserve"> </w:t>
      </w:r>
      <w:r>
        <w:t xml:space="preserve">Minera</w:t>
      </w:r>
      <w:r>
        <w:t xml:space="preserve">.</w:t>
      </w:r>
      <w:r>
        <w:t xml:space="preserve"> </w:t>
      </w:r>
      <w:r>
        <w:rPr>
          <w:i/>
          <w:iCs/>
        </w:rPr>
        <w:t xml:space="preserve">IV Seminario de Vinculación y Transferencia (SeVyT)</w:t>
      </w:r>
      <w:r>
        <w:t xml:space="preserve">.</w:t>
      </w:r>
      <w:r>
        <w:t xml:space="preserve"> </w:t>
      </w:r>
      <w:hyperlink r:id="rId267">
        <w:r>
          <w:rPr>
            <w:rStyle w:val="Hyperlink"/>
          </w:rPr>
          <w:t xml:space="preserve">https://sevyt23.srk.ar/article.pdf</w:t>
        </w:r>
      </w:hyperlink>
    </w:p>
    <w:bookmarkEnd w:id="268"/>
    <w:bookmarkStart w:id="269" w:name="ref-VerriKozlowski2026Newmark"/>
    <w:p>
      <w:pPr>
        <w:pStyle w:val="Bibliography"/>
      </w:pPr>
      <w:r>
        <w:t xml:space="preserve">Verri Kozlowski, A. (2026a).</w:t>
      </w:r>
      <w:r>
        <w:t xml:space="preserve"> </w:t>
      </w:r>
      <w:r>
        <w:rPr>
          <w:i/>
          <w:iCs/>
        </w:rPr>
        <w:t xml:space="preserve">Probabilistic</w:t>
      </w:r>
      <w:r>
        <w:rPr>
          <w:i/>
          <w:iCs/>
        </w:rPr>
        <w:t xml:space="preserve"> </w:t>
      </w:r>
      <w:r>
        <w:rPr>
          <w:i/>
          <w:iCs/>
        </w:rPr>
        <w:t xml:space="preserve">Estimation</w:t>
      </w:r>
      <w:r>
        <w:rPr>
          <w:i/>
          <w:iCs/>
        </w:rPr>
        <w:t xml:space="preserve"> </w:t>
      </w:r>
      <w:r>
        <w:rPr>
          <w:i/>
          <w:iCs/>
        </w:rPr>
        <w:t xml:space="preserve">of</w:t>
      </w:r>
      <w:r>
        <w:rPr>
          <w:i/>
          <w:iCs/>
        </w:rPr>
        <w:t xml:space="preserve"> </w:t>
      </w:r>
      <w:r>
        <w:rPr>
          <w:i/>
          <w:iCs/>
        </w:rPr>
        <w:t xml:space="preserve">Newmark</w:t>
      </w:r>
      <w:r>
        <w:rPr>
          <w:i/>
          <w:iCs/>
        </w:rPr>
        <w:t xml:space="preserve"> </w:t>
      </w:r>
      <w:r>
        <w:rPr>
          <w:i/>
          <w:iCs/>
        </w:rPr>
        <w:t xml:space="preserve">Displacements</w:t>
      </w:r>
      <w:r>
        <w:rPr>
          <w:i/>
          <w:iCs/>
        </w:rPr>
        <w:t xml:space="preserve"> </w:t>
      </w:r>
      <w:r>
        <w:rPr>
          <w:i/>
          <w:iCs/>
        </w:rPr>
        <w:t xml:space="preserve">and</w:t>
      </w:r>
      <w:r>
        <w:rPr>
          <w:i/>
          <w:iCs/>
        </w:rPr>
        <w:t xml:space="preserve"> </w:t>
      </w:r>
      <w:r>
        <w:rPr>
          <w:i/>
          <w:iCs/>
        </w:rPr>
        <w:t xml:space="preserve">Seismic</w:t>
      </w:r>
      <w:r>
        <w:rPr>
          <w:i/>
          <w:iCs/>
        </w:rPr>
        <w:t xml:space="preserve"> </w:t>
      </w:r>
      <w:r>
        <w:rPr>
          <w:i/>
          <w:iCs/>
        </w:rPr>
        <w:t xml:space="preserve">Coefficients</w:t>
      </w:r>
      <w:r>
        <w:rPr>
          <w:i/>
          <w:iCs/>
        </w:rPr>
        <w:t xml:space="preserve"> </w:t>
      </w:r>
      <w:r>
        <w:rPr>
          <w:i/>
          <w:iCs/>
        </w:rPr>
        <w:t xml:space="preserve">under</w:t>
      </w:r>
      <w:r>
        <w:rPr>
          <w:i/>
          <w:iCs/>
        </w:rPr>
        <w:t xml:space="preserve"> </w:t>
      </w:r>
      <w:r>
        <w:rPr>
          <w:i/>
          <w:iCs/>
        </w:rPr>
        <w:t xml:space="preserve">Hazard</w:t>
      </w:r>
      <w:r>
        <w:rPr>
          <w:i/>
          <w:iCs/>
        </w:rPr>
        <w:t xml:space="preserve"> </w:t>
      </w:r>
      <w:r>
        <w:rPr>
          <w:i/>
          <w:iCs/>
        </w:rPr>
        <w:t xml:space="preserve">Uncertainty</w:t>
      </w:r>
      <w:r>
        <w:t xml:space="preserve">.</w:t>
      </w:r>
    </w:p>
    <w:bookmarkEnd w:id="269"/>
    <w:bookmarkStart w:id="270" w:name="ref-VerriKozlowskiInPress"/>
    <w:p>
      <w:pPr>
        <w:pStyle w:val="Bibliography"/>
      </w:pPr>
      <w:r>
        <w:t xml:space="preserve">Verri Kozlowski, A. (2026b).</w:t>
      </w:r>
      <w:r>
        <w:t xml:space="preserve"> </w:t>
      </w:r>
      <w:r>
        <w:rPr>
          <w:i/>
          <w:iCs/>
        </w:rPr>
        <w:t xml:space="preserve">Spectral</w:t>
      </w:r>
      <w:r>
        <w:rPr>
          <w:i/>
          <w:iCs/>
        </w:rPr>
        <w:t xml:space="preserve"> </w:t>
      </w:r>
      <w:r>
        <w:rPr>
          <w:i/>
          <w:iCs/>
        </w:rPr>
        <w:t xml:space="preserve">Matching</w:t>
      </w:r>
      <w:r>
        <w:rPr>
          <w:i/>
          <w:iCs/>
        </w:rPr>
        <w:t xml:space="preserve"> </w:t>
      </w:r>
      <w:r>
        <w:rPr>
          <w:i/>
          <w:iCs/>
        </w:rPr>
        <w:t xml:space="preserve">of</w:t>
      </w:r>
      <w:r>
        <w:rPr>
          <w:i/>
          <w:iCs/>
        </w:rPr>
        <w:t xml:space="preserve"> </w:t>
      </w:r>
      <w:r>
        <w:rPr>
          <w:i/>
          <w:iCs/>
        </w:rPr>
        <w:t xml:space="preserve">Recorded</w:t>
      </w:r>
      <w:r>
        <w:rPr>
          <w:i/>
          <w:iCs/>
        </w:rPr>
        <w:t xml:space="preserve"> </w:t>
      </w:r>
      <w:r>
        <w:rPr>
          <w:i/>
          <w:iCs/>
        </w:rPr>
        <w:t xml:space="preserve">Ground</w:t>
      </w:r>
      <w:r>
        <w:rPr>
          <w:i/>
          <w:iCs/>
        </w:rPr>
        <w:t xml:space="preserve"> </w:t>
      </w:r>
      <w:r>
        <w:rPr>
          <w:i/>
          <w:iCs/>
        </w:rPr>
        <w:t xml:space="preserve">Motions</w:t>
      </w:r>
      <w:r>
        <w:rPr>
          <w:i/>
          <w:iCs/>
        </w:rPr>
        <w:t xml:space="preserve"> </w:t>
      </w:r>
      <w:r>
        <w:rPr>
          <w:i/>
          <w:iCs/>
        </w:rPr>
        <w:t xml:space="preserve">Using</w:t>
      </w:r>
      <w:r>
        <w:rPr>
          <w:i/>
          <w:iCs/>
        </w:rPr>
        <w:t xml:space="preserve"> </w:t>
      </w:r>
      <w:r>
        <w:rPr>
          <w:i/>
          <w:iCs/>
        </w:rPr>
        <w:t xml:space="preserve">Variational</w:t>
      </w:r>
      <w:r>
        <w:rPr>
          <w:i/>
          <w:iCs/>
        </w:rPr>
        <w:t xml:space="preserve"> </w:t>
      </w:r>
      <w:r>
        <w:rPr>
          <w:i/>
          <w:iCs/>
        </w:rPr>
        <w:t xml:space="preserve">Mode</w:t>
      </w:r>
      <w:r>
        <w:rPr>
          <w:i/>
          <w:iCs/>
        </w:rPr>
        <w:t xml:space="preserve"> </w:t>
      </w:r>
      <w:r>
        <w:rPr>
          <w:i/>
          <w:iCs/>
        </w:rPr>
        <w:t xml:space="preserve">Decomposition</w:t>
      </w:r>
      <w:r>
        <w:t xml:space="preserve">.</w:t>
      </w:r>
    </w:p>
    <w:bookmarkEnd w:id="270"/>
    <w:bookmarkStart w:id="272" w:name="ref-WeatherillCotton2020"/>
    <w:p>
      <w:pPr>
        <w:pStyle w:val="Bibliography"/>
      </w:pPr>
      <w:r>
        <w:t xml:space="preserve">Weatherill, G., &amp; Cotton, F. (2020). A</w:t>
      </w:r>
      <w:r>
        <w:t xml:space="preserve"> </w:t>
      </w:r>
      <w:r>
        <w:t xml:space="preserve">Ground</w:t>
      </w:r>
      <w:r>
        <w:t xml:space="preserve"> </w:t>
      </w:r>
      <w:r>
        <w:t xml:space="preserve">Motion</w:t>
      </w:r>
      <w:r>
        <w:t xml:space="preserve"> </w:t>
      </w:r>
      <w:r>
        <w:t xml:space="preserve">Logic</w:t>
      </w:r>
      <w:r>
        <w:t xml:space="preserve"> </w:t>
      </w:r>
      <w:r>
        <w:t xml:space="preserve">Tree</w:t>
      </w:r>
      <w:r>
        <w:t xml:space="preserve"> </w:t>
      </w:r>
      <w:r>
        <w:t xml:space="preserve">for</w:t>
      </w:r>
      <w:r>
        <w:t xml:space="preserve"> </w:t>
      </w:r>
      <w:r>
        <w:t xml:space="preserve">Seismic</w:t>
      </w:r>
      <w:r>
        <w:t xml:space="preserve"> </w:t>
      </w:r>
      <w:r>
        <w:t xml:space="preserve">Hazard</w:t>
      </w:r>
      <w:r>
        <w:t xml:space="preserve"> </w:t>
      </w:r>
      <w:r>
        <w:t xml:space="preserve">Analysis</w:t>
      </w:r>
      <w:r>
        <w:t xml:space="preserve"> </w:t>
      </w:r>
      <w:r>
        <w:t xml:space="preserve">in the</w:t>
      </w:r>
      <w:r>
        <w:t xml:space="preserve"> </w:t>
      </w:r>
      <w:r>
        <w:t xml:space="preserve">Literature</w:t>
      </w:r>
      <w:r>
        <w:t xml:space="preserve"> </w:t>
      </w:r>
      <w:r>
        <w:t xml:space="preserve">of the</w:t>
      </w:r>
      <w:r>
        <w:t xml:space="preserve"> </w:t>
      </w:r>
      <w:r>
        <w:t xml:space="preserve">European Seismic Hazard Model</w:t>
      </w:r>
      <w:r>
        <w:t xml:space="preserve"> </w:t>
      </w:r>
      <w:r>
        <w:t xml:space="preserve">for</w:t>
      </w:r>
      <w:r>
        <w:t xml:space="preserve"> </w:t>
      </w:r>
      <w:r>
        <w:t xml:space="preserve">Stable</w:t>
      </w:r>
      <w:r>
        <w:t xml:space="preserve"> </w:t>
      </w:r>
      <w:r>
        <w:t xml:space="preserve">Craton</w:t>
      </w:r>
      <w:r>
        <w:t xml:space="preserve"> </w:t>
      </w:r>
      <w:r>
        <w:t xml:space="preserve">Regions</w:t>
      </w:r>
      <w:r>
        <w:t xml:space="preserve">.</w:t>
      </w:r>
      <w:r>
        <w:t xml:space="preserve"> </w:t>
      </w:r>
      <w:r>
        <w:rPr>
          <w:i/>
          <w:iCs/>
        </w:rPr>
        <w:t xml:space="preserve">Bulletin of Earthquake Engineering</w:t>
      </w:r>
      <w:r>
        <w:t xml:space="preserve">,</w:t>
      </w:r>
      <w:r>
        <w:t xml:space="preserve"> </w:t>
      </w:r>
      <w:r>
        <w:rPr>
          <w:i/>
          <w:iCs/>
        </w:rPr>
        <w:t xml:space="preserve">18</w:t>
      </w:r>
      <w:r>
        <w:t xml:space="preserve">, 6119–6148.</w:t>
      </w:r>
      <w:r>
        <w:t xml:space="preserve"> </w:t>
      </w:r>
      <w:hyperlink r:id="rId271">
        <w:r>
          <w:rPr>
            <w:rStyle w:val="Hyperlink"/>
          </w:rPr>
          <w:t xml:space="preserve">https://doi.org/10.1007/s10518-020-00940-x</w:t>
        </w:r>
      </w:hyperlink>
    </w:p>
    <w:bookmarkEnd w:id="272"/>
    <w:bookmarkEnd w:id="273"/>
    <w:bookmarkEnd w:id="274"/>
    <w:bookmarkStart w:id="313" w:name="appendices"/>
    <w:p>
      <w:pPr>
        <w:pStyle w:val="Heading1"/>
      </w:pPr>
      <w:r>
        <w:t xml:space="preserve">6</w:t>
      </w:r>
      <w:r>
        <w:tab/>
      </w:r>
      <w:r>
        <w:t xml:space="preserve">Appendices</w:t>
      </w:r>
    </w:p>
    <w:bookmarkStart w:id="284" w:name="sec-notation"/>
    <w:p>
      <w:pPr>
        <w:pStyle w:val="Heading2"/>
      </w:pPr>
      <w:r>
        <w:t xml:space="preserve">6.1</w:t>
      </w:r>
      <w:r>
        <w:tab/>
      </w:r>
      <w:r>
        <w:t xml:space="preserve">Notation</w:t>
      </w:r>
    </w:p>
    <w:p>
      <w:pPr>
        <w:pStyle w:val="FirstParagraph"/>
      </w:pPr>
      <w:r>
        <w:t xml:space="preserve">The following tables summarize the mathematical notation of the report, by thematic block and in order of appearance.</w:t>
      </w:r>
    </w:p>
    <w:bookmarkStart w:id="275" w:name="general-symbols"/>
    <w:p>
      <w:pPr>
        <w:pStyle w:val="Heading3"/>
      </w:pPr>
      <w:r>
        <w:t xml:space="preserve">6.1.1</w:t>
      </w:r>
      <w:r>
        <w:tab/>
      </w:r>
      <w:r>
        <w:t xml:space="preserve">General symbols</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sSub>
                <m:e>
                  <m:r>
                    <m:t>T</m:t>
                  </m:r>
                </m:e>
                <m:sub>
                  <m:r>
                    <m:t>n</m:t>
                  </m:r>
                </m:sub>
              </m:sSub>
            </m:oMath>
          </w:p>
        </w:tc>
        <w:tc>
          <w:tcPr/>
          <w:p>
            <w:pPr>
              <w:pStyle w:val="SRKTableText"/>
            </w:pPr>
            <w:r>
              <w:t xml:space="preserve">Oscillator period associated with spectral ordinate</w:t>
            </w:r>
            <w:r>
              <w:t xml:space="preserve"> </w:t>
            </w:r>
            <m:oMath>
              <m:r>
                <m:t>n</m:t>
              </m:r>
            </m:oMath>
            <w:r>
              <w:t xml:space="preserve">; by convention,</w:t>
            </w:r>
            <w:r>
              <w:t xml:space="preserve"> </w:t>
            </w:r>
            <m:oMath>
              <m:sSub>
                <m:e>
                  <m:r>
                    <m:t>T</m:t>
                  </m:r>
                </m:e>
                <m:sub>
                  <m:r>
                    <m:t>n</m:t>
                  </m:r>
                </m:sub>
              </m:sSub>
              <m:r>
                <m:rPr>
                  <m:sty m:val="p"/>
                </m:rPr>
                <m:t>=</m:t>
              </m:r>
              <m:r>
                <m:t>0</m:t>
              </m:r>
            </m:oMath>
            <w:r>
              <w:t xml:space="preserve"> </w:t>
            </w:r>
            <w:r>
              <w:t xml:space="preserve">represents PGA (s).</w:t>
            </w:r>
          </w:p>
        </w:tc>
      </w:tr>
      <w:tr>
        <w:tc>
          <w:tcPr/>
          <w:p>
            <w:pPr>
              <w:pStyle w:val="SRKTableText"/>
            </w:pPr>
            <m:oMath>
              <m:sSub>
                <m:e>
                  <m:r>
                    <m:t>T</m:t>
                  </m:r>
                </m:e>
                <m:sub>
                  <m:r>
                    <m:t>R</m:t>
                  </m:r>
                </m:sub>
              </m:sSub>
            </m:oMath>
          </w:p>
        </w:tc>
        <w:tc>
          <w:tcPr/>
          <w:p>
            <w:pPr>
              <w:pStyle w:val="SRKTableText"/>
            </w:pPr>
            <w:r>
              <w:t xml:space="preserve">Return period,</w:t>
            </w:r>
            <w:r>
              <w:t xml:space="preserve"> </w:t>
            </w:r>
            <m:oMath>
              <m:sSub>
                <m:e>
                  <m:r>
                    <m:t>T</m:t>
                  </m:r>
                </m:e>
                <m:sub>
                  <m:r>
                    <m:t>R</m:t>
                  </m:r>
                </m:sub>
              </m:sSub>
              <m:r>
                <m:rPr>
                  <m:sty m:val="p"/>
                </m:rPr>
                <m:t>=</m:t>
              </m:r>
              <m:r>
                <m:t>1</m:t>
              </m:r>
              <m:r>
                <m:rPr>
                  <m:sty m:val="p"/>
                </m:rPr>
                <m:t>/</m:t>
              </m:r>
              <m:sSub>
                <m:e>
                  <m:r>
                    <m:t>λ</m:t>
                  </m:r>
                </m:e>
                <m:sub>
                  <m:r>
                    <m:t>I</m:t>
                  </m:r>
                </m:sub>
              </m:sSub>
              <m:r>
                <m:rPr>
                  <m:sty m:val="p"/>
                </m:rPr>
                <m:t>(</m:t>
              </m:r>
              <m:sSup>
                <m:e>
                  <m:r>
                    <m:t>i</m:t>
                  </m:r>
                </m:e>
                <m:sup>
                  <m:r>
                    <m:rPr>
                      <m:sty m:val="p"/>
                    </m:rPr>
                    <m:t>*</m:t>
                  </m:r>
                </m:sup>
              </m:sSup>
              <m:r>
                <m:rPr>
                  <m:sty m:val="p"/>
                </m:rPr>
                <m:t>)</m:t>
              </m:r>
            </m:oMath>
            <w:r>
              <w:t xml:space="preserve"> </w:t>
            </w:r>
            <w:r>
              <w:t xml:space="preserve">(yr).</w:t>
            </w:r>
          </w:p>
        </w:tc>
      </w:tr>
      <w:tr>
        <w:tc>
          <w:tcPr/>
          <w:p>
            <w:pPr>
              <w:pStyle w:val="SRKTableText"/>
            </w:pPr>
            <m:oMath>
              <m:sSub>
                <m:e>
                  <m:r>
                    <m:t>V</m:t>
                  </m:r>
                </m:e>
                <m:sub>
                  <m:r>
                    <m:t>S</m:t>
                  </m:r>
                  <m:r>
                    <m:t>30</m:t>
                  </m:r>
                </m:sub>
              </m:sSub>
            </m:oMath>
          </w:p>
        </w:tc>
        <w:tc>
          <w:tcPr/>
          <w:p>
            <w:pPr>
              <w:pStyle w:val="SRKTableText"/>
            </w:pPr>
            <w:r>
              <w:t xml:space="preserve">Travel-time-averaged shear-wave velocity in the uppermost 30 m; it identifies a site condition, not a site class (m/s).</w:t>
            </w:r>
          </w:p>
        </w:tc>
      </w:tr>
      <w:tr>
        <w:tc>
          <w:tcPr/>
          <w:p>
            <w:pPr>
              <w:pStyle w:val="SRKTableText"/>
            </w:pPr>
            <m:oMath>
              <m:sSub>
                <m:e>
                  <m:r>
                    <m:t>V</m:t>
                  </m:r>
                </m:e>
                <m:sub>
                  <m:r>
                    <m:rPr>
                      <m:sty m:val="p"/>
                    </m:rPr>
                    <m:t>r</m:t>
                  </m:r>
                  <m:r>
                    <m:rPr>
                      <m:sty m:val="p"/>
                    </m:rPr>
                    <m:t>e</m:t>
                  </m:r>
                  <m:r>
                    <m:rPr>
                      <m:sty m:val="p"/>
                    </m:rPr>
                    <m:t>f</m:t>
                  </m:r>
                </m:sub>
              </m:sSub>
            </m:oMath>
          </w:p>
        </w:tc>
        <w:tc>
          <w:tcPr/>
          <w:p>
            <w:pPr>
              <w:pStyle w:val="SRKTableText"/>
            </w:pPr>
            <w:r>
              <w:t xml:space="preserve">Shear-wave velocity of the reference input condition; 760 and 3000 m/s occur in the formulation (m/s).</w:t>
            </w:r>
          </w:p>
        </w:tc>
      </w:tr>
    </w:tbl>
    <w:bookmarkEnd w:id="275"/>
    <w:bookmarkStart w:id="276" w:name="seismic-hazard"/>
    <w:p>
      <w:pPr>
        <w:pStyle w:val="Heading3"/>
      </w:pPr>
      <w:r>
        <w:t xml:space="preserve">6.1.2</w:t>
      </w:r>
      <w:r>
        <w:tab/>
      </w:r>
      <w:r>
        <w:t xml:space="preserve">Seismic hazard</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sSub>
                <m:e>
                  <m:r>
                    <m:t>M</m:t>
                  </m:r>
                </m:e>
                <m:sub>
                  <m:r>
                    <m:t>w</m:t>
                  </m:r>
                </m:sub>
              </m:sSub>
            </m:oMath>
          </w:p>
        </w:tc>
        <w:tc>
          <w:tcPr/>
          <w:p>
            <w:pPr>
              <w:pStyle w:val="SRKTableText"/>
            </w:pPr>
            <w:r>
              <w:t xml:space="preserve">Moment magnitude.</w:t>
            </w:r>
          </w:p>
        </w:tc>
      </w:tr>
      <w:tr>
        <w:tc>
          <w:tcPr/>
          <w:p>
            <w:pPr>
              <w:pStyle w:val="SRKTableText"/>
            </w:pPr>
            <m:oMath>
              <m:r>
                <m:t>I</m:t>
              </m:r>
            </m:oMath>
          </w:p>
        </w:tc>
        <w:tc>
          <w:tcPr/>
          <w:p>
            <w:pPr>
              <w:pStyle w:val="SRKTableText"/>
            </w:pPr>
            <w:r>
              <w:t xml:space="preserve">Ground-motion intensity measure.</w:t>
            </w:r>
          </w:p>
        </w:tc>
      </w:tr>
      <w:tr>
        <w:tc>
          <w:tcPr/>
          <w:p>
            <w:pPr>
              <w:pStyle w:val="SRKTableText"/>
            </w:pPr>
            <m:oMath>
              <m:sSup>
                <m:e>
                  <m:r>
                    <m:t>i</m:t>
                  </m:r>
                </m:e>
                <m:sup>
                  <m:r>
                    <m:rPr>
                      <m:sty m:val="p"/>
                    </m:rPr>
                    <m:t>*</m:t>
                  </m:r>
                </m:sup>
              </m:sSup>
            </m:oMath>
          </w:p>
        </w:tc>
        <w:tc>
          <w:tcPr/>
          <w:p>
            <w:pPr>
              <w:pStyle w:val="SRKTableText"/>
            </w:pPr>
            <w:r>
              <w:t xml:space="preserve">Intensity level whose exceedance is evaluated.</w:t>
            </w:r>
          </w:p>
        </w:tc>
      </w:tr>
      <w:tr>
        <w:tc>
          <w:tcPr/>
          <w:p>
            <w:pPr>
              <w:pStyle w:val="SRKTableText"/>
            </w:pPr>
            <m:oMath>
              <m:sSub>
                <m:e>
                  <m:r>
                    <m:t>λ</m:t>
                  </m:r>
                </m:e>
                <m:sub>
                  <m:r>
                    <m:t>I</m:t>
                  </m:r>
                </m:sub>
              </m:sSub>
              <m:r>
                <m:rPr>
                  <m:sty m:val="p"/>
                </m:rPr>
                <m:t>(</m:t>
              </m:r>
              <m:sSup>
                <m:e>
                  <m:r>
                    <m:t>i</m:t>
                  </m:r>
                </m:e>
                <m:sup>
                  <m:r>
                    <m:rPr>
                      <m:sty m:val="p"/>
                    </m:rPr>
                    <m:t>*</m:t>
                  </m:r>
                </m:sup>
              </m:sSup>
              <m:r>
                <m:rPr>
                  <m:sty m:val="p"/>
                </m:rPr>
                <m:t>)</m:t>
              </m:r>
            </m:oMath>
          </w:p>
        </w:tc>
        <w:tc>
          <w:tcPr/>
          <w:p>
            <w:pPr>
              <w:pStyle w:val="SRKTableText"/>
            </w:pPr>
            <w:r>
              <w:t xml:space="preserve">Total annual exceedance rate; per source,</w:t>
            </w:r>
            <w:r>
              <w:t xml:space="preserve"> </w:t>
            </w:r>
            <m:oMath>
              <m:sSub>
                <m:e>
                  <m:r>
                    <m:t>λ</m:t>
                  </m:r>
                </m:e>
                <m:sub>
                  <m:r>
                    <m:t>I</m:t>
                  </m:r>
                </m:sub>
              </m:sSub>
              <m:r>
                <m:rPr>
                  <m:sty m:val="p"/>
                </m:rPr>
                <m:t>(</m:t>
              </m:r>
              <m:sSup>
                <m:e>
                  <m:r>
                    <m:t>i</m:t>
                  </m:r>
                </m:e>
                <m:sup>
                  <m:r>
                    <m:rPr>
                      <m:sty m:val="p"/>
                    </m:rPr>
                    <m:t>*</m:t>
                  </m:r>
                </m:sup>
              </m:sSup>
              <m:sSup>
                <m:e>
                  <m:r>
                    <m:rPr>
                      <m:sty m:val="p"/>
                    </m:rPr>
                    <m:t>)</m:t>
                  </m:r>
                </m:e>
                <m:sup>
                  <m:r>
                    <m:rPr>
                      <m:sty m:val="p"/>
                    </m:rPr>
                    <m:t>(</m:t>
                  </m:r>
                  <m:r>
                    <m:t>s</m:t>
                  </m:r>
                  <m:r>
                    <m:rPr>
                      <m:sty m:val="p"/>
                    </m:rPr>
                    <m:t>)</m:t>
                  </m:r>
                </m:sup>
              </m:sSup>
            </m:oMath>
            <w:r>
              <w:t xml:space="preserve"> </w:t>
            </w:r>
            <w:r>
              <w:t xml:space="preserve">(1/yr).</w:t>
            </w:r>
          </w:p>
        </w:tc>
      </w:tr>
      <w:tr>
        <w:tc>
          <w:tcPr/>
          <w:p>
            <w:pPr>
              <w:pStyle w:val="SRKTableText"/>
            </w:pPr>
            <m:oMath>
              <m:sSubSup>
                <m:e>
                  <m:r>
                    <m:t>ν</m:t>
                  </m:r>
                </m:e>
                <m:sub>
                  <m:r>
                    <m:t>0</m:t>
                  </m:r>
                </m:sub>
                <m:sup>
                  <m:r>
                    <m:rPr>
                      <m:sty m:val="p"/>
                    </m:rPr>
                    <m:t>(</m:t>
                  </m:r>
                  <m:r>
                    <m:t>s</m:t>
                  </m:r>
                  <m:r>
                    <m:rPr>
                      <m:sty m:val="p"/>
                    </m:rPr>
                    <m:t>)</m:t>
                  </m:r>
                </m:sup>
              </m:sSubSup>
            </m:oMath>
          </w:p>
        </w:tc>
        <w:tc>
          <w:tcPr/>
          <w:p>
            <w:pPr>
              <w:pStyle w:val="SRKTableText"/>
            </w:pPr>
            <w:r>
              <w:t xml:space="preserve">Annual rate of occurrence of source</w:t>
            </w:r>
            <w:r>
              <w:t xml:space="preserve"> </w:t>
            </w:r>
            <m:oMath>
              <m:r>
                <m:t>s</m:t>
              </m:r>
            </m:oMath>
            <w:r>
              <w:t xml:space="preserve"> </w:t>
            </w:r>
            <w:r>
              <w:t xml:space="preserve">above</w:t>
            </w:r>
            <w:r>
              <w:t xml:space="preserve"> </w:t>
            </w:r>
            <m:oMath>
              <m:sSub>
                <m:e>
                  <m:r>
                    <m:t>M</m:t>
                  </m:r>
                </m:e>
                <m:sub>
                  <m:r>
                    <m:rPr>
                      <m:sty m:val="p"/>
                    </m:rPr>
                    <m:t>min</m:t>
                  </m:r>
                </m:sub>
              </m:sSub>
            </m:oMath>
            <w:r>
              <w:t xml:space="preserve"> </w:t>
            </w:r>
            <w:r>
              <w:t xml:space="preserve">(1/yr).</w:t>
            </w:r>
          </w:p>
        </w:tc>
      </w:tr>
      <w:tr>
        <w:tc>
          <w:tcPr/>
          <w:p>
            <w:pPr>
              <w:pStyle w:val="SRKTableText"/>
            </w:pPr>
            <m:oMath>
              <m:sSub>
                <m:e>
                  <m:r>
                    <m:t>M</m:t>
                  </m:r>
                </m:e>
                <m:sub>
                  <m:r>
                    <m:rPr>
                      <m:sty m:val="p"/>
                    </m:rPr>
                    <m:t>min</m:t>
                  </m:r>
                </m:sub>
              </m:sSub>
            </m:oMath>
            <w:r>
              <w:t xml:space="preserve">,</w:t>
            </w:r>
            <w:r>
              <w:t xml:space="preserve"> </w:t>
            </w:r>
            <m:oMath>
              <m:sSubSup>
                <m:e>
                  <m:r>
                    <m:t>M</m:t>
                  </m:r>
                </m:e>
                <m:sub>
                  <m:r>
                    <m:rPr>
                      <m:sty m:val="p"/>
                    </m:rPr>
                    <m:t>max</m:t>
                  </m:r>
                </m:sub>
                <m:sup>
                  <m:r>
                    <m:rPr>
                      <m:sty m:val="p"/>
                    </m:rPr>
                    <m:t>(</m:t>
                  </m:r>
                  <m:r>
                    <m:t>s</m:t>
                  </m:r>
                  <m:r>
                    <m:rPr>
                      <m:sty m:val="p"/>
                    </m:rPr>
                    <m:t>)</m:t>
                  </m:r>
                </m:sup>
              </m:sSubSup>
            </m:oMath>
          </w:p>
        </w:tc>
        <w:tc>
          <w:tcPr/>
          <w:p>
            <w:pPr>
              <w:pStyle w:val="SRKTableText"/>
            </w:pPr>
            <w:r>
              <w:t xml:space="preserve">Minimum magnitude of the domain and source upper bound.</w:t>
            </w:r>
          </w:p>
        </w:tc>
      </w:tr>
      <w:tr>
        <w:tc>
          <w:tcPr/>
          <w:p>
            <w:pPr>
              <w:pStyle w:val="SRKTableText"/>
            </w:pPr>
            <m:oMath>
              <m:sSub>
                <m:e>
                  <m:r>
                    <m:t>P</m:t>
                  </m:r>
                </m:e>
                <m:sub>
                  <m:r>
                    <m:t>1</m:t>
                  </m:r>
                  <m:r>
                    <m:rPr>
                      <m:nor/>
                      <m:sty m:val="p"/>
                    </m:rPr>
                    <m:t>yr</m:t>
                  </m:r>
                </m:sub>
              </m:sSub>
            </m:oMath>
            <w:r>
              <w:t xml:space="preserve">,</w:t>
            </w:r>
            <w:r>
              <w:t xml:space="preserve"> </w:t>
            </w:r>
            <m:oMath>
              <m:sSub>
                <m:e>
                  <m:r>
                    <m:t>P</m:t>
                  </m:r>
                </m:e>
                <m:sub>
                  <m:r>
                    <m:t>T</m:t>
                  </m:r>
                </m:sub>
              </m:sSub>
            </m:oMath>
          </w:p>
        </w:tc>
        <w:tc>
          <w:tcPr/>
          <w:p>
            <w:pPr>
              <w:pStyle w:val="SRKTableText"/>
            </w:pPr>
            <w:r>
              <w:t xml:space="preserve">Probability of at least one exceedance in 1 year / in</w:t>
            </w:r>
            <w:r>
              <w:t xml:space="preserve"> </w:t>
            </w:r>
            <m:oMath>
              <m:r>
                <m:t>T</m:t>
              </m:r>
            </m:oMath>
            <w:r>
              <w:t xml:space="preserve"> </w:t>
            </w:r>
            <w:r>
              <w:t xml:space="preserve">years.</w:t>
            </w:r>
          </w:p>
        </w:tc>
      </w:tr>
      <w:tr>
        <w:tc>
          <w:tcPr/>
          <w:p>
            <w:pPr>
              <w:pStyle w:val="SRKTableText"/>
            </w:pPr>
            <m:oMath>
              <m:sSub>
                <m:e>
                  <m:acc>
                    <m:accPr>
                      <m:chr m:val="̂"/>
                    </m:accPr>
                    <m:e>
                      <m:r>
                        <m:t>η</m:t>
                      </m:r>
                    </m:e>
                  </m:acc>
                </m:e>
                <m:sub>
                  <m:r>
                    <m:t>I</m:t>
                  </m:r>
                </m:sub>
              </m:sSub>
            </m:oMath>
          </w:p>
        </w:tc>
        <w:tc>
          <w:tcPr/>
          <w:p>
            <w:pPr>
              <w:pStyle w:val="SRKTableText"/>
            </w:pPr>
            <w:r>
              <w:t xml:space="preserve">GMM median intensity in linear units.</w:t>
            </w:r>
          </w:p>
        </w:tc>
      </w:tr>
      <w:tr>
        <w:tc>
          <w:tcPr/>
          <w:p>
            <w:pPr>
              <w:pStyle w:val="SRKTableText"/>
            </w:pPr>
            <m:oMath>
              <m:sSub>
                <m:e>
                  <m:r>
                    <m:t>σ</m:t>
                  </m:r>
                </m:e>
                <m:sub>
                  <m:r>
                    <m:rPr>
                      <m:sty m:val="p"/>
                    </m:rPr>
                    <m:t>ln</m:t>
                  </m:r>
                  <m:r>
                    <m:t>I</m:t>
                  </m:r>
                </m:sub>
              </m:sSub>
            </m:oMath>
          </w:p>
        </w:tc>
        <w:tc>
          <w:tcPr/>
          <w:p>
            <w:pPr>
              <w:pStyle w:val="SRKTableText"/>
            </w:pPr>
            <w:r>
              <w:t xml:space="preserve">Total logarithmic standard deviation of the GMM.</w:t>
            </w:r>
          </w:p>
        </w:tc>
      </w:tr>
      <w:tr>
        <w:tc>
          <w:tcPr/>
          <w:p>
            <w:pPr>
              <w:pStyle w:val="SRKTableText"/>
            </w:pPr>
            <m:oMath>
              <m:r>
                <m:t>τ</m:t>
              </m:r>
            </m:oMath>
            <w:r>
              <w:t xml:space="preserve">,</w:t>
            </w:r>
            <w:r>
              <w:t xml:space="preserve"> </w:t>
            </w:r>
            <m:oMath>
              <m:r>
                <m:t>ϕ</m:t>
              </m:r>
            </m:oMath>
          </w:p>
        </w:tc>
        <w:tc>
          <w:tcPr/>
          <w:p>
            <w:pPr>
              <w:pStyle w:val="SRKTableText"/>
            </w:pPr>
            <w:r>
              <w:t xml:space="preserve">Inter-event and intra-event deviations;</w:t>
            </w:r>
            <w:r>
              <w:t xml:space="preserve"> </w:t>
            </w:r>
            <m:oMath>
              <m:sSubSup>
                <m:e>
                  <m:r>
                    <m:t>σ</m:t>
                  </m:r>
                </m:e>
                <m:sub>
                  <m:r>
                    <m:rPr>
                      <m:sty m:val="p"/>
                    </m:rPr>
                    <m:t>ln</m:t>
                  </m:r>
                  <m:r>
                    <m:t>I</m:t>
                  </m:r>
                </m:sub>
                <m:sup>
                  <m:r>
                    <m:t>2</m:t>
                  </m:r>
                </m:sup>
              </m:sSubSup>
              <m:r>
                <m:rPr>
                  <m:sty m:val="p"/>
                </m:rPr>
                <m:t>=</m:t>
              </m:r>
              <m:sSup>
                <m:e>
                  <m:r>
                    <m:t>τ</m:t>
                  </m:r>
                </m:e>
                <m:sup>
                  <m:r>
                    <m:t>2</m:t>
                  </m:r>
                </m:sup>
              </m:sSup>
              <m:r>
                <m:rPr>
                  <m:sty m:val="p"/>
                </m:rPr>
                <m:t>+</m:t>
              </m:r>
              <m:sSup>
                <m:e>
                  <m:r>
                    <m:t>ϕ</m:t>
                  </m:r>
                </m:e>
                <m:sup>
                  <m:r>
                    <m:t>2</m:t>
                  </m:r>
                </m:sup>
              </m:sSup>
            </m:oMath>
            <w:r>
              <w:t xml:space="preserve">.</w:t>
            </w:r>
          </w:p>
        </w:tc>
      </w:tr>
      <w:tr>
        <w:tc>
          <w:tcPr/>
          <w:p>
            <w:pPr>
              <w:pStyle w:val="SRKTableText"/>
            </w:pPr>
            <m:oMath>
              <m:r>
                <m:t>ε</m:t>
              </m:r>
            </m:oMath>
            <w:r>
              <w:t xml:space="preserve">,</w:t>
            </w:r>
            <w:r>
              <w:t xml:space="preserve"> </w:t>
            </w:r>
            <m:oMath>
              <m:sSup>
                <m:e>
                  <m:r>
                    <m:t>ε</m:t>
                  </m:r>
                </m:e>
                <m:sup>
                  <m:r>
                    <m:rPr>
                      <m:sty m:val="p"/>
                    </m:rPr>
                    <m:t>*</m:t>
                  </m:r>
                </m:sup>
              </m:sSup>
            </m:oMath>
          </w:p>
        </w:tc>
        <w:tc>
          <w:tcPr/>
          <w:p>
            <w:pPr>
              <w:pStyle w:val="SRKTableText"/>
            </w:pPr>
            <w:r>
              <w:t xml:space="preserve">GMM standard-normal residual; number of deviations by which</w:t>
            </w:r>
            <w:r>
              <w:t xml:space="preserve"> </w:t>
            </w:r>
            <m:oMath>
              <m:sSup>
                <m:e>
                  <m:r>
                    <m:t>i</m:t>
                  </m:r>
                </m:e>
                <m:sup>
                  <m:r>
                    <m:rPr>
                      <m:sty m:val="p"/>
                    </m:rPr>
                    <m:t>*</m:t>
                  </m:r>
                </m:sup>
              </m:sSup>
            </m:oMath>
            <w:r>
              <w:t xml:space="preserve"> </w:t>
            </w:r>
            <w:r>
              <w:t xml:space="preserve">exceeds the median.</w:t>
            </w:r>
          </w:p>
        </w:tc>
      </w:tr>
      <w:tr>
        <w:tc>
          <w:tcPr/>
          <w:p>
            <w:pPr>
              <w:pStyle w:val="SRKTableText"/>
            </w:pPr>
            <m:oMath>
              <m:sSub>
                <m:e>
                  <m:r>
                    <m:t>R</m:t>
                  </m:r>
                </m:e>
                <m:sub>
                  <m:r>
                    <m:t>J</m:t>
                  </m:r>
                  <m:r>
                    <m:t>B</m:t>
                  </m:r>
                </m:sub>
              </m:sSub>
            </m:oMath>
            <w:r>
              <w:t xml:space="preserve">,</w:t>
            </w:r>
            <w:r>
              <w:t xml:space="preserve"> </w:t>
            </w:r>
            <m:oMath>
              <m:sSub>
                <m:e>
                  <m:r>
                    <m:t>R</m:t>
                  </m:r>
                </m:e>
                <m:sub>
                  <m:r>
                    <m:t>r</m:t>
                  </m:r>
                  <m:r>
                    <m:t>u</m:t>
                  </m:r>
                  <m:r>
                    <m:t>p</m:t>
                  </m:r>
                </m:sub>
              </m:sSub>
            </m:oMath>
            <w:r>
              <w:t xml:space="preserve">,</w:t>
            </w:r>
            <w:r>
              <w:t xml:space="preserve"> </w:t>
            </w:r>
            <m:oMath>
              <m:sSub>
                <m:e>
                  <m:r>
                    <m:t>R</m:t>
                  </m:r>
                </m:e>
                <m:sub>
                  <m:r>
                    <m:t>x</m:t>
                  </m:r>
                </m:sub>
              </m:sSub>
            </m:oMath>
            <w:r>
              <w:t xml:space="preserve">,</w:t>
            </w:r>
            <w:r>
              <w:t xml:space="preserve"> </w:t>
            </w:r>
            <m:oMath>
              <m:sSub>
                <m:e>
                  <m:r>
                    <m:t>R</m:t>
                  </m:r>
                </m:e>
                <m:sub>
                  <m:r>
                    <m:t>h</m:t>
                  </m:r>
                  <m:r>
                    <m:t>y</m:t>
                  </m:r>
                  <m:r>
                    <m:t>p</m:t>
                  </m:r>
                  <m:r>
                    <m:t>o</m:t>
                  </m:r>
                </m:sub>
              </m:sSub>
            </m:oMath>
            <w:r>
              <w:t xml:space="preserve">,</w:t>
            </w:r>
            <w:r>
              <w:t xml:space="preserve"> </w:t>
            </w:r>
            <m:oMath>
              <m:sSub>
                <m:e>
                  <m:r>
                    <m:t>R</m:t>
                  </m:r>
                </m:e>
                <m:sub>
                  <m:r>
                    <m:t>e</m:t>
                  </m:r>
                  <m:r>
                    <m:t>p</m:t>
                  </m:r>
                  <m:r>
                    <m:t>i</m:t>
                  </m:r>
                </m:sub>
              </m:sSub>
            </m:oMath>
            <w:r>
              <w:t xml:space="preserve">;</w:t>
            </w:r>
            <w:r>
              <w:t xml:space="preserve"> </w:t>
            </w:r>
            <m:oMath>
              <m:sSub>
                <m:e>
                  <m:r>
                    <m:t>z</m:t>
                  </m:r>
                </m:e>
                <m:sub>
                  <m:r>
                    <m:t>1.0</m:t>
                  </m:r>
                </m:sub>
              </m:sSub>
            </m:oMath>
            <w:r>
              <w:t xml:space="preserve">,</w:t>
            </w:r>
            <w:r>
              <w:t xml:space="preserve"> </w:t>
            </w:r>
            <m:oMath>
              <m:sSub>
                <m:e>
                  <m:r>
                    <m:t>z</m:t>
                  </m:r>
                </m:e>
                <m:sub>
                  <m:r>
                    <m:t>2.5</m:t>
                  </m:r>
                </m:sub>
              </m:sSub>
            </m:oMath>
            <w:r>
              <w:t xml:space="preserve">,</w:t>
            </w:r>
            <w:r>
              <w:t xml:space="preserve"> </w:t>
            </w:r>
            <m:oMath>
              <m:sSub>
                <m:e>
                  <m:r>
                    <m:t>z</m:t>
                  </m:r>
                </m:e>
                <m:sub>
                  <m:r>
                    <m:t>t</m:t>
                  </m:r>
                  <m:r>
                    <m:t>o</m:t>
                  </m:r>
                  <m:r>
                    <m:t>r</m:t>
                  </m:r>
                </m:sub>
              </m:sSub>
            </m:oMath>
            <w:r>
              <w:t xml:space="preserve">,</w:t>
            </w:r>
            <w:r>
              <w:t xml:space="preserve"> </w:t>
            </w:r>
            <m:oMath>
              <m:r>
                <m:t>W</m:t>
              </m:r>
            </m:oMath>
            <w:r>
              <w:t xml:space="preserve">,</w:t>
            </w:r>
            <w:r>
              <w:t xml:space="preserve"> </w:t>
            </w:r>
            <m:oMath>
              <m:r>
                <m:t>h</m:t>
              </m:r>
            </m:oMath>
          </w:p>
        </w:tc>
        <w:tc>
          <w:tcPr/>
          <w:p>
            <w:pPr>
              <w:pStyle w:val="SRKTableText"/>
            </w:pPr>
            <w:r>
              <w:t xml:space="preserve">Distance metrics and geometric parameters required by the GMMs (km).</w:t>
            </w:r>
          </w:p>
        </w:tc>
      </w:tr>
      <w:tr>
        <w:tc>
          <w:tcPr/>
          <w:p>
            <w:pPr>
              <w:pStyle w:val="SRKTableText"/>
            </w:pPr>
            <m:oMath>
              <m:sSub>
                <m:e>
                  <m:r>
                    <m:t>θ</m:t>
                  </m:r>
                </m:e>
                <m:sub>
                  <m:r>
                    <m:t>k</m:t>
                  </m:r>
                  <m:r>
                    <m:rPr>
                      <m:sty m:val="p"/>
                    </m:rPr>
                    <m:t>,</m:t>
                  </m:r>
                  <m:r>
                    <m:t>j</m:t>
                  </m:r>
                  <m:r>
                    <m:rPr>
                      <m:sty m:val="p"/>
                    </m:rPr>
                    <m:t>,</m:t>
                  </m:r>
                  <m:r>
                    <m:t>ℓ</m:t>
                  </m:r>
                </m:sub>
              </m:sSub>
            </m:oMath>
          </w:p>
        </w:tc>
        <w:tc>
          <w:tcPr/>
          <w:p>
            <w:pPr>
              <w:pStyle w:val="SRKTableText"/>
            </w:pPr>
            <w:r>
              <w:t xml:space="preserve">Conditional probability that exceedance originates in the magnitude–distance–residual bin</w:t>
            </w:r>
            <w:r>
              <w:t xml:space="preserve"> </w:t>
            </w:r>
            <m:oMath>
              <m:r>
                <m:rPr>
                  <m:sty m:val="p"/>
                </m:rPr>
                <m:t>(</m:t>
              </m:r>
              <m:r>
                <m:t>k</m:t>
              </m:r>
              <m:r>
                <m:rPr>
                  <m:sty m:val="p"/>
                </m:rPr>
                <m:t>,</m:t>
              </m:r>
              <m:r>
                <m:t>j</m:t>
              </m:r>
              <m:r>
                <m:rPr>
                  <m:sty m:val="p"/>
                </m:rPr>
                <m:t>,</m:t>
              </m:r>
              <m:r>
                <m:t>ℓ</m:t>
              </m:r>
              <m:r>
                <m:rPr>
                  <m:sty m:val="p"/>
                </m:rPr>
                <m:t>)</m:t>
              </m:r>
            </m:oMath>
            <w:r>
              <w:t xml:space="preserve">; its maximum defines the modal scenario.</w:t>
            </w:r>
          </w:p>
        </w:tc>
      </w:tr>
    </w:tbl>
    <w:bookmarkEnd w:id="276"/>
    <w:bookmarkStart w:id="277" w:name="dsha"/>
    <w:p>
      <w:pPr>
        <w:pStyle w:val="Heading3"/>
      </w:pPr>
      <w:r>
        <w:t xml:space="preserve">6.1.3</w:t>
      </w:r>
      <w:r>
        <w:tab/>
      </w:r>
      <w:r>
        <w:t xml:space="preserve">DSHA</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r>
                <m:t>e</m:t>
              </m:r>
            </m:oMath>
          </w:p>
        </w:tc>
        <w:tc>
          <w:tcPr/>
          <w:p>
            <w:pPr>
              <w:pStyle w:val="SRKTableText"/>
            </w:pPr>
            <w:r>
              <w:t xml:space="preserve">Deterministic scenario within the analyzed set</w:t>
            </w:r>
            <w:r>
              <w:t xml:space="preserve"> </w:t>
            </w:r>
            <m:oMath>
              <m:r>
                <m:rPr>
                  <m:scr m:val="script"/>
                  <m:sty m:val="p"/>
                </m:rPr>
                <m:t>E</m:t>
              </m:r>
            </m:oMath>
            <w:r>
              <w:t xml:space="preserve">.</w:t>
            </w:r>
          </w:p>
        </w:tc>
      </w:tr>
      <w:tr>
        <w:tc>
          <w:tcPr/>
          <w:p>
            <w:pPr>
              <w:pStyle w:val="SRKTableText"/>
            </w:pPr>
            <m:oMath>
              <m:sSub>
                <m:e>
                  <m:r>
                    <m:t>μ</m:t>
                  </m:r>
                </m:e>
                <m:sub>
                  <m:r>
                    <m:t>r</m:t>
                  </m:r>
                  <m:r>
                    <m:t>g</m:t>
                  </m:r>
                </m:sub>
              </m:sSub>
            </m:oMath>
            <w:r>
              <w:t xml:space="preserve">,</w:t>
            </w:r>
            <w:r>
              <w:t xml:space="preserve"> </w:t>
            </w:r>
            <m:oMath>
              <m:sSub>
                <m:e>
                  <m:r>
                    <m:t>σ</m:t>
                  </m:r>
                </m:e>
                <m:sub>
                  <m:r>
                    <m:t>r</m:t>
                  </m:r>
                  <m:r>
                    <m:t>g</m:t>
                  </m:r>
                </m:sub>
              </m:sSub>
            </m:oMath>
          </w:p>
        </w:tc>
        <w:tc>
          <w:tcPr/>
          <w:p>
            <w:pPr>
              <w:pStyle w:val="SRKTableText"/>
            </w:pPr>
            <w:r>
              <w:t xml:space="preserve">Mean and deviation of</w:t>
            </w:r>
            <w:r>
              <w:t xml:space="preserve"> </w:t>
            </w:r>
            <m:oMath>
              <m:r>
                <m:rPr>
                  <m:sty m:val="p"/>
                </m:rPr>
                <m:t>ln</m:t>
              </m:r>
              <m:r>
                <m:t>I</m:t>
              </m:r>
            </m:oMath>
            <w:r>
              <w:t xml:space="preserve"> </w:t>
            </w:r>
            <w:r>
              <w:t xml:space="preserve">for rupture realization</w:t>
            </w:r>
            <w:r>
              <w:t xml:space="preserve"> </w:t>
            </w:r>
            <m:oMath>
              <m:r>
                <m:t>r</m:t>
              </m:r>
            </m:oMath>
            <w:r>
              <w:t xml:space="preserve"> </w:t>
            </w:r>
            <w:r>
              <w:t xml:space="preserve">and GMM branch</w:t>
            </w:r>
            <w:r>
              <w:t xml:space="preserve"> </w:t>
            </w:r>
            <m:oMath>
              <m:r>
                <m:t>g</m:t>
              </m:r>
            </m:oMath>
            <w:r>
              <w:t xml:space="preserve">; with</w:t>
            </w:r>
            <w:r>
              <w:t xml:space="preserve"> </w:t>
            </w:r>
            <m:oMath>
              <m:r>
                <m:t>k</m:t>
              </m:r>
              <m:r>
                <m:rPr>
                  <m:sty m:val="p"/>
                </m:rPr>
                <m:t>=</m:t>
              </m:r>
              <m:r>
                <m:rPr>
                  <m:sty m:val="p"/>
                </m:rPr>
                <m:t>(</m:t>
              </m:r>
              <m:r>
                <m:t>r</m:t>
              </m:r>
              <m:r>
                <m:rPr>
                  <m:sty m:val="p"/>
                </m:rPr>
                <m:t>,</m:t>
              </m:r>
              <m:r>
                <m:t>g</m:t>
              </m:r>
              <m:r>
                <m:rPr>
                  <m:sty m:val="p"/>
                </m:rPr>
                <m:t>)</m:t>
              </m:r>
            </m:oMath>
            <w:r>
              <w:t xml:space="preserve">, also written</w:t>
            </w:r>
            <w:r>
              <w:t xml:space="preserve"> </w:t>
            </w:r>
            <m:oMath>
              <m:sSub>
                <m:e>
                  <m:r>
                    <m:t>μ</m:t>
                  </m:r>
                </m:e>
                <m:sub>
                  <m:r>
                    <m:t>k</m:t>
                  </m:r>
                </m:sub>
              </m:sSub>
            </m:oMath>
            <w:r>
              <w:t xml:space="preserve">,</w:t>
            </w:r>
            <w:r>
              <w:t xml:space="preserve"> </w:t>
            </w:r>
            <m:oMath>
              <m:sSub>
                <m:e>
                  <m:r>
                    <m:t>σ</m:t>
                  </m:r>
                </m:e>
                <m:sub>
                  <m:r>
                    <m:t>k</m:t>
                  </m:r>
                </m:sub>
              </m:sSub>
            </m:oMath>
            <w:r>
              <w:t xml:space="preserve">.</w:t>
            </w:r>
          </w:p>
        </w:tc>
      </w:tr>
      <w:tr>
        <w:tc>
          <w:tcPr/>
          <w:p>
            <w:pPr>
              <w:pStyle w:val="SRKTableText"/>
            </w:pPr>
            <m:oMath>
              <m:sSub>
                <m:e>
                  <m:r>
                    <m:t>w</m:t>
                  </m:r>
                </m:e>
                <m:sub>
                  <m:r>
                    <m:t>k</m:t>
                  </m:r>
                </m:sub>
              </m:sSub>
              <m:r>
                <m:rPr>
                  <m:sty m:val="p"/>
                </m:rPr>
                <m:t>=</m:t>
              </m:r>
              <m:sSub>
                <m:e>
                  <m:r>
                    <m:t>v</m:t>
                  </m:r>
                </m:e>
                <m:sub>
                  <m:r>
                    <m:t>g</m:t>
                  </m:r>
                </m:sub>
              </m:sSub>
              <m:r>
                <m:rPr>
                  <m:sty m:val="p"/>
                </m:rPr>
                <m:t>/</m:t>
              </m:r>
              <m:sSub>
                <m:e>
                  <m:r>
                    <m:t>N</m:t>
                  </m:r>
                </m:e>
                <m:sub>
                  <m:r>
                    <m:t>R</m:t>
                  </m:r>
                </m:sub>
              </m:sSub>
            </m:oMath>
          </w:p>
        </w:tc>
        <w:tc>
          <w:tcPr/>
          <w:p>
            <w:pPr>
              <w:pStyle w:val="SRKTableText"/>
            </w:pPr>
            <w:r>
              <w:t xml:space="preserve">Weight of component</w:t>
            </w:r>
            <w:r>
              <w:t xml:space="preserve"> </w:t>
            </w:r>
            <m:oMath>
              <m:r>
                <m:t>k</m:t>
              </m:r>
            </m:oMath>
            <w:r>
              <w:t xml:space="preserve">: branch weight over the number of rupture variants;</w:t>
            </w:r>
            <w:r>
              <w:t xml:space="preserve"> </w:t>
            </w:r>
            <m:oMath>
              <m:nary>
                <m:naryPr>
                  <m:chr m:val="∑"/>
                  <m:limLoc m:val="undOvr"/>
                  <m:subHide m:val="off"/>
                  <m:supHide m:val="on"/>
                </m:naryPr>
                <m:sub>
                  <m:r>
                    <m:t>k</m:t>
                  </m:r>
                </m:sub>
                <m:sup>
                  <m:r>
                    <m:t>​</m:t>
                  </m:r>
                </m:sup>
                <m:e>
                  <m:sSub>
                    <m:e>
                      <m:r>
                        <m:t>w</m:t>
                      </m:r>
                    </m:e>
                    <m:sub>
                      <m:r>
                        <m:t>k</m:t>
                      </m:r>
                    </m:sub>
                  </m:sSub>
                </m:e>
              </m:nary>
              <m:r>
                <m:rPr>
                  <m:sty m:val="p"/>
                </m:rPr>
                <m:t>=</m:t>
              </m:r>
              <m:r>
                <m:t>1</m:t>
              </m:r>
            </m:oMath>
            <w:r>
              <w:t xml:space="preserve">.</w:t>
            </w:r>
          </w:p>
        </w:tc>
      </w:tr>
      <w:tr>
        <w:tc>
          <w:tcPr/>
          <w:p>
            <w:pPr>
              <w:pStyle w:val="SRKTableText"/>
            </w:pPr>
            <m:oMath>
              <m:sSubSup>
                <m:e>
                  <m:r>
                    <m:t>S</m:t>
                  </m:r>
                </m:e>
                <m:sub>
                  <m:r>
                    <m:t>a</m:t>
                  </m:r>
                </m:sub>
                <m:sup>
                  <m:r>
                    <m:rPr>
                      <m:sty m:val="p"/>
                    </m:rPr>
                    <m:t>(</m:t>
                  </m:r>
                  <m:r>
                    <m:t>84</m:t>
                  </m:r>
                  <m:r>
                    <m:rPr>
                      <m:sty m:val="p"/>
                    </m:rPr>
                    <m:t>%</m:t>
                  </m:r>
                  <m:r>
                    <m:rPr>
                      <m:sty m:val="p"/>
                    </m:rPr>
                    <m:t>)</m:t>
                  </m:r>
                </m:sup>
              </m:sSubSup>
              <m:r>
                <m:rPr>
                  <m:sty m:val="p"/>
                </m:rPr>
                <m:t>(</m:t>
              </m:r>
              <m:sSub>
                <m:e>
                  <m:r>
                    <m:t>T</m:t>
                  </m:r>
                </m:e>
                <m:sub>
                  <m:r>
                    <m:t>n</m:t>
                  </m:r>
                </m:sub>
              </m:sSub>
              <m:r>
                <m:rPr>
                  <m:sty m:val="p"/>
                </m:rPr>
                <m:t>)</m:t>
              </m:r>
            </m:oMath>
          </w:p>
        </w:tc>
        <w:tc>
          <w:tcPr/>
          <w:p>
            <w:pPr>
              <w:pStyle w:val="SRKTableText"/>
            </w:pPr>
            <w:r>
              <w:t xml:space="preserve">84th-percentile envelope over the scenario set (g).</w:t>
            </w:r>
          </w:p>
        </w:tc>
      </w:tr>
    </w:tbl>
    <w:bookmarkEnd w:id="277"/>
    <w:bookmarkStart w:id="278" w:name="gmm-mixture"/>
    <w:p>
      <w:pPr>
        <w:pStyle w:val="Heading3"/>
      </w:pPr>
      <w:r>
        <w:t xml:space="preserve">6.1.4</w:t>
      </w:r>
      <w:r>
        <w:tab/>
      </w:r>
      <w:r>
        <w:t xml:space="preserve">GMM mixture</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sSub>
                <m:e>
                  <m:r>
                    <m:t>w</m:t>
                  </m:r>
                </m:e>
                <m:sub>
                  <m:r>
                    <m:t>k</m:t>
                  </m:r>
                </m:sub>
              </m:sSub>
            </m:oMath>
          </w:p>
        </w:tc>
        <w:tc>
          <w:tcPr/>
          <w:p>
            <w:pPr>
              <w:pStyle w:val="SRKTableText"/>
            </w:pPr>
            <w:r>
              <w:t xml:space="preserve">Weight of GMM branch</w:t>
            </w:r>
            <w:r>
              <w:t xml:space="preserve"> </w:t>
            </w:r>
            <m:oMath>
              <m:r>
                <m:t>k</m:t>
              </m:r>
            </m:oMath>
            <w:r>
              <w:t xml:space="preserve"> </w:t>
            </w:r>
            <w:r>
              <w:t xml:space="preserve">in the ensemble;</w:t>
            </w:r>
            <w:r>
              <w:t xml:space="preserve"> </w:t>
            </w:r>
            <m:oMath>
              <m:nary>
                <m:naryPr>
                  <m:chr m:val="∑"/>
                  <m:limLoc m:val="undOvr"/>
                  <m:subHide m:val="off"/>
                  <m:supHide m:val="on"/>
                </m:naryPr>
                <m:sub>
                  <m:r>
                    <m:t>k</m:t>
                  </m:r>
                </m:sub>
                <m:sup>
                  <m:r>
                    <m:t>​</m:t>
                  </m:r>
                </m:sup>
                <m:e>
                  <m:sSub>
                    <m:e>
                      <m:r>
                        <m:t>w</m:t>
                      </m:r>
                    </m:e>
                    <m:sub>
                      <m:r>
                        <m:t>k</m:t>
                      </m:r>
                    </m:sub>
                  </m:sSub>
                </m:e>
              </m:nary>
              <m:r>
                <m:rPr>
                  <m:sty m:val="p"/>
                </m:rPr>
                <m:t>=</m:t>
              </m:r>
              <m:r>
                <m:t>1</m:t>
              </m:r>
            </m:oMath>
            <w:r>
              <w:t xml:space="preserve">.</w:t>
            </w:r>
          </w:p>
        </w:tc>
      </w:tr>
      <w:tr>
        <w:tc>
          <w:tcPr/>
          <w:p>
            <w:pPr>
              <w:pStyle w:val="SRKTableText"/>
            </w:pPr>
            <m:oMath>
              <m:sSub>
                <m:e>
                  <m:acc>
                    <m:accPr>
                      <m:chr m:val="‾"/>
                    </m:accPr>
                    <m:e>
                      <m:r>
                        <m:t>λ</m:t>
                      </m:r>
                    </m:e>
                  </m:acc>
                </m:e>
                <m:sub>
                  <m:r>
                    <m:t>I</m:t>
                  </m:r>
                </m:sub>
              </m:sSub>
            </m:oMath>
            <w:r>
              <w:t xml:space="preserve">,</w:t>
            </w:r>
            <w:r>
              <w:t xml:space="preserve"> </w:t>
            </w:r>
            <m:oMath>
              <m:sSubSup>
                <m:e>
                  <m:r>
                    <m:t>λ</m:t>
                  </m:r>
                </m:e>
                <m:sub>
                  <m:r>
                    <m:t>I</m:t>
                  </m:r>
                </m:sub>
                <m:sup>
                  <m:r>
                    <m:rPr>
                      <m:sty m:val="p"/>
                    </m:rPr>
                    <m:t>(</m:t>
                  </m:r>
                  <m:r>
                    <m:t>k</m:t>
                  </m:r>
                  <m:r>
                    <m:rPr>
                      <m:sty m:val="p"/>
                    </m:rPr>
                    <m:t>)</m:t>
                  </m:r>
                </m:sup>
              </m:sSubSup>
            </m:oMath>
          </w:p>
        </w:tc>
        <w:tc>
          <w:tcPr/>
          <w:p>
            <w:pPr>
              <w:pStyle w:val="SRKTableText"/>
            </w:pPr>
            <w:r>
              <w:t xml:space="preserve">Mean hazard curve and branch-</w:t>
            </w:r>
            <m:oMath>
              <m:r>
                <m:t>k</m:t>
              </m:r>
            </m:oMath>
            <w:r>
              <w:t xml:space="preserve"> </w:t>
            </w:r>
            <w:r>
              <w:t xml:space="preserve">curve (1/yr).</w:t>
            </w:r>
          </w:p>
        </w:tc>
      </w:tr>
      <w:tr>
        <w:tc>
          <w:tcPr/>
          <w:p>
            <w:pPr>
              <w:pStyle w:val="SRKTableText"/>
            </w:pPr>
            <m:oMath>
              <m:sSub>
                <m:e>
                  <m:r>
                    <m:t>ε</m:t>
                  </m:r>
                </m:e>
                <m:sub>
                  <m:r>
                    <m:t>i</m:t>
                  </m:r>
                  <m:r>
                    <m:t>j</m:t>
                  </m:r>
                </m:sub>
              </m:sSub>
              <m:r>
                <m:rPr>
                  <m:sty m:val="p"/>
                </m:rPr>
                <m:t>=</m:t>
              </m:r>
              <m:sSub>
                <m:e>
                  <m:r>
                    <m:t>η</m:t>
                  </m:r>
                </m:e>
                <m:sub>
                  <m:r>
                    <m:t>i</m:t>
                  </m:r>
                </m:sub>
              </m:sSub>
              <m:r>
                <m:rPr>
                  <m:sty m:val="p"/>
                </m:rPr>
                <m:t>+</m:t>
              </m:r>
              <m:sSub>
                <m:e>
                  <m:r>
                    <m:t>δ</m:t>
                  </m:r>
                </m:e>
                <m:sub>
                  <m:r>
                    <m:t>i</m:t>
                  </m:r>
                  <m:r>
                    <m:t>j</m:t>
                  </m:r>
                </m:sub>
              </m:sSub>
            </m:oMath>
          </w:p>
        </w:tc>
        <w:tc>
          <w:tcPr/>
          <w:p>
            <w:pPr>
              <w:pStyle w:val="SRKTableText"/>
            </w:pPr>
            <w:r>
              <w:t xml:space="preserve">Mixed-effects partition of the total residual of record</w:t>
            </w:r>
            <w:r>
              <w:t xml:space="preserve"> </w:t>
            </w:r>
            <m:oMath>
              <m:r>
                <m:t>j</m:t>
              </m:r>
            </m:oMath>
            <w:r>
              <w:t xml:space="preserve"> </w:t>
            </w:r>
            <w:r>
              <w:t xml:space="preserve">of event</w:t>
            </w:r>
            <w:r>
              <w:t xml:space="preserve"> </w:t>
            </w:r>
            <m:oMath>
              <m:r>
                <m:t>i</m:t>
              </m:r>
            </m:oMath>
            <w:r>
              <w:t xml:space="preserve">: inter-event term</w:t>
            </w:r>
            <w:r>
              <w:t xml:space="preserve"> </w:t>
            </w:r>
            <m:oMath>
              <m:sSub>
                <m:e>
                  <m:r>
                    <m:t>η</m:t>
                  </m:r>
                </m:e>
                <m:sub>
                  <m:r>
                    <m:t>i</m:t>
                  </m:r>
                </m:sub>
              </m:sSub>
            </m:oMath>
            <w:r>
              <w:t xml:space="preserve"> </w:t>
            </w:r>
            <w:r>
              <w:t xml:space="preserve">and intra-event term</w:t>
            </w:r>
            <w:r>
              <w:t xml:space="preserve"> </w:t>
            </w:r>
            <m:oMath>
              <m:sSub>
                <m:e>
                  <m:r>
                    <m:t>δ</m:t>
                  </m:r>
                </m:e>
                <m:sub>
                  <m:r>
                    <m:t>i</m:t>
                  </m:r>
                  <m:r>
                    <m:t>j</m:t>
                  </m:r>
                </m:sub>
              </m:sSub>
            </m:oMath>
            <w:r>
              <w:t xml:space="preserve">.</w:t>
            </w:r>
          </w:p>
        </w:tc>
      </w:tr>
    </w:tbl>
    <w:bookmarkEnd w:id="278"/>
    <w:bookmarkStart w:id="279" w:name="site-response"/>
    <w:p>
      <w:pPr>
        <w:pStyle w:val="Heading3"/>
      </w:pPr>
      <w:r>
        <w:t xml:space="preserve">6.1.5</w:t>
      </w:r>
      <w:r>
        <w:tab/>
      </w:r>
      <w:r>
        <w:t xml:space="preserve">Site response</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sSubSup>
                <m:e>
                  <m:r>
                    <m:t>S</m:t>
                  </m:r>
                </m:e>
                <m:sub>
                  <m:r>
                    <m:t>a</m:t>
                  </m:r>
                </m:sub>
                <m:sup>
                  <m:r>
                    <m:t>o</m:t>
                  </m:r>
                </m:sup>
              </m:sSubSup>
              <m:r>
                <m:rPr>
                  <m:sty m:val="p"/>
                </m:rPr>
                <m:t>(</m:t>
              </m:r>
              <m:sSub>
                <m:e>
                  <m:r>
                    <m:t>T</m:t>
                  </m:r>
                </m:e>
                <m:sub>
                  <m:r>
                    <m:t>n</m:t>
                  </m:r>
                </m:sub>
              </m:sSub>
              <m:r>
                <m:rPr>
                  <m:sty m:val="p"/>
                </m:rPr>
                <m:t>)</m:t>
              </m:r>
            </m:oMath>
          </w:p>
        </w:tc>
        <w:tc>
          <w:tcPr/>
          <w:p>
            <w:pPr>
              <w:pStyle w:val="SRKTableText"/>
            </w:pPr>
            <w:r>
              <w:t xml:space="preserve">Spectral-acceleration random variable obtained from the GMMs in the hazard model; the superscript</w:t>
            </w:r>
            <w:r>
              <w:t xml:space="preserve"> </w:t>
            </w:r>
            <m:oMath>
              <m:r>
                <m:t>o</m:t>
              </m:r>
            </m:oMath>
            <w:r>
              <w:t xml:space="preserve"> </w:t>
            </w:r>
            <w:r>
              <w:t xml:space="preserve">does not denote “rock” (g).</w:t>
            </w:r>
          </w:p>
        </w:tc>
      </w:tr>
      <w:tr>
        <w:tc>
          <w:tcPr/>
          <w:p>
            <w:pPr>
              <w:pStyle w:val="SRKTableText"/>
            </w:pPr>
            <m:oMath>
              <m:sSubSup>
                <m:e>
                  <m:r>
                    <m:t>S</m:t>
                  </m:r>
                </m:e>
                <m:sub>
                  <m:r>
                    <m:t>a</m:t>
                  </m:r>
                </m:sub>
                <m:sup>
                  <m:r>
                    <m:t>s</m:t>
                  </m:r>
                </m:sup>
              </m:sSubSup>
              <m:r>
                <m:rPr>
                  <m:sty m:val="p"/>
                </m:rPr>
                <m:t>(</m:t>
              </m:r>
              <m:sSub>
                <m:e>
                  <m:r>
                    <m:t>T</m:t>
                  </m:r>
                </m:e>
                <m:sub>
                  <m:r>
                    <m:t>n</m:t>
                  </m:r>
                </m:sub>
              </m:sSub>
              <m:r>
                <m:rPr>
                  <m:sty m:val="p"/>
                </m:rPr>
                <m:t>,</m:t>
              </m:r>
              <m:sSub>
                <m:e>
                  <m:r>
                    <m:t>V</m:t>
                  </m:r>
                </m:e>
                <m:sub>
                  <m:r>
                    <m:t>S</m:t>
                  </m:r>
                  <m:r>
                    <m:t>30</m:t>
                  </m:r>
                </m:sub>
              </m:sSub>
              <m:r>
                <m:rPr>
                  <m:sty m:val="p"/>
                </m:rPr>
                <m:t>)</m:t>
              </m:r>
            </m:oMath>
          </w:p>
        </w:tc>
        <w:tc>
          <w:tcPr/>
          <w:p>
            <w:pPr>
              <w:pStyle w:val="SRKTableText"/>
            </w:pPr>
            <w:r>
              <w:t xml:space="preserve">Spectral-acceleration random variable obtained by applying ST20 to</w:t>
            </w:r>
            <w:r>
              <w:t xml:space="preserve"> </w:t>
            </w:r>
            <m:oMath>
              <m:sSubSup>
                <m:e>
                  <m:r>
                    <m:t>S</m:t>
                  </m:r>
                </m:e>
                <m:sub>
                  <m:r>
                    <m:t>a</m:t>
                  </m:r>
                </m:sub>
                <m:sup>
                  <m:r>
                    <m:t>o</m:t>
                  </m:r>
                </m:sup>
              </m:sSubSup>
              <m:r>
                <m:rPr>
                  <m:sty m:val="p"/>
                </m:rPr>
                <m:t>(</m:t>
              </m:r>
              <m:sSub>
                <m:e>
                  <m:r>
                    <m:t>T</m:t>
                  </m:r>
                </m:e>
                <m:sub>
                  <m:r>
                    <m:t>n</m:t>
                  </m:r>
                </m:sub>
              </m:sSub>
              <m:r>
                <m:rPr>
                  <m:sty m:val="p"/>
                </m:rPr>
                <m:t>)</m:t>
              </m:r>
            </m:oMath>
            <w:r>
              <w:t xml:space="preserve"> </w:t>
            </w:r>
            <w:r>
              <w:t xml:space="preserve">evaluated at the reference condition (g).</w:t>
            </w:r>
          </w:p>
        </w:tc>
      </w:tr>
      <w:tr>
        <w:tc>
          <w:tcPr/>
          <w:p>
            <w:pPr>
              <w:pStyle w:val="SRKTableText"/>
            </w:pPr>
            <m:oMath>
              <m:sSub>
                <m:e>
                  <m:r>
                    <m:t>S</m:t>
                  </m:r>
                </m:e>
                <m:sub>
                  <m:r>
                    <m:t>a</m:t>
                  </m:r>
                </m:sub>
              </m:sSub>
            </m:oMath>
          </w:p>
        </w:tc>
        <w:tc>
          <w:tcPr/>
          <w:p>
            <w:pPr>
              <w:pStyle w:val="SRKTableText"/>
            </w:pPr>
            <w:r>
              <w:t xml:space="preserve">Random variable resulting from the mixture of</w:t>
            </w:r>
            <w:r>
              <w:t xml:space="preserve"> </w:t>
            </w:r>
            <m:oMath>
              <m:sSubSup>
                <m:e>
                  <m:r>
                    <m:t>S</m:t>
                  </m:r>
                </m:e>
                <m:sub>
                  <m:r>
                    <m:t>a</m:t>
                  </m:r>
                </m:sub>
                <m:sup>
                  <m:r>
                    <m:t>o</m:t>
                  </m:r>
                </m:sup>
              </m:sSubSup>
            </m:oMath>
            <w:r>
              <w:t xml:space="preserve"> </w:t>
            </w:r>
            <w:r>
              <w:t xml:space="preserve">and</w:t>
            </w:r>
            <w:r>
              <w:t xml:space="preserve"> </w:t>
            </w:r>
            <m:oMath>
              <m:sSubSup>
                <m:e>
                  <m:r>
                    <m:t>S</m:t>
                  </m:r>
                </m:e>
                <m:sub>
                  <m:r>
                    <m:t>a</m:t>
                  </m:r>
                </m:sub>
                <m:sup>
                  <m:r>
                    <m:t>s</m:t>
                  </m:r>
                </m:sup>
              </m:sSubSup>
            </m:oMath>
            <w:r>
              <w:t xml:space="preserve"> </w:t>
            </w:r>
            <w:r>
              <w:t xml:space="preserve">(g).</w:t>
            </w:r>
          </w:p>
        </w:tc>
      </w:tr>
      <w:tr>
        <w:tc>
          <w:tcPr/>
          <w:p>
            <w:pPr>
              <w:pStyle w:val="SRKTableText"/>
            </w:pPr>
            <m:oMath>
              <m:r>
                <m:t>α</m:t>
              </m:r>
            </m:oMath>
          </w:p>
        </w:tc>
        <w:tc>
          <w:tcPr/>
          <w:p>
            <w:pPr>
              <w:pStyle w:val="SRKTableText"/>
            </w:pPr>
            <w:r>
              <w:t xml:space="preserve">Mixture coefficient assigned to the</w:t>
            </w:r>
            <w:r>
              <w:t xml:space="preserve"> </w:t>
            </w:r>
            <m:oMath>
              <m:sSubSup>
                <m:e>
                  <m:r>
                    <m:t>S</m:t>
                  </m:r>
                </m:e>
                <m:sub>
                  <m:r>
                    <m:t>a</m:t>
                  </m:r>
                </m:sub>
                <m:sup>
                  <m:r>
                    <m:t>o</m:t>
                  </m:r>
                </m:sup>
              </m:sSubSup>
            </m:oMath>
            <w:r>
              <w:t xml:space="preserve"> </w:t>
            </w:r>
            <w:r>
              <w:t xml:space="preserve">component;</w:t>
            </w:r>
            <w:r>
              <w:t xml:space="preserve"> </w:t>
            </w:r>
            <m:oMath>
              <m:r>
                <m:t>1</m:t>
              </m:r>
              <m:r>
                <m:rPr>
                  <m:sty m:val="p"/>
                </m:rPr>
                <m:t>−</m:t>
              </m:r>
              <m:r>
                <m:t>α</m:t>
              </m:r>
            </m:oMath>
            <w:r>
              <w:t xml:space="preserve"> </w:t>
            </w:r>
            <w:r>
              <w:t xml:space="preserve">is assigned to</w:t>
            </w:r>
            <w:r>
              <w:t xml:space="preserve"> </w:t>
            </w:r>
            <m:oMath>
              <m:sSubSup>
                <m:e>
                  <m:r>
                    <m:t>S</m:t>
                  </m:r>
                </m:e>
                <m:sub>
                  <m:r>
                    <m:t>a</m:t>
                  </m:r>
                </m:sub>
                <m:sup>
                  <m:r>
                    <m:t>s</m:t>
                  </m:r>
                </m:sup>
              </m:sSubSup>
            </m:oMath>
            <w:r>
              <w:t xml:space="preserve">.</w:t>
            </w:r>
          </w:p>
        </w:tc>
      </w:tr>
      <w:tr>
        <w:tc>
          <w:tcPr/>
          <w:p>
            <w:pPr>
              <w:pStyle w:val="SRKTableText"/>
            </w:pPr>
            <m:oMath>
              <m:sSup>
                <m:e>
                  <m:r>
                    <m:rPr>
                      <m:sty m:val="p"/>
                    </m:rPr>
                    <m:t>P</m:t>
                  </m:r>
                  <m:r>
                    <m:rPr>
                      <m:sty m:val="p"/>
                    </m:rPr>
                    <m:t>G</m:t>
                  </m:r>
                  <m:r>
                    <m:rPr>
                      <m:sty m:val="p"/>
                    </m:rPr>
                    <m:t>A</m:t>
                  </m:r>
                </m:e>
                <m:sup>
                  <m:r>
                    <m:t>o</m:t>
                  </m:r>
                </m:sup>
              </m:sSup>
            </m:oMath>
          </w:p>
        </w:tc>
        <w:tc>
          <w:tcPr/>
          <w:p>
            <w:pPr>
              <w:pStyle w:val="SRKTableText"/>
            </w:pPr>
            <w:r>
              <w:t xml:space="preserve">PGA random variable obtained from the GMMs and used as the ST20 input intensity (g).</w:t>
            </w:r>
          </w:p>
        </w:tc>
      </w:tr>
      <w:tr>
        <w:tc>
          <w:tcPr/>
          <w:p>
            <w:pPr>
              <w:pStyle w:val="SRKTableText"/>
            </w:pPr>
            <m:oMath>
              <m:r>
                <m:t>p</m:t>
              </m:r>
              <m:r>
                <m:t>g</m:t>
              </m:r>
              <m:sSup>
                <m:e>
                  <m:r>
                    <m:t>a</m:t>
                  </m:r>
                </m:e>
                <m:sup>
                  <m:r>
                    <m:rPr>
                      <m:sty m:val="p"/>
                    </m:rPr>
                    <m:t>*</m:t>
                  </m:r>
                </m:sup>
              </m:sSup>
            </m:oMath>
          </w:p>
        </w:tc>
        <w:tc>
          <w:tcPr/>
          <w:p>
            <w:pPr>
              <w:pStyle w:val="SRKTableText"/>
            </w:pPr>
            <w:r>
              <w:t xml:space="preserve">Realization of</w:t>
            </w:r>
            <w:r>
              <w:t xml:space="preserve"> </w:t>
            </w:r>
            <m:oMath>
              <m:sSup>
                <m:e>
                  <m:r>
                    <m:rPr>
                      <m:sty m:val="p"/>
                    </m:rPr>
                    <m:t>P</m:t>
                  </m:r>
                  <m:r>
                    <m:rPr>
                      <m:sty m:val="p"/>
                    </m:rPr>
                    <m:t>G</m:t>
                  </m:r>
                  <m:r>
                    <m:rPr>
                      <m:sty m:val="p"/>
                    </m:rPr>
                    <m:t>A</m:t>
                  </m:r>
                </m:e>
                <m:sup>
                  <m:r>
                    <m:t>o</m:t>
                  </m:r>
                </m:sup>
              </m:sSup>
            </m:oMath>
            <w:r>
              <w:t xml:space="preserve"> </w:t>
            </w:r>
            <w:r>
              <w:t xml:space="preserve">conditioning the ST20 nonlinear term (g).</w:t>
            </w:r>
          </w:p>
        </w:tc>
      </w:tr>
      <w:tr>
        <w:tc>
          <w:tcPr/>
          <w:p>
            <w:pPr>
              <w:pStyle w:val="SRKTableText"/>
            </w:pPr>
            <m:oMath>
              <m:r>
                <m:t>F</m:t>
              </m:r>
            </m:oMath>
          </w:p>
        </w:tc>
        <w:tc>
          <w:tcPr/>
          <w:p>
            <w:pPr>
              <w:pStyle w:val="SRKTableText"/>
            </w:pPr>
            <w:r>
              <w:t xml:space="preserve">Random ST20 amplification factor relating</w:t>
            </w:r>
            <w:r>
              <w:t xml:space="preserve"> </w:t>
            </w:r>
            <m:oMath>
              <m:sSubSup>
                <m:e>
                  <m:r>
                    <m:t>S</m:t>
                  </m:r>
                </m:e>
                <m:sub>
                  <m:r>
                    <m:t>a</m:t>
                  </m:r>
                </m:sub>
                <m:sup>
                  <m:r>
                    <m:t>s</m:t>
                  </m:r>
                </m:sup>
              </m:sSubSup>
            </m:oMath>
            <w:r>
              <w:t xml:space="preserve"> </w:t>
            </w:r>
            <w:r>
              <w:t xml:space="preserve">to</w:t>
            </w:r>
            <w:r>
              <w:t xml:space="preserve"> </w:t>
            </w:r>
            <m:oMath>
              <m:sSubSup>
                <m:e>
                  <m:r>
                    <m:t>S</m:t>
                  </m:r>
                </m:e>
                <m:sub>
                  <m:r>
                    <m:t>a</m:t>
                  </m:r>
                </m:sub>
                <m:sup>
                  <m:r>
                    <m:t>o</m:t>
                  </m:r>
                </m:sup>
              </m:sSubSup>
            </m:oMath>
            <w:r>
              <w:t xml:space="preserve">.</w:t>
            </w:r>
          </w:p>
        </w:tc>
      </w:tr>
      <w:tr>
        <w:tc>
          <w:tcPr/>
          <w:p>
            <w:pPr>
              <w:pStyle w:val="SRKTableText"/>
            </w:pPr>
            <m:oMath>
              <m:sSub>
                <m:e>
                  <m:r>
                    <m:t>F</m:t>
                  </m:r>
                </m:e>
                <m:sub>
                  <m:r>
                    <m:rPr>
                      <m:sty m:val="p"/>
                    </m:rPr>
                    <m:t>c</m:t>
                  </m:r>
                  <m:r>
                    <m:rPr>
                      <m:sty m:val="p"/>
                    </m:rPr>
                    <m:t>o</m:t>
                  </m:r>
                  <m:r>
                    <m:rPr>
                      <m:sty m:val="p"/>
                    </m:rPr>
                    <m:t>m</m:t>
                  </m:r>
                  <m:r>
                    <m:rPr>
                      <m:sty m:val="p"/>
                    </m:rPr>
                    <m:t>p</m:t>
                  </m:r>
                </m:sub>
              </m:sSub>
            </m:oMath>
          </w:p>
        </w:tc>
        <w:tc>
          <w:tcPr/>
          <w:p>
            <w:pPr>
              <w:pStyle w:val="SRKTableText"/>
            </w:pPr>
            <w:r>
              <w:t xml:space="preserve">Composite amplification model,</w:t>
            </w:r>
            <w:r>
              <w:t xml:space="preserve"> </w:t>
            </w:r>
            <m:oMath>
              <m:sSub>
                <m:e>
                  <m:r>
                    <m:t>F</m:t>
                  </m:r>
                </m:e>
                <m:sub>
                  <m:r>
                    <m:rPr>
                      <m:sty m:val="p"/>
                    </m:rPr>
                    <m:t>c</m:t>
                  </m:r>
                  <m:r>
                    <m:rPr>
                      <m:sty m:val="p"/>
                    </m:rPr>
                    <m:t>o</m:t>
                  </m:r>
                  <m:r>
                    <m:rPr>
                      <m:sty m:val="p"/>
                    </m:rPr>
                    <m:t>m</m:t>
                  </m:r>
                  <m:r>
                    <m:rPr>
                      <m:sty m:val="p"/>
                    </m:rPr>
                    <m:t>p</m:t>
                  </m:r>
                </m:sub>
              </m:sSub>
              <m:r>
                <m:rPr>
                  <m:sty m:val="p"/>
                </m:rPr>
                <m:t>=</m:t>
              </m:r>
              <m:sSub>
                <m:e>
                  <m:r>
                    <m:t>F</m:t>
                  </m:r>
                </m:e>
                <m:sub>
                  <m:r>
                    <m:t>760</m:t>
                  </m:r>
                </m:sub>
              </m:sSub>
              <m:sSub>
                <m:e>
                  <m:r>
                    <m:t>F</m:t>
                  </m:r>
                </m:e>
                <m:sub>
                  <m:r>
                    <m:t>V</m:t>
                  </m:r>
                </m:sub>
              </m:sSub>
              <m:sSub>
                <m:e>
                  <m:r>
                    <m:t>F</m:t>
                  </m:r>
                </m:e>
                <m:sub>
                  <m:r>
                    <m:t>n</m:t>
                  </m:r>
                  <m:r>
                    <m:t>l</m:t>
                  </m:r>
                </m:sub>
              </m:sSub>
            </m:oMath>
            <w:r>
              <w:t xml:space="preserve">; the factor applied from 760 m/s is the ratio between</w:t>
            </w:r>
            <w:r>
              <w:t xml:space="preserve"> </w:t>
            </w:r>
            <m:oMath>
              <m:sSub>
                <m:e>
                  <m:r>
                    <m:t>F</m:t>
                  </m:r>
                </m:e>
                <m:sub>
                  <m:r>
                    <m:rPr>
                      <m:sty m:val="p"/>
                    </m:rPr>
                    <m:t>c</m:t>
                  </m:r>
                  <m:r>
                    <m:rPr>
                      <m:sty m:val="p"/>
                    </m:rPr>
                    <m:t>o</m:t>
                  </m:r>
                  <m:r>
                    <m:rPr>
                      <m:sty m:val="p"/>
                    </m:rPr>
                    <m:t>m</m:t>
                  </m:r>
                  <m:r>
                    <m:rPr>
                      <m:sty m:val="p"/>
                    </m:rPr>
                    <m:t>p</m:t>
                  </m:r>
                </m:sub>
              </m:sSub>
            </m:oMath>
            <w:r>
              <w:t xml:space="preserve"> </w:t>
            </w:r>
            <w:r>
              <w:t xml:space="preserve">at the target and at the reference condition.</w:t>
            </w:r>
          </w:p>
        </w:tc>
      </w:tr>
      <w:tr>
        <w:tc>
          <w:tcPr/>
          <w:p>
            <w:pPr>
              <w:pStyle w:val="SRKTableText"/>
            </w:pPr>
            <m:oMath>
              <m:sSub>
                <m:e>
                  <m:r>
                    <m:t>F</m:t>
                  </m:r>
                </m:e>
                <m:sub>
                  <m:r>
                    <m:t>760</m:t>
                  </m:r>
                </m:sub>
              </m:sSub>
            </m:oMath>
          </w:p>
        </w:tc>
        <w:tc>
          <w:tcPr/>
          <w:p>
            <w:pPr>
              <w:pStyle w:val="SRKTableText"/>
            </w:pPr>
            <w:r>
              <w:t xml:space="preserve">Adjustment factor between the 760 m/s condition and the 3000 m/s hard-rock reference.</w:t>
            </w:r>
          </w:p>
        </w:tc>
      </w:tr>
      <w:tr>
        <w:tc>
          <w:tcPr/>
          <w:p>
            <w:pPr>
              <w:pStyle w:val="SRKTableText"/>
            </w:pPr>
            <m:oMath>
              <m:sSub>
                <m:e>
                  <m:r>
                    <m:t>F</m:t>
                  </m:r>
                </m:e>
                <m:sub>
                  <m:r>
                    <m:t>V</m:t>
                  </m:r>
                </m:sub>
              </m:sSub>
            </m:oMath>
          </w:p>
        </w:tc>
        <w:tc>
          <w:tcPr/>
          <w:p>
            <w:pPr>
              <w:pStyle w:val="SRKTableText"/>
            </w:pPr>
            <w:r>
              <w:t xml:space="preserve">Linear site-amplification factor; it equals one at the 760 m/s reference.</w:t>
            </w:r>
          </w:p>
        </w:tc>
      </w:tr>
      <w:tr>
        <w:tc>
          <w:tcPr/>
          <w:p>
            <w:pPr>
              <w:pStyle w:val="SRKTableText"/>
            </w:pPr>
            <m:oMath>
              <m:sSub>
                <m:e>
                  <m:r>
                    <m:t>F</m:t>
                  </m:r>
                </m:e>
                <m:sub>
                  <m:r>
                    <m:t>n</m:t>
                  </m:r>
                  <m:r>
                    <m:t>l</m:t>
                  </m:r>
                </m:sub>
              </m:sSub>
            </m:oMath>
          </w:p>
        </w:tc>
        <w:tc>
          <w:tcPr/>
          <w:p>
            <w:pPr>
              <w:pStyle w:val="SRKTableText"/>
            </w:pPr>
            <w:r>
              <w:t xml:space="preserve">Nonlinear amplification factor.</w:t>
            </w:r>
          </w:p>
        </w:tc>
      </w:tr>
      <w:tr>
        <w:tc>
          <w:tcPr/>
          <w:p>
            <w:pPr>
              <w:pStyle w:val="SRKTableText"/>
            </w:pPr>
            <m:oMath>
              <m:sSub>
                <m:e>
                  <m:r>
                    <m:t>μ</m:t>
                  </m:r>
                </m:e>
                <m:sub>
                  <m:r>
                    <m:rPr>
                      <m:sty m:val="p"/>
                    </m:rPr>
                    <m:t>ln</m:t>
                  </m:r>
                  <m:r>
                    <m:t>F</m:t>
                  </m:r>
                </m:sub>
              </m:sSub>
            </m:oMath>
            <w:r>
              <w:t xml:space="preserve">,</w:t>
            </w:r>
            <w:r>
              <w:t xml:space="preserve"> </w:t>
            </w:r>
            <m:oMath>
              <m:sSub>
                <m:e>
                  <m:r>
                    <m:t>σ</m:t>
                  </m:r>
                </m:e>
                <m:sub>
                  <m:r>
                    <m:rPr>
                      <m:sty m:val="p"/>
                    </m:rPr>
                    <m:t>ln</m:t>
                  </m:r>
                  <m:r>
                    <m:t>F</m:t>
                  </m:r>
                </m:sub>
              </m:sSub>
            </m:oMath>
          </w:p>
        </w:tc>
        <w:tc>
          <w:tcPr/>
          <w:p>
            <w:pPr>
              <w:pStyle w:val="SRKTableText"/>
            </w:pPr>
            <w:r>
              <w:t xml:space="preserve">Mean and total standard deviation of</w:t>
            </w:r>
            <w:r>
              <w:t xml:space="preserve"> </w:t>
            </w:r>
            <m:oMath>
              <m:r>
                <m:rPr>
                  <m:sty m:val="p"/>
                </m:rPr>
                <m:t>ln</m:t>
              </m:r>
              <m:r>
                <m:t>F</m:t>
              </m:r>
            </m:oMath>
            <w:r>
              <w:t xml:space="preserve">, conditional on</w:t>
            </w:r>
            <w:r>
              <w:t xml:space="preserve"> </w:t>
            </w:r>
            <m:oMath>
              <m:sSub>
                <m:e>
                  <m:r>
                    <m:t>T</m:t>
                  </m:r>
                </m:e>
                <m:sub>
                  <m:r>
                    <m:t>n</m:t>
                  </m:r>
                </m:sub>
              </m:sSub>
            </m:oMath>
            <w:r>
              <w:t xml:space="preserve">,</w:t>
            </w:r>
            <w:r>
              <w:t xml:space="preserve"> </w:t>
            </w:r>
            <m:oMath>
              <m:sSub>
                <m:e>
                  <m:r>
                    <m:t>V</m:t>
                  </m:r>
                </m:e>
                <m:sub>
                  <m:r>
                    <m:t>S</m:t>
                  </m:r>
                  <m:r>
                    <m:t>30</m:t>
                  </m:r>
                </m:sub>
              </m:sSub>
            </m:oMath>
            <w:r>
              <w:t xml:space="preserve">, and</w:t>
            </w:r>
            <w:r>
              <w:t xml:space="preserve"> </w:t>
            </w:r>
            <m:oMath>
              <m:r>
                <m:t>p</m:t>
              </m:r>
              <m:r>
                <m:t>g</m:t>
              </m:r>
              <m:sSup>
                <m:e>
                  <m:r>
                    <m:t>a</m:t>
                  </m:r>
                </m:e>
                <m:sup>
                  <m:r>
                    <m:rPr>
                      <m:sty m:val="p"/>
                    </m:rPr>
                    <m:t>*</m:t>
                  </m:r>
                </m:sup>
              </m:sSup>
            </m:oMath>
            <w:r>
              <w:t xml:space="preserve">.</w:t>
            </w:r>
          </w:p>
        </w:tc>
      </w:tr>
      <w:tr>
        <w:tc>
          <w:tcPr/>
          <w:p>
            <w:pPr>
              <w:pStyle w:val="SRKTableText"/>
            </w:pPr>
            <m:oMath>
              <m:sSub>
                <m:e>
                  <m:r>
                    <m:t>σ</m:t>
                  </m:r>
                </m:e>
                <m:sub>
                  <m:r>
                    <m:t>L</m:t>
                  </m:r>
                </m:sub>
              </m:sSub>
            </m:oMath>
            <w:r>
              <w:t xml:space="preserve">,</w:t>
            </w:r>
            <w:r>
              <w:t xml:space="preserve"> </w:t>
            </w:r>
            <m:oMath>
              <m:sSub>
                <m:e>
                  <m:r>
                    <m:t>σ</m:t>
                  </m:r>
                </m:e>
                <m:sub>
                  <m:r>
                    <m:t>I</m:t>
                  </m:r>
                </m:sub>
              </m:sSub>
            </m:oMath>
            <w:r>
              <w:t xml:space="preserve">,</w:t>
            </w:r>
            <w:r>
              <w:t xml:space="preserve"> </w:t>
            </w:r>
            <m:oMath>
              <m:sSub>
                <m:e>
                  <m:r>
                    <m:t>σ</m:t>
                  </m:r>
                </m:e>
                <m:sub>
                  <m:r>
                    <m:t>N</m:t>
                  </m:r>
                  <m:r>
                    <m:t>L</m:t>
                  </m:r>
                </m:sub>
              </m:sSub>
            </m:oMath>
          </w:p>
        </w:tc>
        <w:tc>
          <w:tcPr/>
          <w:p>
            <w:pPr>
              <w:pStyle w:val="SRKTableText"/>
            </w:pPr>
            <w:r>
              <w:t xml:space="preserve">Linear, reference-change, and nonlinear contributions to</w:t>
            </w:r>
            <w:r>
              <w:t xml:space="preserve"> </w:t>
            </w:r>
            <m:oMath>
              <m:sSub>
                <m:e>
                  <m:r>
                    <m:t>σ</m:t>
                  </m:r>
                </m:e>
                <m:sub>
                  <m:r>
                    <m:rPr>
                      <m:sty m:val="p"/>
                    </m:rPr>
                    <m:t>ln</m:t>
                  </m:r>
                  <m:r>
                    <m:t>F</m:t>
                  </m:r>
                </m:sub>
              </m:sSub>
            </m:oMath>
            <w:r>
              <w:t xml:space="preserve">.</w:t>
            </w:r>
          </w:p>
        </w:tc>
      </w:tr>
      <w:tr>
        <w:tc>
          <w:tcPr/>
          <w:p>
            <w:pPr>
              <w:pStyle w:val="SRKTableText"/>
            </w:pPr>
            <m:oMath>
              <m:r>
                <m:rPr>
                  <m:sty m:val="p"/>
                </m:rPr>
                <m:t>A</m:t>
              </m:r>
              <m:r>
                <m:rPr>
                  <m:sty m:val="p"/>
                </m:rPr>
                <m:t>F</m:t>
              </m:r>
            </m:oMath>
          </w:p>
        </w:tc>
        <w:tc>
          <w:tcPr/>
          <w:p>
            <w:pPr>
              <w:pStyle w:val="SRKTableText"/>
            </w:pPr>
            <w:r>
              <w:t xml:space="preserve">Published amplification factor: mean and quantiles of the ratio between the site-condition demand and the reference-rock demand; exactly 1 at</w:t>
            </w:r>
            <w:r>
              <w:t xml:space="preserve"> </w:t>
            </w:r>
            <m:oMath>
              <m:sSub>
                <m:e>
                  <m:r>
                    <m:t>V</m:t>
                  </m:r>
                </m:e>
                <m:sub>
                  <m:r>
                    <m:t>S</m:t>
                  </m:r>
                  <m:r>
                    <m:t>30</m:t>
                  </m:r>
                </m:sub>
              </m:sSub>
              <m:r>
                <m:rPr>
                  <m:sty m:val="p"/>
                </m:rPr>
                <m:t>=</m:t>
              </m:r>
              <m:r>
                <m:t>760</m:t>
              </m:r>
            </m:oMath>
            <w:r>
              <w:t xml:space="preserve"> </w:t>
            </w:r>
            <w:r>
              <w:t xml:space="preserve">m/s.</w:t>
            </w:r>
          </w:p>
        </w:tc>
      </w:tr>
    </w:tbl>
    <w:bookmarkEnd w:id="279"/>
    <w:bookmarkStart w:id="280" w:name="seismic-record-selection"/>
    <w:p>
      <w:pPr>
        <w:pStyle w:val="Heading3"/>
      </w:pPr>
      <w:r>
        <w:t xml:space="preserve">6.1.6</w:t>
      </w:r>
      <w:r>
        <w:tab/>
      </w:r>
      <w:r>
        <w:t xml:space="preserve">Seismic record selection</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r>
                <m:rPr>
                  <m:sty m:val="p"/>
                </m:rPr>
                <m:t>C</m:t>
              </m:r>
              <m:r>
                <m:rPr>
                  <m:sty m:val="p"/>
                </m:rPr>
                <m:t>A</m:t>
              </m:r>
              <m:r>
                <m:rPr>
                  <m:sty m:val="p"/>
                </m:rPr>
                <m:t>V</m:t>
              </m:r>
            </m:oMath>
          </w:p>
        </w:tc>
        <w:tc>
          <w:tcPr/>
          <w:p>
            <w:pPr>
              <w:pStyle w:val="SRKTableText"/>
            </w:pPr>
            <w:r>
              <w:t xml:space="preserve">Cumulative absolute velocity of the record.</w:t>
            </w:r>
          </w:p>
        </w:tc>
      </w:tr>
      <w:tr>
        <w:tc>
          <w:tcPr/>
          <w:p>
            <w:pPr>
              <w:pStyle w:val="SRKTableText"/>
            </w:pPr>
            <m:oMath>
              <m:sSub>
                <m:e>
                  <m:r>
                    <m:rPr>
                      <m:sty m:val="p"/>
                    </m:rPr>
                    <m:t>C</m:t>
                  </m:r>
                  <m:r>
                    <m:rPr>
                      <m:sty m:val="p"/>
                    </m:rPr>
                    <m:t>A</m:t>
                  </m:r>
                  <m:r>
                    <m:rPr>
                      <m:sty m:val="p"/>
                    </m:rPr>
                    <m:t>V</m:t>
                  </m:r>
                </m:e>
                <m:sub>
                  <m:r>
                    <m:t>5</m:t>
                  </m:r>
                </m:sub>
              </m:sSub>
            </m:oMath>
          </w:p>
        </w:tc>
        <w:tc>
          <w:tcPr/>
          <w:p>
            <w:pPr>
              <w:pStyle w:val="SRKTableText"/>
            </w:pPr>
            <w:r>
              <w:t xml:space="preserve">Cumulative absolute velocity restricted to the intervals where the acceleration exceeds 5 cm/s².</w:t>
            </w:r>
          </w:p>
        </w:tc>
      </w:tr>
      <w:tr>
        <w:tc>
          <w:tcPr/>
          <w:p>
            <w:pPr>
              <w:pStyle w:val="SRKTableText"/>
            </w:pPr>
            <m:oMath>
              <m:sSub>
                <m:e>
                  <m:bar>
                    <m:barPr>
                      <m:pos m:val="top"/>
                    </m:barPr>
                    <m:e>
                      <m:r>
                        <m:t>S</m:t>
                      </m:r>
                    </m:e>
                  </m:bar>
                </m:e>
                <m:sub>
                  <m:r>
                    <m:t>a</m:t>
                  </m:r>
                </m:sub>
              </m:sSub>
              <m:r>
                <m:rPr>
                  <m:sty m:val="p"/>
                </m:rPr>
                <m:t>(</m:t>
              </m:r>
              <m:sSub>
                <m:e>
                  <m:r>
                    <m:t>T</m:t>
                  </m:r>
                </m:e>
                <m:sub>
                  <m:r>
                    <m:t>j</m:t>
                  </m:r>
                </m:sub>
              </m:sSub>
              <m:r>
                <m:rPr>
                  <m:sty m:val="p"/>
                </m:rPr>
                <m:t>)</m:t>
              </m:r>
            </m:oMath>
            <w:r>
              <w:t xml:space="preserve">,</w:t>
            </w:r>
            <w:r>
              <w:t xml:space="preserve"> </w:t>
            </w:r>
            <m:oMath>
              <m:sSubSup>
                <m:e>
                  <m:r>
                    <m:t>S</m:t>
                  </m:r>
                </m:e>
                <m:sub>
                  <m:r>
                    <m:t>a</m:t>
                  </m:r>
                </m:sub>
                <m:sup>
                  <m:r>
                    <m:t>t</m:t>
                  </m:r>
                </m:sup>
              </m:sSubSup>
              <m:r>
                <m:rPr>
                  <m:sty m:val="p"/>
                </m:rPr>
                <m:t>(</m:t>
              </m:r>
              <m:sSub>
                <m:e>
                  <m:r>
                    <m:t>T</m:t>
                  </m:r>
                </m:e>
                <m:sub>
                  <m:r>
                    <m:t>j</m:t>
                  </m:r>
                </m:sub>
              </m:sSub>
              <m:r>
                <m:rPr>
                  <m:sty m:val="p"/>
                </m:rPr>
                <m:t>)</m:t>
              </m:r>
            </m:oMath>
          </w:p>
        </w:tc>
        <w:tc>
          <w:tcPr/>
          <w:p>
            <w:pPr>
              <w:pStyle w:val="SRKTableText"/>
            </w:pPr>
            <w:r>
              <w:t xml:space="preserve">Spectral mean of the scaled record set and target spectrum (g).</w:t>
            </w:r>
          </w:p>
        </w:tc>
      </w:tr>
    </w:tbl>
    <w:bookmarkEnd w:id="280"/>
    <w:bookmarkStart w:id="281" w:name="mcer"/>
    <w:p>
      <w:pPr>
        <w:pStyle w:val="Heading3"/>
      </w:pPr>
      <w:r>
        <w:t xml:space="preserve">6.1.7</w:t>
      </w:r>
      <w:r>
        <w:tab/>
      </w:r>
      <w:r>
        <w:t xml:space="preserve">MCER</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sSub>
                <m:e>
                  <m:r>
                    <m:t>C</m:t>
                  </m:r>
                </m:e>
                <m:sub>
                  <m:r>
                    <m:t>x</m:t>
                  </m:r>
                </m:sub>
              </m:sSub>
            </m:oMath>
          </w:p>
        </w:tc>
        <w:tc>
          <w:tcPr/>
          <w:p>
            <w:pPr>
              <w:pStyle w:val="SRKTableText"/>
            </w:pPr>
            <w:r>
              <w:t xml:space="preserve">Spectral collapse capacity of the generic fragility anchored at ordinate</w:t>
            </w:r>
            <w:r>
              <w:t xml:space="preserve"> </w:t>
            </w:r>
            <m:oMath>
              <m:r>
                <m:t>x</m:t>
              </m:r>
            </m:oMath>
            <w:r>
              <w:t xml:space="preserve">: lognormal with</w:t>
            </w:r>
            <w:r>
              <w:t xml:space="preserve"> </w:t>
            </w:r>
            <m:oMath>
              <m:r>
                <m:t>P</m:t>
              </m:r>
              <m:r>
                <m:rPr>
                  <m:sty m:val="p"/>
                </m:rPr>
                <m:t>[</m:t>
              </m:r>
              <m:sSub>
                <m:e>
                  <m:r>
                    <m:t>C</m:t>
                  </m:r>
                </m:e>
                <m:sub>
                  <m:r>
                    <m:t>x</m:t>
                  </m:r>
                </m:sub>
              </m:sSub>
              <m:r>
                <m:rPr>
                  <m:sty m:val="p"/>
                </m:rPr>
                <m:t>≤</m:t>
              </m:r>
              <m:r>
                <m:t>x</m:t>
              </m:r>
              <m:r>
                <m:rPr>
                  <m:sty m:val="p"/>
                </m:rPr>
                <m:t>]</m:t>
              </m:r>
              <m:r>
                <m:rPr>
                  <m:sty m:val="p"/>
                </m:rPr>
                <m:t>=</m:t>
              </m:r>
              <m:r>
                <m:t>0.10</m:t>
              </m:r>
            </m:oMath>
            <w:r>
              <w:t xml:space="preserve"> </w:t>
            </w:r>
            <w:r>
              <w:t xml:space="preserve">and</w:t>
            </w:r>
            <w:r>
              <w:t xml:space="preserve"> </w:t>
            </w:r>
            <m:oMath>
              <m:sSub>
                <m:e>
                  <m:r>
                    <m:t>σ</m:t>
                  </m:r>
                </m:e>
                <m:sub>
                  <m:r>
                    <m:rPr>
                      <m:sty m:val="p"/>
                    </m:rPr>
                    <m:t>ln</m:t>
                  </m:r>
                  <m:r>
                    <m:t>C</m:t>
                  </m:r>
                </m:sub>
              </m:sSub>
              <m:r>
                <m:rPr>
                  <m:sty m:val="p"/>
                </m:rPr>
                <m:t>=</m:t>
              </m:r>
              <m:r>
                <m:t>0.60</m:t>
              </m:r>
            </m:oMath>
            <w:r>
              <w:t xml:space="preserve"> </w:t>
            </w:r>
            <w:r>
              <w:t xml:space="preserve">(g).</w:t>
            </w:r>
          </w:p>
        </w:tc>
      </w:tr>
      <w:tr>
        <w:tc>
          <w:tcPr/>
          <w:p>
            <w:pPr>
              <w:pStyle w:val="SRKTableText"/>
            </w:pPr>
            <m:oMath>
              <m:sSub>
                <m:e>
                  <m:r>
                    <m:t>λ</m:t>
                  </m:r>
                </m:e>
                <m:sub>
                  <m:r>
                    <m:t>C</m:t>
                  </m:r>
                </m:sub>
              </m:sSub>
              <m:r>
                <m:rPr>
                  <m:sty m:val="p"/>
                </m:rPr>
                <m:t>(</m:t>
              </m:r>
              <m:r>
                <m:t>x</m:t>
              </m:r>
              <m:r>
                <m:rPr>
                  <m:sty m:val="p"/>
                </m:rPr>
                <m:t>)</m:t>
              </m:r>
            </m:oMath>
          </w:p>
        </w:tc>
        <w:tc>
          <w:tcPr/>
          <w:p>
            <w:pPr>
              <w:pStyle w:val="SRKTableText"/>
            </w:pPr>
            <w:r>
              <w:t xml:space="preserve">Annual collapse rate;</w:t>
            </w:r>
            <w:r>
              <w:t xml:space="preserve"> </w:t>
            </w:r>
            <m:oMath>
              <m:sSubSup>
                <m:e>
                  <m:r>
                    <m:t>λ</m:t>
                  </m:r>
                </m:e>
                <m:sub>
                  <m:r>
                    <m:t>C</m:t>
                  </m:r>
                </m:sub>
                <m:sup>
                  <m:r>
                    <m:rPr>
                      <m:sty m:val="p"/>
                    </m:rPr>
                    <m:t>−</m:t>
                  </m:r>
                  <m:r>
                    <m:t>1</m:t>
                  </m:r>
                </m:sup>
              </m:sSubSup>
            </m:oMath>
            <w:r>
              <w:t xml:space="preserve"> </w:t>
            </w:r>
            <w:r>
              <w:t xml:space="preserve">is its functional inverse (1/yr).</w:t>
            </w:r>
          </w:p>
        </w:tc>
      </w:tr>
      <w:tr>
        <w:tc>
          <w:tcPr/>
          <w:p>
            <w:pPr>
              <w:pStyle w:val="SRKTableText"/>
            </w:pPr>
            <m:oMath>
              <m:sSub>
                <m:e>
                  <m:bar>
                    <m:barPr>
                      <m:pos m:val="bot"/>
                    </m:barPr>
                    <m:e>
                      <m:r>
                        <m:t>S</m:t>
                      </m:r>
                    </m:e>
                  </m:bar>
                </m:e>
                <m:sub>
                  <m:r>
                    <m:t>a</m:t>
                  </m:r>
                </m:sub>
              </m:sSub>
              <m:r>
                <m:rPr>
                  <m:sty m:val="p"/>
                </m:rPr>
                <m:t>(</m:t>
              </m:r>
              <m:sSub>
                <m:e>
                  <m:r>
                    <m:t>T</m:t>
                  </m:r>
                </m:e>
                <m:sub>
                  <m:r>
                    <m:t>n</m:t>
                  </m:r>
                </m:sub>
              </m:sSub>
              <m:r>
                <m:rPr>
                  <m:sty m:val="p"/>
                </m:rPr>
                <m:t>)</m:t>
              </m:r>
            </m:oMath>
          </w:p>
        </w:tc>
        <w:tc>
          <w:tcPr/>
          <w:p>
            <w:pPr>
              <w:pStyle w:val="SRKTableText"/>
            </w:pPr>
            <w:r>
              <w:t xml:space="preserve">Deterministic lower-limit ordinate of Table 21.2-1 (g).</w:t>
            </w:r>
          </w:p>
        </w:tc>
      </w:tr>
      <w:tr>
        <w:tc>
          <w:tcPr/>
          <w:p>
            <w:pPr>
              <w:pStyle w:val="SRKTableText"/>
            </w:pPr>
            <m:oMath>
              <m:sSub>
                <m:e>
                  <m:r>
                    <m:t>S</m:t>
                  </m:r>
                </m:e>
                <m:sub>
                  <m:r>
                    <m:t>a</m:t>
                  </m:r>
                  <m:r>
                    <m:t>M</m:t>
                  </m:r>
                </m:sub>
              </m:sSub>
              <m:r>
                <m:rPr>
                  <m:sty m:val="p"/>
                </m:rPr>
                <m:t>(</m:t>
              </m:r>
              <m:sSub>
                <m:e>
                  <m:r>
                    <m:t>T</m:t>
                  </m:r>
                </m:e>
                <m:sub>
                  <m:r>
                    <m:t>n</m:t>
                  </m:r>
                </m:sub>
              </m:sSub>
              <m:r>
                <m:rPr>
                  <m:sty m:val="p"/>
                </m:rPr>
                <m:t>)</m:t>
              </m:r>
            </m:oMath>
          </w:p>
        </w:tc>
        <w:tc>
          <w:tcPr/>
          <w:p>
            <w:pPr>
              <w:pStyle w:val="SRKTableText"/>
            </w:pPr>
            <w:r>
              <w:t xml:space="preserve">Site-specific MCER ordinate (ASCE/SEI 7-22 Section 21.2.3) (g).</w:t>
            </w:r>
          </w:p>
        </w:tc>
      </w:tr>
      <w:tr>
        <w:tc>
          <w:tcPr/>
          <w:p>
            <w:pPr>
              <w:pStyle w:val="SRKTableText"/>
            </w:pPr>
            <m:oMath>
              <m:sSub>
                <m:e>
                  <m:r>
                    <m:t>S</m:t>
                  </m:r>
                </m:e>
                <m:sub>
                  <m:r>
                    <m:t>a</m:t>
                  </m:r>
                </m:sub>
              </m:sSub>
              <m:r>
                <m:rPr>
                  <m:sty m:val="p"/>
                </m:rPr>
                <m:t>(</m:t>
              </m:r>
              <m:sSub>
                <m:e>
                  <m:r>
                    <m:t>T</m:t>
                  </m:r>
                </m:e>
                <m:sub>
                  <m:r>
                    <m:t>n</m:t>
                  </m:r>
                </m:sub>
              </m:sSub>
              <m:r>
                <m:rPr>
                  <m:sty m:val="p"/>
                </m:rPr>
                <m:t>)</m:t>
              </m:r>
            </m:oMath>
          </w:p>
        </w:tc>
        <w:tc>
          <w:tcPr/>
          <w:p>
            <w:pPr>
              <w:pStyle w:val="SRKTableText"/>
            </w:pPr>
            <w:r>
              <w:t xml:space="preserve">Design-spectrum ordinate,</w:t>
            </w:r>
            <w:r>
              <w:t xml:space="preserve"> </w:t>
            </w:r>
            <m:oMath>
              <m:f>
                <m:fPr>
                  <m:type m:val="lin"/>
                </m:fPr>
                <m:num>
                  <m:r>
                    <m:t>2</m:t>
                  </m:r>
                </m:num>
                <m:den>
                  <m:r>
                    <m:t>3</m:t>
                  </m:r>
                </m:den>
              </m:f>
              <m:sSub>
                <m:e>
                  <m:r>
                    <m:t>S</m:t>
                  </m:r>
                </m:e>
                <m:sub>
                  <m:r>
                    <m:t>a</m:t>
                  </m:r>
                  <m:r>
                    <m:t>M</m:t>
                  </m:r>
                </m:sub>
              </m:sSub>
              <m:r>
                <m:rPr>
                  <m:sty m:val="p"/>
                </m:rPr>
                <m:t>(</m:t>
              </m:r>
              <m:sSub>
                <m:e>
                  <m:r>
                    <m:t>T</m:t>
                  </m:r>
                </m:e>
                <m:sub>
                  <m:r>
                    <m:t>n</m:t>
                  </m:r>
                </m:sub>
              </m:sSub>
              <m:r>
                <m:rPr>
                  <m:sty m:val="p"/>
                </m:rPr>
                <m:t>)</m:t>
              </m:r>
            </m:oMath>
            <w:r>
              <w:t xml:space="preserve"> </w:t>
            </w:r>
            <w:r>
              <w:t xml:space="preserve">(normative symbol, Eq. 21.3-1) (g).</w:t>
            </w:r>
          </w:p>
        </w:tc>
      </w:tr>
      <w:tr>
        <w:tc>
          <w:tcPr/>
          <w:p>
            <w:pPr>
              <w:pStyle w:val="SRKTableText"/>
            </w:pPr>
            <m:oMath>
              <m:sSub>
                <m:e>
                  <m:r>
                    <m:t>S</m:t>
                  </m:r>
                </m:e>
                <m:sub>
                  <m:r>
                    <m:t>D</m:t>
                  </m:r>
                  <m:r>
                    <m:t>S</m:t>
                  </m:r>
                </m:sub>
              </m:sSub>
            </m:oMath>
            <w:r>
              <w:t xml:space="preserve">,</w:t>
            </w:r>
            <w:r>
              <w:t xml:space="preserve"> </w:t>
            </w:r>
            <m:oMath>
              <m:sSub>
                <m:e>
                  <m:r>
                    <m:t>S</m:t>
                  </m:r>
                </m:e>
                <m:sub>
                  <m:r>
                    <m:t>D</m:t>
                  </m:r>
                  <m:r>
                    <m:t>1</m:t>
                  </m:r>
                </m:sub>
              </m:sSub>
            </m:oMath>
            <w:r>
              <w:t xml:space="preserve">,</w:t>
            </w:r>
            <w:r>
              <w:t xml:space="preserve"> </w:t>
            </w:r>
            <m:oMath>
              <m:sSup>
                <m:e>
                  <m:r>
                    <m:t>T</m:t>
                  </m:r>
                </m:e>
                <m:sup>
                  <m:r>
                    <m:rPr>
                      <m:sty m:val="p"/>
                    </m:rPr>
                    <m:t>*</m:t>
                  </m:r>
                </m:sup>
              </m:sSup>
            </m:oMath>
          </w:p>
        </w:tc>
        <w:tc>
          <w:tcPr/>
          <w:p>
            <w:pPr>
              <w:pStyle w:val="SRKTableText"/>
            </w:pPr>
            <w:r>
              <w:t xml:space="preserve">Section 21.4 design acceleration parameters (g) and period limit (s).</w:t>
            </w:r>
          </w:p>
        </w:tc>
      </w:tr>
      <w:tr>
        <w:tc>
          <w:tcPr/>
          <w:p>
            <w:pPr>
              <w:pStyle w:val="SRKTableText"/>
            </w:pPr>
            <m:oMath>
              <m:sSub>
                <m:e>
                  <m:r>
                    <m:t>S</m:t>
                  </m:r>
                </m:e>
                <m:sub>
                  <m:r>
                    <m:t>M</m:t>
                  </m:r>
                  <m:r>
                    <m:t>S</m:t>
                  </m:r>
                </m:sub>
              </m:sSub>
              <m:r>
                <m:rPr>
                  <m:sty m:val="p"/>
                </m:rPr>
                <m:t>=</m:t>
              </m:r>
              <m:r>
                <m:t>1.5</m:t>
              </m:r>
              <m:sSub>
                <m:e>
                  <m:r>
                    <m:t>S</m:t>
                  </m:r>
                </m:e>
                <m:sub>
                  <m:r>
                    <m:t>D</m:t>
                  </m:r>
                  <m:r>
                    <m:t>S</m:t>
                  </m:r>
                </m:sub>
              </m:sSub>
            </m:oMath>
            <w:r>
              <w:t xml:space="preserve">,</w:t>
            </w:r>
            <w:r>
              <w:t xml:space="preserve"> </w:t>
            </w:r>
            <m:oMath>
              <m:sSub>
                <m:e>
                  <m:r>
                    <m:t>S</m:t>
                  </m:r>
                </m:e>
                <m:sub>
                  <m:r>
                    <m:t>M</m:t>
                  </m:r>
                  <m:r>
                    <m:t>1</m:t>
                  </m:r>
                </m:sub>
              </m:sSub>
              <m:r>
                <m:rPr>
                  <m:sty m:val="p"/>
                </m:rPr>
                <m:t>=</m:t>
              </m:r>
              <m:r>
                <m:t>1.5</m:t>
              </m:r>
              <m:sSub>
                <m:e>
                  <m:r>
                    <m:t>S</m:t>
                  </m:r>
                </m:e>
                <m:sub>
                  <m:r>
                    <m:t>D</m:t>
                  </m:r>
                  <m:r>
                    <m:t>1</m:t>
                  </m:r>
                </m:sub>
              </m:sSub>
            </m:oMath>
          </w:p>
        </w:tc>
        <w:tc>
          <w:tcPr/>
          <w:p>
            <w:pPr>
              <w:pStyle w:val="SRKTableText"/>
            </w:pPr>
            <w:r>
              <w:t xml:space="preserve">MCER parameters (g).</w:t>
            </w:r>
          </w:p>
        </w:tc>
      </w:tr>
      <w:tr>
        <w:tc>
          <w:tcPr/>
          <w:p>
            <w:pPr>
              <w:pStyle w:val="SRKTableText"/>
            </w:pPr>
            <m:oMath>
              <m:sSub>
                <m:e>
                  <m:r>
                    <m:t>T</m:t>
                  </m:r>
                </m:e>
                <m:sub>
                  <m:r>
                    <m:t>0</m:t>
                  </m:r>
                </m:sub>
              </m:sSub>
            </m:oMath>
            <w:r>
              <w:t xml:space="preserve">,</w:t>
            </w:r>
            <w:r>
              <w:t xml:space="preserve"> </w:t>
            </w:r>
            <m:oMath>
              <m:sSub>
                <m:e>
                  <m:r>
                    <m:t>T</m:t>
                  </m:r>
                </m:e>
                <m:sub>
                  <m:r>
                    <m:t>S</m:t>
                  </m:r>
                </m:sub>
              </m:sSub>
            </m:oMath>
            <w:r>
              <w:t xml:space="preserve">,</w:t>
            </w:r>
            <w:r>
              <w:t xml:space="preserve"> </w:t>
            </w:r>
            <m:oMath>
              <m:sSub>
                <m:e>
                  <m:r>
                    <m:t>T</m:t>
                  </m:r>
                </m:e>
                <m:sub>
                  <m:r>
                    <m:t>L</m:t>
                  </m:r>
                </m:sub>
              </m:sSub>
            </m:oMath>
          </w:p>
        </w:tc>
        <w:tc>
          <w:tcPr/>
          <w:p>
            <w:pPr>
              <w:pStyle w:val="SRKTableText"/>
            </w:pPr>
            <w:r>
              <w:t xml:space="preserve">Corner periods of the Section 11.4.5 code-form spectrum:</w:t>
            </w:r>
            <w:r>
              <w:t xml:space="preserve"> </w:t>
            </w:r>
            <m:oMath>
              <m:sSub>
                <m:e>
                  <m:r>
                    <m:t>T</m:t>
                  </m:r>
                </m:e>
                <m:sub>
                  <m:r>
                    <m:t>0</m:t>
                  </m:r>
                </m:sub>
              </m:sSub>
              <m:r>
                <m:rPr>
                  <m:sty m:val="p"/>
                </m:rPr>
                <m:t>=</m:t>
              </m:r>
              <m:r>
                <m:t>0.2</m:t>
              </m:r>
              <m:r>
                <m:t> </m:t>
              </m:r>
              <m:sSub>
                <m:e>
                  <m:r>
                    <m:t>S</m:t>
                  </m:r>
                </m:e>
                <m:sub>
                  <m:r>
                    <m:t>D</m:t>
                  </m:r>
                  <m:r>
                    <m:t>1</m:t>
                  </m:r>
                </m:sub>
              </m:sSub>
              <m:r>
                <m:rPr>
                  <m:sty m:val="p"/>
                </m:rPr>
                <m:t>/</m:t>
              </m:r>
              <m:sSub>
                <m:e>
                  <m:r>
                    <m:t>S</m:t>
                  </m:r>
                </m:e>
                <m:sub>
                  <m:r>
                    <m:t>D</m:t>
                  </m:r>
                  <m:r>
                    <m:t>S</m:t>
                  </m:r>
                </m:sub>
              </m:sSub>
            </m:oMath>
            <w:r>
              <w:t xml:space="preserve">,</w:t>
            </w:r>
            <w:r>
              <w:t xml:space="preserve"> </w:t>
            </w:r>
            <m:oMath>
              <m:sSub>
                <m:e>
                  <m:r>
                    <m:t>T</m:t>
                  </m:r>
                </m:e>
                <m:sub>
                  <m:r>
                    <m:t>S</m:t>
                  </m:r>
                </m:sub>
              </m:sSub>
              <m:r>
                <m:rPr>
                  <m:sty m:val="p"/>
                </m:rPr>
                <m:t>=</m:t>
              </m:r>
              <m:sSub>
                <m:e>
                  <m:r>
                    <m:t>S</m:t>
                  </m:r>
                </m:e>
                <m:sub>
                  <m:r>
                    <m:t>D</m:t>
                  </m:r>
                  <m:r>
                    <m:t>1</m:t>
                  </m:r>
                </m:sub>
              </m:sSub>
              <m:r>
                <m:rPr>
                  <m:sty m:val="p"/>
                </m:rPr>
                <m:t>/</m:t>
              </m:r>
              <m:sSub>
                <m:e>
                  <m:r>
                    <m:t>S</m:t>
                  </m:r>
                </m:e>
                <m:sub>
                  <m:r>
                    <m:t>D</m:t>
                  </m:r>
                  <m:r>
                    <m:t>S</m:t>
                  </m:r>
                </m:sub>
              </m:sSub>
            </m:oMath>
            <w:r>
              <w:t xml:space="preserve">;</w:t>
            </w:r>
            <w:r>
              <w:t xml:space="preserve"> </w:t>
            </w:r>
            <m:oMath>
              <m:sSub>
                <m:e>
                  <m:r>
                    <m:t>T</m:t>
                  </m:r>
                </m:e>
                <m:sub>
                  <m:r>
                    <m:t>L</m:t>
                  </m:r>
                </m:sub>
              </m:sSub>
            </m:oMath>
            <w:r>
              <w:t xml:space="preserve"> </w:t>
            </w:r>
            <w:r>
              <w:t xml:space="preserve">is the long-period transition (s).</w:t>
            </w:r>
          </w:p>
        </w:tc>
      </w:tr>
    </w:tbl>
    <w:bookmarkEnd w:id="281"/>
    <w:bookmarkStart w:id="282" w:name="slope-dynamics"/>
    <w:p>
      <w:pPr>
        <w:pStyle w:val="Heading3"/>
      </w:pPr>
      <w:r>
        <w:t xml:space="preserve">6.1.8</w:t>
      </w:r>
      <w:r>
        <w:tab/>
      </w:r>
      <w:r>
        <w:t xml:space="preserve">Slope dynamics</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sSub>
                <m:e>
                  <m:r>
                    <m:t>H</m:t>
                  </m:r>
                </m:e>
                <m:sub>
                  <m:r>
                    <m:t>s</m:t>
                  </m:r>
                </m:sub>
              </m:sSub>
            </m:oMath>
            <w:r>
              <w:t xml:space="preserve">,</w:t>
            </w:r>
            <w:r>
              <w:t xml:space="preserve"> </w:t>
            </w:r>
            <m:oMath>
              <m:r>
                <m:t>s</m:t>
              </m:r>
            </m:oMath>
            <w:r>
              <w:t xml:space="preserve">,</w:t>
            </w:r>
            <w:r>
              <w:t xml:space="preserve"> </w:t>
            </w:r>
            <m:oMath>
              <m:sSub>
                <m:e>
                  <m:r>
                    <m:t>λ</m:t>
                  </m:r>
                </m:e>
                <m:sub>
                  <m:r>
                    <m:t>o</m:t>
                  </m:r>
                </m:sub>
              </m:sSub>
              <m:r>
                <m:rPr>
                  <m:sty m:val="p"/>
                </m:rPr>
                <m:t>=</m:t>
              </m:r>
              <m:r>
                <m:t>b</m:t>
              </m:r>
              <m:r>
                <m:rPr>
                  <m:sty m:val="p"/>
                </m:rPr>
                <m:t>/</m:t>
              </m:r>
              <m:sSub>
                <m:e>
                  <m:r>
                    <m:t>b</m:t>
                  </m:r>
                </m:e>
                <m:sub>
                  <m:r>
                    <m:rPr>
                      <m:sty m:val="p"/>
                    </m:rPr>
                    <m:t>max</m:t>
                  </m:r>
                </m:sub>
              </m:sSub>
            </m:oMath>
          </w:p>
        </w:tc>
        <w:tc>
          <w:tcPr/>
          <w:p>
            <w:pPr>
              <w:pStyle w:val="SRKTableText"/>
            </w:pPr>
            <w:r>
              <w:t xml:space="preserve">Slope height (m), slope ratio, and truncation ratio, with</w:t>
            </w:r>
            <w:r>
              <w:t xml:space="preserve"> </w:t>
            </w:r>
            <m:oMath>
              <m:r>
                <m:t>b</m:t>
              </m:r>
            </m:oMath>
            <w:r>
              <w:t xml:space="preserve"> </w:t>
            </w:r>
            <w:r>
              <w:t xml:space="preserve">and</w:t>
            </w:r>
            <w:r>
              <w:t xml:space="preserve"> </w:t>
            </w:r>
            <m:oMath>
              <m:sSub>
                <m:e>
                  <m:r>
                    <m:t>b</m:t>
                  </m:r>
                </m:e>
                <m:sub>
                  <m:r>
                    <m:rPr>
                      <m:sty m:val="p"/>
                    </m:rPr>
                    <m:t>max</m:t>
                  </m:r>
                </m:sub>
              </m:sSub>
            </m:oMath>
            <w:r>
              <w:t xml:space="preserve"> </w:t>
            </w:r>
            <w:r>
              <w:t xml:space="preserve">the berm and base widths.</w:t>
            </w:r>
          </w:p>
        </w:tc>
      </w:tr>
      <w:tr>
        <w:tc>
          <w:tcPr/>
          <w:p>
            <w:pPr>
              <w:pStyle w:val="SRKTableText"/>
            </w:pPr>
            <m:oMath>
              <m:sSub>
                <m:e>
                  <m:r>
                    <m:t>G</m:t>
                  </m:r>
                </m:e>
                <m:sub>
                  <m:r>
                    <m:t>o</m:t>
                  </m:r>
                </m:sub>
              </m:sSub>
            </m:oMath>
            <w:r>
              <w:t xml:space="preserve">,</w:t>
            </w:r>
            <w:r>
              <w:t xml:space="preserve"> </w:t>
            </w:r>
            <m:oMath>
              <m:sSub>
                <m:e>
                  <m:r>
                    <m:t>m</m:t>
                  </m:r>
                </m:e>
                <m:sub>
                  <m:r>
                    <m:t>o</m:t>
                  </m:r>
                </m:sub>
              </m:sSub>
            </m:oMath>
          </w:p>
        </w:tc>
        <w:tc>
          <w:tcPr/>
          <w:p>
            <w:pPr>
              <w:pStyle w:val="SRKTableText"/>
            </w:pPr>
            <w:r>
              <w:t xml:space="preserve">Fitted basal small-strain shear modulus (MPa) and inhomogeneity factor governing the shear-modulus profile.</w:t>
            </w:r>
          </w:p>
        </w:tc>
      </w:tr>
      <w:tr>
        <w:tc>
          <w:tcPr/>
          <w:p>
            <w:pPr>
              <w:pStyle w:val="SRKTableText"/>
            </w:pPr>
            <m:oMath>
              <m:sSubSup>
                <m:e>
                  <m:r>
                    <m:t>V</m:t>
                  </m:r>
                </m:e>
                <m:sub>
                  <m:r>
                    <m:t>S</m:t>
                  </m:r>
                </m:sub>
                <m:sup>
                  <m:r>
                    <m:t>o</m:t>
                  </m:r>
                </m:sup>
              </m:sSubSup>
            </m:oMath>
          </w:p>
        </w:tc>
        <w:tc>
          <w:tcPr/>
          <w:p>
            <w:pPr>
              <w:pStyle w:val="SRKTableText"/>
            </w:pPr>
            <w:r>
              <w:t xml:space="preserve">Basal shear-wave velocity associated with</w:t>
            </w:r>
            <w:r>
              <w:t xml:space="preserve"> </w:t>
            </w:r>
            <m:oMath>
              <m:sSub>
                <m:e>
                  <m:r>
                    <m:t>G</m:t>
                  </m:r>
                </m:e>
                <m:sub>
                  <m:r>
                    <m:t>o</m:t>
                  </m:r>
                </m:sub>
              </m:sSub>
            </m:oMath>
            <w:r>
              <w:t xml:space="preserve"> </w:t>
            </w:r>
            <w:r>
              <w:t xml:space="preserve">(m/s).</w:t>
            </w:r>
          </w:p>
        </w:tc>
      </w:tr>
      <w:tr>
        <w:tc>
          <w:tcPr/>
          <w:p>
            <w:pPr>
              <w:pStyle w:val="SRKTableText"/>
            </w:pPr>
            <m:oMath>
              <m:sSub>
                <m:e>
                  <m:r>
                    <m:t>T</m:t>
                  </m:r>
                </m:e>
                <m:sub>
                  <m:r>
                    <m:t>s</m:t>
                  </m:r>
                </m:sub>
              </m:sSub>
            </m:oMath>
          </w:p>
        </w:tc>
        <w:tc>
          <w:tcPr/>
          <w:p>
            <w:pPr>
              <w:pStyle w:val="SRKTableText"/>
            </w:pPr>
            <w:r>
              <w:t xml:space="preserve">Fundamental period of the slope (Dakoulas–Gazetas) (s).</w:t>
            </w:r>
          </w:p>
        </w:tc>
      </w:tr>
    </w:tbl>
    <w:bookmarkEnd w:id="282"/>
    <w:bookmarkStart w:id="283" w:name="displacements-and-seismic-coefficients"/>
    <w:p>
      <w:pPr>
        <w:pStyle w:val="Heading3"/>
      </w:pPr>
      <w:r>
        <w:t xml:space="preserve">6.1.9</w:t>
      </w:r>
      <w:r>
        <w:tab/>
      </w:r>
      <w:r>
        <w:t xml:space="preserve">Displacements and seismic coefficients</w:t>
      </w:r>
    </w:p>
    <w:tbl>
      <w:tblPr>
        <w:tblStyle w:val="SRKDataTable"/>
        <w:tblW w:type="pct" w:w="5000"/>
        <w:tblLayout w:type="fixed"/>
        <w:tblLook w:firstRow="1" w:lastRow="0" w:firstColumn="0" w:lastColumn="0" w:noHBand="0" w:noVBand="0" w:val="0020"/>
      </w:tblPr>
      <w:tblGrid>
        <w:gridCol w:w="3960"/>
        <w:gridCol w:w="3960"/>
      </w:tblGrid>
      <w:tr>
        <w:trPr>
          <w:tblHeader w:val="on"/>
        </w:trPr>
        <w:tc>
          <w:tcPr/>
          <w:p>
            <w:pPr>
              <w:pStyle w:val="TableHeading"/>
            </w:pPr>
            <w:r>
              <w:t xml:space="preserve">Symbol</w:t>
            </w:r>
          </w:p>
        </w:tc>
        <w:tc>
          <w:tcPr/>
          <w:p>
            <w:pPr>
              <w:pStyle w:val="TableHeading"/>
            </w:pPr>
            <w:r>
              <w:t xml:space="preserve">Definition</w:t>
            </w:r>
          </w:p>
        </w:tc>
      </w:tr>
      <w:tr>
        <w:tc>
          <w:tcPr/>
          <w:p>
            <w:pPr>
              <w:pStyle w:val="SRKTableText"/>
            </w:pPr>
            <m:oMath>
              <m:sSub>
                <m:e>
                  <m:r>
                    <m:t>D</m:t>
                  </m:r>
                </m:e>
                <m:sub>
                  <m:r>
                    <m:t>n</m:t>
                  </m:r>
                </m:sub>
              </m:sSub>
            </m:oMath>
          </w:p>
        </w:tc>
        <w:tc>
          <w:tcPr/>
          <w:p>
            <w:pPr>
              <w:pStyle w:val="SRKTableText"/>
            </w:pPr>
            <w:r>
              <w:t xml:space="preserve">Newmark permanent displacement (cm).</w:t>
            </w:r>
          </w:p>
        </w:tc>
      </w:tr>
      <w:tr>
        <w:tc>
          <w:tcPr/>
          <w:p>
            <w:pPr>
              <w:pStyle w:val="SRKTableText"/>
            </w:pPr>
            <m:oMath>
              <m:sSub>
                <m:e>
                  <m:r>
                    <m:t>μ</m:t>
                  </m:r>
                </m:e>
                <m:sub>
                  <m:r>
                    <m:rPr>
                      <m:sty m:val="p"/>
                    </m:rPr>
                    <m:t>ln</m:t>
                  </m:r>
                  <m:r>
                    <m:t>D</m:t>
                  </m:r>
                </m:sub>
              </m:sSub>
            </m:oMath>
            <w:r>
              <w:t xml:space="preserve">,</w:t>
            </w:r>
            <w:r>
              <w:t xml:space="preserve"> </w:t>
            </w:r>
            <m:oMath>
              <m:sSub>
                <m:e>
                  <m:r>
                    <m:t>σ</m:t>
                  </m:r>
                </m:e>
                <m:sub>
                  <m:r>
                    <m:rPr>
                      <m:sty m:val="p"/>
                    </m:rPr>
                    <m:t>ln</m:t>
                  </m:r>
                  <m:r>
                    <m:t>D</m:t>
                  </m:r>
                </m:sub>
              </m:sSub>
            </m:oMath>
          </w:p>
        </w:tc>
        <w:tc>
          <w:tcPr/>
          <w:p>
            <w:pPr>
              <w:pStyle w:val="SRKTableText"/>
            </w:pPr>
            <w:r>
              <w:t xml:space="preserve">Mean and standard deviation of</w:t>
            </w:r>
            <w:r>
              <w:t xml:space="preserve"> </w:t>
            </w:r>
            <m:oMath>
              <m:r>
                <m:rPr>
                  <m:sty m:val="p"/>
                </m:rPr>
                <m:t>ln</m:t>
              </m:r>
              <m:sSub>
                <m:e>
                  <m:r>
                    <m:t>D</m:t>
                  </m:r>
                </m:e>
                <m:sub>
                  <m:r>
                    <m:t>n</m:t>
                  </m:r>
                </m:sub>
              </m:sSub>
            </m:oMath>
            <w:r>
              <w:t xml:space="preserve"> </w:t>
            </w:r>
            <w:r>
              <w:t xml:space="preserve">defined by each displacement model.</w:t>
            </w:r>
          </w:p>
        </w:tc>
      </w:tr>
      <w:tr>
        <w:tc>
          <w:tcPr/>
          <w:p>
            <w:pPr>
              <w:pStyle w:val="SRKTableText"/>
            </w:pPr>
            <m:oMath>
              <m:sSub>
                <m:e>
                  <m:r>
                    <m:t>I</m:t>
                  </m:r>
                </m:e>
                <m:sub>
                  <m:r>
                    <m:t>A</m:t>
                  </m:r>
                </m:sub>
              </m:sSub>
            </m:oMath>
          </w:p>
        </w:tc>
        <w:tc>
          <w:tcPr/>
          <w:p>
            <w:pPr>
              <w:pStyle w:val="SRKTableText"/>
            </w:pPr>
            <w:r>
              <w:t xml:space="preserve">Arias intensity, derived from PGA through the relation adopted in the report (m/s).</w:t>
            </w:r>
          </w:p>
        </w:tc>
      </w:tr>
      <w:tr>
        <w:tc>
          <w:tcPr/>
          <w:p>
            <w:pPr>
              <w:pStyle w:val="SRKTableText"/>
            </w:pPr>
            <m:oMath>
              <m:sSub>
                <m:e>
                  <m:r>
                    <m:t>D</m:t>
                  </m:r>
                </m:e>
                <m:sub>
                  <m:r>
                    <m:t>a</m:t>
                  </m:r>
                </m:sub>
              </m:sSub>
            </m:oMath>
          </w:p>
        </w:tc>
        <w:tc>
          <w:tcPr/>
          <w:p>
            <w:pPr>
              <w:pStyle w:val="SRKTableText"/>
            </w:pPr>
            <w:r>
              <w:t xml:space="preserve">Allowable permanent displacement (cm).</w:t>
            </w:r>
          </w:p>
        </w:tc>
      </w:tr>
      <w:tr>
        <w:tc>
          <w:tcPr/>
          <w:p>
            <w:pPr>
              <w:pStyle w:val="SRKTableText"/>
            </w:pPr>
            <m:oMath>
              <m:sSub>
                <m:e>
                  <m:r>
                    <m:t>D</m:t>
                  </m:r>
                </m:e>
                <m:sub>
                  <m:r>
                    <m:t>a</m:t>
                  </m:r>
                </m:sub>
              </m:sSub>
              <m:r>
                <m:rPr>
                  <m:sty m:val="p"/>
                </m:rPr>
                <m:t>/</m:t>
              </m:r>
              <m:r>
                <m:t>H</m:t>
              </m:r>
            </m:oMath>
          </w:p>
        </w:tc>
        <w:tc>
          <w:tcPr/>
          <w:p>
            <w:pPr>
              <w:pStyle w:val="SRKTableText"/>
            </w:pPr>
            <w:r>
              <w:t xml:space="preserve">Relative residual displacement (%).</w:t>
            </w:r>
          </w:p>
        </w:tc>
      </w:tr>
      <w:tr>
        <w:tc>
          <w:tcPr/>
          <w:p>
            <w:pPr>
              <w:pStyle w:val="SRKTableText"/>
            </w:pPr>
            <m:oMath>
              <m:sSub>
                <m:e>
                  <m:r>
                    <m:t>a</m:t>
                  </m:r>
                </m:e>
                <m:sub>
                  <m:r>
                    <m:t>y</m:t>
                  </m:r>
                </m:sub>
              </m:sSub>
            </m:oMath>
            <w:r>
              <w:t xml:space="preserve">,</w:t>
            </w:r>
            <w:r>
              <w:t xml:space="preserve"> </w:t>
            </w:r>
            <m:oMath>
              <m:sSub>
                <m:e>
                  <m:r>
                    <m:t>k</m:t>
                  </m:r>
                </m:e>
                <m:sub>
                  <m:r>
                    <m:t>y</m:t>
                  </m:r>
                </m:sub>
              </m:sSub>
              <m:r>
                <m:rPr>
                  <m:sty m:val="p"/>
                </m:rPr>
                <m:t>=</m:t>
              </m:r>
              <m:sSub>
                <m:e>
                  <m:r>
                    <m:t>a</m:t>
                  </m:r>
                </m:e>
                <m:sub>
                  <m:r>
                    <m:t>y</m:t>
                  </m:r>
                </m:sub>
              </m:sSub>
              <m:r>
                <m:rPr>
                  <m:sty m:val="p"/>
                </m:rPr>
                <m:t>/</m:t>
              </m:r>
              <m:r>
                <m:t>g</m:t>
              </m:r>
            </m:oMath>
          </w:p>
        </w:tc>
        <w:tc>
          <w:tcPr/>
          <w:p>
            <w:pPr>
              <w:pStyle w:val="SRKTableText"/>
            </w:pPr>
            <w:r>
              <w:t xml:space="preserve">Yield acceleration (m/s²) and its dimensionless form.</w:t>
            </w:r>
          </w:p>
        </w:tc>
      </w:tr>
      <w:tr>
        <w:tc>
          <w:tcPr/>
          <w:p>
            <w:pPr>
              <w:pStyle w:val="SRKTableText"/>
            </w:pPr>
            <m:oMath>
              <m:r>
                <m:t>r</m:t>
              </m:r>
            </m:oMath>
            <w:r>
              <w:t xml:space="preserve">,</w:t>
            </w:r>
            <w:r>
              <w:t xml:space="preserve"> </w:t>
            </w:r>
            <m:oMath>
              <m:sSup>
                <m:e>
                  <m:r>
                    <m:t>r</m:t>
                  </m:r>
                </m:e>
                <m:sup>
                  <m:r>
                    <m:rPr>
                      <m:sty m:val="p"/>
                    </m:rPr>
                    <m:t>⋆</m:t>
                  </m:r>
                </m:sup>
              </m:sSup>
            </m:oMath>
          </w:p>
        </w:tc>
        <w:tc>
          <w:tcPr/>
          <w:p>
            <w:pPr>
              <w:pStyle w:val="SRKTableText"/>
            </w:pPr>
            <w:r>
              <w:t xml:space="preserve">Ratio</w:t>
            </w:r>
            <w:r>
              <w:t xml:space="preserve"> </w:t>
            </w:r>
            <m:oMath>
              <m:sSub>
                <m:e>
                  <m:r>
                    <m:t>k</m:t>
                  </m:r>
                </m:e>
                <m:sub>
                  <m:r>
                    <m:t>y</m:t>
                  </m:r>
                </m:sub>
              </m:sSub>
              <m:r>
                <m:rPr>
                  <m:sty m:val="p"/>
                </m:rPr>
                <m:t>/</m:t>
              </m:r>
              <m:r>
                <m:rPr>
                  <m:sty m:val="p"/>
                </m:rPr>
                <m:t>P</m:t>
              </m:r>
              <m:r>
                <m:rPr>
                  <m:sty m:val="p"/>
                </m:rPr>
                <m:t>G</m:t>
              </m:r>
              <m:r>
                <m:rPr>
                  <m:sty m:val="p"/>
                </m:rPr>
                <m:t>A</m:t>
              </m:r>
            </m:oMath>
            <w:r>
              <w:t xml:space="preserve"> </w:t>
            </w:r>
            <w:r>
              <w:t xml:space="preserve">and its capped form</w:t>
            </w:r>
            <w:r>
              <w:t xml:space="preserve"> </w:t>
            </w:r>
            <m:oMath>
              <m:r>
                <m:rPr>
                  <m:sty m:val="p"/>
                </m:rPr>
                <m:t>min</m:t>
              </m:r>
              <m:r>
                <m:rPr>
                  <m:sty m:val="p"/>
                </m:rPr>
                <m:t>(</m:t>
              </m:r>
              <m:sSub>
                <m:e>
                  <m:r>
                    <m:t>k</m:t>
                  </m:r>
                </m:e>
                <m:sub>
                  <m:r>
                    <m:t>y</m:t>
                  </m:r>
                </m:sub>
              </m:sSub>
              <m:r>
                <m:rPr>
                  <m:sty m:val="p"/>
                </m:rPr>
                <m:t>/</m:t>
              </m:r>
              <m:r>
                <m:rPr>
                  <m:sty m:val="p"/>
                </m:rPr>
                <m:t>P</m:t>
              </m:r>
              <m:r>
                <m:rPr>
                  <m:sty m:val="p"/>
                </m:rPr>
                <m:t>G</m:t>
              </m:r>
              <m:r>
                <m:rPr>
                  <m:sty m:val="p"/>
                </m:rPr>
                <m:t>A</m:t>
              </m:r>
              <m:r>
                <m:rPr>
                  <m:sty m:val="p"/>
                </m:rPr>
                <m:t>,</m:t>
              </m:r>
              <m:r>
                <m:t>0.9999</m:t>
              </m:r>
              <m:r>
                <m:rPr>
                  <m:sty m:val="p"/>
                </m:rPr>
                <m:t>)</m:t>
              </m:r>
            </m:oMath>
            <w:r>
              <w:t xml:space="preserve"> </w:t>
            </w:r>
            <w:r>
              <w:t xml:space="preserve">(AM88).</w:t>
            </w:r>
          </w:p>
        </w:tc>
      </w:tr>
      <w:tr>
        <w:tc>
          <w:tcPr/>
          <w:p>
            <w:pPr>
              <w:pStyle w:val="SRKTableText"/>
            </w:pPr>
            <m:oMath>
              <m:sSub>
                <m:e>
                  <m:r>
                    <m:t>k</m:t>
                  </m:r>
                </m:e>
                <m:sub>
                  <m:r>
                    <m:rPr>
                      <m:sty m:val="p"/>
                    </m:rPr>
                    <m:t>max</m:t>
                  </m:r>
                </m:sub>
              </m:sSub>
              <m:r>
                <m:rPr>
                  <m:sty m:val="p"/>
                </m:rPr>
                <m:t>(</m:t>
              </m:r>
              <m:sSub>
                <m:e>
                  <m:r>
                    <m:t>p</m:t>
                  </m:r>
                </m:e>
                <m:sub>
                  <m:r>
                    <m:t>e</m:t>
                  </m:r>
                </m:sub>
              </m:sSub>
              <m:r>
                <m:rPr>
                  <m:sty m:val="p"/>
                </m:rPr>
                <m:t>∣</m:t>
              </m:r>
              <m:sSub>
                <m:e>
                  <m:r>
                    <m:t>D</m:t>
                  </m:r>
                </m:e>
                <m:sub>
                  <m:r>
                    <m:t>a</m:t>
                  </m:r>
                </m:sub>
              </m:sSub>
              <m:r>
                <m:rPr>
                  <m:sty m:val="p"/>
                </m:rPr>
                <m:t>)</m:t>
              </m:r>
            </m:oMath>
          </w:p>
        </w:tc>
        <w:tc>
          <w:tcPr/>
          <w:p>
            <w:pPr>
              <w:pStyle w:val="SRKTableText"/>
            </w:pPr>
            <w:r>
              <w:t xml:space="preserve">Smallest</w:t>
            </w:r>
            <w:r>
              <w:t xml:space="preserve"> </w:t>
            </w:r>
            <m:oMath>
              <m:sSub>
                <m:e>
                  <m:r>
                    <m:t>k</m:t>
                  </m:r>
                </m:e>
                <m:sub>
                  <m:r>
                    <m:t>y</m:t>
                  </m:r>
                </m:sub>
              </m:sSub>
            </m:oMath>
            <w:r>
              <w:t xml:space="preserve"> </w:t>
            </w:r>
            <w:r>
              <w:t xml:space="preserve">whose probability of exceeding</w:t>
            </w:r>
            <w:r>
              <w:t xml:space="preserve"> </w:t>
            </w:r>
            <m:oMath>
              <m:sSub>
                <m:e>
                  <m:r>
                    <m:t>D</m:t>
                  </m:r>
                </m:e>
                <m:sub>
                  <m:r>
                    <m:t>a</m:t>
                  </m:r>
                </m:sub>
              </m:sSub>
            </m:oMath>
            <w:r>
              <w:t xml:space="preserve"> </w:t>
            </w:r>
            <w:r>
              <w:t xml:space="preserve">does not exceed</w:t>
            </w:r>
            <w:r>
              <w:t xml:space="preserve"> </w:t>
            </w:r>
            <m:oMath>
              <m:sSub>
                <m:e>
                  <m:r>
                    <m:t>p</m:t>
                  </m:r>
                </m:e>
                <m:sub>
                  <m:r>
                    <m:t>e</m:t>
                  </m:r>
                </m:sub>
              </m:sSub>
            </m:oMath>
            <w:r>
              <w:t xml:space="preserve"> </w:t>
            </w:r>
            <w:r>
              <w:t xml:space="preserve">(g).</w:t>
            </w:r>
          </w:p>
        </w:tc>
      </w:tr>
      <w:tr>
        <w:tc>
          <w:tcPr/>
          <w:p>
            <w:pPr>
              <w:pStyle w:val="SRKTableText"/>
            </w:pPr>
            <m:oMath>
              <m:sSub>
                <m:e>
                  <m:r>
                    <m:t>p</m:t>
                  </m:r>
                </m:e>
                <m:sub>
                  <m:r>
                    <m:t>e</m:t>
                  </m:r>
                </m:sub>
              </m:sSub>
            </m:oMath>
          </w:p>
        </w:tc>
        <w:tc>
          <w:tcPr/>
          <w:p>
            <w:pPr>
              <w:pStyle w:val="SRKTableText"/>
            </w:pPr>
            <w:r>
              <w:t xml:space="preserve">Target exceedance probability of the coefficient; the associated empirical fractile is</w:t>
            </w:r>
            <w:r>
              <w:t xml:space="preserve"> </w:t>
            </w:r>
            <m:oMath>
              <m:r>
                <m:t>q</m:t>
              </m:r>
              <m:r>
                <m:rPr>
                  <m:sty m:val="p"/>
                </m:rPr>
                <m:t>=</m:t>
              </m:r>
              <m:r>
                <m:t>1</m:t>
              </m:r>
              <m:r>
                <m:rPr>
                  <m:sty m:val="p"/>
                </m:rPr>
                <m:t>−</m:t>
              </m:r>
              <m:sSub>
                <m:e>
                  <m:r>
                    <m:t>p</m:t>
                  </m:r>
                </m:e>
                <m:sub>
                  <m:r>
                    <m:t>e</m:t>
                  </m:r>
                </m:sub>
              </m:sSub>
            </m:oMath>
            <w:r>
              <w:t xml:space="preserve">.</w:t>
            </w:r>
          </w:p>
        </w:tc>
      </w:tr>
      <w:tr>
        <w:tc>
          <w:tcPr/>
          <w:p>
            <w:pPr>
              <w:pStyle w:val="SRKTableText"/>
            </w:pPr>
            <m:oMath>
              <m:sSub>
                <m:e>
                  <m:r>
                    <m:t>k</m:t>
                  </m:r>
                </m:e>
                <m:sub>
                  <m:r>
                    <m:t>h</m:t>
                  </m:r>
                </m:sub>
              </m:sSub>
              <m:r>
                <m:rPr>
                  <m:sty m:val="p"/>
                </m:rPr>
                <m:t>=</m:t>
              </m:r>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p>
        </w:tc>
        <w:tc>
          <w:tcPr/>
          <w:p>
            <w:pPr>
              <w:pStyle w:val="SRKTableText"/>
            </w:pPr>
            <w:r>
              <w:t xml:space="preserve">Seismic coefficient normalized by the site-condition PGA (%).</w:t>
            </w:r>
          </w:p>
        </w:tc>
      </w:tr>
    </w:tbl>
    <w:bookmarkEnd w:id="283"/>
    <w:bookmarkEnd w:id="284"/>
    <w:bookmarkStart w:id="289" w:name="ground-motion-prediction-equations-gmpe"/>
    <w:p>
      <w:pPr>
        <w:pStyle w:val="Heading2"/>
      </w:pPr>
      <w:r>
        <w:t xml:space="preserve">6.2</w:t>
      </w:r>
      <w:r>
        <w:tab/>
      </w:r>
      <w:r>
        <w:t xml:space="preserve">Ground Motion Prediction Equations (GMPE)</w:t>
      </w:r>
    </w:p>
    <w:bookmarkStart w:id="285" w:name="active-shallow-crust-asc"/>
    <w:p>
      <w:pPr>
        <w:pStyle w:val="Heading3"/>
      </w:pPr>
      <w:r>
        <w:t xml:space="preserve">6.2.1</w:t>
      </w:r>
      <w:r>
        <w:tab/>
      </w:r>
      <w:r>
        <w:t xml:space="preserve">Active Shallow Crust (ASC)</w:t>
      </w:r>
    </w:p>
    <w:p>
      <w:pPr>
        <w:pStyle w:val="FirstParagraph"/>
      </w:pPr>
      <w:r>
        <w:t xml:space="preserve">The Active Shallow Crust (ASC) ground-motion logic tree applies to all sources classified as the Active Shallow Crust tectonic region type. The tree comprises eight branches, each assigned equal weight</w:t>
      </w:r>
      <w:r>
        <w:t xml:space="preserve"> </w:t>
      </w:r>
      <m:oMath>
        <m:sSub>
          <m:e>
            <m:r>
              <m:t>w</m:t>
            </m:r>
          </m:e>
          <m:sub>
            <m:r>
              <m:t>k</m:t>
            </m:r>
          </m:sub>
        </m:sSub>
        <m:r>
          <m:rPr>
            <m:sty m:val="p"/>
          </m:rPr>
          <m:t>=</m:t>
        </m:r>
        <m:r>
          <m:t>0.12500</m:t>
        </m:r>
      </m:oMath>
      <w:r>
        <w:t xml:space="preserve">, with the total weight summing to exactly</w:t>
      </w:r>
      <w:r>
        <w:t xml:space="preserve"> </w:t>
      </w:r>
      <m:oMath>
        <m:r>
          <m:t>1.00000</m:t>
        </m:r>
      </m:oMath>
      <w:r>
        <w:t xml:space="preserve">. The uniform weighting reflects the equal epistemic standing afforded to all eight GMPEs; the supporting documentation does not provide explicit per-model selection rationale beyond ASC regime applicability.</w:t>
      </w:r>
    </w:p>
    <w:p>
      <w:pPr>
        <w:pStyle w:val="BodyText"/>
      </w:pPr>
      <w:r>
        <w:t xml:space="preserve">The eight branches are documented below, with their assigned weight and calibration context:</w:t>
      </w:r>
    </w:p>
    <w:p>
      <w:pPr>
        <w:pStyle w:val="ListBullet"/>
      </w:pPr>
      <w:r>
        <w:rPr>
          <w:rStyle w:val="VerbatimChar"/>
          <w:b/>
          <w:bCs/>
        </w:rPr>
        <w:t xml:space="preserve">AristeidouEtAl2024</w:t>
      </w:r>
      <w:r>
        <w:t xml:space="preserve"> </w:t>
      </w:r>
      <w:r>
        <w:t xml:space="preserve">(weight: 0.12500). A GMPE for active shallow crustal earthquakes developed using an artificial neural network regression on strong-motion data</w:t>
      </w:r>
      <w:r>
        <w:t xml:space="preserve"> </w:t>
      </w:r>
      <w:r>
        <w:t xml:space="preserve">(</w:t>
      </w:r>
      <w:hyperlink w:anchor="ref-Aristeidou2024">
        <w:r>
          <w:rPr>
            <w:rStyle w:val="Hyperlink"/>
          </w:rPr>
          <w:t xml:space="preserve">Aristeidou et al., 2024</w:t>
        </w:r>
      </w:hyperlink>
      <w:r>
        <w:t xml:space="preserve">)</w:t>
      </w:r>
      <w:r>
        <w:t xml:space="preserve">. The model is calibrated for the ASC regime with records from events of</w:t>
      </w:r>
      <w:r>
        <w:t xml:space="preserve"> </w:t>
      </w:r>
      <m:oMath>
        <m:sSub>
          <m:e>
            <m:r>
              <m:t>M</m:t>
            </m:r>
          </m:e>
          <m:sub>
            <m:r>
              <m:t>w</m:t>
            </m:r>
          </m:sub>
        </m:sSub>
        <m:r>
          <m:rPr>
            <m:sty m:val="p"/>
          </m:rPr>
          <m:t>≥</m:t>
        </m:r>
        <m:r>
          <m:t>4.5</m:t>
        </m:r>
      </m:oMath>
      <w:r>
        <w:t xml:space="preserve">.</w:t>
      </w:r>
    </w:p>
    <w:p>
      <w:pPr>
        <w:pStyle w:val="ListBullet"/>
      </w:pPr>
      <w:r>
        <w:rPr>
          <w:rStyle w:val="VerbatimChar"/>
          <w:b/>
          <w:bCs/>
        </w:rPr>
        <w:t xml:space="preserve">Atkinson2022Crust</w:t>
      </w:r>
      <w:r>
        <w:t xml:space="preserve"> </w:t>
      </w:r>
      <w:r>
        <w:t xml:space="preserve">(weight: 0.12500). A backbone crustal GMPE developed by Atkinson (2022) for the 2022 Aotearoa New Zealand National Seismic Hazard Model (NZ22), applying an equivalent point-source framework calibrated against New Zealand strong-motion observations spanning approximately</w:t>
      </w:r>
      <w:r>
        <w:t xml:space="preserve"> </w:t>
      </w:r>
      <m:oMath>
        <m:sSub>
          <m:e>
            <m:r>
              <m:t>M</m:t>
            </m:r>
          </m:e>
          <m:sub>
            <m:r>
              <m:t>w</m:t>
            </m:r>
          </m:sub>
        </m:sSub>
      </m:oMath>
      <w:r>
        <w:t xml:space="preserve"> </w:t>
      </w:r>
      <w:r>
        <w:t xml:space="preserve">4.0 to 8.0 at rupture distances up to approximately 400 km</w:t>
      </w:r>
      <w:r>
        <w:t xml:space="preserve"> </w:t>
      </w:r>
      <w:r>
        <w:t xml:space="preserve">(</w:t>
      </w:r>
      <w:hyperlink w:anchor="ref-Atkinson2022NZ">
        <w:r>
          <w:rPr>
            <w:rStyle w:val="Hyperlink"/>
          </w:rPr>
          <w:t xml:space="preserve">Atkinson, 2022</w:t>
        </w:r>
      </w:hyperlink>
      <w:r>
        <w:t xml:space="preserve">;</w:t>
      </w:r>
      <w:r>
        <w:t xml:space="preserve"> </w:t>
      </w:r>
      <w:hyperlink w:anchor="ref-Bradley2022NZ">
        <w:r>
          <w:rPr>
            <w:rStyle w:val="Hyperlink"/>
          </w:rPr>
          <w:t xml:space="preserve">Bradley et al.</w:t>
        </w:r>
        <w:r>
          <w:rPr>
            <w:rStyle w:val="Hyperlink"/>
          </w:rPr>
          <w:t xml:space="preserve">, 2022</w:t>
        </w:r>
      </w:hyperlink>
      <w:r>
        <w:t xml:space="preserve">)</w:t>
      </w:r>
      <w:r>
        <w:t xml:space="preserve">. The model is calibrated specifically for the New Zealand crustal (ASC) setting.</w:t>
      </w:r>
    </w:p>
    <w:p>
      <w:pPr>
        <w:pStyle w:val="ListBullet"/>
      </w:pPr>
      <w:r>
        <w:rPr>
          <w:rStyle w:val="VerbatimChar"/>
          <w:b/>
          <w:bCs/>
        </w:rPr>
        <w:t xml:space="preserve">BooreEtAl2020</w:t>
      </w:r>
      <w:r>
        <w:t xml:space="preserve"> </w:t>
      </w:r>
      <w:r>
        <w:t xml:space="preserve">(weight: 0.12500). The GMPE by Boore</w:t>
      </w:r>
      <w:r>
        <w:t xml:space="preserve"> </w:t>
      </w:r>
      <w:r>
        <w:rPr>
          <w:i/>
          <w:iCs/>
        </w:rPr>
        <w:t xml:space="preserve">et al.</w:t>
      </w:r>
      <w:r>
        <w:t xml:space="preserve"> </w:t>
      </w:r>
      <w:r>
        <w:t xml:space="preserve">(</w:t>
      </w:r>
      <w:hyperlink w:anchor="ref-Boore2021Greece">
        <w:r>
          <w:rPr>
            <w:rStyle w:val="Hyperlink"/>
          </w:rPr>
          <w:t xml:space="preserve">2021</w:t>
        </w:r>
      </w:hyperlink>
      <w:r>
        <w:t xml:space="preserve">)</w:t>
      </w:r>
      <w:r>
        <w:t xml:space="preserve"> </w:t>
      </w:r>
      <w:r>
        <w:t xml:space="preserve">for active shallow crustal earthquakes in Greece, published in the Bulletin of the Seismological Society of America, which adapts a global NGA-West2-family model to the faster attenuation and weaker magnitude scaling observed in Greek strong motions.</w:t>
      </w:r>
    </w:p>
    <w:p>
      <w:pPr>
        <w:pStyle w:val="ListBullet"/>
      </w:pPr>
      <w:r>
        <w:rPr>
          <w:rStyle w:val="VerbatimChar"/>
          <w:b/>
          <w:bCs/>
        </w:rPr>
        <w:t xml:space="preserve">CampbellBozorgnia2019</w:t>
      </w:r>
      <w:r>
        <w:t xml:space="preserve"> </w:t>
      </w:r>
      <w:r>
        <w:t xml:space="preserve">(weight: 0.12500). The Campbell-Bozorgnia NGA-West2 model, implemented in OpenQuake via the</w:t>
      </w:r>
      <w:r>
        <w:t xml:space="preserve"> </w:t>
      </w:r>
      <w:r>
        <w:rPr>
          <w:rStyle w:val="VerbatimChar"/>
        </w:rPr>
        <w:t xml:space="preserve">campbell_bozorgnia_2014.py</w:t>
      </w:r>
      <w:r>
        <w:t xml:space="preserve"> </w:t>
      </w:r>
      <w:r>
        <w:t xml:space="preserve">module and representing a 2019 update to the 2014 NGA-West2 CB model</w:t>
      </w:r>
      <w:r>
        <w:t xml:space="preserve"> </w:t>
      </w:r>
      <w:r>
        <w:t xml:space="preserve">(</w:t>
      </w:r>
      <w:hyperlink w:anchor="ref-CampbellBozorgnia2014">
        <w:r>
          <w:rPr>
            <w:rStyle w:val="Hyperlink"/>
          </w:rPr>
          <w:t xml:space="preserve">Campbell &amp; Bozorgnia, 2014</w:t>
        </w:r>
      </w:hyperlink>
      <w:r>
        <w:t xml:space="preserve">)</w:t>
      </w:r>
      <w:r>
        <w:t xml:space="preserve">. The model is calibrated for active shallow crustal earthquakes using the NGA-West2 database, covering approximately</w:t>
      </w:r>
      <w:r>
        <w:t xml:space="preserve"> </w:t>
      </w:r>
      <m:oMath>
        <m:sSub>
          <m:e>
            <m:r>
              <m:t>M</m:t>
            </m:r>
          </m:e>
          <m:sub>
            <m:r>
              <m:t>w</m:t>
            </m:r>
          </m:sub>
        </m:sSub>
      </m:oMath>
      <w:r>
        <w:t xml:space="preserve"> </w:t>
      </w:r>
      <w:r>
        <w:t xml:space="preserve">3.3 to 8.5 at distances up to 300 km.</w:t>
      </w:r>
    </w:p>
    <w:p>
      <w:pPr>
        <w:pStyle w:val="ListBullet"/>
      </w:pPr>
      <w:r>
        <w:rPr>
          <w:rStyle w:val="VerbatimChar"/>
          <w:b/>
          <w:bCs/>
        </w:rPr>
        <w:t xml:space="preserve">ChaoEtAl2020Asc</w:t>
      </w:r>
      <w:r>
        <w:t xml:space="preserve"> </w:t>
      </w:r>
      <w:r>
        <w:t xml:space="preserve">(weight: 0.12500). The active shallow crustal variant of a horizontal ground-motion model for Taiwan developed by Chao et al. (2020)</w:t>
      </w:r>
      <w:r>
        <w:t xml:space="preserve"> </w:t>
      </w:r>
      <w:r>
        <w:t xml:space="preserve">(</w:t>
      </w:r>
      <w:hyperlink w:anchor="ref-Chao2020">
        <w:r>
          <w:rPr>
            <w:rStyle w:val="Hyperlink"/>
          </w:rPr>
          <w:t xml:space="preserve">Chao et al., 2020</w:t>
        </w:r>
      </w:hyperlink>
      <w:r>
        <w:t xml:space="preserve">)</w:t>
      </w:r>
      <w:r>
        <w:t xml:space="preserve">, calibrated from a Taiwan strong-motion flat-file of more than 40,000 recordings spanning 1992 to 2016 using a two-step maximum-likelihood regression procedure. The model is calibrated for the Taiwan crustal regime.</w:t>
      </w:r>
    </w:p>
    <w:p>
      <w:pPr>
        <w:pStyle w:val="ListBullet"/>
      </w:pPr>
      <w:r>
        <w:rPr>
          <w:rStyle w:val="VerbatimChar"/>
          <w:b/>
          <w:bCs/>
        </w:rPr>
        <w:t xml:space="preserve">KothaEtAl2020</w:t>
      </w:r>
      <w:r>
        <w:t xml:space="preserve"> </w:t>
      </w:r>
      <w:r>
        <w:t xml:space="preserve">(weight: 0.12500). The backbone GMPE by Kotha et al. (2020) for active shallow crustal earthquakes in Europe, published in the Bulletin of Earthquake Engineering</w:t>
      </w:r>
      <w:r>
        <w:t xml:space="preserve"> </w:t>
      </w:r>
      <w:r>
        <w:t xml:space="preserve">(</w:t>
      </w:r>
      <w:hyperlink w:anchor="ref-Kotha2020">
        <w:r>
          <w:rPr>
            <w:rStyle w:val="Hyperlink"/>
          </w:rPr>
          <w:t xml:space="preserve">Kotha et al., 2020</w:t>
        </w:r>
      </w:hyperlink>
      <w:r>
        <w:t xml:space="preserve">)</w:t>
      </w:r>
      <w:r>
        <w:t xml:space="preserve">, serving as the ASC component of the 2020 European Seismic Hazard Model (ESHM20). The model was calibrated from the Engineering Strong Motion (ESM) dataset comprising 23,014 recordings from 2,179 earthquakes predominantly in Italy, Turkey, and Greece, spanning</w:t>
      </w:r>
      <w:r>
        <w:t xml:space="preserve"> </w:t>
      </w:r>
      <m:oMath>
        <m:sSub>
          <m:e>
            <m:r>
              <m:t>M</m:t>
            </m:r>
          </m:e>
          <m:sub>
            <m:r>
              <m:t>w</m:t>
            </m:r>
          </m:sub>
        </m:sSub>
      </m:oMath>
      <w:r>
        <w:t xml:space="preserve"> </w:t>
      </w:r>
      <w:r>
        <w:t xml:space="preserve">3.0 to 7.4 and Joyner-Boore distances from 0 to approximately 300 km. A hinge magnitude</w:t>
      </w:r>
      <w:r>
        <w:t xml:space="preserve"> </w:t>
      </w:r>
      <m:oMath>
        <m:sSub>
          <m:e>
            <m:r>
              <m:t>M</m:t>
            </m:r>
          </m:e>
          <m:sub>
            <m:r>
              <m:t>h</m:t>
            </m:r>
          </m:sub>
        </m:sSub>
        <m:r>
          <m:rPr>
            <m:sty m:val="p"/>
          </m:rPr>
          <m:t>=</m:t>
        </m:r>
        <m:r>
          <m:t>6.2</m:t>
        </m:r>
      </m:oMath>
      <w:r>
        <w:t xml:space="preserve"> </w:t>
      </w:r>
      <w:r>
        <w:t xml:space="preserve">separates quadratic from linear magnitude scaling.</w:t>
      </w:r>
    </w:p>
    <w:p>
      <w:pPr>
        <w:pStyle w:val="ListBullet"/>
      </w:pPr>
      <w:r>
        <w:rPr>
          <w:rStyle w:val="VerbatimChar"/>
          <w:b/>
          <w:bCs/>
        </w:rPr>
        <w:t xml:space="preserve">PhungEtAl2020Asc</w:t>
      </w:r>
      <w:r>
        <w:t xml:space="preserve"> </w:t>
      </w:r>
      <w:r>
        <w:t xml:space="preserve">(weight: 0.12500). The active shallow crustal variant of a GMPE by Phung et al. (2020)</w:t>
      </w:r>
      <w:r>
        <w:t xml:space="preserve"> </w:t>
      </w:r>
      <w:r>
        <w:t xml:space="preserve">(</w:t>
      </w:r>
      <w:hyperlink w:anchor="ref-Phung2020">
        <w:r>
          <w:rPr>
            <w:rStyle w:val="Hyperlink"/>
          </w:rPr>
          <w:t xml:space="preserve">Phung et al., 2020</w:t>
        </w:r>
      </w:hyperlink>
      <w:r>
        <w:t xml:space="preserve">)</w:t>
      </w:r>
      <w:r>
        <w:t xml:space="preserve">, calibrated from the Taiwan strong-motion database using 13,415 ground-motion records from 187 crustal events. The model adopts a functional form based on Chiou and Youngs (2014) with Taiwan-specific recalibration and spans approximately</w:t>
      </w:r>
      <w:r>
        <w:t xml:space="preserve"> </w:t>
      </w:r>
      <m:oMath>
        <m:sSub>
          <m:e>
            <m:r>
              <m:t>M</m:t>
            </m:r>
          </m:e>
          <m:sub>
            <m:r>
              <m:t>w</m:t>
            </m:r>
          </m:sub>
        </m:sSub>
      </m:oMath>
      <w:r>
        <w:t xml:space="preserve"> </w:t>
      </w:r>
      <w:r>
        <w:t xml:space="preserve">3.5 to 8.0.</w:t>
      </w:r>
    </w:p>
    <w:p>
      <w:pPr>
        <w:pStyle w:val="ListBullet"/>
      </w:pPr>
      <w:r>
        <w:rPr>
          <w:rStyle w:val="VerbatimChar"/>
          <w:b/>
          <w:bCs/>
        </w:rPr>
        <w:t xml:space="preserve">Stafford2022</w:t>
      </w:r>
      <w:r>
        <w:t xml:space="preserve"> </w:t>
      </w:r>
      <w:r>
        <w:t xml:space="preserve">(weight: 0.12500). A backbone crustal GMPE developed by Stafford (2022) for the 2022 New Zealand National Seismic Hazard Model as part of the NZ22 model set</w:t>
      </w:r>
      <w:r>
        <w:t xml:space="preserve"> </w:t>
      </w:r>
      <w:r>
        <w:t xml:space="preserve">(</w:t>
      </w:r>
      <w:hyperlink w:anchor="ref-Bradley2022NZ">
        <w:r>
          <w:rPr>
            <w:rStyle w:val="Hyperlink"/>
          </w:rPr>
          <w:t xml:space="preserve">Bradley et al.</w:t>
        </w:r>
        <w:r>
          <w:rPr>
            <w:rStyle w:val="Hyperlink"/>
          </w:rPr>
          <w:t xml:space="preserve">, 2022</w:t>
        </w:r>
      </w:hyperlink>
      <w:r>
        <w:t xml:space="preserve">)</w:t>
      </w:r>
      <w:r>
        <w:t xml:space="preserve">, derived through adjustments to the Chiou and Youngs (2014) response spectral model. The model is calibrated for the New Zealand ASC setting, spanning</w:t>
      </w:r>
      <w:r>
        <w:t xml:space="preserve"> </w:t>
      </w:r>
      <m:oMath>
        <m:sSub>
          <m:e>
            <m:r>
              <m:t>M</m:t>
            </m:r>
          </m:e>
          <m:sub>
            <m:r>
              <m:t>w</m:t>
            </m:r>
          </m:sub>
        </m:sSub>
      </m:oMath>
      <w:r>
        <w:t xml:space="preserve"> </w:t>
      </w:r>
      <w:r>
        <w:t xml:space="preserve">4.5 to 8.4 at rupture distances from 0 to approximately 300 km.</w:t>
      </w:r>
    </w:p>
    <w:bookmarkEnd w:id="285"/>
    <w:bookmarkStart w:id="286" w:name="stable-continental-crust-scc"/>
    <w:p>
      <w:pPr>
        <w:pStyle w:val="Heading3"/>
      </w:pPr>
      <w:r>
        <w:t xml:space="preserve">6.2.2</w:t>
      </w:r>
      <w:r>
        <w:tab/>
      </w:r>
      <w:r>
        <w:t xml:space="preserve">Stable Continental Crust (SCC)</w:t>
      </w:r>
    </w:p>
    <w:p>
      <w:pPr>
        <w:pStyle w:val="FirstParagraph"/>
      </w:pPr>
      <w:r>
        <w:t xml:space="preserve">The Stable Continental Crust (SCC) ground-motion logic tree applies to all sources classified as the Stable Continental Crust tectonic region type. The tree comprises six branches with a quasi-uniform weighting scheme: five branches each carry a weight of</w:t>
      </w:r>
      <w:r>
        <w:t xml:space="preserve"> </w:t>
      </w:r>
      <m:oMath>
        <m:r>
          <m:t>0.16667</m:t>
        </m:r>
      </m:oMath>
      <w:r>
        <w:t xml:space="preserve"> </w:t>
      </w:r>
      <w:r>
        <w:t xml:space="preserve">and the sixth (</w:t>
      </w:r>
      <w:r>
        <w:rPr>
          <w:rStyle w:val="VerbatimChar"/>
        </w:rPr>
        <w:t xml:space="preserve">CollapsedNGAEastUSGS</w:t>
      </w:r>
      <w:r>
        <w:t xml:space="preserve">) carries the complementary residual weight of</w:t>
      </w:r>
      <w:r>
        <w:t xml:space="preserve"> </w:t>
      </w:r>
      <m:oMath>
        <m:r>
          <m:t>0.16665</m:t>
        </m:r>
      </m:oMath>
      <w:r>
        <w:t xml:space="preserve">, ensuring the total sums to exactly</w:t>
      </w:r>
      <w:r>
        <w:t xml:space="preserve"> </w:t>
      </w:r>
      <m:oMath>
        <m:r>
          <m:t>1.00000</m:t>
        </m:r>
      </m:oMath>
      <w:r>
        <w:t xml:space="preserve">. The SCC tree does not achieve exact uniform weighting, owing to the rounding required by the six-branch structure. The SCC tree contains fewer branches than the ASC, SIF, and SIS trees, reflecting the more limited number of GMPEs calibrated directly for stable continental regions.</w:t>
      </w:r>
    </w:p>
    <w:p>
      <w:pPr>
        <w:pStyle w:val="BodyText"/>
      </w:pPr>
      <w:r>
        <w:t xml:space="preserve">The six branches are documented below, with their assigned weight and calibration context:</w:t>
      </w:r>
    </w:p>
    <w:p>
      <w:pPr>
        <w:pStyle w:val="ListBullet"/>
      </w:pPr>
      <w:r>
        <w:rPr>
          <w:rStyle w:val="VerbatimChar"/>
          <w:b/>
          <w:bCs/>
        </w:rPr>
        <w:t xml:space="preserve">Atkinson2008prime</w:t>
      </w:r>
      <w:r>
        <w:t xml:space="preserve"> </w:t>
      </w:r>
      <w:r>
        <w:t xml:space="preserve">(weight: 0.16667). This is OpenQuake’s implementation of the Atkinson referenced empirical relation for Eastern North America with the adjustment published by Atkinson and Boore</w:t>
      </w:r>
      <w:r>
        <w:t xml:space="preserve"> </w:t>
      </w:r>
      <w:r>
        <w:t xml:space="preserve">(</w:t>
      </w:r>
      <w:hyperlink w:anchor="ref-AtkinsonBoore2011">
        <w:r>
          <w:rPr>
            <w:rStyle w:val="Hyperlink"/>
          </w:rPr>
          <w:t xml:space="preserve">2011</w:t>
        </w:r>
      </w:hyperlink>
      <w:r>
        <w:t xml:space="preserve">)</w:t>
      </w:r>
      <w:r>
        <w:t xml:space="preserve">. The model applies to the stable continental regime.</w:t>
      </w:r>
    </w:p>
    <w:p>
      <w:pPr>
        <w:pStyle w:val="ListBullet"/>
      </w:pPr>
      <w:r>
        <w:rPr>
          <w:rStyle w:val="VerbatimChar"/>
          <w:b/>
          <w:bCs/>
        </w:rPr>
        <w:t xml:space="preserve">AtkinsonBoore2006Modified2011</w:t>
      </w:r>
      <w:r>
        <w:t xml:space="preserve"> </w:t>
      </w:r>
      <w:r>
        <w:t xml:space="preserve">(weight: 0.16667). The Atkinson and Boore (2006) stochastic-based GMPE for Eastern North America</w:t>
      </w:r>
      <w:r>
        <w:t xml:space="preserve"> </w:t>
      </w:r>
      <w:r>
        <w:t xml:space="preserve">(</w:t>
      </w:r>
      <w:hyperlink w:anchor="ref-AtkinsonBoore2006">
        <w:r>
          <w:rPr>
            <w:rStyle w:val="Hyperlink"/>
          </w:rPr>
          <w:t xml:space="preserve">Atkinson &amp; Boore, 2006</w:t>
        </w:r>
      </w:hyperlink>
      <w:r>
        <w:t xml:space="preserve">)</w:t>
      </w:r>
      <w:r>
        <w:t xml:space="preserve">, subsequently modified in 2011 to incorporate magnitude-dependent stress-drop scaling that improved agreement with newer observational data. The model is calibrated for the stable continental ENA regime.</w:t>
      </w:r>
    </w:p>
    <w:p>
      <w:pPr>
        <w:pStyle w:val="ListBullet"/>
      </w:pPr>
      <w:r>
        <w:rPr>
          <w:rStyle w:val="VerbatimChar"/>
          <w:b/>
          <w:bCs/>
        </w:rPr>
        <w:t xml:space="preserve">PezeshkEtAl2011</w:t>
      </w:r>
      <w:r>
        <w:t xml:space="preserve"> </w:t>
      </w:r>
      <w:r>
        <w:t xml:space="preserve">(weight: 0.16667). A hybrid empirical GMPE for Central and Eastern North America (CENA) by Pezeshk, Zandieh, and Tavakoli (2011), published in the Bulletin of the Seismological Society of America</w:t>
      </w:r>
      <w:r>
        <w:t xml:space="preserve"> </w:t>
      </w:r>
      <w:r>
        <w:t xml:space="preserve">(</w:t>
      </w:r>
      <w:hyperlink w:anchor="ref-Pezeshk2011">
        <w:r>
          <w:rPr>
            <w:rStyle w:val="Hyperlink"/>
          </w:rPr>
          <w:t xml:space="preserve">Pezeshk et al., 2011</w:t>
        </w:r>
      </w:hyperlink>
      <w:r>
        <w:t xml:space="preserve">)</w:t>
      </w:r>
      <w:r>
        <w:t xml:space="preserve">. The model combines NGA-West1 model predictions with stochastic ground-motion simulations adjusted to ENA source and attenuation parameters, spanning</w:t>
      </w:r>
      <w:r>
        <w:t xml:space="preserve"> </w:t>
      </w:r>
      <m:oMath>
        <m:sSub>
          <m:e>
            <m:r>
              <m:t>M</m:t>
            </m:r>
          </m:e>
          <m:sub>
            <m:r>
              <m:t>w</m:t>
            </m:r>
          </m:sub>
        </m:sSub>
      </m:oMath>
      <w:r>
        <w:t xml:space="preserve"> </w:t>
      </w:r>
      <w:r>
        <w:t xml:space="preserve">4.0 to 8.0 at rupture distances up to approximately 1,000 km, reflecting the long-range attenuation characteristics of stable continental crust.</w:t>
      </w:r>
    </w:p>
    <w:p>
      <w:pPr>
        <w:pStyle w:val="ListBullet"/>
      </w:pPr>
      <w:r>
        <w:rPr>
          <w:rStyle w:val="VerbatimChar"/>
          <w:b/>
          <w:bCs/>
        </w:rPr>
        <w:t xml:space="preserve">ESHM20Craton</w:t>
      </w:r>
      <w:r>
        <w:t xml:space="preserve"> </w:t>
      </w:r>
      <w:r>
        <w:t xml:space="preserve">(weight: 0.16667). The craton-specific GMPE developed by Weatherill and Cotton (2020) for the 2020 European Seismic Hazard Model (ESHM20), published in the Bulletin of Earthquake Engineering</w:t>
      </w:r>
      <w:r>
        <w:t xml:space="preserve"> </w:t>
      </w:r>
      <w:r>
        <w:t xml:space="preserve">(</w:t>
      </w:r>
      <w:hyperlink w:anchor="ref-WeatherillCotton2020">
        <w:r>
          <w:rPr>
            <w:rStyle w:val="Hyperlink"/>
          </w:rPr>
          <w:t xml:space="preserve">Weatherill &amp; Cotton, 2020</w:t>
        </w:r>
      </w:hyperlink>
      <w:r>
        <w:t xml:space="preserve">)</w:t>
      </w:r>
      <w:r>
        <w:t xml:space="preserve">. The model is constructed through a scaled backbone approach adapting Eastern North American GMPEs to characterize epistemic uncertainty in European craton ground motion, designed for stable cratonic environments such as the East European Craton.</w:t>
      </w:r>
    </w:p>
    <w:p>
      <w:pPr>
        <w:pStyle w:val="ListBullet"/>
      </w:pPr>
      <w:r>
        <w:rPr>
          <w:rStyle w:val="VerbatimChar"/>
          <w:b/>
          <w:bCs/>
        </w:rPr>
        <w:t xml:space="preserve">SomervilleEtAl2009YilgarnCraton_SS14</w:t>
      </w:r>
      <w:r>
        <w:t xml:space="preserve"> </w:t>
      </w:r>
      <w:r>
        <w:t xml:space="preserve">(weight: 0.16667). A ground-motion model by Somerville et al. (2009) for rock sites in the Australian Yilgarn Craton, derived from stochastic simulations constrained by regional seismological parameters</w:t>
      </w:r>
      <w:r>
        <w:t xml:space="preserve"> </w:t>
      </w:r>
      <w:r>
        <w:t xml:space="preserve">(</w:t>
      </w:r>
      <w:hyperlink w:anchor="ref-Somerville2009">
        <w:r>
          <w:rPr>
            <w:rStyle w:val="Hyperlink"/>
          </w:rPr>
          <w:t xml:space="preserve">Somerville et al., 2009</w:t>
        </w:r>
      </w:hyperlink>
      <w:r>
        <w:t xml:space="preserve">)</w:t>
      </w:r>
      <w:r>
        <w:t xml:space="preserve">. The model covers source magnitudes in the range</w:t>
      </w:r>
      <w:r>
        <w:t xml:space="preserve"> </w:t>
      </w:r>
      <m:oMath>
        <m:sSub>
          <m:e>
            <m:r>
              <m:t>M</m:t>
            </m:r>
          </m:e>
          <m:sub>
            <m:r>
              <m:t>w</m:t>
            </m:r>
          </m:sub>
        </m:sSub>
      </m:oMath>
      <w:r>
        <w:t xml:space="preserve"> </w:t>
      </w:r>
      <w:r>
        <w:t xml:space="preserve">5.0 to 7.5 and captures enhanced long-period ground motion associated with surface waves in this stable cratonic environment. The</w:t>
      </w:r>
      <w:r>
        <w:t xml:space="preserve"> </w:t>
      </w:r>
      <w:r>
        <w:rPr>
          <w:rStyle w:val="VerbatimChar"/>
        </w:rPr>
        <w:t xml:space="preserve">SS14</w:t>
      </w:r>
      <w:r>
        <w:t xml:space="preserve"> </w:t>
      </w:r>
      <w:r>
        <w:t xml:space="preserve">designation indicates that the standard deviation model has been updated using the Seyhan and Stewart (2014) formulation.</w:t>
      </w:r>
    </w:p>
    <w:p>
      <w:pPr>
        <w:pStyle w:val="ListBullet"/>
      </w:pPr>
      <w:r>
        <w:rPr>
          <w:rStyle w:val="VerbatimChar"/>
          <w:b/>
          <w:bCs/>
        </w:rPr>
        <w:t xml:space="preserve">CollapsedNGAEastUSGS</w:t>
      </w:r>
      <w:r>
        <w:t xml:space="preserve"> </w:t>
      </w:r>
      <w:r>
        <w:t xml:space="preserve">(weight: 0.16665). A custom GSIM registered via the project’s</w:t>
      </w:r>
      <w:r>
        <w:t xml:space="preserve"> </w:t>
      </w:r>
      <w:r>
        <w:rPr>
          <w:rStyle w:val="VerbatimChar"/>
        </w:rPr>
        <w:t xml:space="preserve">gmm.gmpe</w:t>
      </w:r>
      <w:r>
        <w:t xml:space="preserve"> </w:t>
      </w:r>
      <w:r>
        <w:t xml:space="preserve">extension module, extending the OpenQuake</w:t>
      </w:r>
      <w:r>
        <w:t xml:space="preserve"> </w:t>
      </w:r>
      <w:r>
        <w:rPr>
          <w:rStyle w:val="VerbatimChar"/>
        </w:rPr>
        <w:t xml:space="preserve">NGAEastUSGSGMPE</w:t>
      </w:r>
      <w:r>
        <w:t xml:space="preserve"> </w:t>
      </w:r>
      <w:r>
        <w:t xml:space="preserve">base class</w:t>
      </w:r>
      <w:r>
        <w:t xml:space="preserve"> </w:t>
      </w:r>
      <w:r>
        <w:t xml:space="preserve">(</w:t>
      </w:r>
      <w:hyperlink w:anchor="ref-Goulet2017">
        <w:r>
          <w:rPr>
            <w:rStyle w:val="Hyperlink"/>
          </w:rPr>
          <w:t xml:space="preserve">Goulet et al.</w:t>
        </w:r>
        <w:r>
          <w:rPr>
            <w:rStyle w:val="Hyperlink"/>
          </w:rPr>
          <w:t xml:space="preserve">, 2017</w:t>
        </w:r>
      </w:hyperlink>
      <w:r>
        <w:t xml:space="preserve">)</w:t>
      </w:r>
      <w:r>
        <w:t xml:space="preserve">. This implementation collapses the ensemble of NGA-East USGS ground-motion models into a single GSIM by pre-computing model predictions into a runtime HDF5 lookup table (</w:t>
      </w:r>
      <w:r>
        <w:rPr>
          <w:rStyle w:val="VerbatimChar"/>
        </w:rPr>
        <w:t xml:space="preserve">NGAEastUSGS_collapsed.hdf5</w:t>
      </w:r>
      <w:r>
        <w:t xml:space="preserve">) and inflating the total standard deviation with a stored between-model epistemic term, thereby preserving the spread of the original multi-model suite within a single logic tree branch. The underlying NGA-East USGS models were developed for Central and Eastern North America (CENA) through a SSHAC Level 3 process, covering</w:t>
      </w:r>
      <w:r>
        <w:t xml:space="preserve"> </w:t>
      </w:r>
      <m:oMath>
        <m:sSub>
          <m:e>
            <m:r>
              <m:t>M</m:t>
            </m:r>
          </m:e>
          <m:sub>
            <m:r>
              <m:t>w</m:t>
            </m:r>
          </m:sub>
        </m:sSub>
      </m:oMath>
      <w:r>
        <w:t xml:space="preserve"> </w:t>
      </w:r>
      <w:r>
        <w:t xml:space="preserve">4.0 to 8.2 at distances up to approximately 1,500 km. The collapsed implementation requires only</w:t>
      </w:r>
      <w:r>
        <w:t xml:space="preserve"> </w:t>
      </w:r>
      <m:oMath>
        <m:sSub>
          <m:e>
            <m:r>
              <m:t>V</m:t>
            </m:r>
          </m:e>
          <m:sub>
            <m:r>
              <m:t>S</m:t>
            </m:r>
            <m:r>
              <m:t>30</m:t>
            </m:r>
          </m:sub>
        </m:sSub>
      </m:oMath>
      <w:r>
        <w:t xml:space="preserve"> </w:t>
      </w:r>
      <w:r>
        <w:t xml:space="preserve">and moment magnitude; distance enters the model internally through the precomputed lookup table.</w:t>
      </w:r>
    </w:p>
    <w:bookmarkEnd w:id="286"/>
    <w:bookmarkStart w:id="287" w:name="subduction-interface-sif"/>
    <w:p>
      <w:pPr>
        <w:pStyle w:val="Heading3"/>
      </w:pPr>
      <w:r>
        <w:t xml:space="preserve">6.2.3</w:t>
      </w:r>
      <w:r>
        <w:tab/>
      </w:r>
      <w:r>
        <w:t xml:space="preserve">Subduction Interface (SIF)</w:t>
      </w:r>
    </w:p>
    <w:p>
      <w:pPr>
        <w:pStyle w:val="FirstParagraph"/>
      </w:pPr>
      <w:r>
        <w:t xml:space="preserve">The Subduction Interface (SIF) ground-motion logic tree applies to all sources classified as the Subduction Interface tectonic region type. The tree comprises ten branches, each assigned equal weight</w:t>
      </w:r>
      <w:r>
        <w:t xml:space="preserve"> </w:t>
      </w:r>
      <m:oMath>
        <m:sSub>
          <m:e>
            <m:r>
              <m:t>w</m:t>
            </m:r>
          </m:e>
          <m:sub>
            <m:r>
              <m:t>k</m:t>
            </m:r>
          </m:sub>
        </m:sSub>
        <m:r>
          <m:rPr>
            <m:sty m:val="p"/>
          </m:rPr>
          <m:t>=</m:t>
        </m:r>
        <m:r>
          <m:t>0.10000</m:t>
        </m:r>
      </m:oMath>
      <w:r>
        <w:t xml:space="preserve">, with the total weight summing to exactly</w:t>
      </w:r>
      <w:r>
        <w:t xml:space="preserve"> </w:t>
      </w:r>
      <m:oMath>
        <m:r>
          <m:t>1.00000</m:t>
        </m:r>
      </m:oMath>
      <w:r>
        <w:t xml:space="preserve">. All ten models are calibrated for subduction interface conditions.</w:t>
      </w:r>
    </w:p>
    <w:p>
      <w:pPr>
        <w:pStyle w:val="BodyText"/>
      </w:pPr>
      <w:r>
        <w:t xml:space="preserve">The ten branches are documented below, with their assigned weight and calibration context:</w:t>
      </w:r>
    </w:p>
    <w:p>
      <w:pPr>
        <w:pStyle w:val="ListBullet"/>
      </w:pPr>
      <w:r>
        <w:rPr>
          <w:rStyle w:val="VerbatimChar"/>
          <w:b/>
          <w:bCs/>
        </w:rPr>
        <w:t xml:space="preserve">AbrahamsonEtAl2018SInter</w:t>
      </w:r>
      <w:r>
        <w:t xml:space="preserve"> </w:t>
      </w:r>
      <w:r>
        <w:t xml:space="preserve">(weight: 0.10000). An update to the BC Hydro subduction interface GMPE by Abrahamson, Gregor, and Addo, published as PEER Report 2018/02</w:t>
      </w:r>
      <w:r>
        <w:t xml:space="preserve"> </w:t>
      </w:r>
      <w:r>
        <w:t xml:space="preserve">(</w:t>
      </w:r>
      <w:hyperlink w:anchor="ref-AbrahamsonEtAl2018">
        <w:r>
          <w:rPr>
            <w:rStyle w:val="Hyperlink"/>
          </w:rPr>
          <w:t xml:space="preserve">N. A. Abrahamson et al., 2018</w:t>
        </w:r>
      </w:hyperlink>
      <w:r>
        <w:t xml:space="preserve">)</w:t>
      </w:r>
      <w:r>
        <w:t xml:space="preserve">. The original 2016 model was calibrated from 953 recordings of 43 interface events spanning</w:t>
      </w:r>
      <w:r>
        <w:t xml:space="preserve"> </w:t>
      </w:r>
      <m:oMath>
        <m:sSub>
          <m:e>
            <m:r>
              <m:t>M</m:t>
            </m:r>
          </m:e>
          <m:sub>
            <m:r>
              <m:t>w</m:t>
            </m:r>
          </m:sub>
        </m:sSub>
      </m:oMath>
      <w:r>
        <w:t xml:space="preserve"> </w:t>
      </w:r>
      <w:r>
        <w:t xml:space="preserve">6.0 to 8.4 at distances up to 300 km, with magnitude scaling constrained by numerical simulations for</w:t>
      </w:r>
      <w:r>
        <w:t xml:space="preserve"> </w:t>
      </w:r>
      <m:oMath>
        <m:sSub>
          <m:e>
            <m:r>
              <m:t>M</m:t>
            </m:r>
          </m:e>
          <m:sub>
            <m:r>
              <m:t>w</m:t>
            </m:r>
          </m:sub>
        </m:sSub>
        <m:r>
          <m:rPr>
            <m:sty m:val="p"/>
          </m:rPr>
          <m:t>&gt;</m:t>
        </m:r>
        <m:r>
          <m:t>8.0</m:t>
        </m:r>
      </m:oMath>
      <w:r>
        <w:t xml:space="preserve"> </w:t>
      </w:r>
      <w:r>
        <w:t xml:space="preserve">(</w:t>
      </w:r>
      <w:hyperlink w:anchor="ref-AbrahamsonEtAl2016">
        <w:r>
          <w:rPr>
            <w:rStyle w:val="Hyperlink"/>
          </w:rPr>
          <w:t xml:space="preserve">N. Abrahamson et al., 2016</w:t>
        </w:r>
      </w:hyperlink>
      <w:r>
        <w:t xml:space="preserve">)</w:t>
      </w:r>
      <w:r>
        <w:t xml:space="preserve">; the 2018 update extended coverage using the NGA-Subduction dataset to approximately</w:t>
      </w:r>
      <w:r>
        <w:t xml:space="preserve"> </w:t>
      </w:r>
      <m:oMath>
        <m:sSub>
          <m:e>
            <m:r>
              <m:t>M</m:t>
            </m:r>
          </m:e>
          <m:sub>
            <m:r>
              <m:t>w</m:t>
            </m:r>
          </m:sub>
        </m:sSub>
      </m:oMath>
      <w:r>
        <w:t xml:space="preserve"> </w:t>
      </w:r>
      <w:r>
        <w:t xml:space="preserve">6.0 to 9.0. The model is calibrated for global subduction interface conditions.</w:t>
      </w:r>
    </w:p>
    <w:p>
      <w:pPr>
        <w:pStyle w:val="ListBullet"/>
      </w:pPr>
      <w:r>
        <w:rPr>
          <w:rStyle w:val="VerbatimChar"/>
          <w:b/>
          <w:bCs/>
        </w:rPr>
        <w:t xml:space="preserve">AbrahamsonGulerce2020SInter</w:t>
      </w:r>
      <w:r>
        <w:t xml:space="preserve"> </w:t>
      </w:r>
      <w:r>
        <w:t xml:space="preserve">(weight: 0.10000). The subduction interface component of the NGA-Subduction regionalized GMPE by Abrahamson and Gulerce (2022), developed under the PEER NGA-Sub program</w:t>
      </w:r>
      <w:r>
        <w:t xml:space="preserve"> </w:t>
      </w:r>
      <w:r>
        <w:t xml:space="preserve">(</w:t>
      </w:r>
      <w:hyperlink w:anchor="ref-AbrahamsonGulerce2022">
        <w:r>
          <w:rPr>
            <w:rStyle w:val="Hyperlink"/>
          </w:rPr>
          <w:t xml:space="preserve">N. A. Abrahamson &amp; Gulerce, 2022</w:t>
        </w:r>
      </w:hyperlink>
      <w:r>
        <w:t xml:space="preserve">)</w:t>
      </w:r>
      <w:r>
        <w:t xml:space="preserve">. The model was calibrated from 3,914 recordings of 113 interface events spanning</w:t>
      </w:r>
      <w:r>
        <w:t xml:space="preserve"> </w:t>
      </w:r>
      <m:oMath>
        <m:sSub>
          <m:e>
            <m:r>
              <m:t>M</m:t>
            </m:r>
          </m:e>
          <m:sub>
            <m:r>
              <m:t>w</m:t>
            </m:r>
          </m:sub>
        </m:sSub>
      </m:oMath>
      <w:r>
        <w:t xml:space="preserve"> </w:t>
      </w:r>
      <w:r>
        <w:t xml:space="preserve">5.0 to 9.2 from the NGA-SUB global database, with region-specific adjustments for seven subduction zones including Cascadia, Japan, New Zealand, South America, Central America and Mexico, Alaska, and Taiwan.</w:t>
      </w:r>
    </w:p>
    <w:p>
      <w:pPr>
        <w:pStyle w:val="ListBullet"/>
      </w:pPr>
      <w:r>
        <w:rPr>
          <w:rStyle w:val="VerbatimChar"/>
          <w:b/>
          <w:bCs/>
        </w:rPr>
        <w:t xml:space="preserve">Atkinson2022SInter</w:t>
      </w:r>
      <w:r>
        <w:t xml:space="preserve"> </w:t>
      </w:r>
      <w:r>
        <w:t xml:space="preserve">(weight: 0.10000). The subduction interface backbone GMPE developed by Atkinson (2022) for the 2022 New Zealand National Seismic Hazard Model (NZ22), applying an equivalent point-source framework adapted to interface earthquake kinematics</w:t>
      </w:r>
      <w:r>
        <w:t xml:space="preserve"> </w:t>
      </w:r>
      <w:r>
        <w:t xml:space="preserve">(</w:t>
      </w:r>
      <w:hyperlink w:anchor="ref-Atkinson2022NZ">
        <w:r>
          <w:rPr>
            <w:rStyle w:val="Hyperlink"/>
          </w:rPr>
          <w:t xml:space="preserve">Atkinson, 2022</w:t>
        </w:r>
      </w:hyperlink>
      <w:r>
        <w:t xml:space="preserve">)</w:t>
      </w:r>
      <w:r>
        <w:t xml:space="preserve">. The model is calibrated for the New Zealand subduction interface setting, with empirical constraints spanning approximately</w:t>
      </w:r>
      <w:r>
        <w:t xml:space="preserve"> </w:t>
      </w:r>
      <m:oMath>
        <m:sSub>
          <m:e>
            <m:r>
              <m:t>M</m:t>
            </m:r>
          </m:e>
          <m:sub>
            <m:r>
              <m:t>w</m:t>
            </m:r>
          </m:sub>
        </m:sSub>
      </m:oMath>
      <w:r>
        <w:t xml:space="preserve"> </w:t>
      </w:r>
      <w:r>
        <w:t xml:space="preserve">4.0 to 7.0 at distances up to approximately 400 km.</w:t>
      </w:r>
    </w:p>
    <w:p>
      <w:pPr>
        <w:pStyle w:val="ListBullet"/>
      </w:pPr>
      <w:r>
        <w:rPr>
          <w:rStyle w:val="VerbatimChar"/>
          <w:b/>
          <w:bCs/>
        </w:rPr>
        <w:t xml:space="preserve">AtkinsonMacias2009NSHMP2014</w:t>
      </w:r>
      <w:r>
        <w:t xml:space="preserve"> </w:t>
      </w:r>
      <w:r>
        <w:t xml:space="preserve">(weight: 0.10000). The subduction interface GMPE by Atkinson and Macias (2009) as implemented for the 2014 National Seismic Hazard Mapping Program</w:t>
      </w:r>
      <w:r>
        <w:t xml:space="preserve"> </w:t>
      </w:r>
      <w:r>
        <w:t xml:space="preserve">(</w:t>
      </w:r>
      <w:hyperlink w:anchor="ref-AtkinsonMacias2009">
        <w:r>
          <w:rPr>
            <w:rStyle w:val="Hyperlink"/>
          </w:rPr>
          <w:t xml:space="preserve">Atkinson &amp; Macias, 2009</w:t>
        </w:r>
      </w:hyperlink>
      <w:r>
        <w:t xml:space="preserve">)</w:t>
      </w:r>
      <w:r>
        <w:t xml:space="preserve">, originally developed for the Cascadia subduction zone using stochastic simulations anchored to recordings from the 2003 Tokachi-Oki earthquake sequence in Japan with subsequent adjustments for Cascadia source and attenuation conditions. The model targets large interface events in the magnitude range</w:t>
      </w:r>
      <w:r>
        <w:t xml:space="preserve"> </w:t>
      </w:r>
      <m:oMath>
        <m:sSub>
          <m:e>
            <m:r>
              <m:t>M</m:t>
            </m:r>
          </m:e>
          <m:sub>
            <m:r>
              <m:t>w</m:t>
            </m:r>
          </m:sub>
        </m:sSub>
      </m:oMath>
      <w:r>
        <w:t xml:space="preserve"> </w:t>
      </w:r>
      <w:r>
        <w:t xml:space="preserve">7.5 to 9.0.</w:t>
      </w:r>
    </w:p>
    <w:p>
      <w:pPr>
        <w:pStyle w:val="ListBullet"/>
      </w:pPr>
      <w:r>
        <w:rPr>
          <w:rStyle w:val="VerbatimChar"/>
          <w:b/>
          <w:bCs/>
        </w:rPr>
        <w:t xml:space="preserve">ChaoEtAl2020SInter</w:t>
      </w:r>
      <w:r>
        <w:t xml:space="preserve"> </w:t>
      </w:r>
      <w:r>
        <w:t xml:space="preserve">(weight: 0.10000). The subduction interface variant of the Taiwan ground-motion model by Chao et al. (2020)</w:t>
      </w:r>
      <w:r>
        <w:t xml:space="preserve"> </w:t>
      </w:r>
      <w:r>
        <w:t xml:space="preserve">(</w:t>
      </w:r>
      <w:hyperlink w:anchor="ref-Chao2020">
        <w:r>
          <w:rPr>
            <w:rStyle w:val="Hyperlink"/>
          </w:rPr>
          <w:t xml:space="preserve">Chao et al., 2020</w:t>
        </w:r>
      </w:hyperlink>
      <w:r>
        <w:t xml:space="preserve">)</w:t>
      </w:r>
      <w:r>
        <w:t xml:space="preserve">, calibrated from the Taiwan strong-motion flat-file for interface earthquake records.</w:t>
      </w:r>
    </w:p>
    <w:p>
      <w:pPr>
        <w:pStyle w:val="ListBullet"/>
      </w:pPr>
      <w:r>
        <w:rPr>
          <w:rStyle w:val="VerbatimChar"/>
          <w:b/>
          <w:bCs/>
        </w:rPr>
        <w:t xml:space="preserve">KuehnEtAl2020SInter</w:t>
      </w:r>
      <w:r>
        <w:t xml:space="preserve"> </w:t>
      </w:r>
      <w:r>
        <w:t xml:space="preserve">(weight: 0.10000). The subduction interface component of a partially non-ergodic NGA-Subduction GMPE by Kuehn et al. (2020), published as PEER Report 2020/04</w:t>
      </w:r>
      <w:r>
        <w:t xml:space="preserve"> </w:t>
      </w:r>
      <w:r>
        <w:t xml:space="preserve">(</w:t>
      </w:r>
      <w:hyperlink w:anchor="ref-Kuehn2020">
        <w:r>
          <w:rPr>
            <w:rStyle w:val="Hyperlink"/>
          </w:rPr>
          <w:t xml:space="preserve">Kuehn et al., 2020</w:t>
        </w:r>
      </w:hyperlink>
      <w:r>
        <w:t xml:space="preserve">)</w:t>
      </w:r>
      <w:r>
        <w:t xml:space="preserve">. The model was developed through Bayesian regression with informative priors over a NGA-Sub database comprising more than 210,000 ground-motion components from 1,570 events spanning</w:t>
      </w:r>
      <w:r>
        <w:t xml:space="preserve"> </w:t>
      </w:r>
      <m:oMath>
        <m:sSub>
          <m:e>
            <m:r>
              <m:t>M</m:t>
            </m:r>
          </m:e>
          <m:sub>
            <m:r>
              <m:t>w</m:t>
            </m:r>
          </m:sub>
        </m:sSub>
      </m:oMath>
      <w:r>
        <w:t xml:space="preserve"> </w:t>
      </w:r>
      <w:r>
        <w:t xml:space="preserve">4.0 to 9.1, providing region-specific constants and attenuation parameters for seven global subduction zones.</w:t>
      </w:r>
    </w:p>
    <w:p>
      <w:pPr>
        <w:pStyle w:val="ListBullet"/>
      </w:pPr>
      <w:r>
        <w:rPr>
          <w:rStyle w:val="VerbatimChar"/>
          <w:b/>
          <w:bCs/>
        </w:rPr>
        <w:t xml:space="preserve">MontalvaEtAl2017SInter</w:t>
      </w:r>
      <w:r>
        <w:t xml:space="preserve"> </w:t>
      </w:r>
      <w:r>
        <w:t xml:space="preserve">(weight: 0.10000). The subduction interface GMPE by Montalva et al. (2017), published in the Bulletin of the Seismological Society of America</w:t>
      </w:r>
      <w:r>
        <w:t xml:space="preserve"> </w:t>
      </w:r>
      <w:r>
        <w:t xml:space="preserve">(</w:t>
      </w:r>
      <w:hyperlink w:anchor="ref-Montalva2017">
        <w:r>
          <w:rPr>
            <w:rStyle w:val="Hyperlink"/>
          </w:rPr>
          <w:t xml:space="preserve">Montalva et al., 2017</w:t>
        </w:r>
      </w:hyperlink>
      <w:r>
        <w:t xml:space="preserve">)</w:t>
      </w:r>
      <w:r>
        <w:t xml:space="preserve">, calibrated from 3,774 recordings of 473 earthquakes recorded in Chile between 1985 and 2015, covering</w:t>
      </w:r>
      <w:r>
        <w:t xml:space="preserve"> </w:t>
      </w:r>
      <m:oMath>
        <m:sSub>
          <m:e>
            <m:r>
              <m:t>M</m:t>
            </m:r>
          </m:e>
          <m:sub>
            <m:r>
              <m:t>w</m:t>
            </m:r>
          </m:sub>
        </m:sSub>
      </m:oMath>
      <w:r>
        <w:t xml:space="preserve"> </w:t>
      </w:r>
      <w:r>
        <w:t xml:space="preserve">4.6 to 8.8 and</w:t>
      </w:r>
      <w:r>
        <w:t xml:space="preserve"> </w:t>
      </w:r>
      <m:oMath>
        <m:sSub>
          <m:e>
            <m:r>
              <m:t>R</m:t>
            </m:r>
          </m:e>
          <m:sub>
            <m:r>
              <m:t>r</m:t>
            </m:r>
            <m:r>
              <m:t>u</m:t>
            </m:r>
            <m:r>
              <m:t>p</m:t>
            </m:r>
          </m:sub>
        </m:sSub>
      </m:oMath>
      <w:r>
        <w:t xml:space="preserve"> </w:t>
      </w:r>
      <w:r>
        <w:t xml:space="preserve">from approximately 20 to 650 km. The model is calibrated for the Chilean subduction interface regime.</w:t>
      </w:r>
    </w:p>
    <w:p>
      <w:pPr>
        <w:pStyle w:val="ListBullet"/>
      </w:pPr>
      <w:r>
        <w:rPr>
          <w:rStyle w:val="VerbatimChar"/>
          <w:b/>
          <w:bCs/>
        </w:rPr>
        <w:t xml:space="preserve">ParkerEtAl2020SInter</w:t>
      </w:r>
      <w:r>
        <w:t xml:space="preserve"> </w:t>
      </w:r>
      <w:r>
        <w:t xml:space="preserve">(weight: 0.10000). The subduction interface component of a global NGA-Subduction GMPE by Parker et al. (2022), published as PEER Report 2020/03 and subsequently in Earthquake Spectra</w:t>
      </w:r>
      <w:r>
        <w:t xml:space="preserve"> </w:t>
      </w:r>
      <w:r>
        <w:t xml:space="preserve">(</w:t>
      </w:r>
      <w:hyperlink w:anchor="ref-Parker2022">
        <w:r>
          <w:rPr>
            <w:rStyle w:val="Hyperlink"/>
          </w:rPr>
          <w:t xml:space="preserve">Parker et al., 2022</w:t>
        </w:r>
      </w:hyperlink>
      <w:r>
        <w:t xml:space="preserve">)</w:t>
      </w:r>
      <w:r>
        <w:t xml:space="preserve">. The model was calibrated from records spanning subduction zones in Japan, Taiwan, New Zealand, Mexico, Central America, South America, Alaska, and Cascadia, covering</w:t>
      </w:r>
      <w:r>
        <w:t xml:space="preserve"> </w:t>
      </w:r>
      <m:oMath>
        <m:sSub>
          <m:e>
            <m:r>
              <m:t>M</m:t>
            </m:r>
          </m:e>
          <m:sub>
            <m:r>
              <m:t>w</m:t>
            </m:r>
          </m:sub>
        </m:sSub>
      </m:oMath>
      <w:r>
        <w:t xml:space="preserve"> </w:t>
      </w:r>
      <w:r>
        <w:t xml:space="preserve">4.7 to 9.1 and</w:t>
      </w:r>
      <w:r>
        <w:t xml:space="preserve"> </w:t>
      </w:r>
      <m:oMath>
        <m:sSub>
          <m:e>
            <m:r>
              <m:t>R</m:t>
            </m:r>
          </m:e>
          <m:sub>
            <m:r>
              <m:t>r</m:t>
            </m:r>
            <m:r>
              <m:t>u</m:t>
            </m:r>
            <m:r>
              <m:t>p</m:t>
            </m:r>
          </m:sub>
        </m:sSub>
      </m:oMath>
      <w:r>
        <w:t xml:space="preserve"> </w:t>
      </w:r>
      <w:r>
        <w:t xml:space="preserve">from approximately 25 to 2,000 km. The model provides predictions for PGA, PGV, and 5%-damped pseudo-spectral acceleration at 26 oscillator periods from 0.01 to 10 s.</w:t>
      </w:r>
    </w:p>
    <w:p>
      <w:pPr>
        <w:pStyle w:val="ListBullet"/>
      </w:pPr>
      <w:r>
        <w:rPr>
          <w:rStyle w:val="VerbatimChar"/>
          <w:b/>
          <w:bCs/>
        </w:rPr>
        <w:t xml:space="preserve">PhungEtAl2020SInter</w:t>
      </w:r>
      <w:r>
        <w:t xml:space="preserve"> </w:t>
      </w:r>
      <w:r>
        <w:t xml:space="preserve">(weight: 0.10000). The subduction interface variant of the GMPE by Phung et al. (2020)</w:t>
      </w:r>
      <w:r>
        <w:t xml:space="preserve"> </w:t>
      </w:r>
      <w:r>
        <w:t xml:space="preserve">(</w:t>
      </w:r>
      <w:hyperlink w:anchor="ref-Phung2020">
        <w:r>
          <w:rPr>
            <w:rStyle w:val="Hyperlink"/>
          </w:rPr>
          <w:t xml:space="preserve">Phung et al., 2020</w:t>
        </w:r>
      </w:hyperlink>
      <w:r>
        <w:t xml:space="preserve">)</w:t>
      </w:r>
      <w:r>
        <w:t xml:space="preserve">, calibrated from the Taiwan subduction database for interface events spanning approximately</w:t>
      </w:r>
      <w:r>
        <w:t xml:space="preserve"> </w:t>
      </w:r>
      <m:oMath>
        <m:sSub>
          <m:e>
            <m:r>
              <m:t>M</m:t>
            </m:r>
          </m:e>
          <m:sub>
            <m:r>
              <m:t>w</m:t>
            </m:r>
          </m:sub>
        </m:sSub>
      </m:oMath>
      <w:r>
        <w:t xml:space="preserve"> </w:t>
      </w:r>
      <w:r>
        <w:t xml:space="preserve">4.0 to 7.6 at distances up to approximately 200 km.</w:t>
      </w:r>
    </w:p>
    <w:p>
      <w:pPr>
        <w:pStyle w:val="ListBullet"/>
      </w:pPr>
      <w:r>
        <w:rPr>
          <w:rStyle w:val="VerbatimChar"/>
          <w:b/>
          <w:bCs/>
        </w:rPr>
        <w:t xml:space="preserve">SiEtAl2020SInter</w:t>
      </w:r>
      <w:r>
        <w:t xml:space="preserve"> </w:t>
      </w:r>
      <w:r>
        <w:t xml:space="preserve">(weight: 0.10000). The subduction interface component of a NGA-Subduction regional GMPE by Si et al. (2020), published as PEER Report 2020/06 and developed for Japanese subduction earthquakes</w:t>
      </w:r>
      <w:r>
        <w:t xml:space="preserve"> </w:t>
      </w:r>
      <w:r>
        <w:t xml:space="preserve">(</w:t>
      </w:r>
      <w:hyperlink w:anchor="ref-Si2020">
        <w:r>
          <w:rPr>
            <w:rStyle w:val="Hyperlink"/>
          </w:rPr>
          <w:t xml:space="preserve">Si et al., 2020</w:t>
        </w:r>
      </w:hyperlink>
      <w:r>
        <w:t xml:space="preserve">)</w:t>
      </w:r>
      <w:r>
        <w:t xml:space="preserve">.</w:t>
      </w:r>
    </w:p>
    <w:bookmarkEnd w:id="287"/>
    <w:bookmarkStart w:id="288" w:name="subduction-intraslab-sis"/>
    <w:p>
      <w:pPr>
        <w:pStyle w:val="Heading3"/>
      </w:pPr>
      <w:r>
        <w:t xml:space="preserve">6.2.4</w:t>
      </w:r>
      <w:r>
        <w:tab/>
      </w:r>
      <w:r>
        <w:t xml:space="preserve">Subduction Intraslab (SIS)</w:t>
      </w:r>
    </w:p>
    <w:p>
      <w:pPr>
        <w:pStyle w:val="FirstParagraph"/>
      </w:pPr>
      <w:r>
        <w:t xml:space="preserve">The Intermediate-Depth Subduction Intraslab (SIS) ground-motion logic tree applies to all sources classified as the Intermediate-Depth Subduction Intraslab tectonic region type. The tree comprises nine branches of practically equal weight,</w:t>
      </w:r>
      <w:r>
        <w:t xml:space="preserve"> </w:t>
      </w:r>
      <m:oMath>
        <m:sSub>
          <m:e>
            <m:r>
              <m:t>w</m:t>
            </m:r>
          </m:e>
          <m:sub>
            <m:r>
              <m:t>k</m:t>
            </m:r>
          </m:sub>
        </m:sSub>
        <m:r>
          <m:rPr>
            <m:sty m:val="p"/>
          </m:rPr>
          <m:t>=</m:t>
        </m:r>
        <m:r>
          <m:t>0.11111</m:t>
        </m:r>
      </m:oMath>
      <w:r>
        <w:t xml:space="preserve"> </w:t>
      </w:r>
      <w:r>
        <w:t xml:space="preserve">—the first,</w:t>
      </w:r>
      <w:r>
        <w:t xml:space="preserve"> </w:t>
      </w:r>
      <w:r>
        <w:rPr>
          <w:rStyle w:val="VerbatimChar"/>
        </w:rPr>
        <w:t xml:space="preserve">AbrahamsonEtAl2018SSlab</w:t>
      </w:r>
      <w:r>
        <w:t xml:space="preserve">, carries</w:t>
      </w:r>
      <w:r>
        <w:t xml:space="preserve"> </w:t>
      </w:r>
      <m:oMath>
        <m:r>
          <m:t>0.11112</m:t>
        </m:r>
      </m:oMath>
      <w:r>
        <w:t xml:space="preserve"> </w:t>
      </w:r>
      <w:r>
        <w:t xml:space="preserve">so that the total sums to exactly</w:t>
      </w:r>
      <w:r>
        <w:t xml:space="preserve"> </w:t>
      </w:r>
      <m:oMath>
        <m:r>
          <m:t>1.00000</m:t>
        </m:r>
      </m:oMath>
      <w:r>
        <w:t xml:space="preserve">—. The SIS ensemble largely parallels the SIF ensemble in model selection, with the substitution of intraslab-specific GSIM variants (SSlab suffix models in place of SInter variants) and the addition of</w:t>
      </w:r>
      <w:r>
        <w:t xml:space="preserve"> </w:t>
      </w:r>
      <w:r>
        <w:rPr>
          <w:rStyle w:val="VerbatimChar"/>
        </w:rPr>
        <w:t xml:space="preserve">JaimesEtAl2020SSlab</w:t>
      </w:r>
      <w:r>
        <w:t xml:space="preserve">.</w:t>
      </w:r>
    </w:p>
    <w:p>
      <w:pPr>
        <w:pStyle w:val="BodyText"/>
      </w:pPr>
      <w:r>
        <w:t xml:space="preserve">The nine branches are documented below, with their assigned weight and calibration context:</w:t>
      </w:r>
    </w:p>
    <w:p>
      <w:pPr>
        <w:pStyle w:val="ListBullet"/>
      </w:pPr>
      <w:r>
        <w:rPr>
          <w:rStyle w:val="VerbatimChar"/>
          <w:b/>
          <w:bCs/>
        </w:rPr>
        <w:t xml:space="preserve">AbrahamsonEtAl2018SSlab</w:t>
      </w:r>
      <w:r>
        <w:t xml:space="preserve"> </w:t>
      </w:r>
      <w:r>
        <w:t xml:space="preserve">(weight: 0.11112). The intraslab variant of the BC Hydro subduction GMPE by Abrahamson, Gregor, and Addo (2016)</w:t>
      </w:r>
      <w:r>
        <w:t xml:space="preserve"> </w:t>
      </w:r>
      <w:r>
        <w:t xml:space="preserve">(</w:t>
      </w:r>
      <w:hyperlink w:anchor="ref-AbrahamsonEtAl2016">
        <w:r>
          <w:rPr>
            <w:rStyle w:val="Hyperlink"/>
          </w:rPr>
          <w:t xml:space="preserve">N. Abrahamson et al., 2016</w:t>
        </w:r>
      </w:hyperlink>
      <w:r>
        <w:t xml:space="preserve">)</w:t>
      </w:r>
      <w:r>
        <w:t xml:space="preserve">, calibrated for global subduction intraslab conditions from 2,590 recordings of 63 slab events spanning</w:t>
      </w:r>
      <w:r>
        <w:t xml:space="preserve"> </w:t>
      </w:r>
      <m:oMath>
        <m:sSub>
          <m:e>
            <m:r>
              <m:t>M</m:t>
            </m:r>
          </m:e>
          <m:sub>
            <m:r>
              <m:t>w</m:t>
            </m:r>
          </m:sub>
        </m:sSub>
      </m:oMath>
      <w:r>
        <w:t xml:space="preserve"> </w:t>
      </w:r>
      <w:r>
        <w:t xml:space="preserve">5.0 to 7.9 at distances up to 300 km.</w:t>
      </w:r>
    </w:p>
    <w:p>
      <w:pPr>
        <w:pStyle w:val="ListBullet"/>
      </w:pPr>
      <w:r>
        <w:rPr>
          <w:rStyle w:val="VerbatimChar"/>
          <w:b/>
          <w:bCs/>
        </w:rPr>
        <w:t xml:space="preserve">AbrahamsonGulerce2020SSlab</w:t>
      </w:r>
      <w:r>
        <w:t xml:space="preserve"> </w:t>
      </w:r>
      <w:r>
        <w:t xml:space="preserve">(weight: 0.11111). The intraslab component of the NGA-Subduction regionalized GMPE by Abrahamson and Gulerce (2022)</w:t>
      </w:r>
      <w:r>
        <w:t xml:space="preserve"> </w:t>
      </w:r>
      <w:r>
        <w:t xml:space="preserve">(</w:t>
      </w:r>
      <w:hyperlink w:anchor="ref-AbrahamsonGulerce2022">
        <w:r>
          <w:rPr>
            <w:rStyle w:val="Hyperlink"/>
          </w:rPr>
          <w:t xml:space="preserve">N. A. Abrahamson &amp; Gulerce, 2022</w:t>
        </w:r>
      </w:hyperlink>
      <w:r>
        <w:t xml:space="preserve">)</w:t>
      </w:r>
      <w:r>
        <w:t xml:space="preserve">, calibrated from 4,850 recordings of 89 intraslab events spanning</w:t>
      </w:r>
      <w:r>
        <w:t xml:space="preserve"> </w:t>
      </w:r>
      <m:oMath>
        <m:sSub>
          <m:e>
            <m:r>
              <m:t>M</m:t>
            </m:r>
          </m:e>
          <m:sub>
            <m:r>
              <m:t>w</m:t>
            </m:r>
          </m:sub>
        </m:sSub>
      </m:oMath>
      <w:r>
        <w:t xml:space="preserve"> </w:t>
      </w:r>
      <w:r>
        <w:t xml:space="preserve">5.0 to 7.8 from the NGA-SUB global database, with region-specific adjustments for seven subduction zones.</w:t>
      </w:r>
    </w:p>
    <w:p>
      <w:pPr>
        <w:pStyle w:val="ListBullet"/>
      </w:pPr>
      <w:r>
        <w:rPr>
          <w:rStyle w:val="VerbatimChar"/>
          <w:b/>
          <w:bCs/>
        </w:rPr>
        <w:t xml:space="preserve">Atkinson2022SSlab</w:t>
      </w:r>
      <w:r>
        <w:t xml:space="preserve"> </w:t>
      </w:r>
      <w:r>
        <w:t xml:space="preserve">(weight: 0.11111). The intraslab backbone GMPE developed by Atkinson (2022) for the NZ22 model set</w:t>
      </w:r>
      <w:r>
        <w:t xml:space="preserve"> </w:t>
      </w:r>
      <w:r>
        <w:t xml:space="preserve">(</w:t>
      </w:r>
      <w:hyperlink w:anchor="ref-Atkinson2022NZ">
        <w:r>
          <w:rPr>
            <w:rStyle w:val="Hyperlink"/>
          </w:rPr>
          <w:t xml:space="preserve">Atkinson, 2022</w:t>
        </w:r>
      </w:hyperlink>
      <w:r>
        <w:t xml:space="preserve">)</w:t>
      </w:r>
      <w:r>
        <w:t xml:space="preserve">, applying an equivalent point-source framework adapted to intraslab earthquake kinematics. Unlike the interface variant, this implementation requires a backarc classification flag in addition to</w:t>
      </w:r>
      <w:r>
        <w:t xml:space="preserve"> </w:t>
      </w:r>
      <m:oMath>
        <m:sSub>
          <m:e>
            <m:r>
              <m:t>R</m:t>
            </m:r>
          </m:e>
          <m:sub>
            <m:r>
              <m:t>r</m:t>
            </m:r>
            <m:r>
              <m:t>u</m:t>
            </m:r>
            <m:r>
              <m:t>p</m:t>
            </m:r>
          </m:sub>
        </m:sSub>
      </m:oMath>
      <w:r>
        <w:t xml:space="preserve">,</w:t>
      </w:r>
      <w:r>
        <w:t xml:space="preserve"> </w:t>
      </w:r>
      <m:oMath>
        <m:sSub>
          <m:e>
            <m:r>
              <m:t>V</m:t>
            </m:r>
          </m:e>
          <m:sub>
            <m:r>
              <m:t>S</m:t>
            </m:r>
            <m:r>
              <m:t>30</m:t>
            </m:r>
          </m:sub>
        </m:sSub>
      </m:oMath>
      <w:r>
        <w:t xml:space="preserve">, and moment magnitude, distinguishing forearc and backarc site attenuation conditions. The backarc parameter accounts for the systematically reduced ground-motion amplitudes observed at backarc sites in subduction environments.</w:t>
      </w:r>
    </w:p>
    <w:p>
      <w:pPr>
        <w:pStyle w:val="ListBullet"/>
      </w:pPr>
      <w:r>
        <w:rPr>
          <w:rStyle w:val="VerbatimChar"/>
          <w:b/>
          <w:bCs/>
        </w:rPr>
        <w:t xml:space="preserve">ChaoEtAl2020SSlab</w:t>
      </w:r>
      <w:r>
        <w:t xml:space="preserve"> </w:t>
      </w:r>
      <w:r>
        <w:t xml:space="preserve">(weight: 0.11111). The intraslab variant of the Taiwan ground-motion model by Chao et al. (2020)</w:t>
      </w:r>
      <w:r>
        <w:t xml:space="preserve"> </w:t>
      </w:r>
      <w:r>
        <w:t xml:space="preserve">(</w:t>
      </w:r>
      <w:hyperlink w:anchor="ref-Chao2020">
        <w:r>
          <w:rPr>
            <w:rStyle w:val="Hyperlink"/>
          </w:rPr>
          <w:t xml:space="preserve">Chao et al., 2020</w:t>
        </w:r>
      </w:hyperlink>
      <w:r>
        <w:t xml:space="preserve">)</w:t>
      </w:r>
      <w:r>
        <w:t xml:space="preserve">, calibrated from Taiwan intraslab records.</w:t>
      </w:r>
    </w:p>
    <w:p>
      <w:pPr>
        <w:pStyle w:val="ListBullet"/>
      </w:pPr>
      <w:r>
        <w:rPr>
          <w:rStyle w:val="VerbatimChar"/>
          <w:b/>
          <w:bCs/>
        </w:rPr>
        <w:t xml:space="preserve">JaimesEtAl2020SSlab</w:t>
      </w:r>
      <w:r>
        <w:t xml:space="preserve"> </w:t>
      </w:r>
      <w:r>
        <w:t xml:space="preserve">(weight: 0.11111). An updated GMPE for Mexican intermediate-depth intraslab earthquakes by Jaimes and Garcia-Soto (2020), published in Earthquake Spectra</w:t>
      </w:r>
      <w:r>
        <w:t xml:space="preserve"> </w:t>
      </w:r>
      <w:r>
        <w:t xml:space="preserve">(</w:t>
      </w:r>
      <w:hyperlink w:anchor="ref-Jaimes2020">
        <w:r>
          <w:rPr>
            <w:rStyle w:val="Hyperlink"/>
          </w:rPr>
          <w:t xml:space="preserve">Jaimes &amp; Garcia-Soto, 2020</w:t>
        </w:r>
      </w:hyperlink>
      <w:r>
        <w:t xml:space="preserve">)</w:t>
      </w:r>
      <w:r>
        <w:t xml:space="preserve">. The model was calibrated from 366 accelerogram records of 23 intraslab events on the Cocos plate subduction system, extended to include recordings from the September 2017 intraslab events in Mexico (including the</w:t>
      </w:r>
      <w:r>
        <w:t xml:space="preserve"> </w:t>
      </w:r>
      <m:oMath>
        <m:sSub>
          <m:e>
            <m:r>
              <m:t>M</m:t>
            </m:r>
          </m:e>
          <m:sub>
            <m:r>
              <m:t>w</m:t>
            </m:r>
          </m:sub>
        </m:sSub>
      </m:oMath>
      <w:r>
        <w:t xml:space="preserve"> </w:t>
      </w:r>
      <w:r>
        <w:t xml:space="preserve">8.1 Chiapas normal-faulting event), covering</w:t>
      </w:r>
      <w:r>
        <w:t xml:space="preserve"> </w:t>
      </w:r>
      <m:oMath>
        <m:sSub>
          <m:e>
            <m:r>
              <m:t>M</m:t>
            </m:r>
          </m:e>
          <m:sub>
            <m:r>
              <m:t>w</m:t>
            </m:r>
          </m:sub>
        </m:sSub>
      </m:oMath>
      <w:r>
        <w:t xml:space="preserve"> </w:t>
      </w:r>
      <w:r>
        <w:t xml:space="preserve">approximately 5.0 to 8.2,</w:t>
      </w:r>
      <w:r>
        <w:t xml:space="preserve"> </w:t>
      </w:r>
      <m:oMath>
        <m:sSub>
          <m:e>
            <m:r>
              <m:t>R</m:t>
            </m:r>
          </m:e>
          <m:sub>
            <m:r>
              <m:t>r</m:t>
            </m:r>
            <m:r>
              <m:t>u</m:t>
            </m:r>
            <m:r>
              <m:t>p</m:t>
            </m:r>
          </m:sub>
        </m:sSub>
      </m:oMath>
      <w:r>
        <w:t xml:space="preserve"> </w:t>
      </w:r>
      <w:r>
        <w:t xml:space="preserve">up to approximately 400 km, and focal depths up to approximately 75 km.</w:t>
      </w:r>
    </w:p>
    <w:p>
      <w:pPr>
        <w:pStyle w:val="ListBullet"/>
      </w:pPr>
      <w:r>
        <w:rPr>
          <w:rStyle w:val="VerbatimChar"/>
          <w:b/>
          <w:bCs/>
        </w:rPr>
        <w:t xml:space="preserve">KuehnEtAl2020SSlab</w:t>
      </w:r>
      <w:r>
        <w:t xml:space="preserve"> </w:t>
      </w:r>
      <w:r>
        <w:t xml:space="preserve">(weight: 0.11111). The intraslab component of the partially non-ergodic NGA-Subduction GMPE by Kuehn et al. (2020)</w:t>
      </w:r>
      <w:r>
        <w:t xml:space="preserve"> </w:t>
      </w:r>
      <w:r>
        <w:t xml:space="preserve">(</w:t>
      </w:r>
      <w:hyperlink w:anchor="ref-Kuehn2020">
        <w:r>
          <w:rPr>
            <w:rStyle w:val="Hyperlink"/>
          </w:rPr>
          <w:t xml:space="preserve">Kuehn et al., 2020</w:t>
        </w:r>
      </w:hyperlink>
      <w:r>
        <w:t xml:space="preserve">)</w:t>
      </w:r>
      <w:r>
        <w:t xml:space="preserve">, using the same Bayesian regression framework as the interface variant but calibrated on intraslab records from the NGA-Sub database.</w:t>
      </w:r>
    </w:p>
    <w:p>
      <w:pPr>
        <w:pStyle w:val="ListBullet"/>
      </w:pPr>
      <w:r>
        <w:rPr>
          <w:rStyle w:val="VerbatimChar"/>
          <w:b/>
          <w:bCs/>
        </w:rPr>
        <w:t xml:space="preserve">MontalvaEtAl2017SSlab</w:t>
      </w:r>
      <w:r>
        <w:t xml:space="preserve"> </w:t>
      </w:r>
      <w:r>
        <w:t xml:space="preserve">(weight: 0.11111). The intraslab variant of the Chilean subduction GMPE by Montalva et al. (2017)</w:t>
      </w:r>
      <w:r>
        <w:t xml:space="preserve"> </w:t>
      </w:r>
      <w:r>
        <w:t xml:space="preserve">(</w:t>
      </w:r>
      <w:hyperlink w:anchor="ref-Montalva2017">
        <w:r>
          <w:rPr>
            <w:rStyle w:val="Hyperlink"/>
          </w:rPr>
          <w:t xml:space="preserve">Montalva et al., 2017</w:t>
        </w:r>
      </w:hyperlink>
      <w:r>
        <w:t xml:space="preserve">)</w:t>
      </w:r>
      <w:r>
        <w:t xml:space="preserve">. In contrast to the interface variant, which uses</w:t>
      </w:r>
      <w:r>
        <w:t xml:space="preserve"> </w:t>
      </w:r>
      <m:oMath>
        <m:sSub>
          <m:e>
            <m:r>
              <m:t>R</m:t>
            </m:r>
          </m:e>
          <m:sub>
            <m:r>
              <m:t>r</m:t>
            </m:r>
            <m:r>
              <m:t>u</m:t>
            </m:r>
            <m:r>
              <m:t>p</m:t>
            </m:r>
          </m:sub>
        </m:sSub>
      </m:oMath>
      <w:r>
        <w:t xml:space="preserve"> </w:t>
      </w:r>
      <w:r>
        <w:t xml:space="preserve">as the primary distance metric, the intraslab implementation uses</w:t>
      </w:r>
      <w:r>
        <w:t xml:space="preserve"> </w:t>
      </w:r>
      <m:oMath>
        <m:sSub>
          <m:e>
            <m:r>
              <m:t>R</m:t>
            </m:r>
          </m:e>
          <m:sub>
            <m:r>
              <m:t>h</m:t>
            </m:r>
            <m:r>
              <m:t>y</m:t>
            </m:r>
            <m:r>
              <m:t>p</m:t>
            </m:r>
            <m:r>
              <m:t>o</m:t>
            </m:r>
          </m:sub>
        </m:sSub>
      </m:oMath>
      <w:r>
        <w:t xml:space="preserve">, consistent with the deeper and more diffuse rupture geometry of intraslab events.</w:t>
      </w:r>
    </w:p>
    <w:p>
      <w:pPr>
        <w:pStyle w:val="ListBullet"/>
      </w:pPr>
      <w:r>
        <w:rPr>
          <w:rStyle w:val="VerbatimChar"/>
          <w:b/>
          <w:bCs/>
        </w:rPr>
        <w:t xml:space="preserve">ParkerEtAl2020SSlab</w:t>
      </w:r>
      <w:r>
        <w:t xml:space="preserve"> </w:t>
      </w:r>
      <w:r>
        <w:t xml:space="preserve">(weight: 0.11111). The intraslab component of the global NGA-Subduction GMPE by Parker et al. (2022)</w:t>
      </w:r>
      <w:r>
        <w:t xml:space="preserve"> </w:t>
      </w:r>
      <w:r>
        <w:t xml:space="preserve">(</w:t>
      </w:r>
      <w:hyperlink w:anchor="ref-Parker2022">
        <w:r>
          <w:rPr>
            <w:rStyle w:val="Hyperlink"/>
          </w:rPr>
          <w:t xml:space="preserve">Parker et al., 2022</w:t>
        </w:r>
      </w:hyperlink>
      <w:r>
        <w:t xml:space="preserve">)</w:t>
      </w:r>
      <w:r>
        <w:t xml:space="preserve">, calibrated for intraslab events spanning</w:t>
      </w:r>
      <w:r>
        <w:t xml:space="preserve"> </w:t>
      </w:r>
      <m:oMath>
        <m:sSub>
          <m:e>
            <m:r>
              <m:t>M</m:t>
            </m:r>
          </m:e>
          <m:sub>
            <m:r>
              <m:t>w</m:t>
            </m:r>
          </m:sub>
        </m:sSub>
      </m:oMath>
      <w:r>
        <w:t xml:space="preserve"> </w:t>
      </w:r>
      <w:r>
        <w:t xml:space="preserve">4.0 to 8.4 at</w:t>
      </w:r>
      <w:r>
        <w:t xml:space="preserve"> </w:t>
      </w:r>
      <m:oMath>
        <m:sSub>
          <m:e>
            <m:r>
              <m:t>R</m:t>
            </m:r>
          </m:e>
          <m:sub>
            <m:r>
              <m:t>r</m:t>
            </m:r>
            <m:r>
              <m:t>u</m:t>
            </m:r>
            <m:r>
              <m:t>p</m:t>
            </m:r>
          </m:sub>
        </m:sSub>
      </m:oMath>
      <w:r>
        <w:t xml:space="preserve"> </w:t>
      </w:r>
      <w:r>
        <w:t xml:space="preserve">from approximately 35 to 2,000 km.</w:t>
      </w:r>
    </w:p>
    <w:p>
      <w:pPr>
        <w:pStyle w:val="ListBullet"/>
      </w:pPr>
      <w:r>
        <w:rPr>
          <w:rStyle w:val="VerbatimChar"/>
          <w:b/>
          <w:bCs/>
        </w:rPr>
        <w:t xml:space="preserve">PhungEtAl2020SSlab</w:t>
      </w:r>
      <w:r>
        <w:t xml:space="preserve"> </w:t>
      </w:r>
      <w:r>
        <w:t xml:space="preserve">(weight: 0.11111). The intraslab variant of the GMPE by Phung et al. (2020)</w:t>
      </w:r>
      <w:r>
        <w:t xml:space="preserve"> </w:t>
      </w:r>
      <w:r>
        <w:t xml:space="preserve">(</w:t>
      </w:r>
      <w:hyperlink w:anchor="ref-Phung2020">
        <w:r>
          <w:rPr>
            <w:rStyle w:val="Hyperlink"/>
          </w:rPr>
          <w:t xml:space="preserve">Phung et al., 2020</w:t>
        </w:r>
      </w:hyperlink>
      <w:r>
        <w:t xml:space="preserve">)</w:t>
      </w:r>
      <w:r>
        <w:t xml:space="preserve">, calibrated from Taiwan intraslab records.</w:t>
      </w:r>
    </w:p>
    <w:bookmarkEnd w:id="288"/>
    <w:bookmarkEnd w:id="289"/>
    <w:bookmarkStart w:id="293" w:name="sec-tsf-criteria-appendix"/>
    <w:p>
      <w:pPr>
        <w:pStyle w:val="Heading2"/>
      </w:pPr>
      <w:r>
        <w:t xml:space="preserve">6.3</w:t>
      </w:r>
      <w:r>
        <w:tab/>
      </w:r>
      <w:r>
        <w:t xml:space="preserve">Normative Seismic Criteria for Tailings Storage Facilities</w:t>
      </w:r>
    </w:p>
    <w:p>
      <w:pPr>
        <w:pStyle w:val="FirstParagraph"/>
      </w:pPr>
      <w:r>
        <w:t xml:space="preserve"> </w:t>
      </w:r>
    </w:p>
    <w:bookmarkStart w:id="290" w:name="tbl-gistm"/>
    <w:p>
      <w:pPr>
        <w:pStyle w:val="ImageCaption"/>
        <w:spacing w:before="200"/>
        <w:jc w:val="left"/>
      </w:pPr>
      <w:r>
        <w:t xml:space="preserve">Table 6.1: GISTM Seismic Design Criteria by Consequence Class. Source: GISTM</w:t>
      </w:r>
      <w:r>
        <w:t xml:space="preserve"> </w:t>
      </w:r>
      <w:r>
        <w:t xml:space="preserve">(</w:t>
      </w:r>
      <w:hyperlink w:anchor="ref-gistm2020">
        <w:r>
          <w:rPr>
            <w:rStyle w:val="Hyperlink"/>
          </w:rPr>
          <w:t xml:space="preserve">2020</w:t>
        </w:r>
      </w:hyperlink>
      <w:r>
        <w:t xml:space="preserve">)</w:t>
      </w:r>
      <w:r>
        <w:t xml:space="preserve">. The Global Industry Standard on Tailings Management (GISTM) defines five consequence classes for tailings storage facilities, based on population at risk (PAR) and the severity of environmental and socio-economic impacts. For all classes, the maximum credible earthquake (MCE) governs if it produces more severe ground motions than the probabilistic criterion. Post-closure criteria are uniform across all classes. GISTM does not use OBE/SEE terminology or dual-level design earthquakes.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PAR</w:t>
            </w:r>
            <w:r>
              <w:rPr>
                <w:rFonts w:ascii="Arial" w:hAnsi="Arial" w:eastAsia="Arial" w:cs="Arial"/>
                <w:i w:val="false"/>
                <w:b w:val="true"/>
                <w:u w:val="none"/>
                <w:strike w:val="false"/>
                <w:vertAlign w:val="superscript"/>
                <w:sz w:val="20"/>
                <w:szCs w:val="20"/>
                <w:color w:val="000000"/>
              </w:rPr>
              <w:t xml:space="preserv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Consequences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Operations and Active-Care Closure</w:t>
            </w:r>
            <w:r>
              <w:rPr>
                <w:rFonts w:ascii="Arial" w:hAnsi="Arial" w:eastAsia="Arial" w:cs="Arial"/>
                <w:i w:val="false"/>
                <w:b w:val="true"/>
                <w:u w:val="none"/>
                <w:strike w:val="false"/>
                <w:vertAlign w:val="superscript"/>
                <w:sz w:val="20"/>
                <w:szCs w:val="20"/>
                <w:color w:val="000000"/>
              </w:rPr>
              <w:t xml:space="preserv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Passive-Care Post-Closure</w:t>
            </w:r>
            <w:r>
              <w:rPr>
                <w:rFonts w:ascii="Arial" w:hAnsi="Arial" w:eastAsia="Arial" w:cs="Arial"/>
                <w:i w:val="false"/>
                <w:b w:val="true"/>
                <w:u w:val="none"/>
                <w:strike w:val="false"/>
                <w:vertAlign w:val="superscript"/>
                <w:sz w:val="20"/>
                <w:szCs w:val="20"/>
                <w:color w:val="000000"/>
              </w:rPr>
              <w:t xml:space="preserve">‡</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None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No expected loss of life; minimal off‑site impacts.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Minor but reportable off‑site impacts.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Major localized impacts, potential for multiple fatalities.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Substantial regional impacts, likely multiple fatalities.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Catastrophic, long‑term, widespread impacts, &gt;100 likely fatalities.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vertAlign w:val="superscript"/>
                <w:sz w:val="22"/>
                <w:szCs w:val="22"/>
                <w:color w:val="000000"/>
              </w:rPr>
              <w:t xml:space="preserve">*</w:t>
            </w:r>
            <w:r>
              <w:rPr>
                <w:rFonts w:ascii="Helvetica" w:hAnsi="Helvetica" w:eastAsia="Helvetica" w:cs="Helvetica"/>
                <w:i w:val="false"/>
                <w:b w:val="false"/>
                <w:u w:val="none"/>
                <w:strike w:val="false"/>
                <w:sz w:val="22"/>
                <w:szCs w:val="22"/>
                <w:color w:val="000000"/>
              </w:rPr>
              <w:t xml:space="preserve">PAR = Population at Risk (off‑site persons)</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vertAlign w:val="superscript"/>
                <w:sz w:val="22"/>
                <w:szCs w:val="22"/>
                <w:color w:val="000000"/>
              </w:rPr>
              <w:t xml:space="preserve">†</w:t>
            </w:r>
            <w:r>
              <w:rPr>
                <w:rFonts w:ascii="Helvetica" w:hAnsi="Helvetica" w:eastAsia="Helvetica" w:cs="Helvetica"/>
                <w:i w:val="false"/>
                <w:b w:val="false"/>
                <w:u w:val="none"/>
                <w:strike w:val="false"/>
                <w:sz w:val="22"/>
                <w:szCs w:val="22"/>
                <w:color w:val="000000"/>
              </w:rPr>
              <w:t xml:space="preserve">Annual-exceedance criteria during operations and active closure. The Extreme 1/10,000 UHS and MCE define the reported design bounds.</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vertAlign w:val="superscript"/>
                <w:sz w:val="22"/>
                <w:szCs w:val="22"/>
                <w:color w:val="000000"/>
              </w:rPr>
              <w:t xml:space="preserve">‡</w:t>
            </w:r>
            <w:r>
              <w:rPr>
                <w:rFonts w:ascii="Helvetica" w:hAnsi="Helvetica" w:eastAsia="Helvetica" w:cs="Helvetica"/>
                <w:i w:val="false"/>
                <w:b w:val="false"/>
                <w:u w:val="none"/>
                <w:strike w:val="false"/>
                <w:sz w:val="22"/>
                <w:szCs w:val="22"/>
                <w:color w:val="000000"/>
              </w:rPr>
              <w:t xml:space="preserve">The 1/10,000 UHS and MCE define the reported passive-closure design bounds.</w:t>
            </w:r>
          </w:p>
        </w:tc>
      </w:tr>
    </w:tbl>
    <w:bookmarkEnd w:id="290"/>
    <w:p/>
    <w:p>
      <w:pPr>
        <w:pStyle w:val="BodyText"/>
      </w:pPr>
      <w:r>
        <w:t xml:space="preserve"> </w:t>
      </w:r>
    </w:p>
    <w:p>
      <w:pPr>
        <w:pStyle w:val="BodyText"/>
      </w:pPr>
      <w:r>
        <w:t xml:space="preserve"> </w:t>
      </w:r>
    </w:p>
    <w:bookmarkStart w:id="291" w:name="tbl-cda"/>
    <w:p>
      <w:pPr>
        <w:pStyle w:val="ImageCaption"/>
        <w:spacing w:before="200"/>
        <w:jc w:val="left"/>
      </w:pPr>
      <w:r>
        <w:t xml:space="preserve">Table 6.2: CDA Seismic Design Criteria by Consequence Classification. Source: CDA Technical Bulletin, Application of Dam Safety Guidelines to Mining Dams</w:t>
      </w:r>
      <w:r>
        <w:t xml:space="preserve"> </w:t>
      </w:r>
      <w:r>
        <w:t xml:space="preserve">(</w:t>
      </w:r>
      <w:hyperlink w:anchor="ref-cda2021">
        <w:r>
          <w:rPr>
            <w:rStyle w:val="Hyperlink"/>
          </w:rPr>
          <w:t xml:space="preserve">2021</w:t>
        </w:r>
      </w:hyperlink>
      <w:r>
        <w:t xml:space="preserve">)</w:t>
      </w:r>
      <w:r>
        <w:t xml:space="preserve">, Table 3-3 (construction, operation and transition) and Table 4-2 (closure, passive care). The Canadian Dam Association (CDA) defines five consequence classifications, assigned from population at risk, loss of life, and environmental, cultural and economic losses. The tabulated levels are target levels for initial consideration and consultation between owner and regulator, not fixed requirements: the designer of record and the owner may adopt more stringent levels to further reduce risk, or less stringent ones where justified. The maximum credible earthquake (MCE) is a declared alternative to the probabilistic level, not an upper bound; CDA notes only that the MCE has no associated annual exceedance probability. Passive care is not abandonment: CDA requires a steady-state condition, demonstrated by accumulated experience and monitoring, before a facility enters that phase. CDA does not use OBE/SEE terminology; it specifies an Earthquake Design Ground Motion (EDGM).</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Population at risk</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Loss of life</w:t>
            </w:r>
            <w:r>
              <w:rPr>
                <w:rFonts w:ascii="Arial" w:hAnsi="Arial" w:eastAsia="Arial" w:cs="Arial"/>
                <w:i w:val="false"/>
                <w:b w:val="true"/>
                <w:u w:val="none"/>
                <w:strike w:val="false"/>
                <w:vertAlign w:val="superscript"/>
                <w:sz w:val="20"/>
                <w:szCs w:val="20"/>
                <w:color w:val="000000"/>
              </w:rPr>
              <w:t xml:space="preserv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Construction, Operation and Transition</w:t>
            </w:r>
            <w:r>
              <w:rPr>
                <w:rFonts w:ascii="Arial" w:hAnsi="Arial" w:eastAsia="Arial" w:cs="Arial"/>
                <w:i w:val="false"/>
                <w:b w:val="true"/>
                <w:u w:val="none"/>
                <w:strike w:val="false"/>
                <w:vertAlign w:val="superscript"/>
                <w:sz w:val="20"/>
                <w:szCs w:val="20"/>
                <w:color w:val="000000"/>
              </w:rPr>
              <w:t xml:space="preserv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Closure and Passive Care</w:t>
            </w:r>
            <w:r>
              <w:rPr>
                <w:rFonts w:ascii="Arial" w:hAnsi="Arial" w:eastAsia="Arial" w:cs="Arial"/>
                <w:i w:val="false"/>
                <w:b w:val="true"/>
                <w:u w:val="none"/>
                <w:strike w:val="false"/>
                <w:vertAlign w:val="superscript"/>
                <w:sz w:val="20"/>
                <w:szCs w:val="20"/>
                <w:color w:val="000000"/>
              </w:rPr>
              <w:t xml:space="preserve">‡</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None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Temporary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Unspecified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Between 1/100 and 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1/2,475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Permanent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 or fewer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 between 1/2,475 and 1/10,000, or MCE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Permanent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 or fewer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 between 1/2,475 and 1/10,000, or 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 or MCE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Permanent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More than 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 or 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 or MCE</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vertAlign w:val="superscript"/>
                <w:sz w:val="22"/>
                <w:szCs w:val="22"/>
                <w:color w:val="000000"/>
              </w:rPr>
              <w:t xml:space="preserve">*</w:t>
            </w:r>
            <w:r>
              <w:rPr>
                <w:rFonts w:ascii="Helvetica" w:hAnsi="Helvetica" w:eastAsia="Helvetica" w:cs="Helvetica"/>
                <w:i w:val="false"/>
                <w:b w:val="false"/>
                <w:u w:val="none"/>
                <w:strike w:val="false"/>
                <w:sz w:val="22"/>
                <w:szCs w:val="22"/>
                <w:color w:val="000000"/>
              </w:rPr>
              <w:t xml:space="preserve">CDA Technical Bulletin Table 3-1, after Table 2-1 of the CDA Dam Safety Guidelines.</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vertAlign w:val="superscript"/>
                <w:sz w:val="22"/>
                <w:szCs w:val="22"/>
                <w:color w:val="000000"/>
              </w:rPr>
              <w:t xml:space="preserve">†</w:t>
            </w:r>
            <w:r>
              <w:rPr>
                <w:rFonts w:ascii="Helvetica" w:hAnsi="Helvetica" w:eastAsia="Helvetica" w:cs="Helvetica"/>
                <w:i w:val="false"/>
                <w:b w:val="false"/>
                <w:u w:val="none"/>
                <w:strike w:val="false"/>
                <w:sz w:val="22"/>
                <w:szCs w:val="22"/>
                <w:color w:val="000000"/>
              </w:rPr>
              <w:t xml:space="preserve">Annual exceedance probability for earthquakes, CDA Technical Bulletin Table 3-3. </w:t>
            </w:r>
            <w:r>
              <w:rPr>
                <w:rFonts w:ascii="Helvetica" w:hAnsi="Helvetica" w:eastAsia="Helvetica" w:cs="Helvetica"/>
                <w:i w:val="false"/>
                <w:b w:val="false"/>
                <w:u w:val="none"/>
                <w:strike w:val="false"/>
                <w:sz w:val="22"/>
                <w:szCs w:val="22"/>
                <w:color w:val="000000"/>
              </w:rPr>
              <w:t xml:space="preserve">The 1/2,475 level is anchored to the National Building Code of Canada.</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vertAlign w:val="superscript"/>
                <w:sz w:val="22"/>
                <w:szCs w:val="22"/>
                <w:color w:val="000000"/>
              </w:rPr>
              <w:t xml:space="preserve">‡</w:t>
            </w:r>
            <w:r>
              <w:rPr>
                <w:rFonts w:ascii="Helvetica" w:hAnsi="Helvetica" w:eastAsia="Helvetica" w:cs="Helvetica"/>
                <w:i w:val="false"/>
                <w:b w:val="false"/>
                <w:u w:val="none"/>
                <w:strike w:val="false"/>
                <w:sz w:val="22"/>
                <w:szCs w:val="22"/>
                <w:color w:val="000000"/>
              </w:rPr>
              <w:t xml:space="preserve">Annual exceedance probability for earthquakes, CDA Technical Bulletin Table 4-2. </w:t>
            </w:r>
            <w:r>
              <w:rPr>
                <w:rFonts w:ascii="Helvetica" w:hAnsi="Helvetica" w:eastAsia="Helvetica" w:cs="Helvetica"/>
                <w:i w:val="false"/>
                <w:b w:val="false"/>
                <w:u w:val="none"/>
                <w:strike w:val="false"/>
                <w:sz w:val="22"/>
                <w:szCs w:val="22"/>
                <w:color w:val="000000"/>
              </w:rPr>
              <w:t xml:space="preserve">Closure under active care with regular monitoring retains the Table 3-3 levels.</w:t>
            </w:r>
          </w:p>
        </w:tc>
      </w:tr>
    </w:tbl>
    <w:bookmarkEnd w:id="291"/>
    <w:p/>
    <w:p>
      <w:pPr>
        <w:pStyle w:val="BodyText"/>
      </w:pPr>
      <w:r>
        <w:t xml:space="preserve"> </w:t>
      </w:r>
    </w:p>
    <w:p>
      <w:pPr>
        <w:pStyle w:val="BodyText"/>
      </w:pPr>
      <w:r>
        <w:t xml:space="preserve"> </w:t>
      </w:r>
    </w:p>
    <w:bookmarkStart w:id="292" w:name="tbl-ancold"/>
    <w:p>
      <w:pPr>
        <w:pStyle w:val="ImageCaption"/>
        <w:spacing w:before="200"/>
        <w:jc w:val="left"/>
      </w:pPr>
      <w:r>
        <w:t xml:space="preserve">Table 6.3: ANCOLD Seismic Design Criteria by Consequence Category. Source: ANCOLD Guidelines on Tailings Dams</w:t>
      </w:r>
      <w:r>
        <w:t xml:space="preserve"> </w:t>
      </w:r>
      <w:r>
        <w:t xml:space="preserve">(</w:t>
      </w:r>
      <w:hyperlink w:anchor="ref-ancold2019">
        <w:r>
          <w:rPr>
            <w:rStyle w:val="Hyperlink"/>
          </w:rPr>
          <w:t xml:space="preserve">2019</w:t>
        </w:r>
      </w:hyperlink>
      <w:r>
        <w:t xml:space="preserve">)</w:t>
      </w:r>
      <w:r>
        <w:t xml:space="preserve">. ANCOLD defines six consequence categories based on population at risk (PAR) and expected loss of life, with three gradations for the High category: High C, High B, and High A. OBE and SEE are assigned by consequence category; for post-closure, the SEE of the applicable category is adopted and is reassessed at closure upon changes in the hazard, the condition of the dam, or its consequences. For the Extreme category, the greater of the MCE and the 1/10,000 AEP event governs, evaluated at the 84th percentile. PAR = population at risk.</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PAR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Consequences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OBE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SEE</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No expected loss of life; negligible off‑site impact.</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Significant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Few persons at risk; minor off‑site or environmental impact.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Possible loss of life; moderate environmental/economic impact.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1/475–1/1,000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Likely multiple fatalities; major environmental/economic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1/475–1/1,000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High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&gt;1,000 (up to a few thousand)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Likely multiple fatalities; regional/catastrophic impact.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1/475–1/1,000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1/10,000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Extreme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 several thousand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high loss of life expected; catastrophic, long‑term impacts.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1/475–1/1,000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Greater of MCE or 1/10,000 (85th percentile)</w:t>
            </w:r>
          </w:p>
        </w:tc>
      </w:tr>
    </w:tbl>
    <w:bookmarkEnd w:id="292"/>
    <w:p/>
    <w:p>
      <w:pPr>
        <w:pStyle w:val="BodyText"/>
      </w:pPr>
      <w:r>
        <w:t xml:space="preserve"> </w:t>
      </w:r>
    </w:p>
    <w:bookmarkEnd w:id="293"/>
    <w:bookmarkStart w:id="299" w:name="sec-site_model"/>
    <w:p>
      <w:pPr>
        <w:pStyle w:val="Heading2"/>
      </w:pPr>
      <w:r>
        <w:t xml:space="preserve">6.4</w:t>
      </w:r>
      <w:r>
        <w:tab/>
      </w:r>
      <w:r>
        <w:t xml:space="preserve">Site Classification and Ground Properties</w:t>
      </w:r>
    </w:p>
    <w:bookmarkStart w:id="298" w:name="sec-classification"/>
    <w:p>
      <w:pPr>
        <w:pStyle w:val="Heading3"/>
      </w:pPr>
      <w:r>
        <w:t xml:space="preserve">6.4.1</w:t>
      </w:r>
      <w:r>
        <w:tab/>
      </w:r>
      <w:r>
        <w:t xml:space="preserve">Site Classification</w:t>
      </w:r>
    </w:p>
    <w:p>
      <w:pPr>
        <w:pStyle w:val="FirstParagraph"/>
      </w:pPr>
      <w:r>
        <w:t xml:space="preserve">The seismic site condition is initially characterized by</w:t>
      </w:r>
      <w:r>
        <w:t xml:space="preserve"> </w:t>
      </w:r>
      <m:oMath>
        <m:sSub>
          <m:e>
            <m:r>
              <m:t>V</m:t>
            </m:r>
          </m:e>
          <m:sub>
            <m:r>
              <m:t>S</m:t>
            </m:r>
            <m:r>
              <m:t>30</m:t>
            </m:r>
          </m:sub>
        </m:sSub>
      </m:oMath>
      <w:r>
        <w:t xml:space="preserve">, the time-averaged shear-wave velocity of the uppermost 30 m of the profile. The</w:t>
      </w:r>
      <w:r>
        <w:t xml:space="preserve"> </w:t>
      </w:r>
      <m:oMath>
        <m:sSub>
          <m:e>
            <m:r>
              <m:t>V</m:t>
            </m:r>
          </m:e>
          <m:sub>
            <m:r>
              <m:t>S</m:t>
            </m:r>
          </m:sub>
        </m:sSub>
      </m:oMath>
      <w:r>
        <w:t xml:space="preserve"> </w:t>
      </w:r>
      <w:r>
        <w:t xml:space="preserve">profile is obtained through geophysical investigations appropriate to the project conditions, among them borehole logging, seismic cone penetration tests, and surface-wave methods. The definition of</w:t>
      </w:r>
      <w:r>
        <w:t xml:space="preserve"> </w:t>
      </w:r>
      <m:oMath>
        <m:sSub>
          <m:e>
            <m:r>
              <m:t>V</m:t>
            </m:r>
          </m:e>
          <m:sub>
            <m:r>
              <m:t>S</m:t>
            </m:r>
            <m:r>
              <m:t>30</m:t>
            </m:r>
          </m:sub>
        </m:sSub>
      </m:oMath>
      <w:r>
        <w:t xml:space="preserve"> </w:t>
      </w:r>
      <w:r>
        <w:t xml:space="preserve">preserves the shear-wave travel time through the layered profile:</w:t>
      </w:r>
    </w:p>
    <w:p>
      <w:pPr>
        <w:pStyle w:val="Equation"/>
      </w:pPr>
      <w:bookmarkStart w:id="294" w:name="eq-class-vs30"/>
      <w:r>
        <w:tab/>
      </w:r>
      <m:oMath>
        <m:sSub>
          <m:e>
            <m:r>
              <m:t>V</m:t>
            </m:r>
          </m:e>
          <m:sub>
            <m:r>
              <m:t>S</m:t>
            </m:r>
            <m:r>
              <m:t>30</m:t>
            </m:r>
          </m:sub>
        </m:sSub>
        <m:r>
          <m:rPr>
            <m:sty m:val="p"/>
          </m:rPr>
          <m:t>=</m:t>
        </m:r>
        <m:f>
          <m:fPr>
            <m:type m:val="bar"/>
          </m:fPr>
          <m:num>
            <m:r>
              <m:t>30</m:t>
            </m:r>
          </m:num>
          <m:den>
            <m:nary>
              <m:naryPr>
                <m:chr m:val="∑"/>
                <m:limLoc m:val="undOvr"/>
                <m:subHide m:val="off"/>
                <m:supHide m:val="off"/>
              </m:naryPr>
              <m:sub>
                <m:r>
                  <m:t>i</m:t>
                </m:r>
                <m:r>
                  <m:rPr>
                    <m:sty m:val="p"/>
                  </m:rPr>
                  <m:t>=</m:t>
                </m:r>
                <m:r>
                  <m:t>1</m:t>
                </m:r>
              </m:sub>
              <m:sup>
                <m:r>
                  <m:t>N</m:t>
                </m:r>
              </m:sup>
              <m:e>
                <m:f>
                  <m:fPr>
                    <m:type m:val="bar"/>
                  </m:fPr>
                  <m:num>
                    <m:sSub>
                      <m:e>
                        <m:r>
                          <m:t>H</m:t>
                        </m:r>
                      </m:e>
                      <m:sub>
                        <m:r>
                          <m:t>i</m:t>
                        </m:r>
                      </m:sub>
                    </m:sSub>
                  </m:num>
                  <m:den>
                    <m:sSub>
                      <m:e>
                        <m:r>
                          <m:t>V</m:t>
                        </m:r>
                      </m:e>
                      <m:sub>
                        <m:r>
                          <m:t>S</m:t>
                        </m:r>
                        <m:r>
                          <m:rPr>
                            <m:sty m:val="p"/>
                          </m:rPr>
                          <m:t>,</m:t>
                        </m:r>
                        <m:r>
                          <m:t>i</m:t>
                        </m:r>
                      </m:sub>
                    </m:sSub>
                  </m:den>
                </m:f>
              </m:e>
            </m:nary>
          </m:den>
        </m:f>
        <m:r>
          <m:rPr>
            <m:sty m:val="p"/>
          </m:rPr>
          <m:t>,</m:t>
        </m:r>
      </m:oMath>
      <w:r>
        <w:tab/>
      </w:r>
      <w:r>
        <w:t xml:space="preserve">(6.1)</w:t>
      </w:r>
      <w:bookmarkEnd w:id="294"/>
    </w:p>
    <w:p>
      <w:pPr>
        <w:pStyle w:val="BodyText"/>
      </w:pPr>
      <w:r>
        <w:t xml:space="preserve">where</w:t>
      </w:r>
      <w:r>
        <w:t xml:space="preserve"> </w:t>
      </w:r>
      <m:oMath>
        <m:sSub>
          <m:e>
            <m:r>
              <m:t>H</m:t>
            </m:r>
          </m:e>
          <m:sub>
            <m:r>
              <m:t>i</m:t>
            </m:r>
          </m:sub>
        </m:sSub>
      </m:oMath>
      <w:r>
        <w:t xml:space="preserve"> </w:t>
      </w:r>
      <w:r>
        <w:t xml:space="preserve">and</w:t>
      </w:r>
      <w:r>
        <w:t xml:space="preserve"> </w:t>
      </w:r>
      <m:oMath>
        <m:sSub>
          <m:e>
            <m:r>
              <m:t>V</m:t>
            </m:r>
          </m:e>
          <m:sub>
            <m:r>
              <m:t>S</m:t>
            </m:r>
            <m:r>
              <m:rPr>
                <m:sty m:val="p"/>
              </m:rPr>
              <m:t>,</m:t>
            </m:r>
            <m:r>
              <m:t>i</m:t>
            </m:r>
          </m:sub>
        </m:sSub>
      </m:oMath>
      <w:r>
        <w:t xml:space="preserve"> </w:t>
      </w:r>
      <w:r>
        <w:t xml:space="preserve">are, respectively, the thickness in meters and the shear-wave velocity of layer</w:t>
      </w:r>
      <w:r>
        <w:t xml:space="preserve"> </w:t>
      </w:r>
      <m:oMath>
        <m:r>
          <m:t>i</m:t>
        </m:r>
      </m:oMath>
      <w:r>
        <w:t xml:space="preserve"> </w:t>
      </w:r>
      <w:r>
        <w:t xml:space="preserve">within the uppermost 30 m, and</w:t>
      </w:r>
      <w:r>
        <w:t xml:space="preserve"> </w:t>
      </w:r>
      <m:oMath>
        <m:r>
          <m:t>N</m:t>
        </m:r>
      </m:oMath>
      <w:r>
        <w:t xml:space="preserve"> </w:t>
      </w:r>
      <w:r>
        <w:t xml:space="preserve">is the number of layers of the profile within that thickness. The expression corresponds to a travel-time average and provides the uniform velocity that reproduces the propagation time of the actual profile.</w:t>
      </w:r>
      <w:r>
        <w:t xml:space="preserve"> </w:t>
      </w:r>
      <m:oMath>
        <m:sSub>
          <m:e>
            <m:r>
              <m:t>V</m:t>
            </m:r>
          </m:e>
          <m:sub>
            <m:r>
              <m:t>S</m:t>
            </m:r>
            <m:r>
              <m:t>30</m:t>
            </m:r>
          </m:sub>
        </m:sSub>
      </m:oMath>
      <w:r>
        <w:t xml:space="preserve"> </w:t>
      </w:r>
      <w:r>
        <w:t xml:space="preserve">is the site-condition predictor used by the ground-motion models and by the amplification relations of this assessment</w:t>
      </w:r>
      <w:r>
        <w:t xml:space="preserve"> </w:t>
      </w:r>
      <w:r>
        <w:t xml:space="preserve">(</w:t>
      </w:r>
      <w:hyperlink w:anchor="ref-Borcherdt2012">
        <w:r>
          <w:rPr>
            <w:rStyle w:val="Hyperlink"/>
          </w:rPr>
          <w:t xml:space="preserve">Borcherdt, 2012</w:t>
        </w:r>
      </w:hyperlink>
      <w:r>
        <w:t xml:space="preserve">)</w:t>
      </w:r>
      <w:r>
        <w:t xml:space="preserve">. It also identifies the reference condition from which the hazard spectra and the rock-to-site transformations are interpreted. In the site-specific analyses, the calculation additionally uses the properties required by the response model; the initial classification does not replace that characterization. The parameter summarizes the average shallow stiffness, but it does not by itself describe stratigraphic contrasts, depth to bedrock, basin effects, or resonance periods. These limitations are considered when defining the scope of a site-specific evaluation and when interpreting the resulting spectral demand.</w:t>
      </w:r>
    </w:p>
    <w:p>
      <w:pPr>
        <w:pStyle w:val="BodyText"/>
      </w:pPr>
      <w:r>
        <w:t xml:space="preserve">The NEHRP provisions classify sites into Classes A through E and reserve Class F for conditions requiring site-specific evaluation</w:t>
      </w:r>
      <w:r>
        <w:t xml:space="preserve"> </w:t>
      </w:r>
      <w:r>
        <w:t xml:space="preserve">(</w:t>
      </w:r>
      <w:hyperlink w:anchor="ref-BSSC2015">
        <w:r>
          <w:rPr>
            <w:rStyle w:val="Hyperlink"/>
          </w:rPr>
          <w:t xml:space="preserve">Building Seismic Safety Council, 2015</w:t>
        </w:r>
      </w:hyperlink>
      <w:r>
        <w:t xml:space="preserve">)</w:t>
      </w:r>
      <w:r>
        <w:t xml:space="preserve">. The reference ranges based on</w:t>
      </w:r>
      <w:r>
        <w:t xml:space="preserve"> </w:t>
      </w:r>
      <m:oMath>
        <m:sSub>
          <m:e>
            <m:r>
              <m:t>V</m:t>
            </m:r>
          </m:e>
          <m:sub>
            <m:r>
              <m:t>S</m:t>
            </m:r>
            <m:r>
              <m:t>30</m:t>
            </m:r>
          </m:sub>
        </m:sSub>
      </m:oMath>
      <w:r>
        <w:t xml:space="preserve"> </w:t>
      </w:r>
      <w:r>
        <w:t xml:space="preserve">are the following:</w:t>
      </w:r>
    </w:p>
    <w:p>
      <w:pPr>
        <w:pStyle w:val="ListBullet"/>
      </w:pPr>
      <w:r>
        <w:rPr>
          <w:b/>
          <w:bCs/>
        </w:rPr>
        <w:t xml:space="preserve">Class A:</w:t>
      </w:r>
      <w:r>
        <w:t xml:space="preserve"> </w:t>
      </w:r>
      <w:r>
        <w:t xml:space="preserve">hard rock, with</w:t>
      </w:r>
      <w:r>
        <w:t xml:space="preserve"> </w:t>
      </w:r>
      <m:oMath>
        <m:sSub>
          <m:e>
            <m:r>
              <m:t>V</m:t>
            </m:r>
          </m:e>
          <m:sub>
            <m:r>
              <m:t>S</m:t>
            </m:r>
            <m:r>
              <m:t>30</m:t>
            </m:r>
          </m:sub>
        </m:sSub>
        <m:r>
          <m:rPr>
            <m:sty m:val="p"/>
          </m:rPr>
          <m:t>&gt;</m:t>
        </m:r>
        <m:r>
          <m:t>1500</m:t>
        </m:r>
      </m:oMath>
      <w:r>
        <w:t xml:space="preserve"> </w:t>
      </w:r>
      <w:r>
        <w:t xml:space="preserve">m/s.</w:t>
      </w:r>
    </w:p>
    <w:p>
      <w:pPr>
        <w:pStyle w:val="ListBullet"/>
      </w:pPr>
      <w:r>
        <w:rPr>
          <w:b/>
          <w:bCs/>
        </w:rPr>
        <w:t xml:space="preserve">Class B:</w:t>
      </w:r>
      <w:r>
        <w:t xml:space="preserve"> </w:t>
      </w:r>
      <w:r>
        <w:t xml:space="preserve">rock, with</w:t>
      </w:r>
      <w:r>
        <w:t xml:space="preserve"> </w:t>
      </w:r>
      <m:oMath>
        <m:sSub>
          <m:e>
            <m:r>
              <m:t>V</m:t>
            </m:r>
          </m:e>
          <m:sub>
            <m:r>
              <m:t>S</m:t>
            </m:r>
            <m:r>
              <m:t>30</m:t>
            </m:r>
          </m:sub>
        </m:sSub>
      </m:oMath>
      <w:r>
        <w:t xml:space="preserve"> </w:t>
      </w:r>
      <w:r>
        <w:t xml:space="preserve">between 760 and 1500 m/s.</w:t>
      </w:r>
    </w:p>
    <w:p>
      <w:pPr>
        <w:pStyle w:val="ListBullet"/>
      </w:pPr>
      <w:r>
        <w:rPr>
          <w:b/>
          <w:bCs/>
        </w:rPr>
        <w:t xml:space="preserve">Class C:</w:t>
      </w:r>
      <w:r>
        <w:t xml:space="preserve"> </w:t>
      </w:r>
      <w:r>
        <w:t xml:space="preserve">very dense soil or soft rock, with</w:t>
      </w:r>
      <w:r>
        <w:t xml:space="preserve"> </w:t>
      </w:r>
      <m:oMath>
        <m:sSub>
          <m:e>
            <m:r>
              <m:t>V</m:t>
            </m:r>
          </m:e>
          <m:sub>
            <m:r>
              <m:t>S</m:t>
            </m:r>
            <m:r>
              <m:t>30</m:t>
            </m:r>
          </m:sub>
        </m:sSub>
      </m:oMath>
      <w:r>
        <w:t xml:space="preserve"> </w:t>
      </w:r>
      <w:r>
        <w:t xml:space="preserve">between 360 and 760 m/s.</w:t>
      </w:r>
    </w:p>
    <w:p>
      <w:pPr>
        <w:pStyle w:val="ListBullet"/>
      </w:pPr>
      <w:r>
        <w:rPr>
          <w:b/>
          <w:bCs/>
        </w:rPr>
        <w:t xml:space="preserve">Class D:</w:t>
      </w:r>
      <w:r>
        <w:t xml:space="preserve"> </w:t>
      </w:r>
      <w:r>
        <w:t xml:space="preserve">stiff soil, with</w:t>
      </w:r>
      <w:r>
        <w:t xml:space="preserve"> </w:t>
      </w:r>
      <m:oMath>
        <m:sSub>
          <m:e>
            <m:r>
              <m:t>V</m:t>
            </m:r>
          </m:e>
          <m:sub>
            <m:r>
              <m:t>S</m:t>
            </m:r>
            <m:r>
              <m:t>30</m:t>
            </m:r>
          </m:sub>
        </m:sSub>
      </m:oMath>
      <w:r>
        <w:t xml:space="preserve"> </w:t>
      </w:r>
      <w:r>
        <w:t xml:space="preserve">between 180 and 360 m/s.</w:t>
      </w:r>
    </w:p>
    <w:p>
      <w:pPr>
        <w:pStyle w:val="ListBullet"/>
      </w:pPr>
      <w:r>
        <w:rPr>
          <w:b/>
          <w:bCs/>
        </w:rPr>
        <w:t xml:space="preserve">Class E:</w:t>
      </w:r>
      <w:r>
        <w:t xml:space="preserve"> </w:t>
      </w:r>
      <w:r>
        <w:t xml:space="preserve">soft soil, with</w:t>
      </w:r>
      <w:r>
        <w:t xml:space="preserve"> </w:t>
      </w:r>
      <m:oMath>
        <m:sSub>
          <m:e>
            <m:r>
              <m:t>V</m:t>
            </m:r>
          </m:e>
          <m:sub>
            <m:r>
              <m:t>S</m:t>
            </m:r>
            <m:r>
              <m:t>30</m:t>
            </m:r>
          </m:sub>
        </m:sSub>
        <m:r>
          <m:rPr>
            <m:sty m:val="p"/>
          </m:rPr>
          <m:t>&lt;</m:t>
        </m:r>
        <m:r>
          <m:t>180</m:t>
        </m:r>
      </m:oMath>
      <w:r>
        <w:t xml:space="preserve"> </w:t>
      </w:r>
      <w:r>
        <w:t xml:space="preserve">m/s.</w:t>
      </w:r>
    </w:p>
    <w:p>
      <w:pPr>
        <w:pStyle w:val="ListBullet"/>
      </w:pPr>
      <w:r>
        <w:rPr>
          <w:b/>
          <w:bCs/>
        </w:rPr>
        <w:t xml:space="preserve">Class F:</w:t>
      </w:r>
      <w:r>
        <w:t xml:space="preserve"> </w:t>
      </w:r>
      <w:r>
        <w:t xml:space="preserve">profiles requiring site-specific evaluation, among them soils susceptible to liquefaction or collapse, peats, organic clays, thick high-plasticity clays, and very soft clays.</w:t>
      </w:r>
    </w:p>
    <w:p>
      <w:pPr>
        <w:pStyle w:val="BodyText"/>
      </w:pPr>
      <w:r>
        <w:t xml:space="preserve">Where velocity measurements are available,</w:t>
      </w:r>
      <w:r>
        <w:t xml:space="preserve"> </w:t>
      </w:r>
      <m:oMath>
        <m:sSub>
          <m:e>
            <m:r>
              <m:t>V</m:t>
            </m:r>
          </m:e>
          <m:sub>
            <m:r>
              <m:t>S</m:t>
            </m:r>
            <m:r>
              <m:t>30</m:t>
            </m:r>
          </m:sub>
        </m:sSub>
      </m:oMath>
      <w:r>
        <w:t xml:space="preserve"> </w:t>
      </w:r>
      <w:r>
        <w:t xml:space="preserve">is the primary criterion. The provisions also include criteria based on penetration resistance and on undrained shear strength where the geophysical information is insufficient. Class F is not assigned through a single</w:t>
      </w:r>
      <w:r>
        <w:t xml:space="preserve"> </w:t>
      </w:r>
      <m:oMath>
        <m:sSub>
          <m:e>
            <m:r>
              <m:t>V</m:t>
            </m:r>
          </m:e>
          <m:sub>
            <m:r>
              <m:t>S</m:t>
            </m:r>
            <m:r>
              <m:t>30</m:t>
            </m:r>
          </m:sub>
        </m:sSub>
      </m:oMath>
      <w:r>
        <w:t xml:space="preserve"> </w:t>
      </w:r>
      <w:r>
        <w:t xml:space="preserve">range and leads to a site response analysis in lieu of the direct application of generic factors.</w:t>
      </w:r>
    </w:p>
    <w:p>
      <w:pPr>
        <w:pStyle w:val="BodyText"/>
      </w:pPr>
      <w:r>
        <w:t xml:space="preserve">ASCE/SEI 7-22 updates the discretization of site conditions and distinguishes Classes A, B, BC, C, CD, D, DE, and E through velocity ranges, from competent rock to soft soils</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w:t>
        </w:r>
      </w:hyperlink>
      <w:r>
        <w:t xml:space="preserve">)</w:t>
      </w:r>
      <w:r>
        <w:t xml:space="preserve">. Class F identifies conditions that require site-specific response procedures and is not assigned solely through a</w:t>
      </w:r>
      <w:r>
        <w:t xml:space="preserve"> </w:t>
      </w:r>
      <m:oMath>
        <m:sSub>
          <m:e>
            <m:r>
              <m:t>V</m:t>
            </m:r>
          </m:e>
          <m:sub>
            <m:r>
              <m:t>S</m:t>
            </m:r>
            <m:r>
              <m:t>30</m:t>
            </m:r>
          </m:sub>
        </m:sSub>
      </m:oMath>
      <w:r>
        <w:t xml:space="preserve"> </w:t>
      </w:r>
      <w:r>
        <w:t xml:space="preserve">range. The ranges and descriptions of the adopted classification are presented below. The evaluated</w:t>
      </w:r>
      <w:r>
        <w:t xml:space="preserve"> </w:t>
      </w:r>
      <m:oMath>
        <m:sSub>
          <m:e>
            <m:r>
              <m:t>V</m:t>
            </m:r>
          </m:e>
          <m:sub>
            <m:r>
              <m:t>S</m:t>
            </m:r>
            <m:r>
              <m:t>30</m:t>
            </m:r>
          </m:sub>
        </m:sSub>
      </m:oMath>
      <w:r>
        <w:t xml:space="preserve"> </w:t>
      </w:r>
      <w:r>
        <w:t xml:space="preserve">values represent the site conditions for which the demand is determined. The class of a particular location is assigned from the applicable geotechnical profile and from the additional conditions defined by the standard.</w:t>
      </w:r>
    </w:p>
    <w:p>
      <w:pPr>
        <w:pStyle w:val="BodyText"/>
      </w:pPr>
      <w:r>
        <w:t xml:space="preserve">The evaluated site conditions extend down to</w:t>
      </w:r>
      <w:r>
        <w:t xml:space="preserve"> </w:t>
      </w:r>
      <m:oMath>
        <m:sSub>
          <m:e>
            <m:r>
              <m:t>V</m:t>
            </m:r>
          </m:e>
          <m:sub>
            <m:r>
              <m:t>S</m:t>
            </m:r>
            <m:r>
              <m:t>30</m:t>
            </m:r>
          </m:sub>
        </m:sSub>
        <m:r>
          <m:rPr>
            <m:sty m:val="p"/>
          </m:rPr>
          <m:t>=</m:t>
        </m:r>
        <m:r>
          <m:t>180</m:t>
        </m:r>
      </m:oMath>
      <w:r>
        <w:t xml:space="preserve"> </w:t>
      </w:r>
      <w:r>
        <w:t xml:space="preserve">m/s, which falls within Class DE; the assessment does not reach Class E. Softer conditions are reserved for site-specific response procedures: Class F requires them under ASCE/SEI 7-22</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 Sections 11.4.7, 21.1</w:t>
        </w:r>
      </w:hyperlink>
      <w:r>
        <w:t xml:space="preserve">)</w:t>
      </w:r>
      <w:r>
        <w:t xml:space="preserve">, and Class E may additionally be assigned through the soft-clay criterion of Section 20.2.2, independently of</w:t>
      </w:r>
      <w:r>
        <w:t xml:space="preserve"> </w:t>
      </w:r>
      <m:oMath>
        <m:sSub>
          <m:e>
            <m:r>
              <m:t>V</m:t>
            </m:r>
          </m:e>
          <m:sub>
            <m:r>
              <m:t>S</m:t>
            </m:r>
            <m:r>
              <m:t>30</m:t>
            </m:r>
          </m:sub>
        </m:sSub>
      </m:oMath>
      <w:r>
        <w:t xml:space="preserve">. The ergodic amplification model declares its applicability for</w:t>
      </w:r>
      <w:r>
        <w:t xml:space="preserve"> </w:t>
      </w:r>
      <m:oMath>
        <m:sSub>
          <m:e>
            <m:r>
              <m:t>V</m:t>
            </m:r>
          </m:e>
          <m:sub>
            <m:r>
              <m:t>S</m:t>
            </m:r>
            <m:r>
              <m:t>30</m:t>
            </m:r>
          </m:sub>
        </m:sSub>
      </m:oMath>
      <w:r>
        <w:t xml:space="preserve"> </w:t>
      </w:r>
      <w:r>
        <w:t xml:space="preserve">between 200 and 3000 m/s, and its authors recommend a site-specific response analysis for conditions with</w:t>
      </w:r>
      <w:r>
        <w:t xml:space="preserve"> </w:t>
      </w:r>
      <m:oMath>
        <m:sSub>
          <m:e>
            <m:r>
              <m:t>V</m:t>
            </m:r>
          </m:e>
          <m:sub>
            <m:r>
              <m:t>S</m:t>
            </m:r>
            <m:r>
              <m:t>30</m:t>
            </m:r>
          </m:sub>
        </m:sSub>
      </m:oMath>
      <w:r>
        <w:t xml:space="preserve"> </w:t>
      </w:r>
      <w:r>
        <w:t xml:space="preserve">below 200 m/s</w:t>
      </w:r>
      <w:r>
        <w:t xml:space="preserve"> </w:t>
      </w:r>
      <w:r>
        <w:t xml:space="preserve">(</w:t>
      </w:r>
      <w:hyperlink w:anchor="ref-Hashash2020">
        <w:r>
          <w:rPr>
            <w:rStyle w:val="Hyperlink"/>
          </w:rPr>
          <w:t xml:space="preserve">Hashash et al., 2020</w:t>
        </w:r>
      </w:hyperlink>
      <w:r>
        <w:t xml:space="preserve">;</w:t>
      </w:r>
      <w:r>
        <w:t xml:space="preserve"> </w:t>
      </w:r>
      <w:hyperlink w:anchor="ref-Stewart2020">
        <w:r>
          <w:rPr>
            <w:rStyle w:val="Hyperlink"/>
          </w:rPr>
          <w:t xml:space="preserve">Stewart et al., 2020</w:t>
        </w:r>
      </w:hyperlink>
      <w:r>
        <w:t xml:space="preserve">)</w:t>
      </w:r>
      <w:r>
        <w:t xml:space="preserve">. For profiles softer than those evaluated, the spectra and parameters of this report are not applicable without a site-specific response evaluation.</w:t>
      </w:r>
    </w:p>
    <w:p>
      <w:pPr>
        <w:pStyle w:val="BodyText"/>
      </w:pPr>
      <w:r>
        <w:t xml:space="preserve"> </w:t>
      </w:r>
    </w:p>
    <w:bookmarkStart w:id="295" w:name="tbl-scasce"/>
    <w:p>
      <w:pPr>
        <w:pStyle w:val="ImageCaption"/>
        <w:spacing w:before="200"/>
        <w:jc w:val="left"/>
      </w:pPr>
      <w:r>
        <w:t xml:space="preserve">Table 6.4: Seismic site classification. Source: ASCE/SEI 7-22</w:t>
      </w:r>
      <w:r>
        <w:t xml:space="preserve"> </w:t>
      </w:r>
      <w:r>
        <w:t xml:space="preserve">(</w:t>
      </w:r>
      <w:hyperlink w:anchor="ref-ASCE722">
        <w:r>
          <w:rPr>
            <w:rStyle w:val="Hyperlink"/>
          </w:rPr>
          <w:t xml:space="preserve">Minimum</w:t>
        </w:r>
        <w:r>
          <w:rPr>
            <w:rStyle w:val="Hyperlink"/>
          </w:rPr>
          <w:t xml:space="preserve"> </w:t>
        </w:r>
        <w:r>
          <w:rPr>
            <w:rStyle w:val="Hyperlink"/>
          </w:rPr>
          <w:t xml:space="preserve">Design</w:t>
        </w:r>
        <w:r>
          <w:rPr>
            <w:rStyle w:val="Hyperlink"/>
          </w:rPr>
          <w:t xml:space="preserve"> </w:t>
        </w:r>
        <w:r>
          <w:rPr>
            <w:rStyle w:val="Hyperlink"/>
          </w:rPr>
          <w:t xml:space="preserve">Loads</w:t>
        </w:r>
        <w:r>
          <w:rPr>
            <w:rStyle w:val="Hyperlink"/>
          </w:rPr>
          <w:t xml:space="preserve"> </w:t>
        </w:r>
        <w:r>
          <w:rPr>
            <w:rStyle w:val="Hyperlink"/>
          </w:rPr>
          <w:t xml:space="preserve">and</w:t>
        </w:r>
        <w:r>
          <w:rPr>
            <w:rStyle w:val="Hyperlink"/>
          </w:rPr>
          <w:t xml:space="preserve"> </w:t>
        </w:r>
        <w:r>
          <w:rPr>
            <w:rStyle w:val="Hyperlink"/>
          </w:rPr>
          <w:t xml:space="preserve">Associated</w:t>
        </w:r>
        <w:r>
          <w:rPr>
            <w:rStyle w:val="Hyperlink"/>
          </w:rPr>
          <w:t xml:space="preserve"> </w:t>
        </w:r>
        <w:r>
          <w:rPr>
            <w:rStyle w:val="Hyperlink"/>
          </w:rPr>
          <w:t xml:space="preserve">Criteria</w:t>
        </w:r>
        <w:r>
          <w:rPr>
            <w:rStyle w:val="Hyperlink"/>
          </w:rPr>
          <w:t xml:space="preserve"> </w:t>
        </w:r>
        <w:r>
          <w:rPr>
            <w:rStyle w:val="Hyperlink"/>
          </w:rPr>
          <w:t xml:space="preserve">for</w:t>
        </w:r>
        <w:r>
          <w:rPr>
            <w:rStyle w:val="Hyperlink"/>
          </w:rPr>
          <w:t xml:space="preserve"> </w:t>
        </w:r>
        <w:r>
          <w:rPr>
            <w:rStyle w:val="Hyperlink"/>
          </w:rPr>
          <w:t xml:space="preserve">Buildings</w:t>
        </w:r>
        <w:r>
          <w:rPr>
            <w:rStyle w:val="Hyperlink"/>
          </w:rPr>
          <w:t xml:space="preserve"> </w:t>
        </w:r>
        <w:r>
          <w:rPr>
            <w:rStyle w:val="Hyperlink"/>
          </w:rPr>
          <w:t xml:space="preserve">and</w:t>
        </w:r>
        <w:r>
          <w:rPr>
            <w:rStyle w:val="Hyperlink"/>
          </w:rPr>
          <w:t xml:space="preserve"> </w:t>
        </w:r>
        <w:r>
          <w:rPr>
            <w:rStyle w:val="Hyperlink"/>
          </w:rPr>
          <w:t xml:space="preserve">Other</w:t>
        </w:r>
        <w:r>
          <w:rPr>
            <w:rStyle w:val="Hyperlink"/>
          </w:rPr>
          <w:t xml:space="preserve"> </w:t>
        </w:r>
        <w:r>
          <w:rPr>
            <w:rStyle w:val="Hyperlink"/>
          </w:rPr>
          <w:t xml:space="preserve">Structures</w:t>
        </w:r>
        <w:r>
          <w:rPr>
            <w:rStyle w:val="Hyperlink"/>
          </w:rPr>
          <w:t xml:space="preserve">, 2022</w:t>
        </w:r>
      </w:hyperlink>
      <w:r>
        <w:t xml:space="preserve">)</w:t>
      </w:r>
      <w:r>
        <w:t xml:space="preserve">.</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SC</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Description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Vs30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 rock</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&gt;1500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Medium hard rock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&gt;910-1500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Soft rock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&gt;640-910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dense soil or hard clay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&gt;440-640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Dense sand or very stiff clay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&gt;300-440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Medium dense sand or stiff clay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&gt;210-300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Loose sand or medium stiff clay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&gt;150-210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loose sand or soft clay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&lt;=150 [m/s]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Soils requiring site response analysis (ASCE/SEI 7-22 21.1)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*See ASCE 7 section 20.2.1</w:t>
            </w:r>
          </w:p>
        </w:tc>
      </w:tr>
    </w:tbl>
    <w:bookmarkEnd w:id="295"/>
    <w:p/>
    <w:p>
      <w:pPr>
        <w:pStyle w:val="BodyText"/>
      </w:pPr>
      <w:r>
        <w:t xml:space="preserve"> </w:t>
      </w:r>
    </w:p>
    <w:p>
      <w:pPr>
        <w:pStyle w:val="BodyText"/>
      </w:pPr>
      <w:r>
        <w:t xml:space="preserve">The Australian Standard AS 1726-2017</w:t>
      </w:r>
      <w:r>
        <w:t xml:space="preserve"> </w:t>
      </w:r>
      <w:r>
        <w:t xml:space="preserve">(</w:t>
      </w:r>
      <w:hyperlink w:anchor="ref-AS1726-2017">
        <w:r>
          <w:rPr>
            <w:rStyle w:val="Hyperlink"/>
          </w:rPr>
          <w:t xml:space="preserve">Geotechnical</w:t>
        </w:r>
        <w:r>
          <w:rPr>
            <w:rStyle w:val="Hyperlink"/>
          </w:rPr>
          <w:t xml:space="preserve"> </w:t>
        </w:r>
        <w:r>
          <w:rPr>
            <w:rStyle w:val="Hyperlink"/>
          </w:rPr>
          <w:t xml:space="preserve">Site</w:t>
        </w:r>
        <w:r>
          <w:rPr>
            <w:rStyle w:val="Hyperlink"/>
          </w:rPr>
          <w:t xml:space="preserve"> </w:t>
        </w:r>
        <w:r>
          <w:rPr>
            <w:rStyle w:val="Hyperlink"/>
          </w:rPr>
          <w:t xml:space="preserve">Investigations</w:t>
        </w:r>
        <w:r>
          <w:rPr>
            <w:rStyle w:val="Hyperlink"/>
          </w:rPr>
          <w:t xml:space="preserve">, 2017</w:t>
        </w:r>
      </w:hyperlink>
      <w:r>
        <w:t xml:space="preserve">)</w:t>
      </w:r>
      <w:r>
        <w:t xml:space="preserve"> </w:t>
      </w:r>
      <w:r>
        <w:t xml:space="preserve">provides guidelines for conducting geotechnical investigations and includes a site classification system that categorises sites into classes based on their soil properties, such as shear wave velocity parameter</w:t>
      </w:r>
      <w:r>
        <w:t xml:space="preserve"> </w:t>
      </w:r>
      <m:oMath>
        <m:sSub>
          <m:e>
            <m:acc>
              <m:accPr>
                <m:chr m:val="‾"/>
              </m:accPr>
              <m:e>
                <m:r>
                  <m:t>v</m:t>
                </m:r>
              </m:e>
            </m:acc>
          </m:e>
          <m:sub>
            <m:r>
              <m:t>S</m:t>
            </m:r>
          </m:sub>
        </m:sSub>
      </m:oMath>
      <w:r>
        <w:t xml:space="preserve">, depth to bedrock, and soil type. The Australian Standard AS 1170.4</w:t>
      </w:r>
      <w:r>
        <w:t xml:space="preserve"> </w:t>
      </w:r>
      <w:r>
        <w:t xml:space="preserve">“Earthquake Actions on Structures”</w:t>
      </w:r>
      <w:r>
        <w:t xml:space="preserve"> </w:t>
      </w:r>
      <w:r>
        <w:t xml:space="preserve">uses a similar site classification system based on the stiffness of the ground, but it does not explicitly use the shear wave velocity parameter</w:t>
      </w:r>
      <w:r>
        <w:t xml:space="preserve"> </w:t>
      </w:r>
      <m:oMath>
        <m:sSub>
          <m:e>
            <m:acc>
              <m:accPr>
                <m:chr m:val="‾"/>
              </m:accPr>
              <m:e>
                <m:r>
                  <m:t>v</m:t>
                </m:r>
              </m:e>
            </m:acc>
          </m:e>
          <m:sub>
            <m:r>
              <m:t>S</m:t>
            </m:r>
          </m:sub>
        </m:sSub>
      </m:oMath>
      <w:r>
        <w:t xml:space="preserve"> </w:t>
      </w:r>
      <w:r>
        <w:t xml:space="preserve">to classify the ground. The categories range from A (rock) to E (soft soil), with a special category (S) for sites requiring site-specific investigations.</w:t>
      </w:r>
    </w:p>
    <w:p>
      <w:pPr>
        <w:pStyle w:val="BodyText"/>
      </w:pPr>
      <w:r>
        <w:t xml:space="preserve"> </w:t>
      </w:r>
    </w:p>
    <w:bookmarkStart w:id="296" w:name="tbl-scas"/>
    <w:p>
      <w:pPr>
        <w:pStyle w:val="ImageCaption"/>
        <w:spacing w:before="200"/>
        <w:jc w:val="left"/>
      </w:pPr>
      <w:r>
        <w:t xml:space="preserve">Table 6.5: Site Classification. Source: Australian Standard AS-1726</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SC</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Description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Vs30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Strong Rocks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&gt;1500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&gt;360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Shallow soil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&gt;150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Deep or soft soil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&gt;150 [m/s]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soft soil site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&lt;=150 [m/s]</w:t>
            </w:r>
          </w:p>
        </w:tc>
      </w:tr>
    </w:tbl>
    <w:bookmarkEnd w:id="296"/>
    <w:p/>
    <w:p>
      <w:pPr>
        <w:pStyle w:val="BodyText"/>
      </w:pPr>
      <w:r>
        <w:t xml:space="preserve"> </w:t>
      </w:r>
    </w:p>
    <w:p>
      <w:pPr>
        <w:pStyle w:val="BodyText"/>
      </w:pPr>
      <w:r>
        <w:t xml:space="preserve">The National Building Code of Canada</w:t>
      </w:r>
      <w:r>
        <w:t xml:space="preserve"> </w:t>
      </w:r>
      <w:r>
        <w:t xml:space="preserve">(</w:t>
      </w:r>
      <w:hyperlink w:anchor="ref-NBC2020">
        <w:r>
          <w:rPr>
            <w:rStyle w:val="Hyperlink"/>
          </w:rPr>
          <w:t xml:space="preserve">National</w:t>
        </w:r>
        <w:r>
          <w:rPr>
            <w:rStyle w:val="Hyperlink"/>
          </w:rPr>
          <w:t xml:space="preserve"> </w:t>
        </w:r>
        <w:r>
          <w:rPr>
            <w:rStyle w:val="Hyperlink"/>
          </w:rPr>
          <w:t xml:space="preserve">Building</w:t>
        </w:r>
        <w:r>
          <w:rPr>
            <w:rStyle w:val="Hyperlink"/>
          </w:rPr>
          <w:t xml:space="preserve"> </w:t>
        </w:r>
        <w:r>
          <w:rPr>
            <w:rStyle w:val="Hyperlink"/>
          </w:rPr>
          <w:t xml:space="preserve">Code</w:t>
        </w:r>
        <w:r>
          <w:rPr>
            <w:rStyle w:val="Hyperlink"/>
          </w:rPr>
          <w:t xml:space="preserve"> </w:t>
        </w:r>
        <w:r>
          <w:rPr>
            <w:rStyle w:val="Hyperlink"/>
          </w:rPr>
          <w:t xml:space="preserve">of</w:t>
        </w:r>
        <w:r>
          <w:rPr>
            <w:rStyle w:val="Hyperlink"/>
          </w:rPr>
          <w:t xml:space="preserve"> </w:t>
        </w:r>
        <w:r>
          <w:rPr>
            <w:rStyle w:val="Hyperlink"/>
          </w:rPr>
          <w:t xml:space="preserve">Canada</w:t>
        </w:r>
        <w:r>
          <w:rPr>
            <w:rStyle w:val="Hyperlink"/>
          </w:rPr>
          <w:t xml:space="preserve">, 2020</w:t>
        </w:r>
      </w:hyperlink>
      <w:r>
        <w:t xml:space="preserve">)</w:t>
      </w:r>
      <w:r>
        <w:t xml:space="preserve"> </w:t>
      </w:r>
      <w:r>
        <w:t xml:space="preserve">provides guidelines for site characterization and seismic site response. Similar to ASCE 7-22, it uses an average shear wave velocity in the upper 30 m (commonly denoted</w:t>
      </w:r>
      <w:r>
        <w:t xml:space="preserve"> </w:t>
      </w:r>
      <m:oMath>
        <m:sSub>
          <m:e>
            <m:r>
              <m:t>v</m:t>
            </m:r>
          </m:e>
          <m:sub>
            <m:r>
              <m:t>S</m:t>
            </m:r>
            <m:r>
              <m:t>30</m:t>
            </m:r>
          </m:sub>
        </m:sSub>
      </m:oMath>
      <w:r>
        <w:t xml:space="preserve">), standard penetration test (SPT) blow count, and/or undrained shear strength (</w:t>
      </w:r>
      <m:oMath>
        <m:sSub>
          <m:e>
            <m:r>
              <m:t>s</m:t>
            </m:r>
          </m:e>
          <m:sub>
            <m:r>
              <m:t>u</m:t>
            </m:r>
          </m:sub>
        </m:sSub>
      </m:oMath>
      <w:r>
        <w:t xml:space="preserve">) to classify sites into categories A through F. Where site-specific investigations are warranted (e.g., liquefiable soils, highly sensitive clays, peat), the code requires more detailed analysis.</w:t>
      </w:r>
    </w:p>
    <w:p>
      <w:pPr>
        <w:pStyle w:val="BodyText"/>
      </w:pPr>
      <w:r>
        <w:t xml:space="preserve"> </w:t>
      </w:r>
    </w:p>
    <w:bookmarkStart w:id="297" w:name="tbl-scnbc"/>
    <w:p>
      <w:pPr>
        <w:pStyle w:val="ImageCaption"/>
        <w:spacing w:before="200"/>
        <w:jc w:val="left"/>
      </w:pPr>
      <w:r>
        <w:t xml:space="preserve">Table 6.6: Site Classification. Source: National Building Code of Canada NBC (2020)</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SC</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Description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Vs30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 rocks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&gt;1500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&gt;760-1500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Very dense soils or soft rocks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&gt;360-760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Stiff soils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&gt;180-360 [m/s]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Soft soils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&gt;140-360 [m/s]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Other soils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&lt;=140 [m/s]</w:t>
            </w:r>
          </w:p>
        </w:tc>
      </w:tr>
    </w:tbl>
    <w:bookmarkEnd w:id="297"/>
    <w:p/>
    <w:p>
      <w:pPr>
        <w:pStyle w:val="BodyText"/>
      </w:pPr>
      <w:r>
        <w:t xml:space="preserve"> </w:t>
      </w:r>
    </w:p>
    <w:bookmarkEnd w:id="298"/>
    <w:bookmarkEnd w:id="299"/>
    <w:bookmarkStart w:id="300" w:name="sec-newmark-appendix"/>
    <w:p>
      <w:pPr>
        <w:pStyle w:val="Heading2"/>
      </w:pPr>
      <w:r>
        <w:t xml:space="preserve">6.5</w:t>
      </w:r>
      <w:r>
        <w:tab/>
      </w:r>
      <w:r>
        <w:t xml:space="preserve">Newmark Permanent-Displacement Formulations</w:t>
      </w:r>
    </w:p>
    <w:p>
      <w:pPr>
        <w:pStyle w:val="FirstParagraph"/>
      </w:pPr>
      <w:r>
        <w:t xml:space="preserve">The seismic-coefficient chapter applies five Newmark permanent-displacement formulations: three rigid-block models, two flexible-block models and, among the latter, the BM branch selected by the tectonic control of the project. This appendix reproduces the published form of each formulation, including both BM branches, and states the rule that defines the active configuration. The rigid-block formulations relate the displacement to measures of the base excitation, whereas the flexible-block formulations additionally incorporate the dynamic response of the sliding mass through its fundamental period</w:t>
      </w:r>
      <w:r>
        <w:t xml:space="preserve"> </w:t>
      </w:r>
      <m:oMath>
        <m:sSub>
          <m:e>
            <m:r>
              <m:t>T</m:t>
            </m:r>
          </m:e>
          <m:sub>
            <m:r>
              <m:t>s</m:t>
            </m:r>
          </m:sub>
        </m:sSub>
      </m:oMath>
      <w:r>
        <w:t xml:space="preserve"> </w:t>
      </w:r>
      <w:r>
        <w:t xml:space="preserve">and the spectral acceleration evaluated at a period proportional to</w:t>
      </w:r>
      <w:r>
        <w:t xml:space="preserve"> </w:t>
      </w:r>
      <m:oMath>
        <m:sSub>
          <m:e>
            <m:r>
              <m:t>T</m:t>
            </m:r>
          </m:e>
          <m:sub>
            <m:r>
              <m:t>s</m:t>
            </m:r>
          </m:sub>
        </m:sSub>
      </m:oMath>
      <w:r>
        <w:t xml:space="preserve">.</w:t>
      </w:r>
    </w:p>
    <w:bookmarkEnd w:id="300"/>
    <w:bookmarkStart w:id="307" w:name="sec-newmark-rigid"/>
    <w:p>
      <w:pPr>
        <w:pStyle w:val="Heading2"/>
      </w:pPr>
      <w:r>
        <w:t xml:space="preserve">6.6</w:t>
      </w:r>
      <w:r>
        <w:tab/>
      </w:r>
      <w:r>
        <w:t xml:space="preserve">Rigid-Block Models</w:t>
      </w:r>
    </w:p>
    <w:p>
      <w:pPr>
        <w:pStyle w:val="FirstParagraph"/>
      </w:pPr>
      <w:r>
        <w:t xml:space="preserve">The</w:t>
      </w:r>
      <w:r>
        <w:t xml:space="preserve"> </w:t>
      </w:r>
      <w:r>
        <w:rPr>
          <w:rStyle w:val="VerbatimChar"/>
        </w:rPr>
        <w:t xml:space="preserve">AM88</w:t>
      </w:r>
      <w:r>
        <w:t xml:space="preserve"> </w:t>
      </w:r>
      <w:r>
        <w:t xml:space="preserve">formulation</w:t>
      </w:r>
      <w:r>
        <w:t xml:space="preserve"> </w:t>
      </w:r>
      <w:r>
        <w:t xml:space="preserve">(</w:t>
      </w:r>
      <w:hyperlink w:anchor="ref-AmbraseysMenu1988">
        <w:r>
          <w:rPr>
            <w:rStyle w:val="Hyperlink"/>
          </w:rPr>
          <w:t xml:space="preserve">Ambraseys &amp; Menu, 1988</w:t>
        </w:r>
      </w:hyperlink>
      <w:r>
        <w:t xml:space="preserve">)</w:t>
      </w:r>
      <w:r>
        <w:t xml:space="preserve"> </w:t>
      </w:r>
      <w:r>
        <w:t xml:space="preserve">uses the ratio of yield acceleration to PGA, capped to preserve the logarithmic domain,</w:t>
      </w:r>
      <w:r>
        <w:t xml:space="preserve"> </w:t>
      </w:r>
      <m:oMath>
        <m:sSup>
          <m:e>
            <m:r>
              <m:t>r</m:t>
            </m:r>
          </m:e>
          <m:sup>
            <m:r>
              <m:rPr>
                <m:sty m:val="p"/>
              </m:rPr>
              <m:t>⋆</m:t>
            </m:r>
          </m:sup>
        </m:sSup>
        <m:r>
          <m:rPr>
            <m:sty m:val="p"/>
          </m:rPr>
          <m:t>=</m:t>
        </m:r>
        <m:r>
          <m:rPr>
            <m:sty m:val="p"/>
          </m:rPr>
          <m:t>min</m:t>
        </m:r>
        <m:r>
          <m:rPr>
            <m:sty m:val="p"/>
          </m:rPr>
          <m:t>(</m:t>
        </m:r>
        <m:sSub>
          <m:e>
            <m:r>
              <m:t>k</m:t>
            </m:r>
          </m:e>
          <m:sub>
            <m:r>
              <m:t>y</m:t>
            </m:r>
          </m:sub>
        </m:sSub>
        <m:r>
          <m:rPr>
            <m:sty m:val="p"/>
          </m:rPr>
          <m:t>/</m:t>
        </m:r>
        <m:r>
          <m:rPr>
            <m:sty m:val="p"/>
          </m:rPr>
          <m:t>P</m:t>
        </m:r>
        <m:r>
          <m:rPr>
            <m:sty m:val="p"/>
          </m:rPr>
          <m:t>G</m:t>
        </m:r>
        <m:r>
          <m:rPr>
            <m:sty m:val="p"/>
          </m:rPr>
          <m:t>A</m:t>
        </m:r>
        <m:r>
          <m:rPr>
            <m:sty m:val="p"/>
          </m:rPr>
          <m:t>,</m:t>
        </m:r>
        <m:r>
          <m:t>0.9999</m:t>
        </m:r>
        <m:r>
          <m:rPr>
            <m:sty m:val="p"/>
          </m:rPr>
          <m:t>)</m:t>
        </m:r>
      </m:oMath>
      <w:r>
        <w:rPr>
          <w:rStyle w:val="FootnoteReference"/>
        </w:rPr>
        <w:footnoteReference w:id="301"/>
      </w:r>
      <w:r>
        <w:t xml:space="preserve">:</w:t>
      </w:r>
    </w:p>
    <w:p>
      <w:pPr>
        <w:pStyle w:val="Equation"/>
      </w:pPr>
      <w:bookmarkStart w:id="302" w:name="eq-newmark-am88"/>
      <w:r>
        <w:tab/>
      </w:r>
      <m:oMath>
        <m:eqArr>
          <m:e>
            <m:sSub>
              <m:e>
                <m:r>
                  <m:t>μ</m:t>
                </m:r>
              </m:e>
              <m:sub>
                <m:r>
                  <m:rPr>
                    <m:sty m:val="p"/>
                  </m:rPr>
                  <m:t>ln</m:t>
                </m:r>
                <m:r>
                  <m:t>D</m:t>
                </m:r>
              </m:sub>
            </m:sSub>
            <m:r>
              <m:t>&amp;</m:t>
            </m:r>
            <m:r>
              <m:rPr>
                <m:sty m:val="p"/>
              </m:rPr>
              <m:t>=</m:t>
            </m:r>
            <m:r>
              <m:rPr>
                <m:sty m:val="p"/>
              </m:rPr>
              <m:t>ln</m:t>
            </m:r>
            <m:r>
              <m:rPr>
                <m:sty m:val="p"/>
              </m:rPr>
              <m:t>(</m:t>
            </m:r>
            <m:r>
              <m:t>10</m:t>
            </m:r>
            <m:r>
              <m:rPr>
                <m:sty m:val="p"/>
              </m:rPr>
              <m:t>)</m:t>
            </m:r>
            <m:d>
              <m:dPr>
                <m:begChr m:val="["/>
                <m:sepChr m:val=""/>
                <m:endChr m:val="]"/>
                <m:grow/>
              </m:dPr>
              <m:e>
                <m:r>
                  <m:t>0.90</m:t>
                </m:r>
                <m:r>
                  <m:rPr>
                    <m:sty m:val="p"/>
                  </m:rPr>
                  <m:t>+</m:t>
                </m:r>
                <m:sSub>
                  <m:e>
                    <m:r>
                      <m:rPr>
                        <m:sty m:val="p"/>
                      </m:rPr>
                      <m:t>log</m:t>
                    </m:r>
                  </m:e>
                  <m:sub>
                    <m:r>
                      <m:t>10</m:t>
                    </m:r>
                  </m:sub>
                </m:sSub>
                <m:r>
                  <m:t>​</m:t>
                </m:r>
                <m:d>
                  <m:dPr>
                    <m:begChr m:val="("/>
                    <m:sepChr m:val=""/>
                    <m:endChr m:val=")"/>
                    <m:grow/>
                  </m:dPr>
                  <m:e>
                    <m:r>
                      <m:rPr>
                        <m:sty m:val="p"/>
                      </m:rPr>
                      <m:t>(</m:t>
                    </m:r>
                    <m:r>
                      <m:t>1</m:t>
                    </m:r>
                    <m:r>
                      <m:rPr>
                        <m:sty m:val="p"/>
                      </m:rPr>
                      <m:t>−</m:t>
                    </m:r>
                    <m:sSup>
                      <m:e>
                        <m:r>
                          <m:t>r</m:t>
                        </m:r>
                      </m:e>
                      <m:sup>
                        <m:r>
                          <m:rPr>
                            <m:sty m:val="p"/>
                          </m:rPr>
                          <m:t>⋆</m:t>
                        </m:r>
                      </m:sup>
                    </m:sSup>
                    <m:sSup>
                      <m:e>
                        <m:r>
                          <m:rPr>
                            <m:sty m:val="p"/>
                          </m:rPr>
                          <m:t>)</m:t>
                        </m:r>
                      </m:e>
                      <m:sup>
                        <m:r>
                          <m:t>2.53</m:t>
                        </m:r>
                      </m:sup>
                    </m:sSup>
                    <m:r>
                      <m:rPr>
                        <m:sty m:val="p"/>
                      </m:rPr>
                      <m:t>(</m:t>
                    </m:r>
                    <m:sSup>
                      <m:e>
                        <m:r>
                          <m:t>r</m:t>
                        </m:r>
                      </m:e>
                      <m:sup>
                        <m:r>
                          <m:rPr>
                            <m:sty m:val="p"/>
                          </m:rPr>
                          <m:t>⋆</m:t>
                        </m:r>
                      </m:sup>
                    </m:sSup>
                    <m:sSup>
                      <m:e>
                        <m:r>
                          <m:rPr>
                            <m:sty m:val="p"/>
                          </m:rPr>
                          <m:t>)</m:t>
                        </m:r>
                      </m:e>
                      <m:sup>
                        <m:r>
                          <m:rPr>
                            <m:sty m:val="p"/>
                          </m:rPr>
                          <m:t>−</m:t>
                        </m:r>
                        <m:r>
                          <m:t>1.09</m:t>
                        </m:r>
                      </m:sup>
                    </m:sSup>
                  </m:e>
                </m:d>
              </m:e>
            </m:d>
            <m:r>
              <m:rPr>
                <m:sty m:val="p"/>
              </m:rPr>
              <m:t>,</m:t>
            </m:r>
          </m:e>
          <m:e>
            <m:sSub>
              <m:e>
                <m:r>
                  <m:t>σ</m:t>
                </m:r>
              </m:e>
              <m:sub>
                <m:r>
                  <m:rPr>
                    <m:sty m:val="p"/>
                  </m:rPr>
                  <m:t>ln</m:t>
                </m:r>
                <m:r>
                  <m:t>D</m:t>
                </m:r>
              </m:sub>
            </m:sSub>
            <m:r>
              <m:t>&amp;</m:t>
            </m:r>
            <m:r>
              <m:rPr>
                <m:sty m:val="p"/>
              </m:rPr>
              <m:t>=</m:t>
            </m:r>
            <m:r>
              <m:t>0.30</m:t>
            </m:r>
            <m:r>
              <m:rPr>
                <m:sty m:val="p"/>
              </m:rPr>
              <m:t>ln</m:t>
            </m:r>
            <m:r>
              <m:rPr>
                <m:sty m:val="p"/>
              </m:rPr>
              <m:t>(</m:t>
            </m:r>
            <m:r>
              <m:t>10</m:t>
            </m:r>
            <m:r>
              <m:rPr>
                <m:sty m:val="p"/>
              </m:rPr>
              <m:t>)</m:t>
            </m:r>
            <m:r>
              <m:rPr>
                <m:sty m:val="p"/>
              </m:rPr>
              <m:t>.</m:t>
            </m:r>
          </m:e>
        </m:eqArr>
      </m:oMath>
      <w:r>
        <w:tab/>
      </w:r>
      <w:r>
        <w:t xml:space="preserve">(6.2)</w:t>
      </w:r>
      <w:bookmarkEnd w:id="302"/>
    </w:p>
    <w:p>
      <w:pPr>
        <w:pStyle w:val="BodyText"/>
      </w:pPr>
      <w:r>
        <w:t xml:space="preserve">The two remaining rigid-block formulations, JB07 and SR08, use the Arias intensity, which is estimated for each realization from the PGA</w:t>
      </w:r>
      <w:r>
        <w:t xml:space="preserve"> </w:t>
      </w:r>
      <w:r>
        <w:t xml:space="preserve">(</w:t>
      </w:r>
      <w:hyperlink w:anchor="ref-Verri2023a">
        <w:r>
          <w:rPr>
            <w:rStyle w:val="Hyperlink"/>
          </w:rPr>
          <w:t xml:space="preserve">Verri Kozlowski, 2023</w:t>
        </w:r>
      </w:hyperlink>
      <w:r>
        <w:t xml:space="preserve">)</w:t>
      </w:r>
      <w:r>
        <w:t xml:space="preserve">:</w:t>
      </w:r>
    </w:p>
    <w:p>
      <w:pPr>
        <w:pStyle w:val="Equation"/>
      </w:pPr>
      <w:bookmarkStart w:id="303" w:name="eq-newmark-arias"/>
      <w:r>
        <w:tab/>
      </w:r>
      <m:oMath>
        <m:sSub>
          <m:e>
            <m:r>
              <m:t>I</m:t>
            </m:r>
          </m:e>
          <m:sub>
            <m:r>
              <m:t>A</m:t>
            </m:r>
          </m:sub>
        </m:sSub>
        <m:r>
          <m:rPr>
            <m:sty m:val="p"/>
          </m:rPr>
          <m:t>=</m:t>
        </m:r>
        <m:r>
          <m:rPr>
            <m:sty m:val="p"/>
          </m:rPr>
          <m:t>exp</m:t>
        </m:r>
        <m:r>
          <m:rPr>
            <m:sty m:val="p"/>
          </m:rPr>
          <m:t>(</m:t>
        </m:r>
        <m:r>
          <m:t>2.6109</m:t>
        </m:r>
        <m:r>
          <m:rPr>
            <m:sty m:val="p"/>
          </m:rPr>
          <m:t>)</m:t>
        </m:r>
        <m:r>
          <m:t> </m:t>
        </m:r>
        <m:sSup>
          <m:e>
            <m:r>
              <m:rPr>
                <m:sty m:val="p"/>
              </m:rPr>
              <m:t>P</m:t>
            </m:r>
            <m:r>
              <m:rPr>
                <m:sty m:val="p"/>
              </m:rPr>
              <m:t>G</m:t>
            </m:r>
            <m:r>
              <m:rPr>
                <m:sty m:val="p"/>
              </m:rPr>
              <m:t>A</m:t>
            </m:r>
          </m:e>
          <m:sup>
            <m:r>
              <m:t>1.9228</m:t>
            </m:r>
          </m:sup>
        </m:sSup>
        <m:r>
          <m:rPr>
            <m:sty m:val="p"/>
          </m:rPr>
          <m:t>.</m:t>
        </m:r>
      </m:oMath>
      <w:r>
        <w:tab/>
      </w:r>
      <w:r>
        <w:t xml:space="preserve">(6.3)</w:t>
      </w:r>
      <w:bookmarkEnd w:id="303"/>
    </w:p>
    <w:p>
      <w:pPr>
        <w:pStyle w:val="BodyText"/>
      </w:pPr>
      <w:r>
        <w:t xml:space="preserve">where</w:t>
      </w:r>
      <w:r>
        <w:t xml:space="preserve"> </w:t>
      </w:r>
      <m:oMath>
        <m:sSub>
          <m:e>
            <m:r>
              <m:t>I</m:t>
            </m:r>
          </m:e>
          <m:sub>
            <m:r>
              <m:t>A</m:t>
            </m:r>
          </m:sub>
        </m:sSub>
      </m:oMath>
      <w:r>
        <w:t xml:space="preserve"> </w:t>
      </w:r>
      <w:r>
        <w:t xml:space="preserve">is expressed in m/s and PGA in units of</w:t>
      </w:r>
      <w:r>
        <w:t xml:space="preserve"> </w:t>
      </w:r>
      <m:oMath>
        <m:r>
          <m:t>g</m:t>
        </m:r>
      </m:oMath>
      <w:r>
        <w:t xml:space="preserve">; the relation is applied deterministically, so that each PGA realization determines a single value of</w:t>
      </w:r>
      <w:r>
        <w:t xml:space="preserve"> </w:t>
      </w:r>
      <m:oMath>
        <m:sSub>
          <m:e>
            <m:r>
              <m:t>I</m:t>
            </m:r>
          </m:e>
          <m:sub>
            <m:r>
              <m:t>A</m:t>
            </m:r>
          </m:sub>
        </m:sSub>
      </m:oMath>
      <w:r>
        <w:t xml:space="preserve"> </w:t>
      </w:r>
      <w:r>
        <w:t xml:space="preserve">and the displacement sample propagates the PGA variability. The</w:t>
      </w:r>
      <w:r>
        <w:t xml:space="preserve"> </w:t>
      </w:r>
      <w:r>
        <w:rPr>
          <w:rStyle w:val="VerbatimChar"/>
        </w:rPr>
        <w:t xml:space="preserve">JB07</w:t>
      </w:r>
      <w:r>
        <w:t xml:space="preserve"> </w:t>
      </w:r>
      <w:r>
        <w:t xml:space="preserve">formulation</w:t>
      </w:r>
      <w:r>
        <w:t xml:space="preserve"> </w:t>
      </w:r>
      <w:r>
        <w:t xml:space="preserve">(</w:t>
      </w:r>
      <w:hyperlink w:anchor="ref-Jibson2007">
        <w:r>
          <w:rPr>
            <w:rStyle w:val="Hyperlink"/>
          </w:rPr>
          <w:t xml:space="preserve">Jibson, 2007</w:t>
        </w:r>
      </w:hyperlink>
      <w:r>
        <w:t xml:space="preserve">)</w:t>
      </w:r>
      <w:r>
        <w:t xml:space="preserve"> </w:t>
      </w:r>
      <w:r>
        <w:t xml:space="preserve">incorporates the Arias intensity and the ratio</w:t>
      </w:r>
      <w:r>
        <w:t xml:space="preserve"> </w:t>
      </w:r>
      <m:oMath>
        <m:sSub>
          <m:e>
            <m:r>
              <m:t>k</m:t>
            </m:r>
          </m:e>
          <m:sub>
            <m:r>
              <m:t>y</m:t>
            </m:r>
          </m:sub>
        </m:sSub>
        <m:r>
          <m:rPr>
            <m:sty m:val="p"/>
          </m:rPr>
          <m:t>/</m:t>
        </m:r>
        <m:r>
          <m:rPr>
            <m:sty m:val="p"/>
          </m:rPr>
          <m:t>P</m:t>
        </m:r>
        <m:r>
          <m:rPr>
            <m:sty m:val="p"/>
          </m:rPr>
          <m:t>G</m:t>
        </m:r>
        <m:r>
          <m:rPr>
            <m:sty m:val="p"/>
          </m:rPr>
          <m:t>A</m:t>
        </m:r>
      </m:oMath>
      <w:r>
        <w:t xml:space="preserve">:</w:t>
      </w:r>
    </w:p>
    <w:p>
      <w:pPr>
        <w:pStyle w:val="Equation"/>
      </w:pPr>
      <w:bookmarkStart w:id="304" w:name="eq-newmark-jb07"/>
      <w:r>
        <w:tab/>
      </w:r>
      <m:oMath>
        <m:eqArr>
          <m:e>
            <m:sSub>
              <m:e>
                <m:r>
                  <m:t>μ</m:t>
                </m:r>
              </m:e>
              <m:sub>
                <m:r>
                  <m:rPr>
                    <m:sty m:val="p"/>
                  </m:rPr>
                  <m:t>ln</m:t>
                </m:r>
                <m:r>
                  <m:t>D</m:t>
                </m:r>
              </m:sub>
            </m:sSub>
            <m:r>
              <m:t>&amp;</m:t>
            </m:r>
            <m:r>
              <m:rPr>
                <m:sty m:val="p"/>
              </m:rPr>
              <m:t>=</m:t>
            </m:r>
            <m:r>
              <m:rPr>
                <m:sty m:val="p"/>
              </m:rPr>
              <m:t>ln</m:t>
            </m:r>
            <m:r>
              <m:rPr>
                <m:sty m:val="p"/>
              </m:rPr>
              <m:t>(</m:t>
            </m:r>
            <m:r>
              <m:t>10</m:t>
            </m:r>
            <m:r>
              <m:rPr>
                <m:sty m:val="p"/>
              </m:rPr>
              <m:t>)</m:t>
            </m:r>
            <m:d>
              <m:dPr>
                <m:begChr m:val="["/>
                <m:sepChr m:val=""/>
                <m:endChr m:val="]"/>
                <m:grow/>
              </m:dPr>
              <m:e>
                <m:r>
                  <m:t>0.561</m:t>
                </m:r>
                <m:sSub>
                  <m:e>
                    <m:r>
                      <m:rPr>
                        <m:sty m:val="p"/>
                      </m:rPr>
                      <m:t>log</m:t>
                    </m:r>
                  </m:e>
                  <m:sub>
                    <m:r>
                      <m:t>10</m:t>
                    </m:r>
                  </m:sub>
                </m:sSub>
                <m:sSub>
                  <m:e>
                    <m:r>
                      <m:t>I</m:t>
                    </m:r>
                  </m:e>
                  <m:sub>
                    <m:r>
                      <m:t>A</m:t>
                    </m:r>
                  </m:sub>
                </m:sSub>
                <m:r>
                  <m:rPr>
                    <m:sty m:val="p"/>
                  </m:rPr>
                  <m:t>−</m:t>
                </m:r>
                <m:r>
                  <m:t>3.833</m:t>
                </m:r>
                <m:sSub>
                  <m:e>
                    <m:r>
                      <m:rPr>
                        <m:sty m:val="p"/>
                      </m:rPr>
                      <m:t>log</m:t>
                    </m:r>
                  </m:e>
                  <m:sub>
                    <m:r>
                      <m:t>10</m:t>
                    </m:r>
                  </m:sub>
                </m:sSub>
                <m:r>
                  <m:t>​</m:t>
                </m:r>
                <m:d>
                  <m:dPr>
                    <m:begChr m:val="("/>
                    <m:sepChr m:val=""/>
                    <m:endChr m:val=")"/>
                    <m:grow/>
                  </m:dPr>
                  <m:e>
                    <m:f>
                      <m:fPr>
                        <m:type m:val="bar"/>
                      </m:fPr>
                      <m:num>
                        <m:sSub>
                          <m:e>
                            <m:r>
                              <m:t>k</m:t>
                            </m:r>
                          </m:e>
                          <m:sub>
                            <m:r>
                              <m:t>y</m:t>
                            </m:r>
                          </m:sub>
                        </m:sSub>
                      </m:num>
                      <m:den>
                        <m:r>
                          <m:rPr>
                            <m:sty m:val="p"/>
                          </m:rPr>
                          <m:t>P</m:t>
                        </m:r>
                        <m:r>
                          <m:rPr>
                            <m:sty m:val="p"/>
                          </m:rPr>
                          <m:t>G</m:t>
                        </m:r>
                        <m:r>
                          <m:rPr>
                            <m:sty m:val="p"/>
                          </m:rPr>
                          <m:t>A</m:t>
                        </m:r>
                      </m:den>
                    </m:f>
                  </m:e>
                </m:d>
                <m:r>
                  <m:rPr>
                    <m:sty m:val="p"/>
                  </m:rPr>
                  <m:t>−</m:t>
                </m:r>
                <m:r>
                  <m:t>1.474</m:t>
                </m:r>
              </m:e>
            </m:d>
            <m:r>
              <m:rPr>
                <m:sty m:val="p"/>
              </m:rPr>
              <m:t>,</m:t>
            </m:r>
          </m:e>
          <m:e>
            <m:sSub>
              <m:e>
                <m:r>
                  <m:t>σ</m:t>
                </m:r>
              </m:e>
              <m:sub>
                <m:r>
                  <m:rPr>
                    <m:sty m:val="p"/>
                  </m:rPr>
                  <m:t>ln</m:t>
                </m:r>
                <m:r>
                  <m:t>D</m:t>
                </m:r>
              </m:sub>
            </m:sSub>
            <m:r>
              <m:t>&amp;</m:t>
            </m:r>
            <m:r>
              <m:rPr>
                <m:sty m:val="p"/>
              </m:rPr>
              <m:t>=</m:t>
            </m:r>
            <m:r>
              <m:t>0.616</m:t>
            </m:r>
            <m:r>
              <m:rPr>
                <m:sty m:val="p"/>
              </m:rPr>
              <m:t>ln</m:t>
            </m:r>
            <m:r>
              <m:rPr>
                <m:sty m:val="p"/>
              </m:rPr>
              <m:t>(</m:t>
            </m:r>
            <m:r>
              <m:t>10</m:t>
            </m:r>
            <m:r>
              <m:rPr>
                <m:sty m:val="p"/>
              </m:rPr>
              <m:t>)</m:t>
            </m:r>
            <m:r>
              <m:rPr>
                <m:sty m:val="p"/>
              </m:rPr>
              <m:t>.</m:t>
            </m:r>
          </m:e>
        </m:eqArr>
      </m:oMath>
      <w:r>
        <w:tab/>
      </w:r>
      <w:r>
        <w:t xml:space="preserve">(6.4)</w:t>
      </w:r>
      <w:bookmarkEnd w:id="304"/>
    </w:p>
    <w:p>
      <w:pPr>
        <w:pStyle w:val="BodyText"/>
      </w:pPr>
      <w:r>
        <w:t xml:space="preserve">The</w:t>
      </w:r>
      <w:r>
        <w:t xml:space="preserve"> </w:t>
      </w:r>
      <w:r>
        <w:rPr>
          <w:rStyle w:val="VerbatimChar"/>
        </w:rPr>
        <w:t xml:space="preserve">SR08</w:t>
      </w:r>
      <w:r>
        <w:t xml:space="preserve"> </w:t>
      </w:r>
      <w:r>
        <w:t xml:space="preserve">formulation</w:t>
      </w:r>
      <w:r>
        <w:t xml:space="preserve"> </w:t>
      </w:r>
      <w:r>
        <w:t xml:space="preserve">(</w:t>
      </w:r>
      <w:hyperlink w:anchor="ref-SaygiliRathje2008">
        <w:r>
          <w:rPr>
            <w:rStyle w:val="Hyperlink"/>
          </w:rPr>
          <w:t xml:space="preserve">Saygili &amp; Rathje, 2008</w:t>
        </w:r>
      </w:hyperlink>
      <w:r>
        <w:t xml:space="preserve">)</w:t>
      </w:r>
      <w:r>
        <w:t xml:space="preserve"> </w:t>
      </w:r>
      <w:r>
        <w:t xml:space="preserve">defines</w:t>
      </w:r>
      <w:r>
        <w:t xml:space="preserve"> </w:t>
      </w:r>
      <m:oMath>
        <m:r>
          <m:t>r</m:t>
        </m:r>
        <m:r>
          <m:rPr>
            <m:sty m:val="p"/>
          </m:rPr>
          <m:t>=</m:t>
        </m:r>
        <m:sSub>
          <m:e>
            <m:r>
              <m:t>k</m:t>
            </m:r>
          </m:e>
          <m:sub>
            <m:r>
              <m:t>y</m:t>
            </m:r>
          </m:sub>
        </m:sSub>
        <m:r>
          <m:rPr>
            <m:sty m:val="p"/>
          </m:rPr>
          <m:t>/</m:t>
        </m:r>
        <m:r>
          <m:rPr>
            <m:sty m:val="p"/>
          </m:rPr>
          <m:t>P</m:t>
        </m:r>
        <m:r>
          <m:rPr>
            <m:sty m:val="p"/>
          </m:rPr>
          <m:t>G</m:t>
        </m:r>
        <m:r>
          <m:rPr>
            <m:sty m:val="p"/>
          </m:rPr>
          <m:t>A</m:t>
        </m:r>
      </m:oMath>
      <w:r>
        <w:t xml:space="preserve"> </w:t>
      </w:r>
      <w:r>
        <w:t xml:space="preserve">and combines PGA and Arias intensity:</w:t>
      </w:r>
    </w:p>
    <w:p>
      <w:pPr>
        <w:pStyle w:val="Equation"/>
      </w:pPr>
      <w:bookmarkStart w:id="305" w:name="eq-newmark-sr08"/>
      <w:r>
        <w:tab/>
      </w:r>
      <m:oMath>
        <m:eqArr>
          <m:e>
            <m:sSub>
              <m:e>
                <m:r>
                  <m:t>μ</m:t>
                </m:r>
              </m:e>
              <m:sub>
                <m:r>
                  <m:rPr>
                    <m:sty m:val="p"/>
                  </m:rPr>
                  <m:t>ln</m:t>
                </m:r>
                <m:r>
                  <m:t>D</m:t>
                </m:r>
              </m:sub>
            </m:sSub>
            <m:r>
              <m:rPr>
                <m:sty m:val="p"/>
              </m:rPr>
              <m:t>=</m:t>
            </m:r>
            <m:r>
              <m:t>​</m:t>
            </m:r>
            <m:r>
              <m:t>&amp;</m:t>
            </m:r>
            <m:r>
              <m:t>2.39</m:t>
            </m:r>
            <m:r>
              <m:rPr>
                <m:sty m:val="p"/>
              </m:rPr>
              <m:t>−</m:t>
            </m:r>
            <m:r>
              <m:t>5.24</m:t>
            </m:r>
            <m:r>
              <m:t>r</m:t>
            </m:r>
            <m:r>
              <m:rPr>
                <m:sty m:val="p"/>
              </m:rPr>
              <m:t>−</m:t>
            </m:r>
            <m:r>
              <m:t>18.78</m:t>
            </m:r>
            <m:sSup>
              <m:e>
                <m:r>
                  <m:t>r</m:t>
                </m:r>
              </m:e>
              <m:sup>
                <m:r>
                  <m:t>2</m:t>
                </m:r>
              </m:sup>
            </m:sSup>
            <m:r>
              <m:rPr>
                <m:sty m:val="p"/>
              </m:rPr>
              <m:t>+</m:t>
            </m:r>
            <m:r>
              <m:t>42.01</m:t>
            </m:r>
            <m:sSup>
              <m:e>
                <m:r>
                  <m:t>r</m:t>
                </m:r>
              </m:e>
              <m:sup>
                <m:r>
                  <m:t>3</m:t>
                </m:r>
              </m:sup>
            </m:sSup>
            <m:r>
              <m:rPr>
                <m:sty m:val="p"/>
              </m:rPr>
              <m:t>−</m:t>
            </m:r>
            <m:r>
              <m:t>29.15</m:t>
            </m:r>
            <m:sSup>
              <m:e>
                <m:r>
                  <m:t>r</m:t>
                </m:r>
              </m:e>
              <m:sup>
                <m:r>
                  <m:t>4</m:t>
                </m:r>
              </m:sup>
            </m:sSup>
          </m:e>
          <m:e>
            <m:r>
              <m:t>&amp;</m:t>
            </m:r>
            <m:r>
              <m:rPr>
                <m:sty m:val="p"/>
              </m:rPr>
              <m:t>−</m:t>
            </m:r>
            <m:r>
              <m:t>1.56</m:t>
            </m:r>
            <m:r>
              <m:rPr>
                <m:sty m:val="p"/>
              </m:rPr>
              <m:t>ln</m:t>
            </m:r>
            <m:r>
              <m:rPr>
                <m:sty m:val="p"/>
              </m:rPr>
              <m:t>P</m:t>
            </m:r>
            <m:r>
              <m:rPr>
                <m:sty m:val="p"/>
              </m:rPr>
              <m:t>G</m:t>
            </m:r>
            <m:r>
              <m:rPr>
                <m:sty m:val="p"/>
              </m:rPr>
              <m:t>A</m:t>
            </m:r>
            <m:r>
              <m:rPr>
                <m:sty m:val="p"/>
              </m:rPr>
              <m:t>+</m:t>
            </m:r>
            <m:r>
              <m:t>1.38</m:t>
            </m:r>
            <m:r>
              <m:rPr>
                <m:sty m:val="p"/>
              </m:rPr>
              <m:t>ln</m:t>
            </m:r>
            <m:sSub>
              <m:e>
                <m:r>
                  <m:t>I</m:t>
                </m:r>
              </m:e>
              <m:sub>
                <m:r>
                  <m:t>A</m:t>
                </m:r>
              </m:sub>
            </m:sSub>
            <m:r>
              <m:rPr>
                <m:sty m:val="p"/>
              </m:rPr>
              <m:t>,</m:t>
            </m:r>
          </m:e>
          <m:e>
            <m:sSub>
              <m:e>
                <m:r>
                  <m:t>σ</m:t>
                </m:r>
              </m:e>
              <m:sub>
                <m:r>
                  <m:rPr>
                    <m:sty m:val="p"/>
                  </m:rPr>
                  <m:t>ln</m:t>
                </m:r>
                <m:r>
                  <m:t>D</m:t>
                </m:r>
              </m:sub>
            </m:sSub>
            <m:r>
              <m:rPr>
                <m:sty m:val="p"/>
              </m:rPr>
              <m:t>=</m:t>
            </m:r>
            <m:r>
              <m:t>​</m:t>
            </m:r>
            <m:r>
              <m:t>&amp;</m:t>
            </m:r>
            <m:r>
              <m:t>0.46</m:t>
            </m:r>
            <m:r>
              <m:rPr>
                <m:sty m:val="p"/>
              </m:rPr>
              <m:t>+</m:t>
            </m:r>
            <m:r>
              <m:t>0.56</m:t>
            </m:r>
            <m:r>
              <m:t>r</m:t>
            </m:r>
            <m:r>
              <m:rPr>
                <m:sty m:val="p"/>
              </m:rPr>
              <m:t>.</m:t>
            </m:r>
          </m:e>
        </m:eqArr>
      </m:oMath>
      <w:r>
        <w:tab/>
      </w:r>
      <w:r>
        <w:t xml:space="preserve">(6.5)</w:t>
      </w:r>
      <w:bookmarkEnd w:id="305"/>
    </w:p>
    <w:p>
      <w:pPr>
        <w:pStyle w:val="BodyText"/>
      </w:pPr>
      <w:r>
        <w:t xml:space="preserve">The logarithmic extension of the</w:t>
      </w:r>
      <w:r>
        <w:t xml:space="preserve"> </w:t>
      </w:r>
      <m:oMath>
        <m:sSub>
          <m:e>
            <m:r>
              <m:t>D</m:t>
            </m:r>
          </m:e>
          <m:sub>
            <m:r>
              <m:t>n</m:t>
            </m:r>
          </m:sub>
        </m:sSub>
        <m:r>
          <m:rPr>
            <m:sty m:val="p"/>
          </m:rPr>
          <m:t>(</m:t>
        </m:r>
        <m:sSub>
          <m:e>
            <m:r>
              <m:t>k</m:t>
            </m:r>
          </m:e>
          <m:sub>
            <m:r>
              <m:t>y</m:t>
            </m:r>
          </m:sub>
        </m:sSub>
        <m:r>
          <m:rPr>
            <m:sty m:val="p"/>
          </m:rPr>
          <m:t>)</m:t>
        </m:r>
      </m:oMath>
      <w:r>
        <w:t xml:space="preserve"> </w:t>
      </w:r>
      <w:r>
        <w:t xml:space="preserve">relations beyond their computed support has one exception, the AM88 limit. If the sampled PGA of a realization,</w:t>
      </w:r>
      <w:r>
        <w:t xml:space="preserve"> </w:t>
      </w:r>
      <m:oMath>
        <m:sSub>
          <m:e>
            <m:r>
              <m:rPr>
                <m:sty m:val="p"/>
              </m:rPr>
              <m:t>P</m:t>
            </m:r>
            <m:r>
              <m:rPr>
                <m:sty m:val="p"/>
              </m:rPr>
              <m:t>G</m:t>
            </m:r>
            <m:r>
              <m:rPr>
                <m:sty m:val="p"/>
              </m:rPr>
              <m:t>A</m:t>
            </m:r>
          </m:e>
          <m:sub>
            <m:r>
              <m:t>s</m:t>
            </m:r>
          </m:sub>
        </m:sSub>
      </m:oMath>
      <w:r>
        <w:t xml:space="preserve">, is smaller than the lower end of the grid, all stored points may satisfy</w:t>
      </w:r>
      <w:r>
        <w:t xml:space="preserve"> </w:t>
      </w:r>
      <m:oMath>
        <m:sSub>
          <m:e>
            <m:r>
              <m:t>k</m:t>
            </m:r>
          </m:e>
          <m:sub>
            <m:r>
              <m:t>y</m:t>
            </m:r>
          </m:sub>
        </m:sSub>
        <m:r>
          <m:rPr>
            <m:sty m:val="p"/>
          </m:rPr>
          <m:t>/</m:t>
        </m:r>
        <m:sSub>
          <m:e>
            <m:r>
              <m:rPr>
                <m:sty m:val="p"/>
              </m:rPr>
              <m:t>P</m:t>
            </m:r>
            <m:r>
              <m:rPr>
                <m:sty m:val="p"/>
              </m:rPr>
              <m:t>G</m:t>
            </m:r>
            <m:r>
              <m:rPr>
                <m:sty m:val="p"/>
              </m:rPr>
              <m:t>A</m:t>
            </m:r>
          </m:e>
          <m:sub>
            <m:r>
              <m:t>s</m:t>
            </m:r>
          </m:sub>
        </m:sSub>
        <m:r>
          <m:rPr>
            <m:sty m:val="p"/>
          </m:rPr>
          <m:t>≥</m:t>
        </m:r>
        <m:sSub>
          <m:e>
            <m:r>
              <m:t>r</m:t>
            </m:r>
          </m:e>
          <m:sub>
            <m:r>
              <m:rPr>
                <m:sty m:val="p"/>
              </m:rPr>
              <m:t>max</m:t>
            </m:r>
          </m:sub>
        </m:sSub>
        <m:r>
          <m:rPr>
            <m:sty m:val="p"/>
          </m:rPr>
          <m:t>=</m:t>
        </m:r>
        <m:r>
          <m:t>0.9999</m:t>
        </m:r>
      </m:oMath>
      <w:r>
        <w:t xml:space="preserve"> </w:t>
      </w:r>
      <w:r>
        <w:t xml:space="preserve">and form a plateau</w:t>
      </w:r>
      <w:r>
        <w:t xml:space="preserve"> </w:t>
      </w:r>
      <m:oMath>
        <m:sSub>
          <m:e>
            <m:r>
              <m:t>D</m:t>
            </m:r>
          </m:e>
          <m:sub>
            <m:r>
              <m:t>0</m:t>
            </m:r>
            <m:r>
              <m:rPr>
                <m:sty m:val="p"/>
              </m:rPr>
              <m:t>,</m:t>
            </m:r>
            <m:r>
              <m:t>s</m:t>
            </m:r>
          </m:sub>
        </m:sSub>
      </m:oMath>
      <w:r>
        <w:t xml:space="preserve">. In that case the physical branch</w:t>
      </w:r>
      <w:r>
        <w:t xml:space="preserve"> </w:t>
      </w:r>
      <m:oMath>
        <m:r>
          <m:t>0</m:t>
        </m:r>
        <m:r>
          <m:rPr>
            <m:sty m:val="p"/>
          </m:rPr>
          <m:t>&lt;</m:t>
        </m:r>
        <m:r>
          <m:t>r</m:t>
        </m:r>
        <m:r>
          <m:rPr>
            <m:sty m:val="p"/>
          </m:rPr>
          <m:t>&lt;</m:t>
        </m:r>
        <m:sSub>
          <m:e>
            <m:r>
              <m:t>r</m:t>
            </m:r>
          </m:e>
          <m:sub>
            <m:r>
              <m:rPr>
                <m:sty m:val="p"/>
              </m:rPr>
              <m:t>max</m:t>
            </m:r>
          </m:sub>
        </m:sSub>
      </m:oMath>
      <w:r>
        <w:t xml:space="preserve"> </w:t>
      </w:r>
      <w:r>
        <w:t xml:space="preserve">of</w:t>
      </w:r>
      <w:r>
        <w:t xml:space="preserve"> </w:t>
      </w:r>
      <w:hyperlink w:anchor="eq-newmark-am88">
        <w:r>
          <w:rPr>
            <w:rStyle w:val="Hyperlink"/>
          </w:rPr>
          <w:t xml:space="preserve">eq. 6.2</w:t>
        </w:r>
      </w:hyperlink>
      <w:r>
        <w:t xml:space="preserve"> </w:t>
      </w:r>
      <w:r>
        <w:t xml:space="preserve">is solved for</w:t>
      </w:r>
      <w:r>
        <w:t xml:space="preserve"> </w:t>
      </w:r>
      <m:oMath>
        <m:sSub>
          <m:e>
            <m:r>
              <m:t>D</m:t>
            </m:r>
          </m:e>
          <m:sub>
            <m:r>
              <m:t>a</m:t>
            </m:r>
          </m:sub>
        </m:sSub>
        <m:r>
          <m:rPr>
            <m:sty m:val="p"/>
          </m:rPr>
          <m:t>&gt;</m:t>
        </m:r>
        <m:sSub>
          <m:e>
            <m:r>
              <m:t>D</m:t>
            </m:r>
          </m:e>
          <m:sub>
            <m:r>
              <m:t>0</m:t>
            </m:r>
            <m:r>
              <m:rPr>
                <m:sty m:val="p"/>
              </m:rPr>
              <m:t>,</m:t>
            </m:r>
            <m:r>
              <m:t>s</m:t>
            </m:r>
          </m:sub>
        </m:sSub>
      </m:oMath>
      <w:r>
        <w:t xml:space="preserve">, instead of extrapolating the plateau or assigning</w:t>
      </w:r>
      <w:r>
        <w:t xml:space="preserve"> </w:t>
      </w:r>
      <m:oMath>
        <m:sSub>
          <m:e>
            <m:r>
              <m:t>k</m:t>
            </m:r>
          </m:e>
          <m:sub>
            <m:r>
              <m:rPr>
                <m:sty m:val="p"/>
              </m:rPr>
              <m:t>max</m:t>
            </m:r>
          </m:sub>
        </m:sSub>
        <m:r>
          <m:rPr>
            <m:sty m:val="p"/>
          </m:rPr>
          <m:t>=</m:t>
        </m:r>
        <m:r>
          <m:t>0</m:t>
        </m:r>
      </m:oMath>
      <w:r>
        <w:t xml:space="preserve">:</w:t>
      </w:r>
    </w:p>
    <w:p>
      <w:pPr>
        <w:pStyle w:val="Equation"/>
      </w:pPr>
      <w:bookmarkStart w:id="306" w:name="eq-kmax-am88-limit"/>
      <w:r>
        <w:tab/>
      </w:r>
      <m:oMath>
        <m:sSub>
          <m:e>
            <m:r>
              <m:t>μ</m:t>
            </m:r>
          </m:e>
          <m:sub>
            <m:r>
              <m:rPr>
                <m:sty m:val="p"/>
              </m:rPr>
              <m:t>ln</m:t>
            </m:r>
            <m:r>
              <m:t>D</m:t>
            </m:r>
          </m:sub>
        </m:sSub>
        <m:r>
          <m:rPr>
            <m:sty m:val="p"/>
          </m:rPr>
          <m:t>(</m:t>
        </m:r>
        <m:r>
          <m:t>r</m:t>
        </m:r>
        <m:r>
          <m:rPr>
            <m:sty m:val="p"/>
          </m:rPr>
          <m:t>)</m:t>
        </m:r>
        <m:r>
          <m:rPr>
            <m:sty m:val="p"/>
          </m:rPr>
          <m:t>=</m:t>
        </m:r>
        <m:r>
          <m:rPr>
            <m:sty m:val="p"/>
          </m:rPr>
          <m:t>ln</m:t>
        </m:r>
        <m:sSub>
          <m:e>
            <m:r>
              <m:t>D</m:t>
            </m:r>
          </m:e>
          <m:sub>
            <m:r>
              <m:t>a</m:t>
            </m:r>
          </m:sub>
        </m:sSub>
        <m:r>
          <m:rPr>
            <m:sty m:val="p"/>
          </m:rPr>
          <m:t>−</m:t>
        </m:r>
        <m:r>
          <m:rPr>
            <m:sty m:val="p"/>
          </m:rPr>
          <m:t>ln</m:t>
        </m:r>
        <m:sSub>
          <m:e>
            <m:r>
              <m:t>D</m:t>
            </m:r>
          </m:e>
          <m:sub>
            <m:r>
              <m:t>0</m:t>
            </m:r>
            <m:r>
              <m:rPr>
                <m:sty m:val="p"/>
              </m:rPr>
              <m:t>,</m:t>
            </m:r>
            <m:r>
              <m:t>s</m:t>
            </m:r>
          </m:sub>
        </m:sSub>
        <m:r>
          <m:rPr>
            <m:sty m:val="p"/>
          </m:rPr>
          <m:t>+</m:t>
        </m:r>
        <m:sSub>
          <m:e>
            <m:r>
              <m:t>μ</m:t>
            </m:r>
          </m:e>
          <m:sub>
            <m:r>
              <m:rPr>
                <m:sty m:val="p"/>
              </m:rPr>
              <m:t>ln</m:t>
            </m:r>
            <m:r>
              <m:t>D</m:t>
            </m:r>
          </m:sub>
        </m:sSub>
        <m:r>
          <m:rPr>
            <m:sty m:val="p"/>
          </m:rPr>
          <m:t>(</m:t>
        </m:r>
        <m:sSub>
          <m:e>
            <m:r>
              <m:t>r</m:t>
            </m:r>
          </m:e>
          <m:sub>
            <m:r>
              <m:rPr>
                <m:sty m:val="p"/>
              </m:rPr>
              <m:t>max</m:t>
            </m:r>
          </m:sub>
        </m:sSub>
        <m:r>
          <m:rPr>
            <m:sty m:val="p"/>
          </m:rPr>
          <m:t>)</m:t>
        </m:r>
        <m:r>
          <m:rPr>
            <m:sty m:val="p"/>
          </m:rPr>
          <m:t>,</m:t>
        </m:r>
        <m:r>
          <m:t>  </m:t>
        </m:r>
        <m:sSub>
          <m:e>
            <m:r>
              <m:t>k</m:t>
            </m:r>
          </m:e>
          <m:sub>
            <m:r>
              <m:rPr>
                <m:sty m:val="p"/>
              </m:rPr>
              <m:t>max</m:t>
            </m:r>
            <m:r>
              <m:rPr>
                <m:sty m:val="p"/>
              </m:rPr>
              <m:t>,</m:t>
            </m:r>
            <m:r>
              <m:t>s</m:t>
            </m:r>
          </m:sub>
        </m:sSub>
        <m:r>
          <m:rPr>
            <m:sty m:val="p"/>
          </m:rPr>
          <m:t>=</m:t>
        </m:r>
        <m:sSub>
          <m:e>
            <m:r>
              <m:rPr>
                <m:sty m:val="p"/>
              </m:rPr>
              <m:t>P</m:t>
            </m:r>
            <m:r>
              <m:rPr>
                <m:sty m:val="p"/>
              </m:rPr>
              <m:t>G</m:t>
            </m:r>
            <m:r>
              <m:rPr>
                <m:sty m:val="p"/>
              </m:rPr>
              <m:t>A</m:t>
            </m:r>
          </m:e>
          <m:sub>
            <m:r>
              <m:t>s</m:t>
            </m:r>
          </m:sub>
        </m:sSub>
        <m:r>
          <m:t>r</m:t>
        </m:r>
        <m:r>
          <m:rPr>
            <m:sty m:val="p"/>
          </m:rPr>
          <m:t>.</m:t>
        </m:r>
      </m:oMath>
      <w:r>
        <w:tab/>
      </w:r>
      <w:r>
        <w:t xml:space="preserve">(6.6)</w:t>
      </w:r>
      <w:bookmarkEnd w:id="306"/>
    </w:p>
    <w:p>
      <w:pPr>
        <w:pStyle w:val="BodyText"/>
      </w:pPr>
      <w:r>
        <w:t xml:space="preserve">The random residual cancels between</w:t>
      </w:r>
      <w:r>
        <w:t xml:space="preserve"> </w:t>
      </w:r>
      <m:oMath>
        <m:sSub>
          <m:e>
            <m:r>
              <m:t>D</m:t>
            </m:r>
          </m:e>
          <m:sub>
            <m:r>
              <m:t>a</m:t>
            </m:r>
          </m:sub>
        </m:sSub>
      </m:oMath>
      <w:r>
        <w:t xml:space="preserve"> </w:t>
      </w:r>
      <w:r>
        <w:t xml:space="preserve">and</w:t>
      </w:r>
      <w:r>
        <w:t xml:space="preserve"> </w:t>
      </w:r>
      <m:oMath>
        <m:sSub>
          <m:e>
            <m:r>
              <m:t>D</m:t>
            </m:r>
          </m:e>
          <m:sub>
            <m:r>
              <m:t>0</m:t>
            </m:r>
            <m:r>
              <m:rPr>
                <m:sty m:val="p"/>
              </m:rPr>
              <m:t>,</m:t>
            </m:r>
            <m:r>
              <m:t>s</m:t>
            </m:r>
          </m:sub>
        </m:sSub>
      </m:oMath>
      <w:r>
        <w:t xml:space="preserve">, and</w:t>
      </w:r>
      <w:r>
        <w:t xml:space="preserve"> </w:t>
      </w:r>
      <m:oMath>
        <m:r>
          <m:rPr>
            <m:sty m:val="p"/>
          </m:rPr>
          <m:t>d</m:t>
        </m:r>
        <m:sSub>
          <m:e>
            <m:r>
              <m:t>μ</m:t>
            </m:r>
          </m:e>
          <m:sub>
            <m:r>
              <m:rPr>
                <m:sty m:val="p"/>
              </m:rPr>
              <m:t>ln</m:t>
            </m:r>
            <m:r>
              <m:t>D</m:t>
            </m:r>
          </m:sub>
        </m:sSub>
        <m:r>
          <m:rPr>
            <m:sty m:val="p"/>
          </m:rPr>
          <m:t>/</m:t>
        </m:r>
        <m:r>
          <m:rPr>
            <m:sty m:val="p"/>
          </m:rPr>
          <m:t>d</m:t>
        </m:r>
        <m:r>
          <m:t>r</m:t>
        </m:r>
        <m:r>
          <m:rPr>
            <m:sty m:val="p"/>
          </m:rPr>
          <m:t>=</m:t>
        </m:r>
        <m:r>
          <m:rPr>
            <m:sty m:val="p"/>
          </m:rPr>
          <m:t>−</m:t>
        </m:r>
        <m:r>
          <m:t>2.53</m:t>
        </m:r>
        <m:r>
          <m:rPr>
            <m:sty m:val="p"/>
          </m:rPr>
          <m:t>/</m:t>
        </m:r>
        <m:r>
          <m:rPr>
            <m:sty m:val="p"/>
          </m:rPr>
          <m:t>(</m:t>
        </m:r>
        <m:r>
          <m:t>1</m:t>
        </m:r>
        <m:r>
          <m:rPr>
            <m:sty m:val="p"/>
          </m:rPr>
          <m:t>−</m:t>
        </m:r>
        <m:r>
          <m:t>r</m:t>
        </m:r>
        <m:r>
          <m:rPr>
            <m:sty m:val="p"/>
          </m:rPr>
          <m:t>)</m:t>
        </m:r>
        <m:r>
          <m:rPr>
            <m:sty m:val="p"/>
          </m:rPr>
          <m:t>−</m:t>
        </m:r>
        <m:r>
          <m:t>1.09</m:t>
        </m:r>
        <m:r>
          <m:rPr>
            <m:sty m:val="p"/>
          </m:rPr>
          <m:t>/</m:t>
        </m:r>
        <m:r>
          <m:t>r</m:t>
        </m:r>
        <m:r>
          <m:rPr>
            <m:sty m:val="p"/>
          </m:rPr>
          <m:t>&lt;</m:t>
        </m:r>
        <m:r>
          <m:t>0</m:t>
        </m:r>
      </m:oMath>
      <w:r>
        <w:t xml:space="preserve">, so the root is unique. An AM88 plateau is accepted only when the original curve is exactly constant and</w:t>
      </w:r>
      <w:r>
        <w:t xml:space="preserve"> </w:t>
      </w:r>
      <m:oMath>
        <m:sSub>
          <m:e>
            <m:r>
              <m:rPr>
                <m:sty m:val="p"/>
              </m:rPr>
              <m:t>P</m:t>
            </m:r>
            <m:r>
              <m:rPr>
                <m:sty m:val="p"/>
              </m:rPr>
              <m:t>G</m:t>
            </m:r>
            <m:r>
              <m:rPr>
                <m:sty m:val="p"/>
              </m:rPr>
              <m:t>A</m:t>
            </m:r>
          </m:e>
          <m:sub>
            <m:r>
              <m:t>s</m:t>
            </m:r>
          </m:sub>
        </m:sSub>
      </m:oMath>
      <w:r>
        <w:t xml:space="preserve"> </w:t>
      </w:r>
      <w:r>
        <w:t xml:space="preserve">itself shows that the entire grid reached that limit; a flat curve from another model, or a target</w:t>
      </w:r>
      <w:r>
        <w:t xml:space="preserve"> </w:t>
      </w:r>
      <m:oMath>
        <m:sSub>
          <m:e>
            <m:r>
              <m:t>D</m:t>
            </m:r>
          </m:e>
          <m:sub>
            <m:r>
              <m:t>a</m:t>
            </m:r>
          </m:sub>
        </m:sSub>
        <m:r>
          <m:rPr>
            <m:sty m:val="p"/>
          </m:rPr>
          <m:t>≤</m:t>
        </m:r>
        <m:sSub>
          <m:e>
            <m:r>
              <m:t>D</m:t>
            </m:r>
          </m:e>
          <m:sub>
            <m:r>
              <m:t>0</m:t>
            </m:r>
            <m:r>
              <m:rPr>
                <m:sty m:val="p"/>
              </m:rPr>
              <m:t>,</m:t>
            </m:r>
            <m:r>
              <m:t>s</m:t>
            </m:r>
          </m:sub>
        </m:sSub>
      </m:oMath>
      <w:r>
        <w:t xml:space="preserve">, is rejected as non-identifiable support.</w:t>
      </w:r>
    </w:p>
    <w:bookmarkEnd w:id="307"/>
    <w:bookmarkStart w:id="311" w:name="sec-newmark-flexible"/>
    <w:p>
      <w:pPr>
        <w:pStyle w:val="Heading2"/>
      </w:pPr>
      <w:r>
        <w:t xml:space="preserve">6.7</w:t>
      </w:r>
      <w:r>
        <w:tab/>
      </w:r>
      <w:r>
        <w:t xml:space="preserve">Flexible-Block Models</w:t>
      </w:r>
    </w:p>
    <w:p>
      <w:pPr>
        <w:pStyle w:val="FirstParagraph"/>
      </w:pPr>
      <w:r>
        <w:t xml:space="preserve">The flexible-block formulations evaluate the spectral acceleration at a period proportional to the fundamental period</w:t>
      </w:r>
      <w:r>
        <w:t xml:space="preserve"> </w:t>
      </w:r>
      <m:oMath>
        <m:sSub>
          <m:e>
            <m:r>
              <m:t>T</m:t>
            </m:r>
          </m:e>
          <m:sub>
            <m:r>
              <m:t>s</m:t>
            </m:r>
          </m:sub>
        </m:sSub>
      </m:oMath>
      <w:r>
        <w:t xml:space="preserve"> </w:t>
      </w:r>
      <w:r>
        <w:t xml:space="preserve">of the sliding mass. The</w:t>
      </w:r>
      <w:r>
        <w:t xml:space="preserve"> </w:t>
      </w:r>
      <w:r>
        <w:rPr>
          <w:rStyle w:val="VerbatimChar"/>
        </w:rPr>
        <w:t xml:space="preserve">BT07</w:t>
      </w:r>
      <w:r>
        <w:t xml:space="preserve"> </w:t>
      </w:r>
      <w:r>
        <w:t xml:space="preserve">formulation</w:t>
      </w:r>
      <w:r>
        <w:t xml:space="preserve"> </w:t>
      </w:r>
      <w:r>
        <w:t xml:space="preserve">(</w:t>
      </w:r>
      <w:hyperlink w:anchor="ref-BrayTravasarou2007">
        <w:r>
          <w:rPr>
            <w:rStyle w:val="Hyperlink"/>
          </w:rPr>
          <w:t xml:space="preserve">Bray &amp; Travasarou, 2007</w:t>
        </w:r>
      </w:hyperlink>
      <w:r>
        <w:t xml:space="preserve">)</w:t>
      </w:r>
      <w:r>
        <w:t xml:space="preserve"> </w:t>
      </w:r>
      <w:r>
        <w:t xml:space="preserve">employs</w:t>
      </w:r>
      <w:r>
        <w:t xml:space="preserve"> </w:t>
      </w:r>
      <m:oMath>
        <m:sSub>
          <m:e>
            <m:r>
              <m:t>S</m:t>
            </m:r>
          </m:e>
          <m:sub>
            <m:r>
              <m:t>a</m:t>
            </m:r>
          </m:sub>
        </m:sSub>
        <m:r>
          <m:rPr>
            <m:sty m:val="p"/>
          </m:rPr>
          <m:t>=</m:t>
        </m:r>
        <m:sSub>
          <m:e>
            <m:r>
              <m:t>S</m:t>
            </m:r>
          </m:e>
          <m:sub>
            <m:r>
              <m:t>a</m:t>
            </m:r>
          </m:sub>
        </m:sSub>
        <m:r>
          <m:rPr>
            <m:sty m:val="p"/>
          </m:rPr>
          <m:t>(</m:t>
        </m:r>
        <m:r>
          <m:t>1.5</m:t>
        </m:r>
        <m:sSub>
          <m:e>
            <m:r>
              <m:t>T</m:t>
            </m:r>
          </m:e>
          <m:sub>
            <m:r>
              <m:t>s</m:t>
            </m:r>
          </m:sub>
        </m:sSub>
        <m:r>
          <m:rPr>
            <m:sty m:val="p"/>
          </m:rPr>
          <m:t>)</m:t>
        </m:r>
      </m:oMath>
      <w:r>
        <w:t xml:space="preserve"> </w:t>
      </w:r>
      <w:r>
        <w:t xml:space="preserve">and</w:t>
      </w:r>
      <w:r>
        <w:t xml:space="preserve"> </w:t>
      </w:r>
      <m:oMath>
        <m:sSub>
          <m:e>
            <m:r>
              <m:t>M</m:t>
            </m:r>
          </m:e>
          <m:sub>
            <m:r>
              <m:t>w</m:t>
            </m:r>
          </m:sub>
        </m:sSub>
      </m:oMath>
      <w:r>
        <w:t xml:space="preserve">:</w:t>
      </w:r>
    </w:p>
    <w:p>
      <w:pPr>
        <w:pStyle w:val="Equation"/>
      </w:pPr>
      <w:bookmarkStart w:id="308" w:name="eq-newmark-bt07"/>
      <w:r>
        <w:tab/>
      </w:r>
      <m:oMath>
        <m:eqArr>
          <m:e>
            <m:sSub>
              <m:e>
                <m:r>
                  <m:t>μ</m:t>
                </m:r>
              </m:e>
              <m:sub>
                <m:r>
                  <m:rPr>
                    <m:sty m:val="p"/>
                  </m:rPr>
                  <m:t>ln</m:t>
                </m:r>
                <m:r>
                  <m:t>D</m:t>
                </m:r>
              </m:sub>
            </m:sSub>
            <m:r>
              <m:rPr>
                <m:sty m:val="p"/>
              </m:rPr>
              <m:t>=</m:t>
            </m:r>
            <m:r>
              <m:t>​</m:t>
            </m:r>
            <m:r>
              <m:t>&amp;</m:t>
            </m:r>
            <m:sSub>
              <m:e>
                <m:r>
                  <m:t>a</m:t>
                </m:r>
              </m:e>
              <m:sub>
                <m:r>
                  <m:t>0</m:t>
                </m:r>
              </m:sub>
            </m:sSub>
            <m:r>
              <m:rPr>
                <m:sty m:val="p"/>
              </m:rPr>
              <m:t>−</m:t>
            </m:r>
            <m:r>
              <m:t>2.83</m:t>
            </m:r>
            <m:r>
              <m:rPr>
                <m:sty m:val="p"/>
              </m:rPr>
              <m:t>ln</m:t>
            </m:r>
            <m:sSub>
              <m:e>
                <m:r>
                  <m:t>k</m:t>
                </m:r>
              </m:e>
              <m:sub>
                <m:r>
                  <m:t>y</m:t>
                </m:r>
              </m:sub>
            </m:sSub>
            <m:r>
              <m:rPr>
                <m:sty m:val="p"/>
              </m:rPr>
              <m:t>−</m:t>
            </m:r>
            <m:r>
              <m:t>0.333</m:t>
            </m:r>
            <m:r>
              <m:rPr>
                <m:sty m:val="p"/>
              </m:rPr>
              <m:t>(</m:t>
            </m:r>
            <m:r>
              <m:rPr>
                <m:sty m:val="p"/>
              </m:rPr>
              <m:t>ln</m:t>
            </m:r>
            <m:sSub>
              <m:e>
                <m:r>
                  <m:t>k</m:t>
                </m:r>
              </m:e>
              <m:sub>
                <m:r>
                  <m:t>y</m:t>
                </m:r>
              </m:sub>
            </m:sSub>
            <m:sSup>
              <m:e>
                <m:r>
                  <m:rPr>
                    <m:sty m:val="p"/>
                  </m:rPr>
                  <m:t>)</m:t>
                </m:r>
              </m:e>
              <m:sup>
                <m:r>
                  <m:t>2</m:t>
                </m:r>
              </m:sup>
            </m:sSup>
            <m:r>
              <m:rPr>
                <m:sty m:val="p"/>
              </m:rPr>
              <m:t>+</m:t>
            </m:r>
            <m:r>
              <m:t>0.566</m:t>
            </m:r>
            <m:r>
              <m:rPr>
                <m:sty m:val="p"/>
              </m:rPr>
              <m:t>ln</m:t>
            </m:r>
            <m:sSub>
              <m:e>
                <m:r>
                  <m:t>k</m:t>
                </m:r>
              </m:e>
              <m:sub>
                <m:r>
                  <m:t>y</m:t>
                </m:r>
              </m:sub>
            </m:sSub>
            <m:r>
              <m:rPr>
                <m:sty m:val="p"/>
              </m:rPr>
              <m:t>ln</m:t>
            </m:r>
            <m:sSub>
              <m:e>
                <m:r>
                  <m:t>S</m:t>
                </m:r>
              </m:e>
              <m:sub>
                <m:r>
                  <m:t>a</m:t>
                </m:r>
              </m:sub>
            </m:sSub>
          </m:e>
          <m:e>
            <m:r>
              <m:t>&amp;</m:t>
            </m:r>
            <m:r>
              <m:rPr>
                <m:sty m:val="p"/>
              </m:rPr>
              <m:t>+</m:t>
            </m:r>
            <m:r>
              <m:t>3.04</m:t>
            </m:r>
            <m:r>
              <m:rPr>
                <m:sty m:val="p"/>
              </m:rPr>
              <m:t>ln</m:t>
            </m:r>
            <m:sSub>
              <m:e>
                <m:r>
                  <m:t>S</m:t>
                </m:r>
              </m:e>
              <m:sub>
                <m:r>
                  <m:t>a</m:t>
                </m:r>
              </m:sub>
            </m:sSub>
            <m:r>
              <m:rPr>
                <m:sty m:val="p"/>
              </m:rPr>
              <m:t>−</m:t>
            </m:r>
            <m:r>
              <m:t>0.244</m:t>
            </m:r>
            <m:r>
              <m:rPr>
                <m:sty m:val="p"/>
              </m:rPr>
              <m:t>(</m:t>
            </m:r>
            <m:r>
              <m:rPr>
                <m:sty m:val="p"/>
              </m:rPr>
              <m:t>ln</m:t>
            </m:r>
            <m:sSub>
              <m:e>
                <m:r>
                  <m:t>S</m:t>
                </m:r>
              </m:e>
              <m:sub>
                <m:r>
                  <m:t>a</m:t>
                </m:r>
              </m:sub>
            </m:sSub>
            <m:sSup>
              <m:e>
                <m:r>
                  <m:rPr>
                    <m:sty m:val="p"/>
                  </m:rPr>
                  <m:t>)</m:t>
                </m:r>
              </m:e>
              <m:sup>
                <m:r>
                  <m:t>2</m:t>
                </m:r>
              </m:sup>
            </m:sSup>
            <m:r>
              <m:rPr>
                <m:sty m:val="p"/>
              </m:rPr>
              <m:t>+</m:t>
            </m:r>
            <m:r>
              <m:t>1.50</m:t>
            </m:r>
            <m:sSub>
              <m:e>
                <m:r>
                  <m:t>T</m:t>
                </m:r>
              </m:e>
              <m:sub>
                <m:r>
                  <m:t>s</m:t>
                </m:r>
              </m:sub>
            </m:sSub>
            <m:r>
              <m:rPr>
                <m:sty m:val="p"/>
              </m:rPr>
              <m:t>+</m:t>
            </m:r>
            <m:r>
              <m:t>0.278</m:t>
            </m:r>
            <m:r>
              <m:rPr>
                <m:sty m:val="p"/>
              </m:rPr>
              <m:t>(</m:t>
            </m:r>
            <m:sSub>
              <m:e>
                <m:r>
                  <m:t>M</m:t>
                </m:r>
              </m:e>
              <m:sub>
                <m:r>
                  <m:t>w</m:t>
                </m:r>
              </m:sub>
            </m:sSub>
            <m:r>
              <m:rPr>
                <m:sty m:val="p"/>
              </m:rPr>
              <m:t>−</m:t>
            </m:r>
            <m:r>
              <m:t>7</m:t>
            </m:r>
            <m:r>
              <m:rPr>
                <m:sty m:val="p"/>
              </m:rPr>
              <m:t>)</m:t>
            </m:r>
            <m:r>
              <m:rPr>
                <m:sty m:val="p"/>
              </m:rPr>
              <m:t>,</m:t>
            </m:r>
          </m:e>
          <m:e>
            <m:sSub>
              <m:e>
                <m:r>
                  <m:t>a</m:t>
                </m:r>
              </m:e>
              <m:sub>
                <m:r>
                  <m:t>0</m:t>
                </m:r>
              </m:sub>
            </m:sSub>
            <m:r>
              <m:rPr>
                <m:sty m:val="p"/>
              </m:rPr>
              <m:t>=</m:t>
            </m:r>
            <m:r>
              <m:t>​</m:t>
            </m:r>
            <m:r>
              <m:t>&amp;</m:t>
            </m:r>
            <m:d>
              <m:dPr>
                <m:begChr m:val="{"/>
                <m:sepChr m:val=""/>
                <m:endChr m:val=""/>
                <m:grow/>
              </m:dPr>
              <m:e>
                <m:m>
                  <m:mPr>
                    <m:baseJc m:val="center"/>
                    <m:plcHide m:val="on"/>
                    <m:mcs>
                      <m:mc>
                        <m:mcPr>
                          <m:mcJc m:val="left"/>
                          <m:count m:val="1"/>
                        </m:mcPr>
                      </m:mc>
                      <m:mc>
                        <m:mcPr>
                          <m:mcJc m:val="left"/>
                          <m:count m:val="1"/>
                        </m:mcPr>
                      </m:mc>
                    </m:mcs>
                  </m:mPr>
                  <m:mr>
                    <m:e>
                      <m:r>
                        <m:rPr>
                          <m:sty m:val="p"/>
                        </m:rPr>
                        <m:t>−</m:t>
                      </m:r>
                      <m:r>
                        <m:t>0.22</m:t>
                      </m:r>
                      <m:r>
                        <m:rPr>
                          <m:sty m:val="p"/>
                        </m:rPr>
                        <m:t>,</m:t>
                      </m:r>
                    </m:e>
                    <m:e>
                      <m:sSub>
                        <m:e>
                          <m:r>
                            <m:t>T</m:t>
                          </m:r>
                        </m:e>
                        <m:sub>
                          <m:r>
                            <m:t>s</m:t>
                          </m:r>
                        </m:sub>
                      </m:sSub>
                      <m:r>
                        <m:rPr>
                          <m:sty m:val="p"/>
                        </m:rPr>
                        <m:t>&lt;</m:t>
                      </m:r>
                      <m:r>
                        <m:t>0.05</m:t>
                      </m:r>
                      <m:r>
                        <m:t> </m:t>
                      </m:r>
                      <m:r>
                        <m:rPr>
                          <m:sty m:val="p"/>
                        </m:rPr>
                        <m:t>s</m:t>
                      </m:r>
                      <m:r>
                        <m:rPr>
                          <m:sty m:val="p"/>
                        </m:rPr>
                        <m:t>,</m:t>
                      </m:r>
                    </m:e>
                  </m:mr>
                  <m:mr>
                    <m:e>
                      <m:r>
                        <m:rPr>
                          <m:sty m:val="p"/>
                        </m:rPr>
                        <m:t>−</m:t>
                      </m:r>
                      <m:r>
                        <m:t>1.10</m:t>
                      </m:r>
                      <m:r>
                        <m:rPr>
                          <m:sty m:val="p"/>
                        </m:rPr>
                        <m:t>,</m:t>
                      </m:r>
                    </m:e>
                    <m:e>
                      <m:sSub>
                        <m:e>
                          <m:r>
                            <m:t>T</m:t>
                          </m:r>
                        </m:e>
                        <m:sub>
                          <m:r>
                            <m:t>s</m:t>
                          </m:r>
                        </m:sub>
                      </m:sSub>
                      <m:r>
                        <m:rPr>
                          <m:sty m:val="p"/>
                        </m:rPr>
                        <m:t>≥</m:t>
                      </m:r>
                      <m:r>
                        <m:t>0.05</m:t>
                      </m:r>
                      <m:r>
                        <m:t> </m:t>
                      </m:r>
                      <m:r>
                        <m:rPr>
                          <m:sty m:val="p"/>
                        </m:rPr>
                        <m:t>s</m:t>
                      </m:r>
                      <m:r>
                        <m:rPr>
                          <m:sty m:val="p"/>
                        </m:rPr>
                        <m:t>,</m:t>
                      </m:r>
                    </m:e>
                  </m:mr>
                </m:m>
              </m:e>
            </m:d>
          </m:e>
          <m:e>
            <m:sSub>
              <m:e>
                <m:r>
                  <m:t>σ</m:t>
                </m:r>
              </m:e>
              <m:sub>
                <m:r>
                  <m:rPr>
                    <m:sty m:val="p"/>
                  </m:rPr>
                  <m:t>ln</m:t>
                </m:r>
                <m:r>
                  <m:t>D</m:t>
                </m:r>
              </m:sub>
            </m:sSub>
            <m:r>
              <m:rPr>
                <m:sty m:val="p"/>
              </m:rPr>
              <m:t>=</m:t>
            </m:r>
            <m:r>
              <m:t>​</m:t>
            </m:r>
            <m:r>
              <m:t>&amp;</m:t>
            </m:r>
            <m:r>
              <m:t>0.66</m:t>
            </m:r>
            <m:r>
              <m:rPr>
                <m:sty m:val="p"/>
              </m:rPr>
              <m:t>.</m:t>
            </m:r>
          </m:e>
        </m:eqArr>
      </m:oMath>
      <w:r>
        <w:tab/>
      </w:r>
      <w:r>
        <w:t xml:space="preserve">(6.7)</w:t>
      </w:r>
      <w:bookmarkEnd w:id="308"/>
    </w:p>
    <w:p>
      <w:pPr>
        <w:pStyle w:val="BodyText"/>
      </w:pPr>
      <w:r>
        <w:t xml:space="preserve">The</w:t>
      </w:r>
      <w:r>
        <w:t xml:space="preserve"> </w:t>
      </w:r>
      <w:r>
        <w:rPr>
          <w:rStyle w:val="VerbatimChar"/>
        </w:rPr>
        <w:t xml:space="preserve">BM17</w:t>
      </w:r>
      <w:r>
        <w:t xml:space="preserve"> </w:t>
      </w:r>
      <w:r>
        <w:t xml:space="preserve">formulation</w:t>
      </w:r>
      <w:r>
        <w:t xml:space="preserve"> </w:t>
      </w:r>
      <w:r>
        <w:t xml:space="preserve">(</w:t>
      </w:r>
      <w:hyperlink w:anchor="ref-BrayEtAl2018">
        <w:r>
          <w:rPr>
            <w:rStyle w:val="Hyperlink"/>
          </w:rPr>
          <w:t xml:space="preserve">Bray et al., 2018</w:t>
        </w:r>
      </w:hyperlink>
      <w:r>
        <w:t xml:space="preserve">)</w:t>
      </w:r>
      <w:r>
        <w:t xml:space="preserve"> </w:t>
      </w:r>
      <w:r>
        <w:t xml:space="preserve">represents subduction-interface motions with</w:t>
      </w:r>
      <w:r>
        <w:t xml:space="preserve"> </w:t>
      </w:r>
      <m:oMath>
        <m:sSub>
          <m:e>
            <m:r>
              <m:t>S</m:t>
            </m:r>
          </m:e>
          <m:sub>
            <m:r>
              <m:t>a</m:t>
            </m:r>
          </m:sub>
        </m:sSub>
        <m:r>
          <m:rPr>
            <m:sty m:val="p"/>
          </m:rPr>
          <m:t>=</m:t>
        </m:r>
        <m:sSub>
          <m:e>
            <m:r>
              <m:t>S</m:t>
            </m:r>
          </m:e>
          <m:sub>
            <m:r>
              <m:t>a</m:t>
            </m:r>
          </m:sub>
        </m:sSub>
        <m:r>
          <m:rPr>
            <m:sty m:val="p"/>
          </m:rPr>
          <m:t>(</m:t>
        </m:r>
        <m:r>
          <m:t>1.5</m:t>
        </m:r>
        <m:sSub>
          <m:e>
            <m:r>
              <m:t>T</m:t>
            </m:r>
          </m:e>
          <m:sub>
            <m:r>
              <m:t>s</m:t>
            </m:r>
          </m:sub>
        </m:sSub>
        <m:r>
          <m:rPr>
            <m:sty m:val="p"/>
          </m:rPr>
          <m:t>)</m:t>
        </m:r>
      </m:oMath>
      <w:r>
        <w:t xml:space="preserve">:</w:t>
      </w:r>
    </w:p>
    <w:p>
      <w:pPr>
        <w:pStyle w:val="Equation"/>
      </w:pPr>
      <w:bookmarkStart w:id="309" w:name="eq-newmark-bm17"/>
      <w:r>
        <w:tab/>
      </w:r>
      <m:oMath>
        <m:eqArr>
          <m:e>
            <m:sSub>
              <m:e>
                <m:r>
                  <m:t>μ</m:t>
                </m:r>
              </m:e>
              <m:sub>
                <m:r>
                  <m:rPr>
                    <m:sty m:val="p"/>
                  </m:rPr>
                  <m:t>ln</m:t>
                </m:r>
                <m:r>
                  <m:t>D</m:t>
                </m:r>
              </m:sub>
            </m:sSub>
            <m:r>
              <m:t>&amp;</m:t>
            </m:r>
            <m:r>
              <m:rPr>
                <m:sty m:val="p"/>
              </m:rPr>
              <m:t>=</m:t>
            </m:r>
            <m:sSub>
              <m:e>
                <m:r>
                  <m:t>a</m:t>
                </m:r>
              </m:e>
              <m:sub>
                <m:r>
                  <m:t>0</m:t>
                </m:r>
              </m:sub>
            </m:sSub>
            <m:r>
              <m:rPr>
                <m:sty m:val="p"/>
              </m:rPr>
              <m:t>+</m:t>
            </m:r>
            <m:sSub>
              <m:e>
                <m:r>
                  <m:t>a</m:t>
                </m:r>
              </m:e>
              <m:sub>
                <m:r>
                  <m:t>1</m:t>
                </m:r>
              </m:sub>
            </m:sSub>
            <m:r>
              <m:rPr>
                <m:sty m:val="p"/>
              </m:rPr>
              <m:t>ln</m:t>
            </m:r>
            <m:sSub>
              <m:e>
                <m:r>
                  <m:t>S</m:t>
                </m:r>
              </m:e>
              <m:sub>
                <m:r>
                  <m:t>a</m:t>
                </m:r>
              </m:sub>
            </m:sSub>
            <m:r>
              <m:rPr>
                <m:sty m:val="p"/>
              </m:rPr>
              <m:t>−</m:t>
            </m:r>
            <m:r>
              <m:t>0.225</m:t>
            </m:r>
            <m:r>
              <m:rPr>
                <m:sty m:val="p"/>
              </m:rPr>
              <m:t>(</m:t>
            </m:r>
            <m:r>
              <m:rPr>
                <m:sty m:val="p"/>
              </m:rPr>
              <m:t>ln</m:t>
            </m:r>
            <m:sSub>
              <m:e>
                <m:r>
                  <m:t>S</m:t>
                </m:r>
              </m:e>
              <m:sub>
                <m:r>
                  <m:t>a</m:t>
                </m:r>
              </m:sub>
            </m:sSub>
            <m:sSup>
              <m:e>
                <m:r>
                  <m:rPr>
                    <m:sty m:val="p"/>
                  </m:rPr>
                  <m:t>)</m:t>
                </m:r>
              </m:e>
              <m:sup>
                <m:r>
                  <m:t>2</m:t>
                </m:r>
              </m:sup>
            </m:sSup>
            <m:r>
              <m:rPr>
                <m:sty m:val="p"/>
              </m:rPr>
              <m:t>,</m:t>
            </m:r>
          </m:e>
          <m:e>
            <m:sSub>
              <m:e>
                <m:r>
                  <m:t>a</m:t>
                </m:r>
              </m:e>
              <m:sub>
                <m:r>
                  <m:t>1</m:t>
                </m:r>
              </m:sub>
            </m:sSub>
            <m:r>
              <m:t>&amp;</m:t>
            </m:r>
            <m:r>
              <m:rPr>
                <m:sty m:val="p"/>
              </m:rPr>
              <m:t>=</m:t>
            </m:r>
            <m:r>
              <m:t>3.060</m:t>
            </m:r>
            <m:r>
              <m:rPr>
                <m:sty m:val="p"/>
              </m:rPr>
              <m:t>+</m:t>
            </m:r>
            <m:r>
              <m:t>0.538</m:t>
            </m:r>
            <m:r>
              <m:rPr>
                <m:sty m:val="p"/>
              </m:rPr>
              <m:t>ln</m:t>
            </m:r>
            <m:sSub>
              <m:e>
                <m:r>
                  <m:t>k</m:t>
                </m:r>
              </m:e>
              <m:sub>
                <m:r>
                  <m:t>y</m:t>
                </m:r>
              </m:sub>
            </m:sSub>
            <m:r>
              <m:rPr>
                <m:sty m:val="p"/>
              </m:rPr>
              <m:t>,</m:t>
            </m:r>
          </m:e>
          <m:e>
            <m:sSub>
              <m:e>
                <m:r>
                  <m:t>a</m:t>
                </m:r>
              </m:e>
              <m:sub>
                <m:r>
                  <m:t>0</m:t>
                </m:r>
                <m:r>
                  <m:rPr>
                    <m:sty m:val="p"/>
                  </m:rPr>
                  <m:t>,</m:t>
                </m:r>
                <m:r>
                  <m:rPr>
                    <m:sty m:val="p"/>
                  </m:rPr>
                  <m:t>&lt;</m:t>
                </m:r>
              </m:sub>
            </m:sSub>
            <m:r>
              <m:rPr>
                <m:sty m:val="p"/>
              </m:rPr>
              <m:t>=</m:t>
            </m:r>
            <m:r>
              <m:t>​</m:t>
            </m:r>
            <m:r>
              <m:t>&amp;</m:t>
            </m:r>
            <m:r>
              <m:rPr>
                <m:sty m:val="p"/>
              </m:rPr>
              <m:t>−</m:t>
            </m:r>
            <m:r>
              <m:t>5.864</m:t>
            </m:r>
            <m:r>
              <m:rPr>
                <m:sty m:val="p"/>
              </m:rPr>
              <m:t>+</m:t>
            </m:r>
            <m:r>
              <m:t>0.550</m:t>
            </m:r>
            <m:sSub>
              <m:e>
                <m:r>
                  <m:t>M</m:t>
                </m:r>
              </m:e>
              <m:sub>
                <m:r>
                  <m:t>w</m:t>
                </m:r>
              </m:sub>
            </m:sSub>
            <m:r>
              <m:rPr>
                <m:sty m:val="p"/>
              </m:rPr>
              <m:t>−</m:t>
            </m:r>
            <m:r>
              <m:t>9.421</m:t>
            </m:r>
            <m:sSub>
              <m:e>
                <m:r>
                  <m:t>T</m:t>
                </m:r>
              </m:e>
              <m:sub>
                <m:r>
                  <m:t>s</m:t>
                </m:r>
              </m:sub>
            </m:sSub>
          </m:e>
          <m:e>
            <m:r>
              <m:t>&amp;</m:t>
            </m:r>
            <m:r>
              <m:rPr>
                <m:sty m:val="p"/>
              </m:rPr>
              <m:t>−</m:t>
            </m:r>
            <m:r>
              <m:t>3.353</m:t>
            </m:r>
            <m:r>
              <m:rPr>
                <m:sty m:val="p"/>
              </m:rPr>
              <m:t>ln</m:t>
            </m:r>
            <m:sSub>
              <m:e>
                <m:r>
                  <m:t>k</m:t>
                </m:r>
              </m:e>
              <m:sub>
                <m:r>
                  <m:t>y</m:t>
                </m:r>
              </m:sub>
            </m:sSub>
            <m:r>
              <m:rPr>
                <m:sty m:val="p"/>
              </m:rPr>
              <m:t>−</m:t>
            </m:r>
            <m:r>
              <m:t>0.390</m:t>
            </m:r>
            <m:r>
              <m:rPr>
                <m:sty m:val="p"/>
              </m:rPr>
              <m:t>(</m:t>
            </m:r>
            <m:r>
              <m:rPr>
                <m:sty m:val="p"/>
              </m:rPr>
              <m:t>ln</m:t>
            </m:r>
            <m:sSub>
              <m:e>
                <m:r>
                  <m:t>k</m:t>
                </m:r>
              </m:e>
              <m:sub>
                <m:r>
                  <m:t>y</m:t>
                </m:r>
              </m:sub>
            </m:sSub>
            <m:sSup>
              <m:e>
                <m:r>
                  <m:rPr>
                    <m:sty m:val="p"/>
                  </m:rPr>
                  <m:t>)</m:t>
                </m:r>
              </m:e>
              <m:sup>
                <m:r>
                  <m:t>2</m:t>
                </m:r>
              </m:sup>
            </m:sSup>
            <m:r>
              <m:rPr>
                <m:sty m:val="p"/>
              </m:rPr>
              <m:t>,</m:t>
            </m:r>
          </m:e>
          <m:e>
            <m:sSub>
              <m:e>
                <m:r>
                  <m:t>a</m:t>
                </m:r>
              </m:e>
              <m:sub>
                <m:r>
                  <m:t>0</m:t>
                </m:r>
                <m:r>
                  <m:rPr>
                    <m:sty m:val="p"/>
                  </m:rPr>
                  <m:t>,</m:t>
                </m:r>
                <m:r>
                  <m:rPr>
                    <m:sty m:val="p"/>
                  </m:rPr>
                  <m:t>≥</m:t>
                </m:r>
              </m:sub>
            </m:sSub>
            <m:r>
              <m:rPr>
                <m:sty m:val="p"/>
              </m:rPr>
              <m:t>=</m:t>
            </m:r>
            <m:r>
              <m:t>​</m:t>
            </m:r>
            <m:r>
              <m:t>&amp;</m:t>
            </m:r>
            <m:r>
              <m:rPr>
                <m:sty m:val="p"/>
              </m:rPr>
              <m:t>−</m:t>
            </m:r>
            <m:r>
              <m:t>6.896</m:t>
            </m:r>
            <m:r>
              <m:rPr>
                <m:sty m:val="p"/>
              </m:rPr>
              <m:t>+</m:t>
            </m:r>
            <m:r>
              <m:t>0.550</m:t>
            </m:r>
            <m:sSub>
              <m:e>
                <m:r>
                  <m:t>M</m:t>
                </m:r>
              </m:e>
              <m:sub>
                <m:r>
                  <m:t>w</m:t>
                </m:r>
              </m:sub>
            </m:sSub>
            <m:r>
              <m:rPr>
                <m:sty m:val="p"/>
              </m:rPr>
              <m:t>+</m:t>
            </m:r>
            <m:r>
              <m:t>3.081</m:t>
            </m:r>
            <m:sSub>
              <m:e>
                <m:r>
                  <m:t>T</m:t>
                </m:r>
              </m:e>
              <m:sub>
                <m:r>
                  <m:t>s</m:t>
                </m:r>
              </m:sub>
            </m:sSub>
            <m:r>
              <m:rPr>
                <m:sty m:val="p"/>
              </m:rPr>
              <m:t>−</m:t>
            </m:r>
            <m:r>
              <m:t>0.803</m:t>
            </m:r>
            <m:sSubSup>
              <m:e>
                <m:r>
                  <m:t>T</m:t>
                </m:r>
              </m:e>
              <m:sub>
                <m:r>
                  <m:t>s</m:t>
                </m:r>
              </m:sub>
              <m:sup>
                <m:r>
                  <m:t>2</m:t>
                </m:r>
              </m:sup>
            </m:sSubSup>
          </m:e>
          <m:e>
            <m:r>
              <m:t>&amp;</m:t>
            </m:r>
            <m:r>
              <m:rPr>
                <m:sty m:val="p"/>
              </m:rPr>
              <m:t>−</m:t>
            </m:r>
            <m:r>
              <m:t>3.353</m:t>
            </m:r>
            <m:r>
              <m:rPr>
                <m:sty m:val="p"/>
              </m:rPr>
              <m:t>ln</m:t>
            </m:r>
            <m:sSub>
              <m:e>
                <m:r>
                  <m:t>k</m:t>
                </m:r>
              </m:e>
              <m:sub>
                <m:r>
                  <m:t>y</m:t>
                </m:r>
              </m:sub>
            </m:sSub>
            <m:r>
              <m:rPr>
                <m:sty m:val="p"/>
              </m:rPr>
              <m:t>−</m:t>
            </m:r>
            <m:r>
              <m:t>0.390</m:t>
            </m:r>
            <m:r>
              <m:rPr>
                <m:sty m:val="p"/>
              </m:rPr>
              <m:t>(</m:t>
            </m:r>
            <m:r>
              <m:rPr>
                <m:sty m:val="p"/>
              </m:rPr>
              <m:t>ln</m:t>
            </m:r>
            <m:sSub>
              <m:e>
                <m:r>
                  <m:t>k</m:t>
                </m:r>
              </m:e>
              <m:sub>
                <m:r>
                  <m:t>y</m:t>
                </m:r>
              </m:sub>
            </m:sSub>
            <m:sSup>
              <m:e>
                <m:r>
                  <m:rPr>
                    <m:sty m:val="p"/>
                  </m:rPr>
                  <m:t>)</m:t>
                </m:r>
              </m:e>
              <m:sup>
                <m:r>
                  <m:t>2</m:t>
                </m:r>
              </m:sup>
            </m:sSup>
            <m:r>
              <m:rPr>
                <m:sty m:val="p"/>
              </m:rPr>
              <m:t>,</m:t>
            </m:r>
          </m:e>
          <m:e>
            <m:sSub>
              <m:e>
                <m:r>
                  <m:t>a</m:t>
                </m:r>
              </m:e>
              <m:sub>
                <m:r>
                  <m:t>0</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sSub>
                        <m:e>
                          <m:r>
                            <m:t>a</m:t>
                          </m:r>
                        </m:e>
                        <m:sub>
                          <m:r>
                            <m:t>0</m:t>
                          </m:r>
                          <m:r>
                            <m:rPr>
                              <m:sty m:val="p"/>
                            </m:rPr>
                            <m:t>,</m:t>
                          </m:r>
                          <m:r>
                            <m:rPr>
                              <m:sty m:val="p"/>
                            </m:rPr>
                            <m:t>&lt;</m:t>
                          </m:r>
                        </m:sub>
                      </m:sSub>
                      <m:r>
                        <m:rPr>
                          <m:sty m:val="p"/>
                        </m:rPr>
                        <m:t>,</m:t>
                      </m:r>
                    </m:e>
                    <m:e>
                      <m:sSub>
                        <m:e>
                          <m:r>
                            <m:t>T</m:t>
                          </m:r>
                        </m:e>
                        <m:sub>
                          <m:r>
                            <m:t>s</m:t>
                          </m:r>
                        </m:sub>
                      </m:sSub>
                      <m:r>
                        <m:rPr>
                          <m:sty m:val="p"/>
                        </m:rPr>
                        <m:t>&lt;</m:t>
                      </m:r>
                      <m:r>
                        <m:t>0.1</m:t>
                      </m:r>
                      <m:r>
                        <m:t> </m:t>
                      </m:r>
                      <m:r>
                        <m:rPr>
                          <m:sty m:val="p"/>
                        </m:rPr>
                        <m:t>s</m:t>
                      </m:r>
                      <m:r>
                        <m:rPr>
                          <m:sty m:val="p"/>
                        </m:rPr>
                        <m:t>,</m:t>
                      </m:r>
                    </m:e>
                  </m:mr>
                  <m:mr>
                    <m:e>
                      <m:sSub>
                        <m:e>
                          <m:r>
                            <m:t>a</m:t>
                          </m:r>
                        </m:e>
                        <m:sub>
                          <m:r>
                            <m:t>0</m:t>
                          </m:r>
                          <m:r>
                            <m:rPr>
                              <m:sty m:val="p"/>
                            </m:rPr>
                            <m:t>,</m:t>
                          </m:r>
                          <m:r>
                            <m:rPr>
                              <m:sty m:val="p"/>
                            </m:rPr>
                            <m:t>≥</m:t>
                          </m:r>
                        </m:sub>
                      </m:sSub>
                      <m:r>
                        <m:rPr>
                          <m:sty m:val="p"/>
                        </m:rPr>
                        <m:t>,</m:t>
                      </m:r>
                    </m:e>
                    <m:e>
                      <m:sSub>
                        <m:e>
                          <m:r>
                            <m:t>T</m:t>
                          </m:r>
                        </m:e>
                        <m:sub>
                          <m:r>
                            <m:t>s</m:t>
                          </m:r>
                        </m:sub>
                      </m:sSub>
                      <m:r>
                        <m:rPr>
                          <m:sty m:val="p"/>
                        </m:rPr>
                        <m:t>≥</m:t>
                      </m:r>
                      <m:r>
                        <m:t>0.1</m:t>
                      </m:r>
                      <m:r>
                        <m:t> </m:t>
                      </m:r>
                      <m:r>
                        <m:rPr>
                          <m:sty m:val="p"/>
                        </m:rPr>
                        <m:t>s</m:t>
                      </m:r>
                      <m:r>
                        <m:rPr>
                          <m:sty m:val="p"/>
                        </m:rPr>
                        <m:t>,</m:t>
                      </m:r>
                    </m:e>
                  </m:mr>
                </m:m>
              </m:e>
            </m:d>
          </m:e>
          <m:e>
            <m:sSub>
              <m:e>
                <m:r>
                  <m:t>σ</m:t>
                </m:r>
              </m:e>
              <m:sub>
                <m:r>
                  <m:rPr>
                    <m:sty m:val="p"/>
                  </m:rPr>
                  <m:t>ln</m:t>
                </m:r>
                <m:r>
                  <m:t>D</m:t>
                </m:r>
              </m:sub>
            </m:sSub>
            <m:r>
              <m:t>&amp;</m:t>
            </m:r>
            <m:r>
              <m:rPr>
                <m:sty m:val="p"/>
              </m:rPr>
              <m:t>=</m:t>
            </m:r>
            <m:r>
              <m:t>0.73</m:t>
            </m:r>
            <m:r>
              <m:rPr>
                <m:sty m:val="p"/>
              </m:rPr>
              <m:t>.</m:t>
            </m:r>
          </m:e>
        </m:eqArr>
      </m:oMath>
      <w:r>
        <w:tab/>
      </w:r>
      <w:r>
        <w:t xml:space="preserve">(6.8)</w:t>
      </w:r>
      <w:bookmarkEnd w:id="309"/>
    </w:p>
    <w:p>
      <w:pPr>
        <w:pStyle w:val="BodyText"/>
      </w:pPr>
      <w:r>
        <w:t xml:space="preserve">The</w:t>
      </w:r>
      <w:r>
        <w:t xml:space="preserve"> </w:t>
      </w:r>
      <w:r>
        <w:rPr>
          <w:rStyle w:val="VerbatimChar"/>
        </w:rPr>
        <w:t xml:space="preserve">BM19</w:t>
      </w:r>
      <w:r>
        <w:t xml:space="preserve"> </w:t>
      </w:r>
      <w:r>
        <w:t xml:space="preserve">formulation</w:t>
      </w:r>
      <w:r>
        <w:t xml:space="preserve"> </w:t>
      </w:r>
      <w:r>
        <w:t xml:space="preserve">(</w:t>
      </w:r>
      <w:hyperlink w:anchor="ref-BrayMacedo2019">
        <w:r>
          <w:rPr>
            <w:rStyle w:val="Hyperlink"/>
          </w:rPr>
          <w:t xml:space="preserve">Bray &amp; Macedo, 2019</w:t>
        </w:r>
      </w:hyperlink>
      <w:r>
        <w:t xml:space="preserve">)</w:t>
      </w:r>
      <w:r>
        <w:t xml:space="preserve"> </w:t>
      </w:r>
      <w:r>
        <w:t xml:space="preserve">represents ordinary shallow crustal motions with</w:t>
      </w:r>
      <w:r>
        <w:t xml:space="preserve"> </w:t>
      </w:r>
      <m:oMath>
        <m:sSub>
          <m:e>
            <m:r>
              <m:t>S</m:t>
            </m:r>
          </m:e>
          <m:sub>
            <m:r>
              <m:t>a</m:t>
            </m:r>
          </m:sub>
        </m:sSub>
        <m:r>
          <m:rPr>
            <m:sty m:val="p"/>
          </m:rPr>
          <m:t>=</m:t>
        </m:r>
        <m:sSub>
          <m:e>
            <m:r>
              <m:t>S</m:t>
            </m:r>
          </m:e>
          <m:sub>
            <m:r>
              <m:t>a</m:t>
            </m:r>
          </m:sub>
        </m:sSub>
        <m:r>
          <m:rPr>
            <m:sty m:val="p"/>
          </m:rPr>
          <m:t>(</m:t>
        </m:r>
        <m:r>
          <m:t>1.3</m:t>
        </m:r>
        <m:sSub>
          <m:e>
            <m:r>
              <m:t>T</m:t>
            </m:r>
          </m:e>
          <m:sub>
            <m:r>
              <m:t>s</m:t>
            </m:r>
          </m:sub>
        </m:sSub>
        <m:r>
          <m:rPr>
            <m:sty m:val="p"/>
          </m:rPr>
          <m:t>)</m:t>
        </m:r>
      </m:oMath>
      <w:r>
        <w:t xml:space="preserve">:</w:t>
      </w:r>
    </w:p>
    <w:p>
      <w:pPr>
        <w:pStyle w:val="Equation"/>
      </w:pPr>
      <w:bookmarkStart w:id="310" w:name="eq-newmark-bm19"/>
      <w:r>
        <w:tab/>
      </w:r>
      <m:oMath>
        <m:eqArr>
          <m:e>
            <m:sSub>
              <m:e>
                <m:r>
                  <m:t>μ</m:t>
                </m:r>
              </m:e>
              <m:sub>
                <m:r>
                  <m:rPr>
                    <m:sty m:val="p"/>
                  </m:rPr>
                  <m:t>ln</m:t>
                </m:r>
                <m:r>
                  <m:t>D</m:t>
                </m:r>
              </m:sub>
            </m:sSub>
            <m:r>
              <m:t>&amp;</m:t>
            </m:r>
            <m:r>
              <m:rPr>
                <m:sty m:val="p"/>
              </m:rPr>
              <m:t>=</m:t>
            </m:r>
            <m:sSub>
              <m:e>
                <m:r>
                  <m:t>a</m:t>
                </m:r>
              </m:e>
              <m:sub>
                <m:r>
                  <m:t>0</m:t>
                </m:r>
              </m:sub>
            </m:sSub>
            <m:r>
              <m:rPr>
                <m:sty m:val="p"/>
              </m:rPr>
              <m:t>+</m:t>
            </m:r>
            <m:d>
              <m:dPr>
                <m:begChr m:val="("/>
                <m:sepChr m:val=""/>
                <m:endChr m:val=")"/>
                <m:grow/>
              </m:dPr>
              <m:e>
                <m:r>
                  <m:t>2.649</m:t>
                </m:r>
                <m:r>
                  <m:rPr>
                    <m:sty m:val="p"/>
                  </m:rPr>
                  <m:t>+</m:t>
                </m:r>
                <m:r>
                  <m:t>0.344</m:t>
                </m:r>
                <m:r>
                  <m:rPr>
                    <m:sty m:val="p"/>
                  </m:rPr>
                  <m:t>ln</m:t>
                </m:r>
                <m:sSub>
                  <m:e>
                    <m:r>
                      <m:t>k</m:t>
                    </m:r>
                  </m:e>
                  <m:sub>
                    <m:r>
                      <m:t>y</m:t>
                    </m:r>
                  </m:sub>
                </m:sSub>
              </m:e>
            </m:d>
            <m:r>
              <m:rPr>
                <m:sty m:val="p"/>
              </m:rPr>
              <m:t>ln</m:t>
            </m:r>
            <m:sSub>
              <m:e>
                <m:r>
                  <m:t>S</m:t>
                </m:r>
              </m:e>
              <m:sub>
                <m:r>
                  <m:t>a</m:t>
                </m:r>
              </m:sub>
            </m:sSub>
            <m:r>
              <m:rPr>
                <m:sty m:val="p"/>
              </m:rPr>
              <m:t>−</m:t>
            </m:r>
            <m:r>
              <m:t>0.090</m:t>
            </m:r>
            <m:r>
              <m:rPr>
                <m:sty m:val="p"/>
              </m:rPr>
              <m:t>(</m:t>
            </m:r>
            <m:r>
              <m:rPr>
                <m:sty m:val="p"/>
              </m:rPr>
              <m:t>ln</m:t>
            </m:r>
            <m:sSub>
              <m:e>
                <m:r>
                  <m:t>S</m:t>
                </m:r>
              </m:e>
              <m:sub>
                <m:r>
                  <m:t>a</m:t>
                </m:r>
              </m:sub>
            </m:sSub>
            <m:sSup>
              <m:e>
                <m:r>
                  <m:rPr>
                    <m:sty m:val="p"/>
                  </m:rPr>
                  <m:t>)</m:t>
                </m:r>
              </m:e>
              <m:sup>
                <m:r>
                  <m:t>2</m:t>
                </m:r>
              </m:sup>
            </m:sSup>
            <m:r>
              <m:rPr>
                <m:sty m:val="p"/>
              </m:rPr>
              <m:t>,</m:t>
            </m:r>
          </m:e>
          <m:e>
            <m:sSub>
              <m:e>
                <m:r>
                  <m:t>a</m:t>
                </m:r>
              </m:e>
              <m:sub>
                <m:r>
                  <m:t>0</m:t>
                </m:r>
                <m:r>
                  <m:rPr>
                    <m:sty m:val="p"/>
                  </m:rPr>
                  <m:t>,</m:t>
                </m:r>
                <m:r>
                  <m:rPr>
                    <m:sty m:val="p"/>
                  </m:rPr>
                  <m:t>&lt;</m:t>
                </m:r>
              </m:sub>
            </m:sSub>
            <m:r>
              <m:rPr>
                <m:sty m:val="p"/>
              </m:rPr>
              <m:t>=</m:t>
            </m:r>
            <m:r>
              <m:t>​</m:t>
            </m:r>
            <m:r>
              <m:t>&amp;</m:t>
            </m:r>
            <m:r>
              <m:rPr>
                <m:sty m:val="p"/>
              </m:rPr>
              <m:t>−</m:t>
            </m:r>
            <m:r>
              <m:t>4.684</m:t>
            </m:r>
            <m:r>
              <m:rPr>
                <m:sty m:val="p"/>
              </m:rPr>
              <m:t>+</m:t>
            </m:r>
            <m:r>
              <m:t>0.603</m:t>
            </m:r>
            <m:sSub>
              <m:e>
                <m:r>
                  <m:t>M</m:t>
                </m:r>
              </m:e>
              <m:sub>
                <m:r>
                  <m:t>w</m:t>
                </m:r>
              </m:sub>
            </m:sSub>
            <m:r>
              <m:rPr>
                <m:sty m:val="p"/>
              </m:rPr>
              <m:t>−</m:t>
            </m:r>
            <m:r>
              <m:t>9.471</m:t>
            </m:r>
            <m:sSub>
              <m:e>
                <m:r>
                  <m:t>T</m:t>
                </m:r>
              </m:e>
              <m:sub>
                <m:r>
                  <m:t>s</m:t>
                </m:r>
              </m:sub>
            </m:sSub>
          </m:e>
          <m:e>
            <m:r>
              <m:t>&amp;</m:t>
            </m:r>
            <m:r>
              <m:rPr>
                <m:sty m:val="p"/>
              </m:rPr>
              <m:t>−</m:t>
            </m:r>
            <m:r>
              <m:t>2.482</m:t>
            </m:r>
            <m:r>
              <m:rPr>
                <m:sty m:val="p"/>
              </m:rPr>
              <m:t>ln</m:t>
            </m:r>
            <m:sSub>
              <m:e>
                <m:r>
                  <m:t>k</m:t>
                </m:r>
              </m:e>
              <m:sub>
                <m:r>
                  <m:t>y</m:t>
                </m:r>
              </m:sub>
            </m:sSub>
            <m:r>
              <m:rPr>
                <m:sty m:val="p"/>
              </m:rPr>
              <m:t>−</m:t>
            </m:r>
            <m:r>
              <m:t>0.244</m:t>
            </m:r>
            <m:r>
              <m:rPr>
                <m:sty m:val="p"/>
              </m:rPr>
              <m:t>(</m:t>
            </m:r>
            <m:r>
              <m:rPr>
                <m:sty m:val="p"/>
              </m:rPr>
              <m:t>ln</m:t>
            </m:r>
            <m:sSub>
              <m:e>
                <m:r>
                  <m:t>k</m:t>
                </m:r>
              </m:e>
              <m:sub>
                <m:r>
                  <m:t>y</m:t>
                </m:r>
              </m:sub>
            </m:sSub>
            <m:sSup>
              <m:e>
                <m:r>
                  <m:rPr>
                    <m:sty m:val="p"/>
                  </m:rPr>
                  <m:t>)</m:t>
                </m:r>
              </m:e>
              <m:sup>
                <m:r>
                  <m:t>2</m:t>
                </m:r>
              </m:sup>
            </m:sSup>
            <m:r>
              <m:rPr>
                <m:sty m:val="p"/>
              </m:rPr>
              <m:t>,</m:t>
            </m:r>
          </m:e>
          <m:e>
            <m:sSub>
              <m:e>
                <m:r>
                  <m:t>a</m:t>
                </m:r>
              </m:e>
              <m:sub>
                <m:r>
                  <m:t>0</m:t>
                </m:r>
                <m:r>
                  <m:rPr>
                    <m:sty m:val="p"/>
                  </m:rPr>
                  <m:t>,</m:t>
                </m:r>
                <m:r>
                  <m:rPr>
                    <m:sty m:val="p"/>
                  </m:rPr>
                  <m:t>≥</m:t>
                </m:r>
              </m:sub>
            </m:sSub>
            <m:r>
              <m:rPr>
                <m:sty m:val="p"/>
              </m:rPr>
              <m:t>=</m:t>
            </m:r>
            <m:r>
              <m:t>​</m:t>
            </m:r>
            <m:r>
              <m:t>&amp;</m:t>
            </m:r>
            <m:r>
              <m:rPr>
                <m:sty m:val="p"/>
              </m:rPr>
              <m:t>−</m:t>
            </m:r>
            <m:r>
              <m:t>5.981</m:t>
            </m:r>
            <m:r>
              <m:rPr>
                <m:sty m:val="p"/>
              </m:rPr>
              <m:t>+</m:t>
            </m:r>
            <m:r>
              <m:t>0.603</m:t>
            </m:r>
            <m:sSub>
              <m:e>
                <m:r>
                  <m:t>M</m:t>
                </m:r>
              </m:e>
              <m:sub>
                <m:r>
                  <m:t>w</m:t>
                </m:r>
              </m:sub>
            </m:sSub>
            <m:r>
              <m:rPr>
                <m:sty m:val="p"/>
              </m:rPr>
              <m:t>+</m:t>
            </m:r>
            <m:r>
              <m:t>3.223</m:t>
            </m:r>
            <m:sSub>
              <m:e>
                <m:r>
                  <m:t>T</m:t>
                </m:r>
              </m:e>
              <m:sub>
                <m:r>
                  <m:t>s</m:t>
                </m:r>
              </m:sub>
            </m:sSub>
            <m:r>
              <m:rPr>
                <m:sty m:val="p"/>
              </m:rPr>
              <m:t>−</m:t>
            </m:r>
            <m:r>
              <m:t>0.945</m:t>
            </m:r>
            <m:sSubSup>
              <m:e>
                <m:r>
                  <m:t>T</m:t>
                </m:r>
              </m:e>
              <m:sub>
                <m:r>
                  <m:t>s</m:t>
                </m:r>
              </m:sub>
              <m:sup>
                <m:r>
                  <m:t>2</m:t>
                </m:r>
              </m:sup>
            </m:sSubSup>
          </m:e>
          <m:e>
            <m:r>
              <m:t>&amp;</m:t>
            </m:r>
            <m:r>
              <m:rPr>
                <m:sty m:val="p"/>
              </m:rPr>
              <m:t>−</m:t>
            </m:r>
            <m:r>
              <m:t>2.482</m:t>
            </m:r>
            <m:r>
              <m:rPr>
                <m:sty m:val="p"/>
              </m:rPr>
              <m:t>ln</m:t>
            </m:r>
            <m:sSub>
              <m:e>
                <m:r>
                  <m:t>k</m:t>
                </m:r>
              </m:e>
              <m:sub>
                <m:r>
                  <m:t>y</m:t>
                </m:r>
              </m:sub>
            </m:sSub>
            <m:r>
              <m:rPr>
                <m:sty m:val="p"/>
              </m:rPr>
              <m:t>−</m:t>
            </m:r>
            <m:r>
              <m:t>0.244</m:t>
            </m:r>
            <m:r>
              <m:rPr>
                <m:sty m:val="p"/>
              </m:rPr>
              <m:t>(</m:t>
            </m:r>
            <m:r>
              <m:rPr>
                <m:sty m:val="p"/>
              </m:rPr>
              <m:t>ln</m:t>
            </m:r>
            <m:sSub>
              <m:e>
                <m:r>
                  <m:t>k</m:t>
                </m:r>
              </m:e>
              <m:sub>
                <m:r>
                  <m:t>y</m:t>
                </m:r>
              </m:sub>
            </m:sSub>
            <m:sSup>
              <m:e>
                <m:r>
                  <m:rPr>
                    <m:sty m:val="p"/>
                  </m:rPr>
                  <m:t>)</m:t>
                </m:r>
              </m:e>
              <m:sup>
                <m:r>
                  <m:t>2</m:t>
                </m:r>
              </m:sup>
            </m:sSup>
            <m:r>
              <m:rPr>
                <m:sty m:val="p"/>
              </m:rPr>
              <m:t>,</m:t>
            </m:r>
          </m:e>
          <m:e>
            <m:sSub>
              <m:e>
                <m:r>
                  <m:t>a</m:t>
                </m:r>
              </m:e>
              <m:sub>
                <m:r>
                  <m:t>0</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sSub>
                        <m:e>
                          <m:r>
                            <m:t>a</m:t>
                          </m:r>
                        </m:e>
                        <m:sub>
                          <m:r>
                            <m:t>0</m:t>
                          </m:r>
                          <m:r>
                            <m:rPr>
                              <m:sty m:val="p"/>
                            </m:rPr>
                            <m:t>,</m:t>
                          </m:r>
                          <m:r>
                            <m:rPr>
                              <m:sty m:val="p"/>
                            </m:rPr>
                            <m:t>&lt;</m:t>
                          </m:r>
                        </m:sub>
                      </m:sSub>
                      <m:r>
                        <m:rPr>
                          <m:sty m:val="p"/>
                        </m:rPr>
                        <m:t>,</m:t>
                      </m:r>
                    </m:e>
                    <m:e>
                      <m:sSub>
                        <m:e>
                          <m:r>
                            <m:t>T</m:t>
                          </m:r>
                        </m:e>
                        <m:sub>
                          <m:r>
                            <m:t>s</m:t>
                          </m:r>
                        </m:sub>
                      </m:sSub>
                      <m:r>
                        <m:rPr>
                          <m:sty m:val="p"/>
                        </m:rPr>
                        <m:t>&lt;</m:t>
                      </m:r>
                      <m:r>
                        <m:t>0.1</m:t>
                      </m:r>
                      <m:r>
                        <m:t> </m:t>
                      </m:r>
                      <m:r>
                        <m:rPr>
                          <m:sty m:val="p"/>
                        </m:rPr>
                        <m:t>s</m:t>
                      </m:r>
                      <m:r>
                        <m:rPr>
                          <m:sty m:val="p"/>
                        </m:rPr>
                        <m:t>,</m:t>
                      </m:r>
                    </m:e>
                  </m:mr>
                  <m:mr>
                    <m:e>
                      <m:sSub>
                        <m:e>
                          <m:r>
                            <m:t>a</m:t>
                          </m:r>
                        </m:e>
                        <m:sub>
                          <m:r>
                            <m:t>0</m:t>
                          </m:r>
                          <m:r>
                            <m:rPr>
                              <m:sty m:val="p"/>
                            </m:rPr>
                            <m:t>,</m:t>
                          </m:r>
                          <m:r>
                            <m:rPr>
                              <m:sty m:val="p"/>
                            </m:rPr>
                            <m:t>≥</m:t>
                          </m:r>
                        </m:sub>
                      </m:sSub>
                      <m:r>
                        <m:rPr>
                          <m:sty m:val="p"/>
                        </m:rPr>
                        <m:t>,</m:t>
                      </m:r>
                    </m:e>
                    <m:e>
                      <m:sSub>
                        <m:e>
                          <m:r>
                            <m:t>T</m:t>
                          </m:r>
                        </m:e>
                        <m:sub>
                          <m:r>
                            <m:t>s</m:t>
                          </m:r>
                        </m:sub>
                      </m:sSub>
                      <m:r>
                        <m:rPr>
                          <m:sty m:val="p"/>
                        </m:rPr>
                        <m:t>≥</m:t>
                      </m:r>
                      <m:r>
                        <m:t>0.1</m:t>
                      </m:r>
                      <m:r>
                        <m:t> </m:t>
                      </m:r>
                      <m:r>
                        <m:rPr>
                          <m:sty m:val="p"/>
                        </m:rPr>
                        <m:t>s</m:t>
                      </m:r>
                      <m:r>
                        <m:rPr>
                          <m:sty m:val="p"/>
                        </m:rPr>
                        <m:t>,</m:t>
                      </m:r>
                    </m:e>
                  </m:mr>
                </m:m>
              </m:e>
            </m:d>
          </m:e>
          <m:e>
            <m:sSub>
              <m:e>
                <m:r>
                  <m:t>σ</m:t>
                </m:r>
              </m:e>
              <m:sub>
                <m:r>
                  <m:rPr>
                    <m:sty m:val="p"/>
                  </m:rPr>
                  <m:t>ln</m:t>
                </m:r>
                <m:r>
                  <m:t>D</m:t>
                </m:r>
              </m:sub>
            </m:sSub>
            <m:r>
              <m:t>&amp;</m:t>
            </m:r>
            <m:r>
              <m:rPr>
                <m:sty m:val="p"/>
              </m:rPr>
              <m:t>=</m:t>
            </m:r>
            <m:r>
              <m:t>0.72</m:t>
            </m:r>
            <m:r>
              <m:rPr>
                <m:sty m:val="p"/>
              </m:rPr>
              <m:t>.</m:t>
            </m:r>
          </m:e>
        </m:eqArr>
      </m:oMath>
      <w:r>
        <w:tab/>
      </w:r>
      <w:r>
        <w:t xml:space="preserve">(6.9)</w:t>
      </w:r>
      <w:bookmarkEnd w:id="310"/>
    </w:p>
    <w:bookmarkEnd w:id="311"/>
    <w:bookmarkStart w:id="312" w:name="sec-newmark-ensemble"/>
    <w:p>
      <w:pPr>
        <w:pStyle w:val="Heading2"/>
      </w:pPr>
      <w:r>
        <w:t xml:space="preserve">6.8</w:t>
      </w:r>
      <w:r>
        <w:tab/>
      </w:r>
      <w:r>
        <w:t xml:space="preserve">Ensemble</w:t>
      </w:r>
    </w:p>
    <w:p>
      <w:pPr>
        <w:pStyle w:val="FirstParagraph"/>
      </w:pPr>
      <w:r>
        <w:t xml:space="preserve">The active configuration applies five formulations:</w:t>
      </w:r>
      <w:r>
        <w:t xml:space="preserve"> </w:t>
      </w:r>
      <w:r>
        <w:rPr>
          <w:rStyle w:val="VerbatimChar"/>
        </w:rPr>
        <w:t xml:space="preserve">AM88</w:t>
      </w:r>
      <w:r>
        <w:t xml:space="preserve">,</w:t>
      </w:r>
      <w:r>
        <w:t xml:space="preserve"> </w:t>
      </w:r>
      <w:r>
        <w:rPr>
          <w:rStyle w:val="VerbatimChar"/>
        </w:rPr>
        <w:t xml:space="preserve">JB07</w:t>
      </w:r>
      <w:r>
        <w:t xml:space="preserve">,</w:t>
      </w:r>
      <w:r>
        <w:t xml:space="preserve"> </w:t>
      </w:r>
      <w:r>
        <w:rPr>
          <w:rStyle w:val="VerbatimChar"/>
        </w:rPr>
        <w:t xml:space="preserve">SR08</w:t>
      </w:r>
      <w:r>
        <w:t xml:space="preserve">,</w:t>
      </w:r>
      <w:r>
        <w:t xml:space="preserve"> </w:t>
      </w:r>
      <w:r>
        <w:rPr>
          <w:rStyle w:val="VerbatimChar"/>
        </w:rPr>
        <w:t xml:space="preserve">BT07</w:t>
      </w:r>
      <w:r>
        <w:t xml:space="preserve">, and one BM branch –</w:t>
      </w:r>
      <w:r>
        <w:t xml:space="preserve"> </w:t>
      </w:r>
      <w:r>
        <w:rPr>
          <w:rStyle w:val="VerbatimChar"/>
        </w:rPr>
        <w:t xml:space="preserve">BM17</w:t>
      </w:r>
      <w:r>
        <w:t xml:space="preserve"> </w:t>
      </w:r>
      <w:r>
        <w:t xml:space="preserve">when the project declares subduction control,</w:t>
      </w:r>
      <w:r>
        <w:t xml:space="preserve"> </w:t>
      </w:r>
      <w:r>
        <w:rPr>
          <w:rStyle w:val="VerbatimChar"/>
        </w:rPr>
        <w:t xml:space="preserve">BM19</w:t>
      </w:r>
      <w:r>
        <w:t xml:space="preserve"> </w:t>
      </w:r>
      <w:r>
        <w:t xml:space="preserve">when it declares crustal control; each evaluation therefore applies five formulations, never both BM branches at once. The predictors and dispersions are applied in the published form of each model, and the five formulations are combined with the equal weights and the rigid and flexible families defined in Chapter</w:t>
      </w:r>
      <w:r>
        <w:t xml:space="preserve"> </w:t>
      </w:r>
      <w:hyperlink w:anchor="sec-coefficients">
        <w:r>
          <w:rPr>
            <w:rStyle w:val="Hyperlink"/>
          </w:rPr>
          <w:t xml:space="preserve">5.2</w:t>
        </w:r>
      </w:hyperlink>
      <w:r>
        <w:t xml:space="preserve">.</w:t>
      </w:r>
    </w:p>
    <w:bookmarkEnd w:id="312"/>
    <w:bookmarkEnd w:id="313"/>
    <w:sectPr w:rsidR="00556780" w:rsidSect="008C0599">
      <w:headerReference r:id="srk1" w:type="default"/>
      <w:footerReference r:id="srk2" w:type="default"/>
      <w:headerReference r:id="srk1" w:type="first"/>
      <w:headerReference r:id="srk1" w:type="even"/>
      <w:footerReference r:id="srk2" w:type="first"/>
      <w:footerReference r:id="srk2" w:type="even"/>
      <w:type w:val="nextPage"/>
      <w:pgSz w:h="15840" w:w="12240"/>
      <w:pgMar w:bottom="1440" w:footer="720" w:gutter="0" w:header="720" w:left="1440" w:right="1440" w:top="1440"/>
      <w:pgNumType w:fmt="decimal"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Math">
    <w:altName w:val="Calibri"/>
    <w:panose1 w:val="020B0604020202020204"/>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3B7" w:rsidRPr="00FB44C7" w:rsidRDefault="00000000" w:rsidP="000E7922">
    <w:pPr>
      <w:pStyle w:val="Footer"/>
      <w:pBdr>
        <w:top w:val="single" w:sz="4" w:space="1" w:color="auto"/>
      </w:pBdr>
      <w:tabs>
        <w:tab w:val="left" w:pos="8280"/>
      </w:tabs>
      <w:rPr>
        <w:lang w:val="en-US"/>
      </w:rPr>
    </w:pPr>
    <w:sdt>
      <w:sdtPr>
        <w:tag w:val="srk.project"/>
        <w:text/>
      </w:sdtPr>
      <w:sdtContent>
        <w:r>
          <w:t>AR-M2V4D</w:t>
        </w:r>
      </w:sdtContent>
    </w:sdt>
    <w:r>
      <w:tab/>
    </w:r>
    <w:r>
      <w:tab/>
    </w:r>
    <w:sdt>
      <w:sdtPr>
        <w:tag w:val="srk.date"/>
        <w:text/>
      </w:sdtPr>
      <w:sdtContent>
        <w:r>
          <w:t>15/10/2026</w:t>
        </w:r>
      </w:sdtContent>
    </w:sdt>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1">
    <w:p>
      <w:pPr>
        <w:pStyle w:val="FootnoteText"/>
      </w:pPr>
      <w:r>
        <w:rPr>
          <w:rStyle w:val="FootnoteReference"/>
        </w:rPr>
        <w:footnoteRef/>
      </w:r>
      <w:r>
        <w:t xml:space="preserve"> </w:t>
      </w:r>
      <m:oMath>
        <m:r>
          <m:t>ε</m:t>
        </m:r>
      </m:oMath>
      <w:r>
        <w:t xml:space="preserve"> </w:t>
      </w:r>
      <w:r>
        <w:t xml:space="preserve">is a random variable representing the residual (in log units) for an individual event</w:t>
      </w:r>
    </w:p>
  </w:footnote>
  <w:footnote w:id="109">
    <w:p>
      <w:pPr>
        <w:pStyle w:val="FootnoteText"/>
      </w:pPr>
      <w:r>
        <w:rPr>
          <w:rStyle w:val="FootnoteReference"/>
        </w:rPr>
        <w:footnoteRef/>
      </w:r>
      <w:r>
        <w:t xml:space="preserve"> </w:t>
      </w:r>
      <w:r>
        <w:t xml:space="preserve">The site-specific procedure of ASCE/SEI 7-22 encompasses the complete determination of the ground motions through site-specific analyses: the probabilistic component of Section 21.2.1, the deterministic component of Section 21.2.2 and, where applicable, the site-response analysis of Section 21.1, as opposed to the general procedure of Section 11.4.6.</w:t>
      </w:r>
    </w:p>
  </w:footnote>
  <w:footnote w:id="301">
    <w:p>
      <w:pPr>
        <w:pStyle w:val="FootnoteText"/>
      </w:pPr>
      <w:r>
        <w:rPr>
          <w:rStyle w:val="FootnoteReference"/>
        </w:rPr>
        <w:footnoteRef/>
      </w:r>
      <w:r>
        <w:t xml:space="preserve"> </w:t>
      </w:r>
      <w:r>
        <w:t xml:space="preserve">The numerical support of</w:t>
      </w:r>
      <w:r>
        <w:t xml:space="preserve"> </w:t>
      </w:r>
      <m:oMath>
        <m:sSub>
          <m:e>
            <m:r>
              <m:t>k</m:t>
            </m:r>
          </m:e>
          <m:sub>
            <m:r>
              <m:t>y</m:t>
            </m:r>
          </m:sub>
        </m:sSub>
      </m:oMath>
      <w:r>
        <w:t xml:space="preserve"> </w:t>
      </w:r>
      <w:r>
        <w:t xml:space="preserve">corresponds to the interval defined in Chapter</w:t>
      </w:r>
      <w:r>
        <w:t xml:space="preserve"> </w:t>
      </w:r>
      <w:hyperlink w:anchor="sec-coefficients">
        <w:r>
          <w:rPr>
            <w:rStyle w:val="Hyperlink"/>
          </w:rPr>
          <w:t xml:space="preserve">5.2</w:t>
        </w:r>
      </w:hyperlink>
      <w:r>
        <w:t xml:space="preserve">; when a complete AM88 realization reaches the limit</w:t>
      </w:r>
      <w:r>
        <w:t xml:space="preserve"> </w:t>
      </w:r>
      <m:oMath>
        <m:sSup>
          <m:e>
            <m:r>
              <m:t>r</m:t>
            </m:r>
          </m:e>
          <m:sup>
            <m:r>
              <m:rPr>
                <m:sty m:val="p"/>
              </m:rPr>
              <m:t>⋆</m:t>
            </m:r>
          </m:sup>
        </m:sSup>
        <m:r>
          <m:rPr>
            <m:sty m:val="p"/>
          </m:rPr>
          <m:t>=</m:t>
        </m:r>
        <m:r>
          <m:t>0.9999</m:t>
        </m:r>
      </m:oMath>
      <w:r>
        <w:t xml:space="preserve">, its inversion retains the sampled PGA and recovers the physical branch according to</w:t>
      </w:r>
      <w:r>
        <w:t xml:space="preserve"> </w:t>
      </w:r>
      <w:hyperlink w:anchor="eq-kmax-am88-limit">
        <w:r>
          <w:rPr>
            <w:rStyle w:val="Hyperlink"/>
          </w:rPr>
          <w:t xml:space="preserve">eq. 6.6</w:t>
        </w:r>
      </w:hyperlink>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3B7" w:rsidRDefault="002413B7" w:rsidP="00B6691D">
    <w:pPr>
      <w:pStyle w:val="Header"/>
      <w:rPr>
        <w:lang w:val="en-US"/>
      </w:rPr>
    </w:pPr>
    <w:sdt>
      <w:sdtPr>
        <w:tag w:val="srk.company"/>
        <w:text/>
      </w:sdtPr>
      <w:sdtContent>
        <w:r>
          <w:t>SRK Consulting (Canada), Inc. and Paterson &amp; Cooke</w:t>
        </w:r>
      </w:sdtContent>
    </w:sdt>
  </w:p>
  <w:p w:rsidR="002413B7" w:rsidRPr="00B6691D" w:rsidRDefault="00000000" w:rsidP="00764A2E">
    <w:pPr>
      <w:pStyle w:val="Header"/>
      <w:pBdr>
        <w:bottom w:val="single" w:sz="4" w:space="1" w:color="auto"/>
      </w:pBdr>
      <w:tabs>
        <w:tab w:val="left" w:pos="8745"/>
      </w:tabs>
      <w:rPr>
        <w:lang w:val="en-US"/>
      </w:rPr>
    </w:pPr>
    <w:sdt>
      <w:sdtPr>
        <w:tag w:val="srk.title"/>
        <w:text/>
      </w:sdtPr>
      <w:sdtContent>
        <w:r>
          <w:t>Seismic Hazard Study</w:t>
        </w:r>
      </w:sdtContent>
    </w:sdt>
    <w:r w:rsidR="002413B7">
      <w:rPr>
        <w:lang w:val="en-US"/>
      </w:rPr>
      <w:tab/>
    </w:r>
    <w:r w:rsidR="002413B7">
      <w:rPr>
        <w:lang w:val="en-US"/>
      </w:rPr>
      <w:tab/>
    </w:r>
    <w:r w:rsidR="00764A2E">
      <w:rPr>
        <w:lang w:val="en-US"/>
      </w:rPr>
      <w:tab/>
    </w:r>
    <w:r w:rsidR="002413B7">
      <w:rPr>
        <w:lang w:val="en-US"/>
      </w:rPr>
      <w:t xml:space="preserve">Page </w:t>
    </w:r>
    <w:r w:rsidR="002413B7" w:rsidRPr="00090F41">
      <w:rPr>
        <w:lang w:val="en-US"/>
      </w:rPr>
      <w:fldChar w:fldCharType="begin"/>
    </w:r>
    <w:r w:rsidR="002413B7" w:rsidRPr="00090F41">
      <w:rPr>
        <w:lang w:val="en-US"/>
      </w:rPr>
      <w:instrText xml:space="preserve"> PAGE   \* MERGEFORMAT </w:instrText>
    </w:r>
    <w:r w:rsidR="002413B7" w:rsidRPr="00090F41">
      <w:rPr>
        <w:lang w:val="en-US"/>
      </w:rPr>
      <w:fldChar w:fldCharType="separate"/>
    </w:r>
    <w:r w:rsidR="003F5B70">
      <w:rPr>
        <w:noProof/>
        <w:lang w:val="en-US"/>
      </w:rPr>
      <w:t>1</w:t>
    </w:r>
    <w:r w:rsidR="002413B7" w:rsidRPr="00090F41">
      <w:rPr>
        <w:noProof/>
        <w:lang w:val="en-US"/>
      </w:rPr>
      <w:fldChar w:fldCharType="end"/>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652AA1"/>
    <w:multiLevelType w:val="multilevel"/>
    <w:tmpl w:val="27044B44"/>
    <w:styleLink w:val="ListBullets"/>
    <w:lvl w:ilvl="0">
      <w:start w:val="1"/>
      <w:numFmt w:val="bullet"/>
      <w:lvlText w:val=""/>
      <w:lvlJc w:val="left"/>
      <w:pPr>
        <w:tabs>
          <w:tab w:pos="1080" w:val="num"/>
        </w:tabs>
        <w:ind w:hanging="360" w:left="1080"/>
      </w:pPr>
      <w:rPr>
        <w:rFonts w:ascii="Symbol" w:hAnsi="Symbol" w:hint="default"/>
      </w:rPr>
    </w:lvl>
    <w:lvl w:ilvl="1">
      <w:start w:val="1"/>
      <w:numFmt w:val="bullet"/>
      <w:lvlText w:val="–"/>
      <w:lvlJc w:val="left"/>
      <w:pPr>
        <w:tabs>
          <w:tab w:pos="1440" w:val="num"/>
        </w:tabs>
        <w:ind w:hanging="360" w:left="1440"/>
      </w:pPr>
      <w:rPr>
        <w:rFonts w:ascii="Arial" w:hAnsi="Arial" w:hint="default"/>
      </w:rPr>
    </w:lvl>
    <w:lvl w:ilvl="2">
      <w:start w:val="1"/>
      <w:numFmt w:val="bullet"/>
      <w:lvlText w:val=""/>
      <w:lvlJc w:val="left"/>
      <w:pPr>
        <w:tabs>
          <w:tab w:pos="1800" w:val="num"/>
        </w:tabs>
        <w:ind w:hanging="360" w:left="1800"/>
      </w:pPr>
      <w:rPr>
        <w:rFonts w:ascii="Symbol" w:hAnsi="Symbol" w:hint="default"/>
      </w:rPr>
    </w:lvl>
    <w:lvl w:ilvl="3">
      <w:start w:val="1"/>
      <w:numFmt w:val="bullet"/>
      <w:lvlText w:val="–"/>
      <w:lvlJc w:val="left"/>
      <w:pPr>
        <w:tabs>
          <w:tab w:pos="2160" w:val="num"/>
        </w:tabs>
        <w:ind w:hanging="360" w:left="2160"/>
      </w:pPr>
      <w:rPr>
        <w:rFonts w:ascii="Arial" w:hAnsi="Arial" w:hint="default"/>
      </w:rPr>
    </w:lvl>
    <w:lvl w:ilvl="4">
      <w:start w:val="1"/>
      <w:numFmt w:val="bullet"/>
      <w:lvlText w:val=""/>
      <w:lvlJc w:val="left"/>
      <w:pPr>
        <w:tabs>
          <w:tab w:pos="2520" w:val="num"/>
        </w:tabs>
        <w:ind w:hanging="360" w:left="2520"/>
      </w:pPr>
      <w:rPr>
        <w:rFonts w:ascii="Symbol" w:hAnsi="Symbol" w:hint="default"/>
      </w:rPr>
    </w:lvl>
    <w:lvl w:ilvl="5">
      <w:start w:val="1"/>
      <w:numFmt w:val="none"/>
      <w:lvlText w:val=""/>
      <w:lvlJc w:val="left"/>
      <w:pPr>
        <w:tabs>
          <w:tab w:pos="2880" w:val="num"/>
        </w:tabs>
        <w:ind w:hanging="360" w:left="2880"/>
      </w:pPr>
      <w:rPr>
        <w:rFonts w:hint="default"/>
      </w:rPr>
    </w:lvl>
    <w:lvl w:ilvl="6">
      <w:start w:val="1"/>
      <w:numFmt w:val="none"/>
      <w:lvlText w:val="%7"/>
      <w:lvlJc w:val="left"/>
      <w:pPr>
        <w:tabs>
          <w:tab w:pos="3240" w:val="num"/>
        </w:tabs>
        <w:ind w:hanging="360" w:left="3240"/>
      </w:pPr>
      <w:rPr>
        <w:rFonts w:hint="default"/>
      </w:rPr>
    </w:lvl>
    <w:lvl w:ilvl="7">
      <w:start w:val="1"/>
      <w:numFmt w:val="none"/>
      <w:lvlText w:val="%8"/>
      <w:lvlJc w:val="left"/>
      <w:pPr>
        <w:tabs>
          <w:tab w:pos="3600" w:val="num"/>
        </w:tabs>
        <w:ind w:hanging="360" w:left="3600"/>
      </w:pPr>
      <w:rPr>
        <w:rFonts w:hint="default"/>
      </w:rPr>
    </w:lvl>
    <w:lvl w:ilvl="8">
      <w:start w:val="1"/>
      <w:numFmt w:val="none"/>
      <w:lvlText w:val="%9"/>
      <w:lvlJc w:val="left"/>
      <w:pPr>
        <w:tabs>
          <w:tab w:pos="3960" w:val="num"/>
        </w:tabs>
        <w:ind w:hanging="360" w:left="3960"/>
      </w:pPr>
      <w:rPr>
        <w:rFonts w:hint="default"/>
      </w:rPr>
    </w:lvl>
  </w:abstractNum>
  <w:abstractNum w15:restartNumberingAfterBreak="0" w:abstractNumId="1">
    <w:nsid w:val="01BE1033"/>
    <w:multiLevelType w:val="multilevel"/>
    <w:tmpl w:val="0FC69186"/>
    <w:styleLink w:val="ListNumbers"/>
    <w:lvl w:ilvl="0">
      <w:start w:val="1"/>
      <w:numFmt w:val="decimal"/>
      <w:pStyle w:val="ListNumber"/>
      <w:lvlText w:val="%1."/>
      <w:lvlJc w:val="left"/>
      <w:pPr>
        <w:tabs>
          <w:tab w:pos="1080" w:val="num"/>
        </w:tabs>
        <w:ind w:hanging="360" w:left="1080"/>
      </w:pPr>
      <w:rPr>
        <w:rFonts w:asciiTheme="minorHAnsi" w:cstheme="minorBidi" w:hAnsiTheme="minorHAnsi" w:hint="default"/>
        <w:b w:val="0"/>
        <w:bCs w:val="0"/>
        <w:i w:val="0"/>
        <w:iCs w:val="0"/>
        <w:color w:themeColor="accent6" w:themeShade="BF" w:val="E36C0A"/>
        <w:spacing w:val="-1"/>
        <w:w w:val="100"/>
        <w:sz w:val="20"/>
        <w:szCs w:val="18"/>
        <w:vertAlign w:val="baseline"/>
      </w:rPr>
    </w:lvl>
    <w:lvl w:ilvl="1">
      <w:start w:val="1"/>
      <w:numFmt w:val="lowerLetter"/>
      <w:pStyle w:val="ListNumber2"/>
      <w:lvlText w:val="(%2)"/>
      <w:lvlJc w:val="left"/>
      <w:pPr>
        <w:tabs>
          <w:tab w:pos="1440" w:val="num"/>
        </w:tabs>
        <w:ind w:hanging="360" w:left="1440"/>
      </w:pPr>
      <w:rPr>
        <w:rFonts w:hint="default"/>
      </w:rPr>
    </w:lvl>
    <w:lvl w:ilvl="2">
      <w:start w:val="1"/>
      <w:numFmt w:val="decimal"/>
      <w:pStyle w:val="ListNumber3"/>
      <w:lvlText w:val="%3."/>
      <w:lvlJc w:val="left"/>
      <w:pPr>
        <w:tabs>
          <w:tab w:pos="1800" w:val="num"/>
        </w:tabs>
        <w:ind w:hanging="360" w:left="1800"/>
      </w:pPr>
      <w:rPr>
        <w:rFonts w:hint="default"/>
      </w:rPr>
    </w:lvl>
    <w:lvl w:ilvl="3">
      <w:start w:val="1"/>
      <w:numFmt w:val="lowerLetter"/>
      <w:pStyle w:val="ListNumber4"/>
      <w:lvlText w:val="(%4)"/>
      <w:lvlJc w:val="left"/>
      <w:pPr>
        <w:tabs>
          <w:tab w:pos="2160" w:val="num"/>
        </w:tabs>
        <w:ind w:hanging="360" w:left="2160"/>
      </w:pPr>
      <w:rPr>
        <w:rFonts w:hint="default"/>
      </w:rPr>
    </w:lvl>
    <w:lvl w:ilvl="4">
      <w:start w:val="1"/>
      <w:numFmt w:val="lowerRoman"/>
      <w:pStyle w:val="ListNumber5"/>
      <w:lvlText w:val="(%5)"/>
      <w:lvlJc w:val="left"/>
      <w:pPr>
        <w:tabs>
          <w:tab w:pos="2520" w:val="num"/>
        </w:tabs>
        <w:ind w:hanging="360" w:left="2520"/>
      </w:pPr>
      <w:rPr>
        <w:rFonts w:hint="default"/>
      </w:rPr>
    </w:lvl>
    <w:lvl w:ilvl="5">
      <w:start w:val="1"/>
      <w:numFmt w:val="none"/>
      <w:lvlText w:val=""/>
      <w:lvlJc w:val="left"/>
      <w:pPr>
        <w:tabs>
          <w:tab w:pos="2880" w:val="num"/>
        </w:tabs>
        <w:ind w:hanging="360" w:left="2880"/>
      </w:pPr>
      <w:rPr>
        <w:rFonts w:hint="default"/>
      </w:rPr>
    </w:lvl>
    <w:lvl w:ilvl="6">
      <w:start w:val="1"/>
      <w:numFmt w:val="none"/>
      <w:lvlText w:val=""/>
      <w:lvlJc w:val="left"/>
      <w:pPr>
        <w:tabs>
          <w:tab w:pos="3240" w:val="num"/>
        </w:tabs>
        <w:ind w:hanging="360" w:left="3240"/>
      </w:pPr>
      <w:rPr>
        <w:rFonts w:hint="default"/>
      </w:rPr>
    </w:lvl>
    <w:lvl w:ilvl="7">
      <w:start w:val="1"/>
      <w:numFmt w:val="none"/>
      <w:lvlText w:val=""/>
      <w:lvlJc w:val="left"/>
      <w:pPr>
        <w:tabs>
          <w:tab w:pos="2880" w:val="num"/>
        </w:tabs>
        <w:ind w:hanging="360" w:left="3600"/>
      </w:pPr>
      <w:rPr>
        <w:rFonts w:hint="default"/>
      </w:rPr>
    </w:lvl>
    <w:lvl w:ilvl="8">
      <w:start w:val="1"/>
      <w:numFmt w:val="none"/>
      <w:lvlText w:val=""/>
      <w:lvlJc w:val="left"/>
      <w:pPr>
        <w:tabs>
          <w:tab w:pos="3960" w:val="num"/>
        </w:tabs>
        <w:ind w:hanging="360" w:left="3960"/>
      </w:pPr>
      <w:rPr>
        <w:rFonts w:hint="default"/>
      </w:rPr>
    </w:lvl>
  </w:abstractNum>
  <w:abstractNum w15:restartNumberingAfterBreak="0" w:abstractNumId="2">
    <w:nsid w:val="030C00BB"/>
    <w:multiLevelType w:val="hybridMultilevel"/>
    <w:tmpl w:val="5B52AF98"/>
    <w:lvl w:ilvl="0" w:tplc="C42E8BD4">
      <w:start w:val="1"/>
      <w:numFmt w:val="lowerLetter"/>
      <w:lvlText w:val="%1."/>
      <w:lvlJc w:val="left"/>
      <w:pPr>
        <w:ind w:hanging="360" w:left="1498"/>
      </w:pPr>
      <w:rPr>
        <w:rFonts w:hint="default"/>
        <w:color w:themeColor="accent6" w:themeShade="BF" w:val="E36C0A"/>
      </w:rPr>
    </w:lvl>
    <w:lvl w:ilvl="1" w:tentative="1" w:tplc="04090019">
      <w:start w:val="1"/>
      <w:numFmt w:val="lowerLetter"/>
      <w:lvlText w:val="%2."/>
      <w:lvlJc w:val="left"/>
      <w:pPr>
        <w:ind w:hanging="360" w:left="2218"/>
      </w:pPr>
    </w:lvl>
    <w:lvl w:ilvl="2" w:tentative="1" w:tplc="0409001B">
      <w:start w:val="1"/>
      <w:numFmt w:val="lowerRoman"/>
      <w:lvlText w:val="%3."/>
      <w:lvlJc w:val="right"/>
      <w:pPr>
        <w:ind w:hanging="180" w:left="2938"/>
      </w:pPr>
    </w:lvl>
    <w:lvl w:ilvl="3" w:tentative="1" w:tplc="0409000F">
      <w:start w:val="1"/>
      <w:numFmt w:val="decimal"/>
      <w:lvlText w:val="%4."/>
      <w:lvlJc w:val="left"/>
      <w:pPr>
        <w:ind w:hanging="360" w:left="3658"/>
      </w:pPr>
    </w:lvl>
    <w:lvl w:ilvl="4" w:tentative="1" w:tplc="04090019">
      <w:start w:val="1"/>
      <w:numFmt w:val="lowerLetter"/>
      <w:lvlText w:val="%5."/>
      <w:lvlJc w:val="left"/>
      <w:pPr>
        <w:ind w:hanging="360" w:left="4378"/>
      </w:pPr>
    </w:lvl>
    <w:lvl w:ilvl="5" w:tentative="1" w:tplc="0409001B">
      <w:start w:val="1"/>
      <w:numFmt w:val="lowerRoman"/>
      <w:lvlText w:val="%6."/>
      <w:lvlJc w:val="right"/>
      <w:pPr>
        <w:ind w:hanging="180" w:left="5098"/>
      </w:pPr>
    </w:lvl>
    <w:lvl w:ilvl="6" w:tentative="1" w:tplc="0409000F">
      <w:start w:val="1"/>
      <w:numFmt w:val="decimal"/>
      <w:lvlText w:val="%7."/>
      <w:lvlJc w:val="left"/>
      <w:pPr>
        <w:ind w:hanging="360" w:left="5818"/>
      </w:pPr>
    </w:lvl>
    <w:lvl w:ilvl="7" w:tentative="1" w:tplc="04090019">
      <w:start w:val="1"/>
      <w:numFmt w:val="lowerLetter"/>
      <w:lvlText w:val="%8."/>
      <w:lvlJc w:val="left"/>
      <w:pPr>
        <w:ind w:hanging="360" w:left="6538"/>
      </w:pPr>
    </w:lvl>
    <w:lvl w:ilvl="8" w:tentative="1" w:tplc="0409001B">
      <w:start w:val="1"/>
      <w:numFmt w:val="lowerRoman"/>
      <w:lvlText w:val="%9."/>
      <w:lvlJc w:val="right"/>
      <w:pPr>
        <w:ind w:hanging="180" w:left="7258"/>
      </w:pPr>
    </w:lvl>
  </w:abstractNum>
  <w:abstractNum w15:restartNumberingAfterBreak="0" w:abstractNumId="3">
    <w:nsid w:val="049E49B6"/>
    <w:multiLevelType w:val="hybridMultilevel"/>
    <w:tmpl w:val="A9ACBD12"/>
    <w:lvl w:ilvl="0" w:tplc="4470DCEC">
      <w:start w:val="1"/>
      <w:numFmt w:val="bullet"/>
      <w:lvlText w:val=""/>
      <w:lvlJc w:val="left"/>
      <w:pPr>
        <w:ind w:hanging="360" w:left="720"/>
      </w:pPr>
      <w:rPr>
        <w:rFonts w:ascii="Wingdings" w:hAnsi="Wingdings" w:hint="default"/>
        <w:color w:themeColor="accent6" w:themeShade="BF" w:val="E36C0A"/>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
    <w:nsid w:val="06605324"/>
    <w:multiLevelType w:val="hybridMultilevel"/>
    <w:tmpl w:val="85F0D228"/>
    <w:lvl w:ilvl="0" w:tplc="4470DCEC">
      <w:start w:val="1"/>
      <w:numFmt w:val="bullet"/>
      <w:lvlText w:val=""/>
      <w:lvlJc w:val="left"/>
      <w:pPr>
        <w:ind w:hanging="360" w:left="1440"/>
      </w:pPr>
      <w:rPr>
        <w:rFonts w:ascii="Wingdings" w:hAnsi="Wingdings" w:hint="default"/>
        <w:color w:themeColor="accent6" w:themeShade="BF" w:val="E36C0A"/>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
    <w:nsid w:val="0BF3272C"/>
    <w:multiLevelType w:val="hybridMultilevel"/>
    <w:tmpl w:val="10A62FD2"/>
    <w:lvl w:ilvl="0" w:tplc="4470DCEC">
      <w:start w:val="1"/>
      <w:numFmt w:val="bullet"/>
      <w:lvlText w:val=""/>
      <w:lvlJc w:val="left"/>
      <w:pPr>
        <w:ind w:hanging="360" w:left="2160"/>
      </w:pPr>
      <w:rPr>
        <w:rFonts w:ascii="Wingdings" w:hAnsi="Wingdings" w:hint="default"/>
        <w:color w:themeColor="accent6" w:themeShade="BF" w:val="E36C0A"/>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6">
    <w:nsid w:val="1F99618B"/>
    <w:multiLevelType w:val="hybridMultilevel"/>
    <w:tmpl w:val="DE8E709E"/>
    <w:lvl w:ilvl="0" w:tplc="4470DCEC">
      <w:start w:val="1"/>
      <w:numFmt w:val="bullet"/>
      <w:lvlText w:val=""/>
      <w:lvlJc w:val="left"/>
      <w:pPr>
        <w:ind w:hanging="360" w:left="1440"/>
      </w:pPr>
      <w:rPr>
        <w:rFonts w:ascii="Wingdings" w:hAnsi="Wingdings" w:hint="default"/>
        <w:color w:themeColor="accent6" w:themeShade="BF" w:val="E36C0A"/>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7">
    <w:nsid w:val="22927EC2"/>
    <w:multiLevelType w:val="multilevel"/>
    <w:tmpl w:val="C87E2F2A"/>
    <w:numStyleLink w:val="Headings"/>
  </w:abstractNum>
  <w:abstractNum w15:restartNumberingAfterBreak="0" w:abstractNumId="8">
    <w:nsid w:val="3DCA405A"/>
    <w:multiLevelType w:val="hybridMultilevel"/>
    <w:tmpl w:val="1928771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48286D71"/>
    <w:multiLevelType w:val="multilevel"/>
    <w:tmpl w:val="C87E2F2A"/>
    <w:styleLink w:val="Headings"/>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none"/>
      <w:lvlText w:val=""/>
      <w:lvlJc w:val="left"/>
      <w:pPr>
        <w:ind w:hanging="720" w:left="720"/>
      </w:pPr>
      <w:rPr>
        <w:rFonts w:hint="default"/>
      </w:rPr>
    </w:lvl>
    <w:lvl w:ilvl="5">
      <w:start w:val="1"/>
      <w:numFmt w:val="none"/>
      <w:pStyle w:val="Heading6"/>
      <w:lvlText w:val=""/>
      <w:lvlJc w:val="left"/>
      <w:pPr>
        <w:ind w:hanging="720" w:left="720"/>
      </w:pPr>
      <w:rPr>
        <w:rFonts w:hint="default"/>
      </w:rPr>
    </w:lvl>
    <w:lvl w:ilvl="6">
      <w:start w:val="1"/>
      <w:numFmt w:val="none"/>
      <w:pStyle w:val="Heading7"/>
      <w:lvlText w:val=""/>
      <w:lvlJc w:val="left"/>
      <w:pPr>
        <w:ind w:hanging="720" w:left="720"/>
      </w:pPr>
      <w:rPr>
        <w:rFonts w:hint="default"/>
      </w:rPr>
    </w:lvl>
    <w:lvl w:ilvl="7">
      <w:start w:val="1"/>
      <w:numFmt w:val="upperLetter"/>
      <w:pStyle w:val="Heading8"/>
      <w:suff w:val="space"/>
      <w:lvlText w:val="Appendix %8"/>
      <w:lvlJc w:val="left"/>
      <w:pPr>
        <w:ind w:hanging="720" w:left="720"/>
      </w:pPr>
      <w:rPr>
        <w:rFonts w:hint="default"/>
      </w:rPr>
    </w:lvl>
    <w:lvl w:ilvl="8">
      <w:start w:val="1"/>
      <w:numFmt w:val="decimal"/>
      <w:pStyle w:val="Heading9"/>
      <w:suff w:val="space"/>
      <w:lvlText w:val="Appendix %8%9"/>
      <w:lvlJc w:val="left"/>
      <w:pPr>
        <w:ind w:hanging="720" w:left="720"/>
      </w:pPr>
      <w:rPr>
        <w:rFonts w:hint="default"/>
      </w:rPr>
    </w:lvl>
  </w:abstractNum>
  <w:abstractNum w15:restartNumberingAfterBreak="0" w:abstractNumId="10">
    <w:nsid w:val="4AE33946"/>
    <w:multiLevelType w:val="hybridMultilevel"/>
    <w:tmpl w:val="FA7858A2"/>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11">
    <w:nsid w:val="4C8544A6"/>
    <w:multiLevelType w:val="hybridMultilevel"/>
    <w:tmpl w:val="1560582E"/>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2">
    <w:nsid w:val="4CBE6387"/>
    <w:multiLevelType w:val="multilevel"/>
    <w:tmpl w:val="D4D69764"/>
    <w:lvl w:ilvl="0">
      <w:start w:val="1"/>
      <w:numFmt w:val="bullet"/>
      <w:lvlText w:val=""/>
      <w:lvlJc w:val="left"/>
      <w:pPr>
        <w:tabs>
          <w:tab w:pos="1080" w:val="num"/>
        </w:tabs>
        <w:ind w:hanging="360" w:left="1080"/>
      </w:pPr>
      <w:rPr>
        <w:rFonts w:ascii="Wingdings" w:hAnsi="Wingdings" w:hint="default"/>
        <w:color w:themeColor="accent6" w:themeShade="BF" w:val="E36C0A"/>
      </w:rPr>
    </w:lvl>
    <w:lvl w:ilvl="1">
      <w:start w:val="1"/>
      <w:numFmt w:val="bullet"/>
      <w:lvlText w:val="–"/>
      <w:lvlJc w:val="left"/>
      <w:pPr>
        <w:tabs>
          <w:tab w:pos="1440" w:val="num"/>
        </w:tabs>
        <w:ind w:hanging="360" w:left="1440"/>
      </w:pPr>
      <w:rPr>
        <w:rFonts w:ascii="Arial" w:hAnsi="Arial" w:hint="default"/>
      </w:rPr>
    </w:lvl>
    <w:lvl w:ilvl="2">
      <w:start w:val="1"/>
      <w:numFmt w:val="bullet"/>
      <w:lvlText w:val=""/>
      <w:lvlJc w:val="left"/>
      <w:pPr>
        <w:tabs>
          <w:tab w:pos="1800" w:val="num"/>
        </w:tabs>
        <w:ind w:hanging="360" w:left="1800"/>
      </w:pPr>
      <w:rPr>
        <w:rFonts w:ascii="Symbol" w:hAnsi="Symbol" w:hint="default"/>
      </w:rPr>
    </w:lvl>
    <w:lvl w:ilvl="3">
      <w:start w:val="1"/>
      <w:numFmt w:val="bullet"/>
      <w:lvlText w:val="–"/>
      <w:lvlJc w:val="left"/>
      <w:pPr>
        <w:tabs>
          <w:tab w:pos="2160" w:val="num"/>
        </w:tabs>
        <w:ind w:hanging="360" w:left="2160"/>
      </w:pPr>
      <w:rPr>
        <w:rFonts w:ascii="Arial" w:hAnsi="Arial" w:hint="default"/>
      </w:rPr>
    </w:lvl>
    <w:lvl w:ilvl="4">
      <w:start w:val="1"/>
      <w:numFmt w:val="bullet"/>
      <w:lvlText w:val=""/>
      <w:lvlJc w:val="left"/>
      <w:pPr>
        <w:tabs>
          <w:tab w:pos="2520" w:val="num"/>
        </w:tabs>
        <w:ind w:hanging="360" w:left="2520"/>
      </w:pPr>
      <w:rPr>
        <w:rFonts w:ascii="Symbol" w:hAnsi="Symbol" w:hint="default"/>
      </w:rPr>
    </w:lvl>
    <w:lvl w:ilvl="5">
      <w:start w:val="1"/>
      <w:numFmt w:val="none"/>
      <w:lvlText w:val=""/>
      <w:lvlJc w:val="left"/>
      <w:pPr>
        <w:tabs>
          <w:tab w:pos="2880" w:val="num"/>
        </w:tabs>
        <w:ind w:hanging="360" w:left="2880"/>
      </w:pPr>
      <w:rPr>
        <w:rFonts w:hint="default"/>
      </w:rPr>
    </w:lvl>
    <w:lvl w:ilvl="6">
      <w:start w:val="1"/>
      <w:numFmt w:val="none"/>
      <w:lvlText w:val="%7"/>
      <w:lvlJc w:val="left"/>
      <w:pPr>
        <w:tabs>
          <w:tab w:pos="3240" w:val="num"/>
        </w:tabs>
        <w:ind w:hanging="360" w:left="3240"/>
      </w:pPr>
      <w:rPr>
        <w:rFonts w:hint="default"/>
      </w:rPr>
    </w:lvl>
    <w:lvl w:ilvl="7">
      <w:start w:val="1"/>
      <w:numFmt w:val="none"/>
      <w:lvlText w:val="%8"/>
      <w:lvlJc w:val="left"/>
      <w:pPr>
        <w:tabs>
          <w:tab w:pos="3600" w:val="num"/>
        </w:tabs>
        <w:ind w:hanging="360" w:left="3600"/>
      </w:pPr>
      <w:rPr>
        <w:rFonts w:hint="default"/>
      </w:rPr>
    </w:lvl>
    <w:lvl w:ilvl="8">
      <w:start w:val="1"/>
      <w:numFmt w:val="none"/>
      <w:lvlText w:val="%9"/>
      <w:lvlJc w:val="left"/>
      <w:pPr>
        <w:tabs>
          <w:tab w:pos="3960" w:val="num"/>
        </w:tabs>
        <w:ind w:hanging="360" w:left="3960"/>
      </w:pPr>
      <w:rPr>
        <w:rFonts w:hint="default"/>
      </w:rPr>
    </w:lvl>
  </w:abstractNum>
  <w:abstractNum w15:restartNumberingAfterBreak="0" w:abstractNumId="13">
    <w:nsid w:val="566B0801"/>
    <w:multiLevelType w:val="hybridMultilevel"/>
    <w:tmpl w:val="03FAE786"/>
    <w:lvl w:ilvl="0" w:tplc="C42E8BD4">
      <w:start w:val="1"/>
      <w:numFmt w:val="lowerLetter"/>
      <w:lvlText w:val="%1."/>
      <w:lvlJc w:val="left"/>
      <w:pPr>
        <w:ind w:hanging="360" w:left="1440"/>
      </w:pPr>
      <w:rPr>
        <w:rFonts w:hint="default"/>
        <w:color w:themeColor="accent6" w:themeShade="BF" w:val="E36C0A"/>
      </w:rPr>
    </w:lvl>
    <w:lvl w:ilvl="1" w:tentative="1" w:tplc="FFFFFFFF">
      <w:start w:val="1"/>
      <w:numFmt w:val="bullet"/>
      <w:lvlText w:val="o"/>
      <w:lvlJc w:val="left"/>
      <w:pPr>
        <w:ind w:hanging="360" w:left="2160"/>
      </w:pPr>
      <w:rPr>
        <w:rFonts w:ascii="Courier New" w:cs="Courier New" w:hAnsi="Courier New" w:hint="default"/>
      </w:rPr>
    </w:lvl>
    <w:lvl w:ilvl="2" w:tentative="1" w:tplc="FFFFFFFF">
      <w:start w:val="1"/>
      <w:numFmt w:val="bullet"/>
      <w:lvlText w:val=""/>
      <w:lvlJc w:val="left"/>
      <w:pPr>
        <w:ind w:hanging="360" w:left="2880"/>
      </w:pPr>
      <w:rPr>
        <w:rFonts w:ascii="Wingdings" w:hAnsi="Wingdings" w:hint="default"/>
      </w:rPr>
    </w:lvl>
    <w:lvl w:ilvl="3" w:tentative="1" w:tplc="FFFFFFFF">
      <w:start w:val="1"/>
      <w:numFmt w:val="bullet"/>
      <w:lvlText w:val=""/>
      <w:lvlJc w:val="left"/>
      <w:pPr>
        <w:ind w:hanging="360" w:left="3600"/>
      </w:pPr>
      <w:rPr>
        <w:rFonts w:ascii="Symbol" w:hAnsi="Symbol" w:hint="default"/>
      </w:rPr>
    </w:lvl>
    <w:lvl w:ilvl="4" w:tentative="1" w:tplc="FFFFFFFF">
      <w:start w:val="1"/>
      <w:numFmt w:val="bullet"/>
      <w:lvlText w:val="o"/>
      <w:lvlJc w:val="left"/>
      <w:pPr>
        <w:ind w:hanging="360" w:left="4320"/>
      </w:pPr>
      <w:rPr>
        <w:rFonts w:ascii="Courier New" w:cs="Courier New" w:hAnsi="Courier New" w:hint="default"/>
      </w:rPr>
    </w:lvl>
    <w:lvl w:ilvl="5" w:tentative="1" w:tplc="FFFFFFFF">
      <w:start w:val="1"/>
      <w:numFmt w:val="bullet"/>
      <w:lvlText w:val=""/>
      <w:lvlJc w:val="left"/>
      <w:pPr>
        <w:ind w:hanging="360" w:left="5040"/>
      </w:pPr>
      <w:rPr>
        <w:rFonts w:ascii="Wingdings" w:hAnsi="Wingdings" w:hint="default"/>
      </w:rPr>
    </w:lvl>
    <w:lvl w:ilvl="6" w:tentative="1" w:tplc="FFFFFFFF">
      <w:start w:val="1"/>
      <w:numFmt w:val="bullet"/>
      <w:lvlText w:val=""/>
      <w:lvlJc w:val="left"/>
      <w:pPr>
        <w:ind w:hanging="360" w:left="5760"/>
      </w:pPr>
      <w:rPr>
        <w:rFonts w:ascii="Symbol" w:hAnsi="Symbol" w:hint="default"/>
      </w:rPr>
    </w:lvl>
    <w:lvl w:ilvl="7" w:tentative="1" w:tplc="FFFFFFFF">
      <w:start w:val="1"/>
      <w:numFmt w:val="bullet"/>
      <w:lvlText w:val="o"/>
      <w:lvlJc w:val="left"/>
      <w:pPr>
        <w:ind w:hanging="360" w:left="6480"/>
      </w:pPr>
      <w:rPr>
        <w:rFonts w:ascii="Courier New" w:cs="Courier New" w:hAnsi="Courier New" w:hint="default"/>
      </w:rPr>
    </w:lvl>
    <w:lvl w:ilvl="8" w:tentative="1" w:tplc="FFFFFFFF">
      <w:start w:val="1"/>
      <w:numFmt w:val="bullet"/>
      <w:lvlText w:val=""/>
      <w:lvlJc w:val="left"/>
      <w:pPr>
        <w:ind w:hanging="360" w:left="7200"/>
      </w:pPr>
      <w:rPr>
        <w:rFonts w:ascii="Wingdings" w:hAnsi="Wingdings" w:hint="default"/>
      </w:rPr>
    </w:lvl>
  </w:abstractNum>
  <w:abstractNum w15:restartNumberingAfterBreak="0" w:abstractNumId="14">
    <w:nsid w:val="65343627"/>
    <w:multiLevelType w:val="hybridMultilevel"/>
    <w:tmpl w:val="4DC87BB6"/>
    <w:lvl w:ilvl="0" w:tplc="8BD4C846">
      <w:start w:val="1"/>
      <w:numFmt w:val="decimal"/>
      <w:lvlText w:val="%1."/>
      <w:lvlJc w:val="left"/>
      <w:pPr>
        <w:ind w:hanging="360" w:left="2160"/>
      </w:pPr>
      <w:rPr>
        <w:rFonts w:ascii="Arial" w:cs="Arial" w:hAnsi="Arial" w:hint="default"/>
        <w:b w:val="0"/>
        <w:bCs w:val="0"/>
        <w:i w:val="0"/>
        <w:iCs w:val="0"/>
        <w:color w:themeColor="accent6" w:themeShade="BF" w:val="E36C0A"/>
        <w:spacing w:val="-1"/>
        <w:w w:val="100"/>
        <w:sz w:val="20"/>
        <w:szCs w:val="18"/>
        <w:vertAlign w:val="baseline"/>
      </w:r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15">
    <w:nsid w:val="6E521A23"/>
    <w:multiLevelType w:val="hybridMultilevel"/>
    <w:tmpl w:val="E1C4A10E"/>
    <w:lvl w:ilvl="0" w:tplc="4470DCEC">
      <w:start w:val="1"/>
      <w:numFmt w:val="bullet"/>
      <w:lvlText w:val=""/>
      <w:lvlJc w:val="left"/>
      <w:pPr>
        <w:ind w:hanging="360" w:left="1494"/>
      </w:pPr>
      <w:rPr>
        <w:rFonts w:ascii="Wingdings" w:hAnsi="Wingdings" w:hint="default"/>
        <w:color w:themeColor="accent6" w:themeShade="BF" w:val="E36C0A"/>
      </w:rPr>
    </w:lvl>
    <w:lvl w:ilvl="1" w:tplc="04090017">
      <w:start w:val="1"/>
      <w:numFmt w:val="lowerLetter"/>
      <w:lvlText w:val="%2)"/>
      <w:lvlJc w:val="left"/>
      <w:pPr>
        <w:ind w:hanging="360" w:left="2214"/>
      </w:pPr>
    </w:lvl>
    <w:lvl w:ilvl="2" w:tentative="1" w:tplc="04090005">
      <w:start w:val="1"/>
      <w:numFmt w:val="bullet"/>
      <w:lvlText w:val=""/>
      <w:lvlJc w:val="left"/>
      <w:pPr>
        <w:ind w:hanging="360" w:left="2934"/>
      </w:pPr>
      <w:rPr>
        <w:rFonts w:ascii="Wingdings" w:hAnsi="Wingdings" w:hint="default"/>
      </w:rPr>
    </w:lvl>
    <w:lvl w:ilvl="3" w:tentative="1" w:tplc="04090001">
      <w:start w:val="1"/>
      <w:numFmt w:val="bullet"/>
      <w:lvlText w:val=""/>
      <w:lvlJc w:val="left"/>
      <w:pPr>
        <w:ind w:hanging="360" w:left="3654"/>
      </w:pPr>
      <w:rPr>
        <w:rFonts w:ascii="Symbol" w:hAnsi="Symbol" w:hint="default"/>
      </w:rPr>
    </w:lvl>
    <w:lvl w:ilvl="4" w:tentative="1" w:tplc="04090003">
      <w:start w:val="1"/>
      <w:numFmt w:val="bullet"/>
      <w:lvlText w:val="o"/>
      <w:lvlJc w:val="left"/>
      <w:pPr>
        <w:ind w:hanging="360" w:left="4374"/>
      </w:pPr>
      <w:rPr>
        <w:rFonts w:ascii="Courier New" w:cs="Courier New" w:hAnsi="Courier New" w:hint="default"/>
      </w:rPr>
    </w:lvl>
    <w:lvl w:ilvl="5" w:tentative="1" w:tplc="04090005">
      <w:start w:val="1"/>
      <w:numFmt w:val="bullet"/>
      <w:lvlText w:val=""/>
      <w:lvlJc w:val="left"/>
      <w:pPr>
        <w:ind w:hanging="360" w:left="5094"/>
      </w:pPr>
      <w:rPr>
        <w:rFonts w:ascii="Wingdings" w:hAnsi="Wingdings" w:hint="default"/>
      </w:rPr>
    </w:lvl>
    <w:lvl w:ilvl="6" w:tentative="1" w:tplc="04090001">
      <w:start w:val="1"/>
      <w:numFmt w:val="bullet"/>
      <w:lvlText w:val=""/>
      <w:lvlJc w:val="left"/>
      <w:pPr>
        <w:ind w:hanging="360" w:left="5814"/>
      </w:pPr>
      <w:rPr>
        <w:rFonts w:ascii="Symbol" w:hAnsi="Symbol" w:hint="default"/>
      </w:rPr>
    </w:lvl>
    <w:lvl w:ilvl="7" w:tentative="1" w:tplc="04090003">
      <w:start w:val="1"/>
      <w:numFmt w:val="bullet"/>
      <w:lvlText w:val="o"/>
      <w:lvlJc w:val="left"/>
      <w:pPr>
        <w:ind w:hanging="360" w:left="6534"/>
      </w:pPr>
      <w:rPr>
        <w:rFonts w:ascii="Courier New" w:cs="Courier New" w:hAnsi="Courier New" w:hint="default"/>
      </w:rPr>
    </w:lvl>
    <w:lvl w:ilvl="8" w:tentative="1" w:tplc="04090005">
      <w:start w:val="1"/>
      <w:numFmt w:val="bullet"/>
      <w:lvlText w:val=""/>
      <w:lvlJc w:val="left"/>
      <w:pPr>
        <w:ind w:hanging="360" w:left="7254"/>
      </w:pPr>
      <w:rPr>
        <w:rFonts w:ascii="Wingdings" w:hAnsi="Wingdings" w:hint="default"/>
      </w:rPr>
    </w:lvl>
  </w:abstractNum>
  <w:abstractNum w15:restartNumberingAfterBreak="0" w:abstractNumId="16">
    <w:nsid w:val="7CB0413F"/>
    <w:multiLevelType w:val="hybridMultilevel"/>
    <w:tmpl w:val="0D2A8512"/>
    <w:lvl w:ilvl="0" w:tplc="A2508538">
      <w:start w:val="1"/>
      <w:numFmt w:val="decimal"/>
      <w:lvlText w:val="%1."/>
      <w:lvlJc w:val="left"/>
      <w:pPr>
        <w:ind w:hanging="360" w:left="1498"/>
      </w:pPr>
      <w:rPr>
        <w:rFonts w:ascii="Arial" w:cs="Arial" w:hAnsi="Arial" w:hint="default"/>
        <w:b w:val="0"/>
        <w:bCs w:val="0"/>
        <w:i w:val="0"/>
        <w:iCs w:val="0"/>
        <w:color w:themeColor="accent6" w:themeShade="BF" w:val="E36C0A"/>
        <w:spacing w:val="-1"/>
        <w:w w:val="100"/>
        <w:sz w:val="20"/>
        <w:szCs w:val="18"/>
        <w:vertAlign w:val="baseline"/>
      </w:rPr>
    </w:lvl>
    <w:lvl w:ilvl="1" w:tentative="1" w:tplc="FFFFFFFF">
      <w:start w:val="1"/>
      <w:numFmt w:val="lowerLetter"/>
      <w:lvlText w:val="%2."/>
      <w:lvlJc w:val="left"/>
      <w:pPr>
        <w:ind w:hanging="360" w:left="2218"/>
      </w:pPr>
    </w:lvl>
    <w:lvl w:ilvl="2" w:tentative="1" w:tplc="FFFFFFFF">
      <w:start w:val="1"/>
      <w:numFmt w:val="lowerRoman"/>
      <w:lvlText w:val="%3."/>
      <w:lvlJc w:val="right"/>
      <w:pPr>
        <w:ind w:hanging="180" w:left="2938"/>
      </w:pPr>
    </w:lvl>
    <w:lvl w:ilvl="3" w:tentative="1" w:tplc="FFFFFFFF">
      <w:start w:val="1"/>
      <w:numFmt w:val="decimal"/>
      <w:lvlText w:val="%4."/>
      <w:lvlJc w:val="left"/>
      <w:pPr>
        <w:ind w:hanging="360" w:left="3658"/>
      </w:pPr>
    </w:lvl>
    <w:lvl w:ilvl="4" w:tentative="1" w:tplc="FFFFFFFF">
      <w:start w:val="1"/>
      <w:numFmt w:val="lowerLetter"/>
      <w:lvlText w:val="%5."/>
      <w:lvlJc w:val="left"/>
      <w:pPr>
        <w:ind w:hanging="360" w:left="4378"/>
      </w:pPr>
    </w:lvl>
    <w:lvl w:ilvl="5" w:tentative="1" w:tplc="FFFFFFFF">
      <w:start w:val="1"/>
      <w:numFmt w:val="lowerRoman"/>
      <w:lvlText w:val="%6."/>
      <w:lvlJc w:val="right"/>
      <w:pPr>
        <w:ind w:hanging="180" w:left="5098"/>
      </w:pPr>
    </w:lvl>
    <w:lvl w:ilvl="6" w:tentative="1" w:tplc="FFFFFFFF">
      <w:start w:val="1"/>
      <w:numFmt w:val="decimal"/>
      <w:lvlText w:val="%7."/>
      <w:lvlJc w:val="left"/>
      <w:pPr>
        <w:ind w:hanging="360" w:left="5818"/>
      </w:pPr>
    </w:lvl>
    <w:lvl w:ilvl="7" w:tentative="1" w:tplc="FFFFFFFF">
      <w:start w:val="1"/>
      <w:numFmt w:val="lowerLetter"/>
      <w:lvlText w:val="%8."/>
      <w:lvlJc w:val="left"/>
      <w:pPr>
        <w:ind w:hanging="360" w:left="6538"/>
      </w:pPr>
    </w:lvl>
    <w:lvl w:ilvl="8" w:tentative="1" w:tplc="FFFFFFFF">
      <w:start w:val="1"/>
      <w:numFmt w:val="lowerRoman"/>
      <w:lvlText w:val="%9."/>
      <w:lvlJc w:val="right"/>
      <w:pPr>
        <w:ind w:hanging="180" w:left="725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15:restartNumberingAfterBreak="0">
    <w:nsid w:val="1F344D6D"/>
    <w:multiLevelType w:val="multilevel"/>
    <w:tmpl w:val="C87E2F2A"/>
    <w:numStyleLink w:val="SRKHeadings"/>
  </w:abstractNum>
  <w:abstractNum w:abstractNumId="992" w15:restartNumberingAfterBreak="0">
    <w:nsid w:val="01D7AAF6"/>
    <w:multiLevelType w:val="multilevel"/>
    <w:tmpl w:val="C87E2F2A"/>
    <w:styleLink w:val="SRKHeadings"/>
    <w:lvl w:ilvl="0">
      <w:start w:val="1"/>
      <w:numFmt w:val="decimal"/>
      <w:pStyle w:val="SRKHeading1"/>
      <w:lvlText w:val="%1"/>
      <w:lvlJc w:val="left"/>
      <w:pPr>
        <w:ind w:left="720" w:hanging="720"/>
      </w:pPr>
      <w:rPr>
        <w:rFonts w:hint="default"/>
      </w:rPr>
    </w:lvl>
    <w:lvl w:ilvl="1">
      <w:start w:val="1"/>
      <w:numFmt w:val="decimal"/>
      <w:pStyle w:val="SRKHeading2"/>
      <w:lvlText w:val="%1.%2"/>
      <w:lvlJc w:val="left"/>
      <w:pPr>
        <w:ind w:left="720" w:hanging="720"/>
      </w:pPr>
      <w:rPr>
        <w:rFonts w:hint="default"/>
      </w:rPr>
    </w:lvl>
    <w:lvl w:ilvl="2">
      <w:start w:val="1"/>
      <w:numFmt w:val="decimal"/>
      <w:pStyle w:val="SRK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
      <w:lvlJc w:val="left"/>
      <w:pPr>
        <w:ind w:left="720" w:hanging="720"/>
      </w:pPr>
      <w:rPr>
        <w:rFonts w:hint="default"/>
      </w:rPr>
    </w:lvl>
    <w:lvl w:ilvl="5">
      <w:start w:val="1"/>
      <w:numFmt w:val="none"/>
      <w:pStyle w:val="SRKHeading6"/>
      <w:lvlText w:val=""/>
      <w:lvlJc w:val="left"/>
      <w:pPr>
        <w:ind w:left="720" w:hanging="720"/>
      </w:pPr>
      <w:rPr>
        <w:rFonts w:hint="default"/>
      </w:rPr>
    </w:lvl>
    <w:lvl w:ilvl="6">
      <w:start w:val="1"/>
      <w:numFmt w:val="none"/>
      <w:pStyle w:val="SRKHeading7"/>
      <w:lvlText w:val=""/>
      <w:lvlJc w:val="left"/>
      <w:pPr>
        <w:ind w:left="720" w:hanging="720"/>
      </w:pPr>
      <w:rPr>
        <w:rFonts w:hint="default"/>
      </w:rPr>
    </w:lvl>
    <w:lvl w:ilvl="7">
      <w:start w:val="1"/>
      <w:numFmt w:val="upperLetter"/>
      <w:pStyle w:val="SRKHeading8"/>
      <w:suff w:val="space"/>
      <w:lvlText w:val="Appendix %8"/>
      <w:lvlJc w:val="left"/>
      <w:pPr>
        <w:ind w:left="720" w:hanging="720"/>
      </w:pPr>
      <w:rPr>
        <w:rFonts w:hint="default"/>
      </w:rPr>
    </w:lvl>
    <w:lvl w:ilvl="8">
      <w:start w:val="1"/>
      <w:numFmt w:val="decimal"/>
      <w:pStyle w:val="SRKHeading9"/>
      <w:suff w:val="space"/>
      <w:lvlText w:val="Appendix %8%9"/>
      <w:lvlJc w:val="left"/>
      <w:pPr>
        <w:ind w:left="720" w:hanging="720"/>
      </w:pPr>
      <w:rPr>
        <w:rFonts w:hint="default"/>
      </w:rPr>
    </w:lvl>
  </w:abstractNum>
  <w:num w16cid:durableId="199904699" w:numId="1">
    <w:abstractNumId w:val="9"/>
  </w:num>
  <w:num w16cid:durableId="1117486440" w:numId="2">
    <w:abstractNumId w:val="0"/>
  </w:num>
  <w:num w16cid:durableId="1912503736" w:numId="3">
    <w:abstractNumId w:val="1"/>
    <w:lvlOverride w:ilvl="0">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lvl w:ilvl="1">
        <w:start w:val="1"/>
        <w:numFmt w:val="lowerLetter"/>
        <w:pStyle w:val="ListNumber2"/>
        <w:lvlText w:val="(%2)"/>
        <w:lvlJc w:val="left"/>
        <w:pPr>
          <w:tabs>
            <w:tab w:pos="1440" w:val="num"/>
          </w:tabs>
          <w:ind w:hanging="360" w:left="1440"/>
        </w:pPr>
        <w:rPr>
          <w:rFonts w:hint="default"/>
        </w:rPr>
      </w:lvl>
    </w:lvlOverride>
    <w:lvlOverride w:ilvl="2">
      <w:lvl w:ilvl="2">
        <w:start w:val="1"/>
        <w:numFmt w:val="decimal"/>
        <w:pStyle w:val="ListNumber3"/>
        <w:lvlText w:val="%3."/>
        <w:lvlJc w:val="left"/>
        <w:pPr>
          <w:tabs>
            <w:tab w:pos="1800" w:val="num"/>
          </w:tabs>
          <w:ind w:hanging="360" w:left="1800"/>
        </w:pPr>
        <w:rPr>
          <w:rFonts w:hint="default"/>
        </w:rPr>
      </w:lvl>
    </w:lvlOverride>
    <w:lvlOverride w:ilvl="3">
      <w:lvl w:ilvl="3">
        <w:start w:val="1"/>
        <w:numFmt w:val="lowerLetter"/>
        <w:pStyle w:val="ListNumber4"/>
        <w:lvlText w:val="(%4)"/>
        <w:lvlJc w:val="left"/>
        <w:pPr>
          <w:tabs>
            <w:tab w:pos="2160" w:val="num"/>
          </w:tabs>
          <w:ind w:hanging="360" w:left="2160"/>
        </w:pPr>
        <w:rPr>
          <w:rFonts w:hint="default"/>
        </w:rPr>
      </w:lvl>
    </w:lvlOverride>
    <w:lvlOverride w:ilvl="4">
      <w:lvl w:ilvl="4">
        <w:start w:val="1"/>
        <w:numFmt w:val="lowerRoman"/>
        <w:pStyle w:val="ListNumber5"/>
        <w:lvlText w:val="(%5)"/>
        <w:lvlJc w:val="left"/>
        <w:pPr>
          <w:tabs>
            <w:tab w:pos="2520" w:val="num"/>
          </w:tabs>
          <w:ind w:hanging="360" w:left="2520"/>
        </w:pPr>
        <w:rPr>
          <w:rFonts w:hint="default"/>
        </w:rPr>
      </w:lvl>
    </w:lvlOverride>
    <w:lvlOverride w:ilvl="5">
      <w:lvl w:ilvl="5">
        <w:start w:val="1"/>
        <w:numFmt w:val="none"/>
        <w:lvlText w:val=""/>
        <w:lvlJc w:val="left"/>
        <w:pPr>
          <w:tabs>
            <w:tab w:pos="2880" w:val="num"/>
          </w:tabs>
          <w:ind w:hanging="360" w:left="2880"/>
        </w:pPr>
        <w:rPr>
          <w:rFonts w:hint="default"/>
        </w:rPr>
      </w:lvl>
    </w:lvlOverride>
    <w:lvlOverride w:ilvl="6">
      <w:lvl w:ilvl="6">
        <w:start w:val="1"/>
        <w:numFmt w:val="none"/>
        <w:lvlText w:val=""/>
        <w:lvlJc w:val="left"/>
        <w:pPr>
          <w:tabs>
            <w:tab w:pos="3240" w:val="num"/>
          </w:tabs>
          <w:ind w:hanging="360" w:left="3240"/>
        </w:pPr>
        <w:rPr>
          <w:rFonts w:hint="default"/>
        </w:rPr>
      </w:lvl>
    </w:lvlOverride>
    <w:lvlOverride w:ilvl="7">
      <w:lvl w:ilvl="7">
        <w:start w:val="1"/>
        <w:numFmt w:val="none"/>
        <w:lvlText w:val=""/>
        <w:lvlJc w:val="left"/>
        <w:pPr>
          <w:tabs>
            <w:tab w:pos="2880" w:val="num"/>
          </w:tabs>
          <w:ind w:hanging="360" w:left="3600"/>
        </w:pPr>
        <w:rPr>
          <w:rFonts w:hint="default"/>
        </w:rPr>
      </w:lvl>
    </w:lvlOverride>
    <w:lvlOverride w:ilvl="8">
      <w:lvl w:ilvl="8">
        <w:start w:val="1"/>
        <w:numFmt w:val="none"/>
        <w:lvlText w:val=""/>
        <w:lvlJc w:val="left"/>
        <w:pPr>
          <w:tabs>
            <w:tab w:pos="3960" w:val="num"/>
          </w:tabs>
          <w:ind w:hanging="360" w:left="3960"/>
        </w:pPr>
        <w:rPr>
          <w:rFonts w:hint="default"/>
        </w:rPr>
      </w:lvl>
    </w:lvlOverride>
  </w:num>
  <w:num w16cid:durableId="1852256892" w:numId="4">
    <w:abstractNumId w:val="12"/>
  </w:num>
  <w:num w16cid:durableId="857817665" w:numId="5">
    <w:abstractNumId w:val="2"/>
  </w:num>
  <w:num w16cid:durableId="926622198" w:numId="6">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lvl>
    </w:lvlOverride>
    <w:lvlOverride w:ilvl="8">
      <w:lvl w:ilvl="8">
        <w:start w:val="1"/>
        <w:numFmt w:val="decimal"/>
        <w:pStyle w:val="Heading9"/>
        <w:suff w:val="space"/>
        <w:lvlText w:val="Appendix %8%9"/>
        <w:lvlJc w:val="left"/>
        <w:pPr>
          <w:ind w:hanging="720" w:left="5940"/>
        </w:pPr>
      </w:lvl>
    </w:lvlOverride>
  </w:num>
  <w:num w16cid:durableId="2098401627" w:numId="7">
    <w:abstractNumId w:val="5"/>
  </w:num>
  <w:num w16cid:durableId="208734112" w:numId="8">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1113132399" w:numId="9">
    <w:abstractNumId w:val="13"/>
  </w:num>
  <w:num w16cid:durableId="1207989204" w:numId="10">
    <w:abstractNumId w:val="14"/>
  </w:num>
  <w:num w16cid:durableId="247469269" w:numId="11">
    <w:abstractNumId w:val="3"/>
  </w:num>
  <w:num w16cid:durableId="239485984" w:numId="12">
    <w:abstractNumId w:val="10"/>
  </w:num>
  <w:num w16cid:durableId="805783271" w:numId="13">
    <w:abstractNumId w:val="8"/>
  </w:num>
  <w:num w16cid:durableId="932519347" w:numId="14">
    <w:abstractNumId w:val="4"/>
  </w:num>
  <w:num w16cid:durableId="652106454" w:numId="15">
    <w:abstractNumId w:val="6"/>
  </w:num>
  <w:num w16cid:durableId="1527713650" w:numId="16">
    <w:abstractNumId w:val="16"/>
  </w:num>
  <w:num w16cid:durableId="554509743" w:numId="17">
    <w:abstractNumId w:val="15"/>
  </w:num>
  <w:num w16cid:durableId="1022168768" w:numId="18">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443579039" w:numId="19">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146749121" w:numId="20">
    <w:abstractNumId w:val="11"/>
  </w:num>
  <w:num w16cid:durableId="553584100" w:numId="21">
    <w:abstractNumId w:val="7"/>
    <w:lvlOverride w:ilvl="0">
      <w:startOverride w:val="1"/>
      <w:lvl w:ilvl="0">
        <w:start w:val="1"/>
        <w:numFmt w:val="decimal"/>
        <w:lvlText w:val="%1"/>
        <w:lvlJc w:val="left"/>
        <w:pPr>
          <w:ind w:hanging="720" w:left="720"/>
        </w:pPr>
        <w:rPr>
          <w:rFonts w:hint="default"/>
        </w:rPr>
      </w:lvl>
    </w:lvlOverride>
    <w:lvlOverride w:ilvl="1">
      <w:startOverride w:val="1"/>
      <w:lvl w:ilvl="1">
        <w:start w:val="1"/>
        <w:numFmt w:val="decimal"/>
        <w:lvlText w:val="%1.%2"/>
        <w:lvlJc w:val="left"/>
        <w:pPr>
          <w:ind w:hanging="720" w:left="720"/>
        </w:pPr>
        <w:rPr>
          <w:rFonts w:hint="default"/>
        </w:rPr>
      </w:lvl>
    </w:lvlOverride>
    <w:lvlOverride w:ilvl="2">
      <w:startOverride w:val="1"/>
      <w:lvl w:ilvl="2">
        <w:start w:val="1"/>
        <w:numFmt w:val="decimal"/>
        <w:lvlText w:val="%1.%2.%3"/>
        <w:lvlJc w:val="left"/>
        <w:pPr>
          <w:ind w:hanging="720" w:left="720"/>
        </w:pPr>
        <w:rPr>
          <w:rFonts w:hint="default"/>
        </w:rPr>
      </w:lvl>
    </w:lvlOverride>
    <w:lvlOverride w:ilvl="3">
      <w:startOverride w:val="1"/>
      <w:lvl w:ilvl="3">
        <w:start w:val="1"/>
        <w:numFmt w:val="decimal"/>
        <w:lvlText w:val="%1.%2.%3.%4"/>
        <w:lvlJc w:val="left"/>
        <w:pPr>
          <w:ind w:hanging="720" w:left="720"/>
        </w:pPr>
        <w:rPr>
          <w:rFonts w:hint="default"/>
        </w:rPr>
      </w:lvl>
    </w:lvlOverride>
    <w:lvlOverride w:ilvl="4">
      <w:startOverride w:val="1"/>
      <w:lvl w:ilvl="4">
        <w:start w:val="1"/>
        <w:numFmt w:val="none"/>
        <w:lvlText w:val=""/>
        <w:lvlJc w:val="left"/>
        <w:pPr>
          <w:ind w:hanging="720" w:left="720"/>
        </w:pPr>
        <w:rPr>
          <w:rFonts w:hint="default"/>
        </w:rPr>
      </w:lvl>
    </w:lvlOverride>
    <w:lvlOverride w:ilvl="5">
      <w:startOverride w:val="1"/>
      <w:lvl w:ilvl="5">
        <w:start w:val="1"/>
        <w:numFmt w:val="none"/>
        <w:pStyle w:val="Heading6"/>
        <w:lvlText w:val=""/>
        <w:lvlJc w:val="left"/>
        <w:pPr>
          <w:ind w:hanging="720" w:left="720"/>
        </w:pPr>
        <w:rPr>
          <w:rFonts w:hint="default"/>
        </w:rPr>
      </w:lvl>
    </w:lvlOverride>
    <w:lvlOverride w:ilvl="6">
      <w:startOverride w:val="1"/>
      <w:lvl w:ilvl="6">
        <w:start w:val="1"/>
        <w:numFmt w:val="none"/>
        <w:pStyle w:val="Heading7"/>
        <w:lvlText w:val=""/>
        <w:lvlJc w:val="left"/>
        <w:pPr>
          <w:ind w:hanging="720" w:left="720"/>
        </w:pPr>
        <w:rPr>
          <w:rFonts w:hint="default"/>
        </w:rPr>
      </w:lvl>
    </w:lvlOverride>
    <w:lvlOverride w:ilvl="7">
      <w:startOverride w:val="1"/>
      <w:lvl w:ilvl="7">
        <w:start w:val="1"/>
        <w:numFmt w:val="upperLetter"/>
        <w:pStyle w:val="Heading8"/>
        <w:suff w:val="space"/>
        <w:lvlText w:val="Appendix %8"/>
        <w:lvlJc w:val="left"/>
        <w:pPr>
          <w:ind w:hanging="720" w:left="720"/>
        </w:pPr>
        <w:rPr>
          <w:rFonts w:hint="default"/>
        </w:rPr>
      </w:lvl>
    </w:lvlOverride>
    <w:lvlOverride w:ilvl="8">
      <w:startOverride w:val="1"/>
      <w:lvl w:ilvl="8">
        <w:start w:val="1"/>
        <w:numFmt w:val="decimal"/>
        <w:pStyle w:val="Heading9"/>
        <w:suff w:val="space"/>
        <w:lvlText w:val="Appendix %8%9"/>
        <w:lvlJc w:val="left"/>
        <w:pPr>
          <w:ind w:hanging="720" w:left="720"/>
        </w:pPr>
        <w:rPr>
          <w:rFonts w:hint="default"/>
        </w:rPr>
      </w:lvl>
    </w:lvlOverride>
  </w:num>
  <w:num w16cid:durableId="1046489821" w:numId="22">
    <w:abstractNumId w:val="1"/>
    <w:lvlOverride w:ilvl="0">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lvl w:ilvl="1">
        <w:start w:val="1"/>
        <w:numFmt w:val="lowerLetter"/>
        <w:pStyle w:val="ListNumber2"/>
        <w:lvlText w:val="(%2)"/>
        <w:lvlJc w:val="left"/>
        <w:pPr>
          <w:tabs>
            <w:tab w:pos="1440" w:val="num"/>
          </w:tabs>
          <w:ind w:hanging="360" w:left="1440"/>
        </w:pPr>
        <w:rPr>
          <w:rFonts w:hint="default"/>
        </w:rPr>
      </w:lvl>
    </w:lvlOverride>
    <w:lvlOverride w:ilvl="2">
      <w:lvl w:ilvl="2">
        <w:start w:val="1"/>
        <w:numFmt w:val="decimal"/>
        <w:pStyle w:val="ListNumber3"/>
        <w:lvlText w:val="%3."/>
        <w:lvlJc w:val="left"/>
        <w:pPr>
          <w:tabs>
            <w:tab w:pos="1800" w:val="num"/>
          </w:tabs>
          <w:ind w:hanging="360" w:left="1800"/>
        </w:pPr>
        <w:rPr>
          <w:rFonts w:hint="default"/>
        </w:rPr>
      </w:lvl>
    </w:lvlOverride>
    <w:lvlOverride w:ilvl="3">
      <w:lvl w:ilvl="3">
        <w:start w:val="1"/>
        <w:numFmt w:val="lowerLetter"/>
        <w:pStyle w:val="ListNumber4"/>
        <w:lvlText w:val="(%4)"/>
        <w:lvlJc w:val="left"/>
        <w:pPr>
          <w:tabs>
            <w:tab w:pos="2160" w:val="num"/>
          </w:tabs>
          <w:ind w:hanging="360" w:left="2160"/>
        </w:pPr>
        <w:rPr>
          <w:rFonts w:hint="default"/>
        </w:rPr>
      </w:lvl>
    </w:lvlOverride>
    <w:lvlOverride w:ilvl="4">
      <w:lvl w:ilvl="4">
        <w:start w:val="1"/>
        <w:numFmt w:val="lowerRoman"/>
        <w:pStyle w:val="ListNumber5"/>
        <w:lvlText w:val="(%5)"/>
        <w:lvlJc w:val="left"/>
        <w:pPr>
          <w:tabs>
            <w:tab w:pos="2520" w:val="num"/>
          </w:tabs>
          <w:ind w:hanging="360" w:left="2520"/>
        </w:pPr>
        <w:rPr>
          <w:rFonts w:hint="default"/>
        </w:rPr>
      </w:lvl>
    </w:lvlOverride>
    <w:lvlOverride w:ilvl="5">
      <w:lvl w:ilvl="5">
        <w:start w:val="1"/>
        <w:numFmt w:val="none"/>
        <w:lvlText w:val=""/>
        <w:lvlJc w:val="left"/>
        <w:pPr>
          <w:tabs>
            <w:tab w:pos="2880" w:val="num"/>
          </w:tabs>
          <w:ind w:hanging="360" w:left="2880"/>
        </w:pPr>
        <w:rPr>
          <w:rFonts w:hint="default"/>
        </w:rPr>
      </w:lvl>
    </w:lvlOverride>
    <w:lvlOverride w:ilvl="6">
      <w:lvl w:ilvl="6">
        <w:start w:val="1"/>
        <w:numFmt w:val="none"/>
        <w:lvlText w:val=""/>
        <w:lvlJc w:val="left"/>
        <w:pPr>
          <w:tabs>
            <w:tab w:pos="3240" w:val="num"/>
          </w:tabs>
          <w:ind w:hanging="360" w:left="3240"/>
        </w:pPr>
        <w:rPr>
          <w:rFonts w:hint="default"/>
        </w:rPr>
      </w:lvl>
    </w:lvlOverride>
    <w:lvlOverride w:ilvl="7">
      <w:lvl w:ilvl="7">
        <w:start w:val="1"/>
        <w:numFmt w:val="none"/>
        <w:lvlText w:val=""/>
        <w:lvlJc w:val="left"/>
        <w:pPr>
          <w:tabs>
            <w:tab w:pos="2880" w:val="num"/>
          </w:tabs>
          <w:ind w:hanging="360" w:left="3600"/>
        </w:pPr>
        <w:rPr>
          <w:rFonts w:hint="default"/>
        </w:rPr>
      </w:lvl>
    </w:lvlOverride>
    <w:lvlOverride w:ilvl="8">
      <w:lvl w:ilvl="8">
        <w:start w:val="1"/>
        <w:numFmt w:val="none"/>
        <w:lvlText w:val=""/>
        <w:lvlJc w:val="left"/>
        <w:pPr>
          <w:tabs>
            <w:tab w:pos="3960" w:val="num"/>
          </w:tabs>
          <w:ind w:hanging="360" w:left="3960"/>
        </w:pPr>
        <w:rPr>
          <w:rFonts w:hint="default"/>
        </w:rPr>
      </w:lvl>
    </w:lvlOverride>
  </w:num>
  <w:num w16cid:durableId="1260522086" w:numId="23">
    <w:abstractNumId w:val="1"/>
    <w:lvlOverride w:ilvl="0">
      <w:startOverride w:val="1"/>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startOverride w:val="1"/>
      <w:lvl w:ilvl="1">
        <w:start w:val="1"/>
        <w:numFmt w:val="lowerLetter"/>
        <w:pStyle w:val="ListNumber2"/>
        <w:lvlText w:val="(%2)"/>
        <w:lvlJc w:val="left"/>
        <w:pPr>
          <w:tabs>
            <w:tab w:pos="1440" w:val="num"/>
          </w:tabs>
          <w:ind w:hanging="360" w:left="1440"/>
        </w:pPr>
        <w:rPr>
          <w:rFonts w:hint="default"/>
        </w:rPr>
      </w:lvl>
    </w:lvlOverride>
    <w:lvlOverride w:ilvl="2">
      <w:startOverride w:val="1"/>
      <w:lvl w:ilvl="2">
        <w:start w:val="1"/>
        <w:numFmt w:val="decimal"/>
        <w:pStyle w:val="ListNumber3"/>
        <w:lvlText w:val="%3."/>
        <w:lvlJc w:val="left"/>
        <w:pPr>
          <w:tabs>
            <w:tab w:pos="1800" w:val="num"/>
          </w:tabs>
          <w:ind w:hanging="360" w:left="1800"/>
        </w:pPr>
        <w:rPr>
          <w:rFonts w:hint="default"/>
        </w:rPr>
      </w:lvl>
    </w:lvlOverride>
    <w:lvlOverride w:ilvl="3">
      <w:startOverride w:val="1"/>
      <w:lvl w:ilvl="3">
        <w:start w:val="1"/>
        <w:numFmt w:val="lowerLetter"/>
        <w:pStyle w:val="ListNumber4"/>
        <w:lvlText w:val="(%4)"/>
        <w:lvlJc w:val="left"/>
        <w:pPr>
          <w:tabs>
            <w:tab w:pos="2160" w:val="num"/>
          </w:tabs>
          <w:ind w:hanging="360" w:left="2160"/>
        </w:pPr>
        <w:rPr>
          <w:rFonts w:hint="default"/>
        </w:rPr>
      </w:lvl>
    </w:lvlOverride>
    <w:lvlOverride w:ilvl="4">
      <w:startOverride w:val="1"/>
      <w:lvl w:ilvl="4">
        <w:start w:val="1"/>
        <w:numFmt w:val="lowerRoman"/>
        <w:pStyle w:val="ListNumber5"/>
        <w:lvlText w:val="(%5)"/>
        <w:lvlJc w:val="left"/>
        <w:pPr>
          <w:tabs>
            <w:tab w:pos="2520" w:val="num"/>
          </w:tabs>
          <w:ind w:hanging="360" w:left="2520"/>
        </w:pPr>
        <w:rPr>
          <w:rFonts w:hint="default"/>
        </w:rPr>
      </w:lvl>
    </w:lvlOverride>
    <w:lvlOverride w:ilvl="5">
      <w:startOverride w:val="1"/>
      <w:lvl w:ilvl="5">
        <w:start w:val="1"/>
        <w:numFmt w:val="none"/>
        <w:lvlText w:val=""/>
        <w:lvlJc w:val="left"/>
        <w:pPr>
          <w:tabs>
            <w:tab w:pos="2880" w:val="num"/>
          </w:tabs>
          <w:ind w:hanging="360" w:left="2880"/>
        </w:pPr>
        <w:rPr>
          <w:rFonts w:hint="default"/>
        </w:rPr>
      </w:lvl>
    </w:lvlOverride>
    <w:lvlOverride w:ilvl="6">
      <w:startOverride w:val="1"/>
      <w:lvl w:ilvl="6">
        <w:start w:val="1"/>
        <w:numFmt w:val="none"/>
        <w:lvlText w:val=""/>
        <w:lvlJc w:val="left"/>
        <w:pPr>
          <w:tabs>
            <w:tab w:pos="3240" w:val="num"/>
          </w:tabs>
          <w:ind w:hanging="360" w:left="3240"/>
        </w:pPr>
        <w:rPr>
          <w:rFonts w:hint="default"/>
        </w:rPr>
      </w:lvl>
    </w:lvlOverride>
    <w:lvlOverride w:ilvl="7">
      <w:startOverride w:val="1"/>
      <w:lvl w:ilvl="7">
        <w:start w:val="1"/>
        <w:numFmt w:val="none"/>
        <w:lvlText w:val=""/>
        <w:lvlJc w:val="left"/>
        <w:pPr>
          <w:tabs>
            <w:tab w:pos="2880" w:val="num"/>
          </w:tabs>
          <w:ind w:hanging="360" w:left="3600"/>
        </w:pPr>
        <w:rPr>
          <w:rFonts w:hint="default"/>
        </w:rPr>
      </w:lvl>
    </w:lvlOverride>
    <w:lvlOverride w:ilvl="8">
      <w:startOverride w:val="1"/>
      <w:lvl w:ilvl="8">
        <w:start w:val="1"/>
        <w:numFmt w:val="none"/>
        <w:lvlText w:val=""/>
        <w:lvlJc w:val="left"/>
        <w:pPr>
          <w:tabs>
            <w:tab w:pos="3960" w:val="num"/>
          </w:tabs>
          <w:ind w:hanging="360" w:left="3960"/>
        </w:pPr>
        <w:rPr>
          <w:rFonts w:hint="default"/>
        </w:rPr>
      </w:lvl>
    </w:lvlOverride>
  </w:num>
  <w:num w16cid:durableId="1692023087" w:numId="24">
    <w:abstractNumId w:val="1"/>
  </w:num>
  <w:num w:numId="1000">
    <w:abstractNumId w:val="990"/>
  </w:num>
  <w:num w:numId="1001" w16cid:durableId="199904699">
    <w:abstractNumId w:val="992"/>
  </w:num>
  <w:num w:numId="1002" w16cid:durableId="926622198">
    <w:abstractNumId w:val="991"/>
    <w:lvlOverride w:ilvl="0">
      <w:lvl w:ilvl="0">
        <w:start w:val="1"/>
        <w:numFmt w:val="decimal"/>
        <w:pStyle w:val="SRKHeading1"/>
        <w:lvlText w:val="%1"/>
        <w:lvlJc w:val="left"/>
        <w:pPr>
          <w:ind w:left="720" w:hanging="720"/>
        </w:pPr>
        <w:rPr>
          <w:rFonts w:hint="default"/>
        </w:rPr>
      </w:lvl>
    </w:lvlOverride>
    <w:lvlOverride w:ilvl="1">
      <w:lvl w:ilvl="1">
        <w:start w:val="1"/>
        <w:numFmt w:val="decimal"/>
        <w:pStyle w:val="SRKHeading2"/>
        <w:lvlText w:val="%1.%2"/>
        <w:lvlJc w:val="left"/>
        <w:pPr>
          <w:ind w:left="720" w:hanging="720"/>
        </w:pPr>
        <w:rPr>
          <w:rFonts w:hint="default"/>
        </w:rPr>
      </w:lvl>
    </w:lvlOverride>
    <w:lvlOverride w:ilvl="2">
      <w:lvl w:ilvl="2">
        <w:start w:val="1"/>
        <w:numFmt w:val="decimal"/>
        <w:pStyle w:val="SRK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none"/>
        <w:lvlText w:val=""/>
        <w:lvlJc w:val="left"/>
        <w:pPr>
          <w:ind w:left="720" w:hanging="720"/>
        </w:pPr>
        <w:rPr>
          <w:rFonts w:hint="default"/>
        </w:rPr>
      </w:lvl>
    </w:lvlOverride>
    <w:lvlOverride w:ilvl="5">
      <w:lvl w:ilvl="5">
        <w:start w:val="1"/>
        <w:numFmt w:val="none"/>
        <w:pStyle w:val="SRKHeading6"/>
        <w:lvlText w:val=""/>
        <w:lvlJc w:val="left"/>
        <w:pPr>
          <w:ind w:left="720" w:hanging="720"/>
        </w:pPr>
        <w:rPr>
          <w:rFonts w:hint="default"/>
        </w:rPr>
      </w:lvl>
    </w:lvlOverride>
    <w:lvlOverride w:ilvl="6">
      <w:lvl w:ilvl="6">
        <w:start w:val="1"/>
        <w:numFmt w:val="none"/>
        <w:pStyle w:val="SRKHeading7"/>
        <w:lvlText w:val=""/>
        <w:lvlJc w:val="left"/>
        <w:pPr>
          <w:ind w:left="720" w:hanging="720"/>
        </w:pPr>
        <w:rPr>
          <w:rFonts w:hint="default"/>
        </w:rPr>
      </w:lvl>
    </w:lvlOverride>
    <w:lvlOverride w:ilvl="7">
      <w:lvl w:ilvl="7">
        <w:start w:val="1"/>
        <w:numFmt w:val="upperLetter"/>
        <w:pStyle w:val="SRKHeading8"/>
        <w:suff w:val="space"/>
        <w:lvlText w:val="Appendix %8"/>
        <w:lvlJc w:val="left"/>
        <w:pPr>
          <w:ind w:left="720" w:hanging="720"/>
        </w:pPr>
      </w:lvl>
    </w:lvlOverride>
    <w:lvlOverride w:ilvl="8">
      <w:lvl w:ilvl="8">
        <w:start w:val="1"/>
        <w:numFmt w:val="decimal"/>
        <w:pStyle w:val="SRKHeading9"/>
        <w:suff w:val="space"/>
        <w:lvlText w:val="Appendix %8%9"/>
        <w:lvlJc w:val="left"/>
        <w:pPr>
          <w:ind w:left="5940" w:hanging="720"/>
        </w:pPr>
      </w:lvl>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val="fullPage"/>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ar-SA" w:eastAsia="ja-JP"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rk-cover-footer.xml><?xml version="1.0" encoding="utf-8"?>
<w:ftr xmlns:w="http://schemas.openxmlformats.org/wordprocessingml/2006/main">
  <w:p/>
</w:ftr>
</file>

<file path=word/srk-empty-footer.xml><?xml version="1.0" encoding="utf-8"?>
<w:ftr xmlns:w="http://schemas.openxmlformats.org/wordprocessingml/2006/main">
  <w:p/>
</w:ftr>
</file>

<file path=word/srk-empty-header.xml><?xml version="1.0" encoding="utf-8"?>
<w:hdr xmlns:w="http://schemas.openxmlformats.org/wordprocessingml/2006/main">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CA"/>
      </w:rPr>
    </w:rPrDefault>
    <w:pPrDefault>
      <w:pPr>
        <w:spacing w:after="200"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28"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qFormat="1" w:semiHidden="1" w:unhideWhenUsed="1"/>
    <w:lsdException w:name="List Number 3" w:qFormat="1" w:semiHidden="1" w:unhideWhenUsed="1"/>
    <w:lsdException w:name="List Number 4" w:qFormat="1" w:semiHidden="1" w:unhideWhenUsed="1"/>
    <w:lsdException w:name="List Number 5" w:qFormat="1"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qFormat="1"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uiPriority w:val="1"/>
    <w:rsid w:val="00A9285F"/>
    <w:pPr>
      <w:spacing w:after="0"/>
    </w:pPr>
    <w:rPr>
      <w:rFonts w:ascii="Arial" w:hAnsi="Arial"/>
      <w:sz w:val="20"/>
    </w:rPr>
  </w:style>
  <w:style w:styleId="Heading1" w:type="paragraph">
    <w:name w:val="heading 1"/>
    <w:next w:val="BodyText"/>
    <w:link w:val="Heading1Char"/>
    <w:uiPriority w:val="9"/>
    <w:qFormat/>
    <w:rsid w:val="00F93B17"/>
    <w:pPr>
      <w:keepNext/>
      <w:keepLines/>
      <w:tabs>
        <w:tab w:pos="720" w:val="left"/>
      </w:tabs>
      <w:spacing w:after="240" w:before="240" w:line="240" w:lineRule="auto"/>
      <w:ind w:hanging="720" w:left="720"/>
      <w:outlineLvl w:val="0"/>
    </w:pPr>
    <w:rPr>
      <w:rFonts w:ascii="Arial" w:cstheme="majorBidi" w:eastAsiaTheme="majorEastAsia" w:hAnsi="Arial"/>
      <w:b/>
      <w:bCs/>
      <w:sz w:val="32"/>
      <w:szCs w:val="28"/>
    </w:rPr>
  </w:style>
  <w:style w:styleId="Heading2" w:type="paragraph">
    <w:name w:val="heading 2"/>
    <w:next w:val="BodyText"/>
    <w:link w:val="Heading2Char"/>
    <w:qFormat/>
    <w:rsid w:val="00FE731A"/>
    <w:pPr>
      <w:keepNext/>
      <w:keepLines/>
      <w:tabs>
        <w:tab w:pos="720" w:val="left"/>
      </w:tabs>
      <w:spacing w:after="240" w:line="240" w:lineRule="auto"/>
      <w:ind w:hanging="720" w:left="720"/>
      <w:outlineLvl w:val="1"/>
    </w:pPr>
    <w:rPr>
      <w:rFonts w:ascii="Arial" w:cstheme="majorBidi" w:eastAsiaTheme="majorEastAsia" w:hAnsi="Arial"/>
      <w:b/>
      <w:bCs/>
      <w:sz w:val="24"/>
      <w:szCs w:val="26"/>
    </w:rPr>
  </w:style>
  <w:style w:styleId="Heading3" w:type="paragraph">
    <w:name w:val="heading 3"/>
    <w:next w:val="BodyText"/>
    <w:link w:val="Heading3Char"/>
    <w:qFormat/>
    <w:rsid w:val="00FE731A"/>
    <w:pPr>
      <w:keepNext/>
      <w:keepLines/>
      <w:tabs>
        <w:tab w:pos="720" w:val="left"/>
      </w:tabs>
      <w:spacing w:after="240" w:line="240" w:lineRule="auto"/>
      <w:ind w:hanging="720" w:left="720"/>
      <w:outlineLvl w:val="2"/>
    </w:pPr>
    <w:rPr>
      <w:rFonts w:ascii="Arial" w:cstheme="majorBidi" w:eastAsiaTheme="majorEastAsia" w:hAnsi="Arial"/>
      <w:b/>
      <w:bCs/>
      <w:sz w:val="20"/>
    </w:rPr>
  </w:style>
  <w:style w:styleId="Heading4" w:type="paragraph">
    <w:name w:val="heading 4"/>
    <w:next w:val="BodyText"/>
    <w:link w:val="Heading4Char"/>
    <w:qFormat/>
    <w:rsid w:val="00EE5D6C"/>
    <w:pPr>
      <w:keepNext/>
      <w:keepLines/>
      <w:spacing w:after="240" w:line="240" w:lineRule="auto"/>
      <w:ind w:left="720"/>
      <w:outlineLvl w:val="3"/>
    </w:pPr>
    <w:rPr>
      <w:rFonts w:ascii="Arial" w:cstheme="majorBidi" w:eastAsiaTheme="majorEastAsia" w:hAnsi="Arial"/>
      <w:b/>
      <w:bCs/>
      <w:iCs/>
      <w:sz w:val="20"/>
    </w:rPr>
  </w:style>
  <w:style w:styleId="Heading5" w:type="paragraph">
    <w:name w:val="heading 5"/>
    <w:next w:val="BodyText"/>
    <w:link w:val="Heading5Char"/>
    <w:uiPriority w:val="1"/>
    <w:qFormat/>
    <w:rsid w:val="009976EC"/>
    <w:pPr>
      <w:keepNext/>
      <w:keepLines/>
      <w:spacing w:after="240" w:line="240" w:lineRule="auto"/>
      <w:ind w:left="720"/>
      <w:outlineLvl w:val="4"/>
    </w:pPr>
    <w:rPr>
      <w:rFonts w:ascii="Arial" w:cstheme="majorBidi" w:eastAsiaTheme="majorEastAsia" w:hAnsi="Arial"/>
      <w:sz w:val="20"/>
    </w:rPr>
  </w:style>
  <w:style w:styleId="Heading6" w:type="paragraph">
    <w:name w:val="heading 6"/>
    <w:next w:val="BodyText"/>
    <w:link w:val="Heading6Char"/>
    <w:uiPriority w:val="1"/>
    <w:qFormat/>
    <w:rsid w:val="00FE731A"/>
    <w:pPr>
      <w:keepNext/>
      <w:keepLines/>
      <w:numPr>
        <w:ilvl w:val="5"/>
        <w:numId w:val="6"/>
      </w:numPr>
      <w:spacing w:after="240" w:line="240" w:lineRule="auto"/>
      <w:outlineLvl w:val="5"/>
    </w:pPr>
    <w:rPr>
      <w:rFonts w:ascii="Arial" w:cstheme="majorBidi" w:eastAsiaTheme="majorEastAsia" w:hAnsi="Arial"/>
      <w:i/>
      <w:iCs/>
      <w:sz w:val="20"/>
    </w:rPr>
  </w:style>
  <w:style w:styleId="Heading7" w:type="paragraph">
    <w:name w:val="heading 7"/>
    <w:next w:val="BodyText"/>
    <w:link w:val="Heading7Char"/>
    <w:uiPriority w:val="1"/>
    <w:qFormat/>
    <w:rsid w:val="00FE731A"/>
    <w:pPr>
      <w:keepNext/>
      <w:keepLines/>
      <w:numPr>
        <w:ilvl w:val="6"/>
        <w:numId w:val="6"/>
      </w:numPr>
      <w:spacing w:after="240" w:line="240" w:lineRule="auto"/>
      <w:outlineLvl w:val="6"/>
    </w:pPr>
    <w:rPr>
      <w:rFonts w:ascii="Arial" w:cstheme="majorBidi" w:eastAsiaTheme="majorEastAsia" w:hAnsi="Arial"/>
      <w:iCs/>
      <w:sz w:val="20"/>
      <w:u w:val="single"/>
    </w:rPr>
  </w:style>
  <w:style w:styleId="Heading8" w:type="paragraph">
    <w:name w:val="heading 8"/>
    <w:next w:val="BodyText"/>
    <w:link w:val="Heading8Char"/>
    <w:uiPriority w:val="1"/>
    <w:qFormat/>
    <w:rsid w:val="007F4D23"/>
    <w:pPr>
      <w:keepNext/>
      <w:keepLines/>
      <w:numPr>
        <w:ilvl w:val="7"/>
        <w:numId w:val="6"/>
      </w:numPr>
      <w:pBdr>
        <w:bottom w:color="auto" w:space="1" w:sz="4" w:val="single"/>
      </w:pBdr>
      <w:spacing w:after="0" w:line="240" w:lineRule="auto"/>
      <w:jc w:val="right"/>
      <w:outlineLvl w:val="7"/>
    </w:pPr>
    <w:rPr>
      <w:rFonts w:ascii="Arial" w:cstheme="majorBidi" w:eastAsiaTheme="majorEastAsia" w:hAnsi="Arial"/>
      <w:b/>
      <w:bCs/>
      <w:sz w:val="26"/>
      <w:szCs w:val="20"/>
    </w:rPr>
  </w:style>
  <w:style w:styleId="Heading9" w:type="paragraph">
    <w:name w:val="heading 9"/>
    <w:next w:val="BodyText"/>
    <w:link w:val="Heading9Char"/>
    <w:uiPriority w:val="1"/>
    <w:qFormat/>
    <w:rsid w:val="00A95C6D"/>
    <w:pPr>
      <w:keepNext/>
      <w:keepLines/>
      <w:numPr>
        <w:ilvl w:val="8"/>
        <w:numId w:val="6"/>
      </w:numPr>
      <w:pBdr>
        <w:bottom w:color="auto" w:space="1" w:sz="4" w:val="single"/>
      </w:pBdr>
      <w:spacing w:after="0" w:line="240" w:lineRule="auto"/>
      <w:jc w:val="right"/>
      <w:outlineLvl w:val="8"/>
    </w:pPr>
    <w:rPr>
      <w:rFonts w:ascii="Arial" w:cstheme="majorBidi" w:eastAsiaTheme="majorEastAsia" w:hAnsi="Arial"/>
      <w:b/>
      <w:iCs/>
      <w:sz w:val="26"/>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qFormat/>
    <w:rsid w:val="00090F41"/>
    <w:pPr>
      <w:tabs>
        <w:tab w:pos="4680" w:val="center"/>
        <w:tab w:pos="9360" w:val="right"/>
      </w:tabs>
      <w:spacing w:line="240" w:lineRule="auto"/>
    </w:pPr>
    <w:rPr>
      <w:sz w:val="16"/>
    </w:rPr>
  </w:style>
  <w:style w:customStyle="1" w:styleId="HeaderChar" w:type="character">
    <w:name w:val="Header Char"/>
    <w:basedOn w:val="DefaultParagraphFont"/>
    <w:link w:val="Header"/>
    <w:rsid w:val="00FB4F77"/>
    <w:rPr>
      <w:rFonts w:ascii="Arial" w:hAnsi="Arial"/>
      <w:sz w:val="16"/>
    </w:rPr>
  </w:style>
  <w:style w:styleId="Footer" w:type="paragraph">
    <w:name w:val="footer"/>
    <w:basedOn w:val="Normal"/>
    <w:link w:val="FooterChar"/>
    <w:qFormat/>
    <w:rsid w:val="00A612D0"/>
    <w:pPr>
      <w:tabs>
        <w:tab w:pos="4680" w:val="center"/>
        <w:tab w:pos="9360" w:val="right"/>
      </w:tabs>
      <w:spacing w:line="240" w:lineRule="auto"/>
    </w:pPr>
    <w:rPr>
      <w:sz w:val="12"/>
    </w:rPr>
  </w:style>
  <w:style w:customStyle="1" w:styleId="FooterChar" w:type="character">
    <w:name w:val="Footer Char"/>
    <w:basedOn w:val="DefaultParagraphFont"/>
    <w:link w:val="Footer"/>
    <w:rsid w:val="00A612D0"/>
    <w:rPr>
      <w:rFonts w:ascii="Arial" w:hAnsi="Arial"/>
      <w:sz w:val="12"/>
    </w:rPr>
  </w:style>
  <w:style w:styleId="TableGrid" w:type="table">
    <w:name w:val="Table Grid"/>
    <w:basedOn w:val="TableNormal"/>
    <w:rsid w:val="00B33DB6"/>
    <w:pPr>
      <w:spacing w:after="0" w:line="240" w:lineRule="auto"/>
    </w:pPr>
    <w:rPr>
      <w:rFonts w:ascii="Arial" w:hAnsi="Arial"/>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58"/>
        <w:left w:type="dxa" w:w="58"/>
        <w:bottom w:type="dxa" w:w="58"/>
        <w:right w:type="dxa" w:w="58"/>
      </w:tblCellMar>
    </w:tblPr>
  </w:style>
  <w:style w:styleId="NoSpacing" w:type="paragraph">
    <w:name w:val="No Spacing"/>
    <w:aliases w:val="±NoSpacing,±BaseStyle"/>
    <w:link w:val="NoSpacingChar"/>
    <w:qFormat/>
    <w:rsid w:val="00F51C8D"/>
    <w:pPr>
      <w:spacing w:after="0" w:line="240" w:lineRule="auto"/>
    </w:pPr>
    <w:rPr>
      <w:rFonts w:eastAsiaTheme="minorEastAsia"/>
      <w:lang w:eastAsia="ja-JP" w:val="en-US"/>
    </w:rPr>
  </w:style>
  <w:style w:customStyle="1" w:styleId="NoSpacingChar" w:type="character">
    <w:name w:val="No Spacing Char"/>
    <w:aliases w:val="±NoSpacing Char,±BaseStyle Char"/>
    <w:basedOn w:val="DefaultParagraphFont"/>
    <w:link w:val="NoSpacing"/>
    <w:rsid w:val="00DA0304"/>
    <w:rPr>
      <w:rFonts w:eastAsiaTheme="minorEastAsia"/>
      <w:lang w:eastAsia="ja-JP" w:val="en-US"/>
    </w:rPr>
  </w:style>
  <w:style w:styleId="BalloonText" w:type="paragraph">
    <w:name w:val="Balloon Text"/>
    <w:basedOn w:val="Normal"/>
    <w:link w:val="BalloonTextChar"/>
    <w:uiPriority w:val="99"/>
    <w:semiHidden/>
    <w:unhideWhenUsed/>
    <w:rsid w:val="00F51C8D"/>
    <w:pPr>
      <w:spacing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F51C8D"/>
    <w:rPr>
      <w:rFonts w:ascii="Tahoma" w:cs="Tahoma" w:hAnsi="Tahoma"/>
      <w:sz w:val="16"/>
      <w:szCs w:val="16"/>
    </w:rPr>
  </w:style>
  <w:style w:customStyle="1" w:styleId="Cover1" w:type="paragraph">
    <w:name w:val="Cover 1"/>
    <w:next w:val="Normal"/>
    <w:uiPriority w:val="1"/>
    <w:rsid w:val="00F34958"/>
    <w:pPr>
      <w:spacing w:after="0" w:line="240" w:lineRule="auto"/>
    </w:pPr>
    <w:rPr>
      <w:rFonts w:ascii="Arial" w:hAnsi="Arial"/>
      <w:sz w:val="48"/>
    </w:rPr>
  </w:style>
  <w:style w:styleId="PlaceholderText" w:type="character">
    <w:name w:val="Placeholder Text"/>
    <w:basedOn w:val="DefaultParagraphFont"/>
    <w:uiPriority w:val="99"/>
    <w:semiHidden/>
    <w:rsid w:val="00FC2730"/>
    <w:rPr>
      <w:color w:val="808080"/>
    </w:rPr>
  </w:style>
  <w:style w:styleId="Strong" w:type="character">
    <w:name w:val="Strong"/>
    <w:basedOn w:val="DefaultParagraphFont"/>
    <w:uiPriority w:val="22"/>
    <w:qFormat/>
    <w:rsid w:val="000B4AE4"/>
    <w:rPr>
      <w:b/>
      <w:bCs/>
    </w:rPr>
  </w:style>
  <w:style w:customStyle="1" w:styleId="Cover3" w:type="paragraph">
    <w:name w:val="Cover 3"/>
    <w:next w:val="Normal"/>
    <w:uiPriority w:val="1"/>
    <w:rsid w:val="00F34958"/>
    <w:pPr>
      <w:spacing w:after="0" w:line="240" w:lineRule="auto"/>
    </w:pPr>
    <w:rPr>
      <w:rFonts w:ascii="Arial" w:hAnsi="Arial"/>
      <w:sz w:val="36"/>
    </w:rPr>
  </w:style>
  <w:style w:customStyle="1" w:styleId="Cover2" w:type="paragraph">
    <w:name w:val="Cover 2"/>
    <w:next w:val="Normal"/>
    <w:uiPriority w:val="1"/>
    <w:rsid w:val="008048AE"/>
    <w:rPr>
      <w:rFonts w:ascii="Arial" w:hAnsi="Arial"/>
      <w:sz w:val="42"/>
    </w:rPr>
  </w:style>
  <w:style w:customStyle="1" w:styleId="Cover4" w:type="paragraph">
    <w:name w:val="Cover 4"/>
    <w:next w:val="Normal"/>
    <w:uiPriority w:val="1"/>
    <w:rsid w:val="006B1045"/>
    <w:rPr>
      <w:rFonts w:ascii="Arial" w:hAnsi="Arial"/>
      <w:sz w:val="30"/>
    </w:rPr>
  </w:style>
  <w:style w:styleId="BodyText" w:type="paragraph">
    <w:name w:val="Body Text"/>
    <w:link w:val="BodyTextChar"/>
    <w:qFormat/>
    <w:rsid w:val="007B7100"/>
    <w:pPr>
      <w:spacing w:after="240" w:line="300" w:lineRule="auto"/>
      <w:ind w:left="720"/>
    </w:pPr>
    <w:rPr>
      <w:rFonts w:ascii="Arial" w:hAnsi="Arial"/>
      <w:sz w:val="20"/>
    </w:rPr>
  </w:style>
  <w:style w:customStyle="1" w:styleId="BodyTextChar" w:type="character">
    <w:name w:val="Body Text Char"/>
    <w:basedOn w:val="DefaultParagraphFont"/>
    <w:link w:val="BodyText"/>
    <w:rsid w:val="00DA0304"/>
    <w:rPr>
      <w:rFonts w:ascii="Arial" w:hAnsi="Arial"/>
      <w:sz w:val="20"/>
    </w:rPr>
  </w:style>
  <w:style w:customStyle="1" w:styleId="Headings" w:type="numbering">
    <w:name w:val="Headings"/>
    <w:uiPriority w:val="99"/>
    <w:rsid w:val="00FE731A"/>
    <w:pPr>
      <w:numPr>
        <w:numId w:val="1"/>
      </w:numPr>
    </w:pPr>
  </w:style>
  <w:style w:customStyle="1" w:styleId="Heading1Char" w:type="character">
    <w:name w:val="Heading 1 Char"/>
    <w:basedOn w:val="DefaultParagraphFont"/>
    <w:link w:val="Heading1"/>
    <w:uiPriority w:val="9"/>
    <w:rsid w:val="00F93B17"/>
    <w:rPr>
      <w:rFonts w:ascii="Arial" w:cstheme="majorBidi" w:eastAsiaTheme="majorEastAsia" w:hAnsi="Arial"/>
      <w:b/>
      <w:bCs/>
      <w:sz w:val="32"/>
      <w:szCs w:val="28"/>
    </w:rPr>
  </w:style>
  <w:style w:customStyle="1" w:styleId="Heading2Char" w:type="character">
    <w:name w:val="Heading 2 Char"/>
    <w:basedOn w:val="DefaultParagraphFont"/>
    <w:link w:val="Heading2"/>
    <w:rsid w:val="00FE731A"/>
    <w:rPr>
      <w:rFonts w:ascii="Arial" w:cstheme="majorBidi" w:eastAsiaTheme="majorEastAsia" w:hAnsi="Arial"/>
      <w:b/>
      <w:bCs/>
      <w:sz w:val="24"/>
      <w:szCs w:val="26"/>
    </w:rPr>
  </w:style>
  <w:style w:customStyle="1" w:styleId="Heading3Char" w:type="character">
    <w:name w:val="Heading 3 Char"/>
    <w:basedOn w:val="DefaultParagraphFont"/>
    <w:link w:val="Heading3"/>
    <w:rsid w:val="00FE731A"/>
    <w:rPr>
      <w:rFonts w:ascii="Arial" w:cstheme="majorBidi" w:eastAsiaTheme="majorEastAsia" w:hAnsi="Arial"/>
      <w:b/>
      <w:bCs/>
      <w:sz w:val="20"/>
    </w:rPr>
  </w:style>
  <w:style w:customStyle="1" w:styleId="Heading4Char" w:type="character">
    <w:name w:val="Heading 4 Char"/>
    <w:basedOn w:val="DefaultParagraphFont"/>
    <w:link w:val="Heading4"/>
    <w:rsid w:val="00DA0304"/>
    <w:rPr>
      <w:rFonts w:ascii="Arial" w:cstheme="majorBidi" w:eastAsiaTheme="majorEastAsia" w:hAnsi="Arial"/>
      <w:b/>
      <w:bCs/>
      <w:iCs/>
      <w:sz w:val="20"/>
    </w:rPr>
  </w:style>
  <w:style w:customStyle="1" w:styleId="Heading5Char" w:type="character">
    <w:name w:val="Heading 5 Char"/>
    <w:basedOn w:val="DefaultParagraphFont"/>
    <w:link w:val="Heading5"/>
    <w:uiPriority w:val="1"/>
    <w:rsid w:val="009B6A67"/>
    <w:rPr>
      <w:rFonts w:ascii="Arial" w:cstheme="majorBidi" w:eastAsiaTheme="majorEastAsia" w:hAnsi="Arial"/>
      <w:sz w:val="20"/>
    </w:rPr>
  </w:style>
  <w:style w:customStyle="1" w:styleId="Heading6Char" w:type="character">
    <w:name w:val="Heading 6 Char"/>
    <w:basedOn w:val="DefaultParagraphFont"/>
    <w:link w:val="Heading6"/>
    <w:rsid w:val="00FE731A"/>
    <w:rPr>
      <w:rFonts w:ascii="Arial" w:cstheme="majorBidi" w:eastAsiaTheme="majorEastAsia" w:hAnsi="Arial"/>
      <w:i/>
      <w:iCs/>
      <w:sz w:val="20"/>
    </w:rPr>
  </w:style>
  <w:style w:customStyle="1" w:styleId="Heading7Char" w:type="character">
    <w:name w:val="Heading 7 Char"/>
    <w:basedOn w:val="DefaultParagraphFont"/>
    <w:link w:val="Heading7"/>
    <w:uiPriority w:val="1"/>
    <w:rsid w:val="00FE731A"/>
    <w:rPr>
      <w:rFonts w:ascii="Arial" w:cstheme="majorBidi" w:eastAsiaTheme="majorEastAsia" w:hAnsi="Arial"/>
      <w:iCs/>
      <w:sz w:val="20"/>
      <w:u w:val="single"/>
    </w:rPr>
  </w:style>
  <w:style w:customStyle="1" w:styleId="Heading8Char" w:type="character">
    <w:name w:val="Heading 8 Char"/>
    <w:basedOn w:val="DefaultParagraphFont"/>
    <w:link w:val="Heading8"/>
    <w:uiPriority w:val="1"/>
    <w:rsid w:val="007F4D23"/>
    <w:rPr>
      <w:rFonts w:ascii="Arial" w:cstheme="majorBidi" w:eastAsiaTheme="majorEastAsia" w:hAnsi="Arial"/>
      <w:b/>
      <w:bCs/>
      <w:sz w:val="26"/>
      <w:szCs w:val="20"/>
    </w:rPr>
  </w:style>
  <w:style w:customStyle="1" w:styleId="Heading9Char" w:type="character">
    <w:name w:val="Heading 9 Char"/>
    <w:basedOn w:val="DefaultParagraphFont"/>
    <w:link w:val="Heading9"/>
    <w:uiPriority w:val="1"/>
    <w:rsid w:val="00A95C6D"/>
    <w:rPr>
      <w:rFonts w:ascii="Arial" w:cstheme="majorBidi" w:eastAsiaTheme="majorEastAsia" w:hAnsi="Arial"/>
      <w:b/>
      <w:iCs/>
      <w:sz w:val="26"/>
      <w:szCs w:val="20"/>
    </w:rPr>
  </w:style>
  <w:style w:styleId="TOC2" w:type="paragraph">
    <w:name w:val="toc 2"/>
    <w:next w:val="Normal"/>
    <w:autoRedefine/>
    <w:uiPriority w:val="39"/>
    <w:unhideWhenUsed/>
    <w:rsid w:val="00795836"/>
    <w:pPr>
      <w:tabs>
        <w:tab w:pos="900" w:val="left"/>
        <w:tab w:leader="dot" w:pos="9350" w:val="right"/>
      </w:tabs>
      <w:spacing w:after="120" w:line="240" w:lineRule="auto"/>
      <w:ind w:hanging="864" w:left="1296"/>
    </w:pPr>
    <w:rPr>
      <w:rFonts w:ascii="Arial" w:hAnsi="Arial"/>
      <w:sz w:val="20"/>
    </w:rPr>
  </w:style>
  <w:style w:styleId="Hyperlink" w:type="character">
    <w:name w:val="Hyperlink"/>
    <w:basedOn w:val="DefaultParagraphFont"/>
    <w:uiPriority w:val="99"/>
    <w:unhideWhenUsed/>
    <w:rsid w:val="00A93B31"/>
    <w:rPr>
      <w:color w:themeColor="hyperlink" w:val="0000FF"/>
      <w:u w:val="single"/>
    </w:rPr>
  </w:style>
  <w:style w:styleId="TOCHeading" w:type="paragraph">
    <w:name w:val="TOC Heading"/>
    <w:basedOn w:val="Heading1"/>
    <w:next w:val="Normal"/>
    <w:uiPriority w:val="39"/>
    <w:unhideWhenUsed/>
    <w:qFormat/>
    <w:rsid w:val="00A93B31"/>
    <w:pPr>
      <w:numPr>
        <w:numId w:val="0"/>
      </w:numPr>
      <w:outlineLvl w:val="9"/>
    </w:pPr>
    <w:rPr>
      <w:lang w:eastAsia="ja-JP" w:val="en-US"/>
    </w:rPr>
  </w:style>
  <w:style w:styleId="TOC1" w:type="paragraph">
    <w:name w:val="toc 1"/>
    <w:next w:val="Normal"/>
    <w:autoRedefine/>
    <w:uiPriority w:val="39"/>
    <w:unhideWhenUsed/>
    <w:rsid w:val="00795836"/>
    <w:pPr>
      <w:tabs>
        <w:tab w:pos="720" w:val="left"/>
        <w:tab w:leader="dot" w:pos="9350" w:val="right"/>
      </w:tabs>
      <w:spacing w:after="120" w:line="240" w:lineRule="auto"/>
      <w:ind w:hanging="432" w:left="432"/>
    </w:pPr>
    <w:rPr>
      <w:rFonts w:ascii="Arial" w:eastAsiaTheme="minorEastAsia" w:hAnsi="Arial"/>
      <w:b/>
      <w:lang w:eastAsia="ja-JP" w:val="en-US"/>
    </w:rPr>
  </w:style>
  <w:style w:styleId="TOC3" w:type="paragraph">
    <w:name w:val="toc 3"/>
    <w:next w:val="Normal"/>
    <w:autoRedefine/>
    <w:uiPriority w:val="39"/>
    <w:unhideWhenUsed/>
    <w:rsid w:val="00795836"/>
    <w:pPr>
      <w:tabs>
        <w:tab w:pos="1440" w:val="left"/>
        <w:tab w:leader="dot" w:pos="9350" w:val="right"/>
      </w:tabs>
      <w:spacing w:after="120" w:line="240" w:lineRule="auto"/>
      <w:ind w:hanging="1296" w:left="2160"/>
    </w:pPr>
    <w:rPr>
      <w:rFonts w:ascii="Arial" w:eastAsiaTheme="minorEastAsia" w:hAnsi="Arial"/>
      <w:sz w:val="20"/>
      <w:lang w:eastAsia="ja-JP" w:val="en-US"/>
    </w:rPr>
  </w:style>
  <w:style w:styleId="TOC4" w:type="paragraph">
    <w:name w:val="toc 4"/>
    <w:basedOn w:val="Normal"/>
    <w:next w:val="Normal"/>
    <w:autoRedefine/>
    <w:uiPriority w:val="39"/>
    <w:semiHidden/>
    <w:unhideWhenUsed/>
    <w:rsid w:val="00795836"/>
    <w:pPr>
      <w:spacing w:after="120" w:line="240" w:lineRule="auto"/>
      <w:ind w:hanging="1728" w:left="3024"/>
    </w:pPr>
  </w:style>
  <w:style w:styleId="BodyText3" w:type="paragraph">
    <w:name w:val="Body Text 3"/>
    <w:basedOn w:val="BodyText"/>
    <w:link w:val="BodyText3Char"/>
    <w:qFormat/>
    <w:rsid w:val="00126AF9"/>
    <w:pPr>
      <w:spacing w:after="120" w:line="240" w:lineRule="auto"/>
      <w:jc w:val="both"/>
    </w:pPr>
    <w:rPr>
      <w:sz w:val="16"/>
      <w:szCs w:val="16"/>
    </w:rPr>
  </w:style>
  <w:style w:styleId="Caption" w:type="paragraph">
    <w:name w:val="caption"/>
    <w:aliases w:val="±Caption"/>
    <w:basedOn w:val="Normal"/>
    <w:next w:val="Normal"/>
    <w:link w:val="CaptionChar"/>
    <w:uiPriority w:val="28"/>
    <w:qFormat/>
    <w:rsid w:val="006B7D5A"/>
    <w:pPr>
      <w:tabs>
        <w:tab w:pos="1800" w:val="left"/>
      </w:tabs>
      <w:spacing w:after="240" w:before="120" w:line="240" w:lineRule="auto"/>
      <w:ind w:hanging="1080" w:left="1800"/>
    </w:pPr>
    <w:rPr>
      <w:b/>
      <w:bCs/>
      <w:sz w:val="18"/>
      <w:szCs w:val="18"/>
    </w:rPr>
  </w:style>
  <w:style w:styleId="NormalIndent" w:type="paragraph">
    <w:name w:val="Normal Indent"/>
    <w:basedOn w:val="Normal"/>
    <w:uiPriority w:val="99"/>
    <w:unhideWhenUsed/>
    <w:rsid w:val="00F60C4E"/>
    <w:pPr>
      <w:ind w:left="720"/>
    </w:pPr>
  </w:style>
  <w:style w:styleId="TableofFigures" w:type="paragraph">
    <w:name w:val="table of figures"/>
    <w:basedOn w:val="Normal"/>
    <w:next w:val="Normal"/>
    <w:uiPriority w:val="99"/>
    <w:unhideWhenUsed/>
    <w:rsid w:val="00D74A10"/>
    <w:pPr>
      <w:tabs>
        <w:tab w:pos="1080" w:val="left"/>
        <w:tab w:leader="dot" w:pos="9360" w:val="right"/>
      </w:tabs>
      <w:spacing w:after="120" w:line="300" w:lineRule="auto"/>
    </w:pPr>
  </w:style>
  <w:style w:styleId="BodyText2" w:type="paragraph">
    <w:name w:val="Body Text 2"/>
    <w:basedOn w:val="BodyText"/>
    <w:link w:val="BodyText2Char"/>
    <w:qFormat/>
    <w:rsid w:val="00791D22"/>
    <w:pPr>
      <w:spacing w:after="0" w:line="240" w:lineRule="auto"/>
      <w:jc w:val="both"/>
    </w:pPr>
  </w:style>
  <w:style w:customStyle="1" w:styleId="BodyText2Char" w:type="character">
    <w:name w:val="Body Text 2 Char"/>
    <w:basedOn w:val="DefaultParagraphFont"/>
    <w:link w:val="BodyText2"/>
    <w:rsid w:val="009B6A67"/>
    <w:rPr>
      <w:rFonts w:ascii="Arial" w:hAnsi="Arial"/>
      <w:sz w:val="20"/>
    </w:rPr>
  </w:style>
  <w:style w:styleId="FootnoteText" w:type="paragraph">
    <w:name w:val="footnote text"/>
    <w:basedOn w:val="Normal"/>
    <w:link w:val="FootnoteTextChar"/>
    <w:uiPriority w:val="99"/>
    <w:semiHidden/>
    <w:unhideWhenUsed/>
    <w:rsid w:val="00870EFD"/>
    <w:pPr>
      <w:spacing w:line="240" w:lineRule="auto"/>
    </w:pPr>
    <w:rPr>
      <w:sz w:val="16"/>
      <w:szCs w:val="20"/>
    </w:rPr>
  </w:style>
  <w:style w:customStyle="1" w:styleId="FootnoteTextChar" w:type="character">
    <w:name w:val="Footnote Text Char"/>
    <w:basedOn w:val="DefaultParagraphFont"/>
    <w:link w:val="FootnoteText"/>
    <w:uiPriority w:val="99"/>
    <w:semiHidden/>
    <w:rsid w:val="00870EFD"/>
    <w:rPr>
      <w:rFonts w:ascii="Arial" w:hAnsi="Arial"/>
      <w:sz w:val="16"/>
      <w:szCs w:val="20"/>
    </w:rPr>
  </w:style>
  <w:style w:customStyle="1" w:styleId="BodyText3Char" w:type="character">
    <w:name w:val="Body Text 3 Char"/>
    <w:basedOn w:val="DefaultParagraphFont"/>
    <w:link w:val="BodyText3"/>
    <w:rsid w:val="009B6A67"/>
    <w:rPr>
      <w:rFonts w:ascii="Arial" w:hAnsi="Arial"/>
      <w:sz w:val="16"/>
      <w:szCs w:val="16"/>
    </w:rPr>
  </w:style>
  <w:style w:customStyle="1" w:styleId="AddressblockBold" w:type="paragraph">
    <w:name w:val="Addressblock Bold"/>
    <w:basedOn w:val="Addressblock"/>
    <w:qFormat/>
    <w:rsid w:val="003F5B70"/>
    <w:rPr>
      <w:b/>
      <w:sz w:val="14"/>
      <w:szCs w:val="20"/>
    </w:rPr>
  </w:style>
  <w:style w:customStyle="1" w:styleId="Addressblock" w:type="paragraph">
    <w:name w:val="Addressblock"/>
    <w:basedOn w:val="BodyText"/>
    <w:qFormat/>
    <w:rsid w:val="003F5B70"/>
    <w:pPr>
      <w:spacing w:after="120" w:before="120" w:line="288" w:lineRule="auto"/>
      <w:ind w:left="0"/>
    </w:pPr>
    <w:rPr>
      <w:rFonts w:cs="Arial" w:eastAsia="Times New Roman"/>
      <w:color w:themeColor="text1" w:themeTint="80" w:val="7F7F7F"/>
      <w:sz w:val="13"/>
      <w:szCs w:val="12"/>
    </w:rPr>
  </w:style>
  <w:style w:customStyle="1" w:styleId="SourcePath" w:type="paragraph">
    <w:name w:val="Source Path"/>
    <w:next w:val="BodyText"/>
    <w:qFormat/>
    <w:rsid w:val="00ED020C"/>
    <w:pPr>
      <w:spacing w:after="240" w:before="60" w:line="240" w:lineRule="auto"/>
      <w:ind w:left="720"/>
    </w:pPr>
    <w:rPr>
      <w:rFonts w:ascii="Arial" w:hAnsi="Arial"/>
      <w:sz w:val="12"/>
    </w:rPr>
  </w:style>
  <w:style w:customStyle="1" w:styleId="NoteList" w:type="paragraph">
    <w:name w:val="Note List"/>
    <w:basedOn w:val="BodyText"/>
    <w:qFormat/>
    <w:rsid w:val="007E6C16"/>
    <w:pPr>
      <w:tabs>
        <w:tab w:pos="1080" w:val="left"/>
      </w:tabs>
      <w:spacing w:after="120" w:line="240" w:lineRule="auto"/>
      <w:ind w:hanging="360" w:left="1080"/>
    </w:pPr>
    <w:rPr>
      <w:sz w:val="16"/>
    </w:rPr>
  </w:style>
  <w:style w:customStyle="1" w:styleId="NoteListHeading" w:type="paragraph">
    <w:name w:val="Note List Heading"/>
    <w:qFormat/>
    <w:rsid w:val="00ED020C"/>
    <w:pPr>
      <w:spacing w:after="120" w:before="60" w:line="240" w:lineRule="auto"/>
      <w:ind w:left="720"/>
    </w:pPr>
    <w:rPr>
      <w:rFonts w:ascii="Arial" w:hAnsi="Arial"/>
      <w:b/>
      <w:sz w:val="16"/>
    </w:rPr>
  </w:style>
  <w:style w:customStyle="1" w:styleId="TableHeading" w:type="paragraph">
    <w:name w:val="Table Heading"/>
    <w:qFormat/>
    <w:rsid w:val="00B9334A"/>
    <w:pPr>
      <w:spacing w:after="0" w:line="240" w:lineRule="auto"/>
    </w:pPr>
    <w:rPr>
      <w:rFonts w:ascii="Arial" w:hAnsi="Arial"/>
      <w:b/>
      <w:sz w:val="18"/>
    </w:rPr>
  </w:style>
  <w:style w:customStyle="1" w:styleId="SRKTableText" w:type="paragraph">
    <w:name w:val="SRK Table Text"/>
    <w:qFormat/>
    <w:rsid w:val="00B9334A"/>
    <w:pPr>
      <w:spacing w:after="0" w:line="240" w:lineRule="auto"/>
    </w:pPr>
    <w:rPr>
      <w:rFonts w:ascii="Arial" w:hAnsi="Arial"/>
      <w:sz w:val="18"/>
    </w:rPr>
  </w:style>
  <w:style w:customStyle="1" w:styleId="ListBullets" w:type="numbering">
    <w:name w:val="ListBullets"/>
    <w:uiPriority w:val="99"/>
    <w:rsid w:val="00B05DA1"/>
    <w:pPr>
      <w:numPr>
        <w:numId w:val="2"/>
      </w:numPr>
    </w:pPr>
  </w:style>
  <w:style w:styleId="ListBullet" w:type="paragraph">
    <w:name w:val="List Bullet"/>
    <w:basedOn w:val="Normal"/>
    <w:qFormat/>
    <w:rsid w:val="008B380E"/>
    <w:pPr>
      <w:numPr>
        <w:ilvl w:val="0"/>
        <w:numId w:val="4"/>
      </w:numPr>
      <w:tabs>
        <w:tab w:pos="1080" w:val="num"/>
      </w:tabs>
      <w:spacing w:after="160" w:line="300" w:lineRule="auto"/>
      <w:ind w:hanging="360" w:left="1080"/>
    </w:pPr>
  </w:style>
  <w:style w:styleId="ListBullet2" w:type="paragraph">
    <w:name w:val="List Bullet 2"/>
    <w:qFormat/>
    <w:rsid w:val="008B380E"/>
    <w:pPr>
      <w:numPr>
        <w:ilvl w:val="1"/>
        <w:numId w:val="4"/>
      </w:numPr>
      <w:tabs>
        <w:tab w:pos="1440" w:val="num"/>
      </w:tabs>
      <w:spacing w:after="160" w:line="300" w:lineRule="auto"/>
      <w:ind w:hanging="360" w:left="1440"/>
    </w:pPr>
    <w:rPr>
      <w:rFonts w:ascii="Arial" w:hAnsi="Arial"/>
      <w:sz w:val="20"/>
    </w:rPr>
  </w:style>
  <w:style w:styleId="ListBullet3" w:type="paragraph">
    <w:name w:val="List Bullet 3"/>
    <w:qFormat/>
    <w:rsid w:val="005C1438"/>
    <w:pPr>
      <w:numPr>
        <w:ilvl w:val="2"/>
        <w:numId w:val="4"/>
      </w:numPr>
      <w:tabs>
        <w:tab w:pos="1800" w:val="num"/>
      </w:tabs>
      <w:spacing w:after="0" w:line="300" w:lineRule="auto"/>
      <w:ind w:hanging="360" w:left="1800"/>
    </w:pPr>
    <w:rPr>
      <w:rFonts w:ascii="Arial" w:hAnsi="Arial"/>
      <w:sz w:val="20"/>
    </w:rPr>
  </w:style>
  <w:style w:styleId="ListBullet4" w:type="paragraph">
    <w:name w:val="List Bullet 4"/>
    <w:qFormat/>
    <w:rsid w:val="008B380E"/>
    <w:pPr>
      <w:tabs>
        <w:tab w:pos="2160" w:val="num"/>
      </w:tabs>
      <w:spacing w:after="160" w:line="300" w:lineRule="auto"/>
      <w:ind w:hanging="360" w:left="2160"/>
    </w:pPr>
    <w:rPr>
      <w:rFonts w:ascii="Arial" w:hAnsi="Arial"/>
      <w:sz w:val="20"/>
    </w:rPr>
  </w:style>
  <w:style w:styleId="ListBullet5" w:type="paragraph">
    <w:name w:val="List Bullet 5"/>
    <w:qFormat/>
    <w:rsid w:val="008B380E"/>
    <w:pPr>
      <w:tabs>
        <w:tab w:pos="2520" w:val="num"/>
      </w:tabs>
      <w:spacing w:after="160" w:line="300" w:lineRule="auto"/>
      <w:ind w:hanging="360" w:left="2520"/>
    </w:pPr>
    <w:rPr>
      <w:rFonts w:ascii="Arial" w:hAnsi="Arial"/>
      <w:sz w:val="20"/>
    </w:rPr>
  </w:style>
  <w:style w:customStyle="1" w:styleId="References" w:type="paragraph">
    <w:name w:val="References"/>
    <w:qFormat/>
    <w:rsid w:val="00EB1BF4"/>
    <w:pPr>
      <w:spacing w:after="240" w:line="300" w:lineRule="auto"/>
      <w:ind w:hanging="720" w:left="1440"/>
    </w:pPr>
    <w:rPr>
      <w:rFonts w:ascii="Arial" w:hAnsi="Arial"/>
      <w:sz w:val="20"/>
    </w:rPr>
  </w:style>
  <w:style w:customStyle="1" w:styleId="ExecSumHeading1" w:type="paragraph">
    <w:name w:val="ExecSum Heading 1"/>
    <w:basedOn w:val="Heading1"/>
    <w:next w:val="BodyText"/>
    <w:qFormat/>
    <w:rsid w:val="00D13DE2"/>
    <w:pPr>
      <w:numPr>
        <w:numId w:val="0"/>
      </w:numPr>
      <w:ind w:left="720"/>
    </w:pPr>
  </w:style>
  <w:style w:customStyle="1" w:styleId="ExecSumHeading2" w:type="paragraph">
    <w:name w:val="ExecSum Heading 2"/>
    <w:basedOn w:val="Heading2"/>
    <w:next w:val="BodyText"/>
    <w:qFormat/>
    <w:rsid w:val="00D13DE2"/>
    <w:pPr>
      <w:numPr>
        <w:ilvl w:val="0"/>
        <w:numId w:val="0"/>
      </w:numPr>
      <w:ind w:left="720"/>
    </w:pPr>
  </w:style>
  <w:style w:customStyle="1" w:styleId="ExecSumHeading3" w:type="paragraph">
    <w:name w:val="ExecSum Heading 3"/>
    <w:basedOn w:val="Heading3"/>
    <w:next w:val="BodyText"/>
    <w:qFormat/>
    <w:rsid w:val="00AE6B7A"/>
    <w:pPr>
      <w:numPr>
        <w:ilvl w:val="0"/>
        <w:numId w:val="0"/>
      </w:numPr>
      <w:ind w:left="720"/>
    </w:pPr>
  </w:style>
  <w:style w:styleId="ListNumber" w:type="paragraph">
    <w:name w:val="List Number"/>
    <w:basedOn w:val="Normal"/>
    <w:qFormat/>
    <w:rsid w:val="0014192C"/>
    <w:pPr>
      <w:numPr>
        <w:numId w:val="22"/>
      </w:numPr>
      <w:tabs>
        <w:tab w:pos="1080" w:val="clear"/>
      </w:tabs>
      <w:spacing w:after="160" w:line="300" w:lineRule="auto"/>
      <w:ind w:left="1440"/>
    </w:pPr>
  </w:style>
  <w:style w:styleId="ListNumber2" w:type="paragraph">
    <w:name w:val="List Number 2"/>
    <w:basedOn w:val="Normal"/>
    <w:qFormat/>
    <w:rsid w:val="00FC0180"/>
    <w:pPr>
      <w:numPr>
        <w:ilvl w:val="1"/>
        <w:numId w:val="3"/>
      </w:numPr>
      <w:spacing w:after="160" w:line="300" w:lineRule="auto"/>
    </w:pPr>
  </w:style>
  <w:style w:styleId="ListNumber3" w:type="paragraph">
    <w:name w:val="List Number 3"/>
    <w:basedOn w:val="Normal"/>
    <w:qFormat/>
    <w:rsid w:val="00FC0180"/>
    <w:pPr>
      <w:numPr>
        <w:ilvl w:val="2"/>
        <w:numId w:val="3"/>
      </w:numPr>
      <w:spacing w:after="160" w:line="300" w:lineRule="auto"/>
    </w:pPr>
  </w:style>
  <w:style w:styleId="ListNumber4" w:type="paragraph">
    <w:name w:val="List Number 4"/>
    <w:basedOn w:val="Normal"/>
    <w:qFormat/>
    <w:rsid w:val="00FC0180"/>
    <w:pPr>
      <w:numPr>
        <w:ilvl w:val="3"/>
        <w:numId w:val="3"/>
      </w:numPr>
      <w:spacing w:after="160" w:line="300" w:lineRule="auto"/>
    </w:pPr>
  </w:style>
  <w:style w:styleId="ListNumber5" w:type="paragraph">
    <w:name w:val="List Number 5"/>
    <w:basedOn w:val="Normal"/>
    <w:qFormat/>
    <w:rsid w:val="00FC0180"/>
    <w:pPr>
      <w:numPr>
        <w:ilvl w:val="4"/>
        <w:numId w:val="3"/>
      </w:numPr>
      <w:spacing w:after="160" w:line="300" w:lineRule="auto"/>
    </w:pPr>
  </w:style>
  <w:style w:customStyle="1" w:styleId="ListNumbers" w:type="numbering">
    <w:name w:val="ListNumbers"/>
    <w:uiPriority w:val="99"/>
    <w:rsid w:val="00FC0180"/>
    <w:pPr>
      <w:numPr>
        <w:numId w:val="24"/>
      </w:numPr>
    </w:pPr>
  </w:style>
  <w:style w:customStyle="1" w:styleId="43-101guidelines" w:type="paragraph">
    <w:name w:val="43-101 guidelines"/>
    <w:basedOn w:val="Normal"/>
    <w:autoRedefine/>
    <w:rsid w:val="003F5B70"/>
    <w:pPr>
      <w:widowControl w:val="0"/>
      <w:autoSpaceDE w:val="0"/>
      <w:autoSpaceDN w:val="0"/>
      <w:adjustRightInd w:val="0"/>
      <w:spacing w:line="240" w:lineRule="auto"/>
      <w:ind w:left="720"/>
    </w:pPr>
    <w:rPr>
      <w:rFonts w:cs="Arial" w:eastAsia="SimSun"/>
      <w:color w:val="0000FF"/>
      <w:szCs w:val="20"/>
      <w:lang w:eastAsia="zh-CN"/>
    </w:rPr>
  </w:style>
  <w:style w:customStyle="1" w:styleId="TableText" w:type="paragraph">
    <w:name w:val="Table Text"/>
    <w:basedOn w:val="TableHeading"/>
    <w:qFormat/>
    <w:rsid w:val="002D1AAA"/>
    <w:pPr>
      <w:spacing w:after="20" w:before="20"/>
    </w:pPr>
    <w:rPr>
      <w:rFonts w:cs="Times New Roman" w:eastAsia="Times New Roman"/>
      <w:b w:val="0"/>
      <w:szCs w:val="20"/>
    </w:rPr>
  </w:style>
  <w:style w:customStyle="1" w:styleId="TableTextLeft" w:type="paragraph">
    <w:name w:val="±TableTextLeft"/>
    <w:basedOn w:val="Normal"/>
    <w:uiPriority w:val="31"/>
    <w:qFormat/>
    <w:rsid w:val="003643CA"/>
    <w:pPr>
      <w:spacing w:line="240" w:lineRule="auto"/>
    </w:pPr>
    <w:rPr>
      <w:rFonts w:asciiTheme="minorHAnsi" w:hAnsiTheme="minorHAnsi"/>
      <w:color w:themeColor="text1" w:val="000000"/>
      <w:szCs w:val="20"/>
      <w:lang w:val="en-US"/>
    </w:rPr>
  </w:style>
  <w:style w:customStyle="1" w:styleId="normaltextrun" w:type="character">
    <w:name w:val="normaltextrun"/>
    <w:basedOn w:val="DefaultParagraphFont"/>
    <w:rsid w:val="00DF6565"/>
  </w:style>
  <w:style w:customStyle="1" w:styleId="findhit" w:type="character">
    <w:name w:val="findhit"/>
    <w:basedOn w:val="DefaultParagraphFont"/>
    <w:rsid w:val="00DF6565"/>
  </w:style>
  <w:style w:customStyle="1" w:styleId="paragraph" w:type="paragraph">
    <w:name w:val="paragraph"/>
    <w:basedOn w:val="Normal"/>
    <w:rsid w:val="00111A7E"/>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eop" w:type="character">
    <w:name w:val="eop"/>
    <w:basedOn w:val="DefaultParagraphFont"/>
    <w:rsid w:val="00111A7E"/>
  </w:style>
  <w:style w:customStyle="1" w:styleId="outlineelement" w:type="paragraph">
    <w:name w:val="outlineelement"/>
    <w:basedOn w:val="Normal"/>
    <w:rsid w:val="00111A7E"/>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mathspan" w:type="character">
    <w:name w:val="mathspan"/>
    <w:basedOn w:val="DefaultParagraphFont"/>
    <w:rsid w:val="00111A7E"/>
  </w:style>
  <w:style w:customStyle="1" w:styleId="mi" w:type="character">
    <w:name w:val="mi"/>
    <w:basedOn w:val="DefaultParagraphFont"/>
    <w:rsid w:val="00111A7E"/>
  </w:style>
  <w:style w:customStyle="1" w:styleId="mn" w:type="character">
    <w:name w:val="mn"/>
    <w:basedOn w:val="DefaultParagraphFont"/>
    <w:rsid w:val="00111A7E"/>
  </w:style>
  <w:style w:customStyle="1" w:styleId="mjxassistivemathml" w:type="character">
    <w:name w:val="mjx_assistive_mathml"/>
    <w:basedOn w:val="DefaultParagraphFont"/>
    <w:rsid w:val="00111A7E"/>
  </w:style>
  <w:style w:styleId="UnresolvedMention" w:type="character">
    <w:name w:val="Unresolved Mention"/>
    <w:basedOn w:val="DefaultParagraphFont"/>
    <w:uiPriority w:val="99"/>
    <w:semiHidden/>
    <w:unhideWhenUsed/>
    <w:rsid w:val="00855C37"/>
    <w:rPr>
      <w:color w:val="605E5C"/>
      <w:shd w:color="auto" w:fill="E1DFDD" w:val="clear"/>
    </w:rPr>
  </w:style>
  <w:style w:styleId="FollowedHyperlink" w:type="character">
    <w:name w:val="FollowedHyperlink"/>
    <w:basedOn w:val="DefaultParagraphFont"/>
    <w:uiPriority w:val="99"/>
    <w:semiHidden/>
    <w:unhideWhenUsed/>
    <w:rsid w:val="001C6A30"/>
    <w:rPr>
      <w:color w:themeColor="followedHyperlink" w:val="800080"/>
      <w:u w:val="single"/>
    </w:rPr>
  </w:style>
  <w:style w:styleId="CommentReference" w:type="character">
    <w:name w:val="annotation reference"/>
    <w:basedOn w:val="DefaultParagraphFont"/>
    <w:uiPriority w:val="99"/>
    <w:semiHidden/>
    <w:unhideWhenUsed/>
    <w:rsid w:val="00CE7EB0"/>
    <w:rPr>
      <w:sz w:val="16"/>
      <w:szCs w:val="16"/>
    </w:rPr>
  </w:style>
  <w:style w:styleId="CommentText" w:type="paragraph">
    <w:name w:val="annotation text"/>
    <w:basedOn w:val="Normal"/>
    <w:link w:val="CommentTextChar"/>
    <w:uiPriority w:val="99"/>
    <w:unhideWhenUsed/>
    <w:rsid w:val="00CE7EB0"/>
    <w:pPr>
      <w:spacing w:line="240" w:lineRule="auto"/>
    </w:pPr>
    <w:rPr>
      <w:szCs w:val="20"/>
    </w:rPr>
  </w:style>
  <w:style w:customStyle="1" w:styleId="CommentTextChar" w:type="character">
    <w:name w:val="Comment Text Char"/>
    <w:basedOn w:val="DefaultParagraphFont"/>
    <w:link w:val="CommentText"/>
    <w:uiPriority w:val="99"/>
    <w:rsid w:val="00CE7EB0"/>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CE7EB0"/>
    <w:rPr>
      <w:b/>
      <w:bCs/>
    </w:rPr>
  </w:style>
  <w:style w:customStyle="1" w:styleId="CommentSubjectChar" w:type="character">
    <w:name w:val="Comment Subject Char"/>
    <w:basedOn w:val="CommentTextChar"/>
    <w:link w:val="CommentSubject"/>
    <w:uiPriority w:val="99"/>
    <w:semiHidden/>
    <w:rsid w:val="00CE7EB0"/>
    <w:rPr>
      <w:rFonts w:ascii="Arial" w:hAnsi="Arial"/>
      <w:b/>
      <w:bCs/>
      <w:sz w:val="20"/>
      <w:szCs w:val="20"/>
    </w:rPr>
  </w:style>
  <w:style w:styleId="Mention" w:type="character">
    <w:name w:val="Mention"/>
    <w:basedOn w:val="DefaultParagraphFont"/>
    <w:uiPriority w:val="99"/>
    <w:unhideWhenUsed/>
    <w:rsid w:val="00015C2E"/>
    <w:rPr>
      <w:color w:val="2B579A"/>
      <w:shd w:color="auto" w:fill="E1DFDD" w:val="clear"/>
    </w:rPr>
  </w:style>
  <w:style w:customStyle="1" w:styleId="msonormal0" w:type="paragraph">
    <w:name w:val="msonormal"/>
    <w:basedOn w:val="Normal"/>
    <w:rsid w:val="00477589"/>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xl16" w:type="paragraph">
    <w:name w:val="xl16"/>
    <w:basedOn w:val="Normal"/>
    <w:rsid w:val="00414E83"/>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19" w:type="paragraph">
    <w:name w:val="xl19"/>
    <w:basedOn w:val="Normal"/>
    <w:rsid w:val="00414E83"/>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22" w:type="paragraph">
    <w:name w:val="xl22"/>
    <w:basedOn w:val="Normal"/>
    <w:rsid w:val="00414E83"/>
    <w:pPr>
      <w:spacing w:after="100" w:afterAutospacing="1" w:before="100" w:beforeAutospacing="1" w:line="240" w:lineRule="auto"/>
      <w:jc w:val="center"/>
    </w:pPr>
    <w:rPr>
      <w:rFonts w:ascii="Times New Roman" w:cs="Times New Roman" w:eastAsia="Times New Roman" w:hAnsi="Times New Roman"/>
      <w:sz w:val="24"/>
      <w:szCs w:val="24"/>
      <w:lang w:val="en-US"/>
    </w:rPr>
  </w:style>
  <w:style w:customStyle="1" w:styleId="xl63" w:type="paragraph">
    <w:name w:val="xl63"/>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66" w:type="paragraph">
    <w:name w:val="xl66"/>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67" w:type="paragraph">
    <w:name w:val="xl67"/>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68" w:type="paragraph">
    <w:name w:val="xl68"/>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n-US"/>
    </w:rPr>
  </w:style>
  <w:style w:customStyle="1" w:styleId="xl69" w:type="paragraph">
    <w:name w:val="xl69"/>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US"/>
    </w:rPr>
  </w:style>
  <w:style w:customStyle="1" w:styleId="xl70" w:type="paragraph">
    <w:name w:val="xl70"/>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US"/>
    </w:rPr>
  </w:style>
  <w:style w:customStyle="1" w:styleId="xl71" w:type="paragraph">
    <w:name w:val="xl71"/>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US"/>
    </w:rPr>
  </w:style>
  <w:style w:customStyle="1" w:styleId="xl72" w:type="paragraph">
    <w:name w:val="xl72"/>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n-US"/>
    </w:rPr>
  </w:style>
  <w:style w:styleId="GridTable1Light" w:type="table">
    <w:name w:val="Grid Table 1 Light"/>
    <w:basedOn w:val="TableNormal"/>
    <w:uiPriority w:val="46"/>
    <w:rsid w:val="001616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Paragraph" w:type="paragraph">
    <w:name w:val="List Paragraph"/>
    <w:basedOn w:val="Normal"/>
    <w:uiPriority w:val="34"/>
    <w:rsid w:val="00E37601"/>
    <w:pPr>
      <w:ind w:left="720"/>
      <w:contextualSpacing/>
    </w:pPr>
  </w:style>
  <w:style w:styleId="NormalWeb" w:type="paragraph">
    <w:name w:val="Normal (Web)"/>
    <w:basedOn w:val="Normal"/>
    <w:uiPriority w:val="99"/>
    <w:unhideWhenUsed/>
    <w:rsid w:val="00492E72"/>
    <w:pPr>
      <w:spacing w:after="100" w:afterAutospacing="1" w:before="100" w:beforeAutospacing="1" w:line="240" w:lineRule="auto"/>
    </w:pPr>
    <w:rPr>
      <w:rFonts w:ascii="Times New Roman" w:cs="Times New Roman" w:eastAsia="Times New Roman" w:hAnsi="Times New Roman"/>
      <w:sz w:val="24"/>
      <w:szCs w:val="24"/>
      <w:lang w:val="en-US"/>
    </w:rPr>
  </w:style>
  <w:style w:customStyle="1" w:styleId="katex-mathml" w:type="character">
    <w:name w:val="katex-mathml"/>
    <w:basedOn w:val="DefaultParagraphFont"/>
    <w:rsid w:val="009228F5"/>
  </w:style>
  <w:style w:customStyle="1" w:styleId="mord" w:type="character">
    <w:name w:val="mord"/>
    <w:basedOn w:val="DefaultParagraphFont"/>
    <w:rsid w:val="009228F5"/>
  </w:style>
  <w:style w:customStyle="1" w:styleId="mpunct" w:type="character">
    <w:name w:val="mpunct"/>
    <w:basedOn w:val="DefaultParagraphFont"/>
    <w:rsid w:val="009228F5"/>
  </w:style>
  <w:style w:customStyle="1" w:styleId="vlist-s" w:type="character">
    <w:name w:val="vlist-s"/>
    <w:basedOn w:val="DefaultParagraphFont"/>
    <w:rsid w:val="009228F5"/>
  </w:style>
  <w:style w:customStyle="1" w:styleId="CaptionChar" w:type="character">
    <w:name w:val="Caption Char"/>
    <w:aliases w:val="±Caption Char"/>
    <w:basedOn w:val="DefaultParagraphFont"/>
    <w:link w:val="Caption"/>
    <w:uiPriority w:val="28"/>
    <w:rsid w:val="00E9310D"/>
    <w:rPr>
      <w:rFonts w:ascii="Arial" w:hAnsi="Arial"/>
      <w:b/>
      <w:bCs/>
      <w:sz w:val="18"/>
      <w:szCs w:val="18"/>
    </w:rPr>
  </w:style>
  <w:style w:styleId="Bibliography" w:type="paragraph">
    <w:name w:val="Bibliography"/>
    <w:basedOn w:val="Normal"/>
    <w:next w:val="Normal"/>
    <w:uiPriority w:val="37"/>
    <w:unhideWhenUsed/>
    <w:rsid w:val="00CC74B3"/>
    <w:pPr>
      <w:ind w:hanging="720" w:left="720"/>
    </w:pPr>
  </w:style>
  <w:style w:customStyle="1" w:styleId="math" w:type="character">
    <w:name w:val="math"/>
    <w:basedOn w:val="DefaultParagraphFont"/>
    <w:rsid w:val="00ED03DE"/>
  </w:style>
  <w:style w:styleId="Revision" w:type="paragraph">
    <w:name w:val="Revision"/>
    <w:hidden/>
    <w:uiPriority w:val="99"/>
    <w:semiHidden/>
    <w:rsid w:val="009C3AAF"/>
    <w:pPr>
      <w:spacing w:after="0" w:line="240" w:lineRule="auto"/>
    </w:pPr>
    <w:rPr>
      <w:rFonts w:ascii="Arial" w:hAnsi="Arial"/>
      <w:sz w:val="20"/>
    </w:rPr>
  </w:style>
  <w:style w:styleId="TOC7" w:type="paragraph">
    <w:name w:val="toc 7"/>
    <w:basedOn w:val="Normal"/>
    <w:next w:val="Normal"/>
    <w:autoRedefine/>
    <w:uiPriority w:val="39"/>
    <w:unhideWhenUsed/>
    <w:rsid w:val="002666CD"/>
    <w:pPr>
      <w:tabs>
        <w:tab w:pos="1418" w:val="left"/>
      </w:tabs>
      <w:spacing w:after="100"/>
    </w:pPr>
  </w:style>
  <w:style w:customStyle="1" w:styleId="Spacer" w:type="paragraph">
    <w:name w:val="±Spacer"/>
    <w:basedOn w:val="NoSpacing"/>
    <w:semiHidden/>
    <w:rsid w:val="002666CD"/>
    <w:rPr>
      <w:rFonts w:ascii="Arial" w:cs="Arial" w:eastAsiaTheme="minorHAnsi" w:hAnsi="Arial"/>
      <w:color w:themeColor="text1" w:val="000000"/>
      <w:sz w:val="2"/>
      <w:szCs w:val="20"/>
      <w:lang w:eastAsia="en-US"/>
    </w:rPr>
  </w:style>
  <w:style w:customStyle="1" w:styleId="Head2NonTOC" w:type="paragraph">
    <w:name w:val="±Head2NonTOC"/>
    <w:basedOn w:val="Normal"/>
    <w:next w:val="Normal"/>
    <w:uiPriority w:val="3"/>
    <w:rsid w:val="002666CD"/>
    <w:pPr>
      <w:keepNext/>
      <w:spacing w:after="60" w:before="360" w:line="240" w:lineRule="auto"/>
      <w:outlineLvl w:val="1"/>
    </w:pPr>
    <w:rPr>
      <w:rFonts w:asciiTheme="majorHAnsi" w:cs="Arial" w:hAnsiTheme="majorHAnsi"/>
      <w:b/>
      <w:color w:themeColor="text1" w:val="000000"/>
      <w:sz w:val="28"/>
      <w:szCs w:val="20"/>
      <w:lang w:val="en-US"/>
    </w:rPr>
  </w:style>
  <w:style w:customStyle="1" w:styleId="AppHead1" w:type="paragraph">
    <w:name w:val="±AppHead1"/>
    <w:basedOn w:val="Normal"/>
    <w:next w:val="Normal"/>
    <w:uiPriority w:val="7"/>
    <w:qFormat/>
    <w:rsid w:val="00F23321"/>
    <w:pPr>
      <w:keepNext/>
      <w:pageBreakBefore/>
      <w:framePr w:hAnchor="text" w:w="10541" w:wrap="around" w:yAlign="top"/>
      <w:pBdr>
        <w:top w:color="1F497D" w:space="8" w:sz="24" w:themeColor="text2" w:val="single"/>
      </w:pBdr>
      <w:spacing w:after="60" w:before="3000" w:line="240" w:lineRule="auto"/>
      <w:outlineLvl w:val="0"/>
    </w:pPr>
    <w:rPr>
      <w:rFonts w:asciiTheme="majorHAnsi" w:cs="Arial" w:hAnsiTheme="majorHAnsi"/>
      <w:b/>
      <w:color w:themeColor="text1" w:val="000000"/>
      <w:sz w:val="36"/>
      <w:szCs w:val="20"/>
      <w:lang w:val="en-US"/>
    </w:rPr>
  </w:style>
  <w:style w:styleId="Table" w:type="table">
    <w:name w:val="Table"/>
    <w:uiPriority w:val="99"/>
    <w:semiHidden/>
    <w:unhideWhenUsed/>
    <w:tblPr>
      <w:tblInd w:type="dxa" w:w="0"/>
      <w:tblCellMar>
        <w:top w:type="dxa" w:w="0"/>
        <w:left w:type="dxa" w:w="108"/>
        <w:bottom w:type="dxa" w:w="0"/>
        <w:right w:type="dxa" w:w="108"/>
      </w:tblCellMar>
    </w:tblPr>
  </w:style>
  <w:style w:styleId="SRKDataTable" w:type="table">
    <w:name w:val="SRK Data Table"/>
    <w:uiPriority w:val="99"/>
    <w:semiHidden/>
    <w:unhideWhenUsed/>
    <w:tblPr>
      <w:tblBorders>
        <w:top w:color="auto" w:space="0" w:sz="12" w:val="single"/>
        <w:bottom w:color="auto" w:space="0" w:sz="4" w:val="single"/>
        <w:left w:val="nil"/>
        <w:right w:val="nil"/>
        <w:insideH w:val="nil"/>
        <w:insideV w:val="nil"/>
      </w:tblBorders>
      <w:tblCellMar>
        <w:left w:type="dxa" w:w="57"/>
        <w:right w:type="dxa" w:w="57"/>
      </w:tblCellMar>
    </w:tblPr>
    <w:tblStylePr w:type="firstRow">
      <w:tcPr>
        <w:tcBorders>
          <w:top w:color="auto" w:space="0" w:sz="12" w:val="single"/>
          <w:left w:val="nil"/>
          <w:bottom w:color="auto" w:space="0" w:sz="4" w:val="single"/>
          <w:right w:val="nil"/>
        </w:tcBorders>
      </w:tcPr>
    </w:tblStylePr>
  </w:style>
  <w:style w:styleId="FirstParagraph" w:type="paragraph">
    <w:name w:val="First Paragraph"/>
    <w:basedOn w:val="BodyText"/>
  </w:style>
  <w:style w:styleId="Compact" w:type="paragraph">
    <w:name w:val="Compact"/>
    <w:basedOn w:val="Normal"/>
  </w:style>
  <w:style w:styleId="TableCaption" w:type="paragraph">
    <w:name w:val="Table Caption"/>
    <w:basedOn w:val="Caption"/>
  </w:style>
  <w:style w:styleId="ImageCaption" w:type="paragraph">
    <w:name w:val="Image Caption"/>
    <w:basedOn w:val="Caption"/>
  </w:style>
  <w:style w:styleId="Figure" w:type="paragraph">
    <w:name w:val="Figure"/>
    <w:basedOn w:val="BodyText"/>
  </w:style>
  <w:style w:styleId="CaptionedFigure" w:type="paragraph">
    <w:name w:val="Captioned Figure"/>
    <w:basedOn w:val="BodyText"/>
  </w:style>
  <w:style w:styleId="FootnoteBlockText" w:type="paragraph">
    <w:name w:val="Footnote Block Text"/>
    <w:basedOn w:val="FootnoteText"/>
  </w:style>
  <w:style w:styleId="BlockText" w:type="paragraph">
    <w:name w:val="Block Text"/>
    <w:basedOn w:val="BodyText"/>
  </w:style>
  <w:style w:styleId="DefinitionTerm" w:type="paragraph">
    <w:name w:val="Definition Term"/>
    <w:basedOn w:val="BodyText"/>
  </w:style>
  <w:style w:styleId="Definition" w:type="paragraph">
    <w:name w:val="Definition"/>
    <w:basedOn w:val="BodyText"/>
  </w:style>
  <w:style w:styleId="Title" w:type="paragraph">
    <w:name w:val="Title"/>
    <w:basedOn w:val="Cover1"/>
  </w:style>
  <w:style w:styleId="Subtitle" w:type="paragraph">
    <w:name w:val="Subtitle"/>
    <w:basedOn w:val="Cover3"/>
  </w:style>
  <w:style w:styleId="Author" w:type="paragraph">
    <w:name w:val="Author"/>
    <w:basedOn w:val="Normal"/>
  </w:style>
  <w:style w:styleId="Date" w:type="paragraph">
    <w:name w:val="Date"/>
    <w:basedOn w:val="Normal"/>
  </w:style>
  <w:style w:styleId="Abstract" w:type="paragraph">
    <w:name w:val="Abstract"/>
    <w:basedOn w:val="BodyText"/>
  </w:style>
  <w:style w:styleId="AbstractTitle" w:type="paragraph">
    <w:name w:val="Abstract Title"/>
    <w:basedOn w:val="Heading1"/>
  </w:style>
  <w:style w:styleId="VerbatimChar" w:type="character">
    <w:name w:val="Verbatim Char"/>
    <w:basedOn w:val="DefaultParagraphFont"/>
  </w:style>
  <w:style w:styleId="FootnoteReference" w:type="character">
    <w:name w:val="Footnote Reference"/>
    <w:basedOn w:val="DefaultParagraphFont"/>
    <w:rPr>
      <w:vertAlign w:val="superscript"/>
    </w:rPr>
  </w:style>
  <w:style w:styleId="Equation" w:type="paragraph">
    <w:name w:val="Equation"/>
    <w:basedOn w:val="BodyText"/>
    <w:pPr>
      <w:tabs>
        <w:tab w:pos="4680" w:val="center"/>
        <w:tab w:pos="9360" w:val="right"/>
      </w:tabs>
      <w:ind w:firstLine="0" w:left="0"/>
      <w:jc w:val="left"/>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paragraph" w:styleId="SRKBodyText">
    <w:name w:val="SRK Body Text"/>
    <w:link w:val="SRKBodyTextChar"/>
    <w:qFormat/>
    <w:rsid w:val="007B7100"/>
    <w:pPr>
      <w:spacing w:after="240" w:line="300" w:lineRule="auto" w:before="0"/>
      <w:ind w:left="720"/>
    </w:pPr>
    <w:rPr>
      <w:rFonts w:ascii="Arial" w:hAnsi="Arial"/>
      <w:sz w:val="20"/>
      <w:szCs w:val="22"/>
      <w:lang w:val="en-CA" w:eastAsia="en-US" w:bidi="ar-SA"/>
    </w:rPr>
  </w:style>
  <w:style w:type="character" w:customStyle="1" w:styleId="SRKBodyTextChar">
    <w:name w:val="SRK Body Text Char"/>
    <w:basedOn w:val="SRKDefaultParagraphFont"/>
    <w:link w:val="SRKBodyText"/>
    <w:rsid w:val="00DA0304"/>
    <w:rPr>
      <w:rFonts w:ascii="Arial" w:hAnsi="Arial"/>
      <w:sz w:val="20"/>
    </w:rPr>
  </w:style>
  <w:style w:type="paragraph" w:customStyle="1" w:styleId="SRKCover1">
    <w:name w:val="SRK Cover 1"/>
    <w:next w:val="SRKNormal"/>
    <w:uiPriority w:val="1"/>
    <w:rsid w:val="00F34958"/>
    <w:pPr>
      <w:spacing w:after="0" w:line="240" w:lineRule="auto" w:before="0"/>
    </w:pPr>
    <w:rPr>
      <w:rFonts w:ascii="Arial" w:hAnsi="Arial"/>
      <w:sz w:val="48"/>
      <w:szCs w:val="22"/>
      <w:lang w:val="en-CA" w:eastAsia="en-US" w:bidi="ar-SA"/>
    </w:rPr>
  </w:style>
  <w:style w:type="paragraph" w:customStyle="1" w:styleId="SRKCover2">
    <w:name w:val="SRK Cover 2"/>
    <w:next w:val="SRKNormal"/>
    <w:uiPriority w:val="1"/>
    <w:rsid w:val="008048AE"/>
    <w:rPr>
      <w:rFonts w:ascii="Arial" w:hAnsi="Arial"/>
      <w:sz w:val="42"/>
      <w:szCs w:val="22"/>
      <w:lang w:val="en-CA" w:eastAsia="en-US" w:bidi="ar-SA"/>
    </w:rPr>
    <w:pPr>
      <w:spacing w:after="200" w:line="276" w:lineRule="auto" w:before="0"/>
    </w:pPr>
  </w:style>
  <w:style w:type="paragraph" w:customStyle="1" w:styleId="SRKCover3">
    <w:name w:val="SRK Cover 3"/>
    <w:next w:val="SRKNormal"/>
    <w:uiPriority w:val="1"/>
    <w:rsid w:val="00F34958"/>
    <w:pPr>
      <w:spacing w:after="0" w:line="240" w:lineRule="auto" w:before="0"/>
    </w:pPr>
    <w:rPr>
      <w:rFonts w:ascii="Arial" w:hAnsi="Arial"/>
      <w:sz w:val="36"/>
      <w:szCs w:val="22"/>
      <w:lang w:val="en-CA" w:eastAsia="en-US" w:bidi="ar-SA"/>
    </w:rPr>
  </w:style>
  <w:style w:type="paragraph" w:customStyle="1" w:styleId="SRKCover4">
    <w:name w:val="SRK Cover 4"/>
    <w:next w:val="SRKNormal"/>
    <w:uiPriority w:val="1"/>
    <w:rsid w:val="006B1045"/>
    <w:rPr>
      <w:rFonts w:ascii="Arial" w:hAnsi="Arial"/>
      <w:sz w:val="30"/>
      <w:szCs w:val="22"/>
      <w:lang w:val="en-CA" w:eastAsia="en-US" w:bidi="ar-SA"/>
    </w:rPr>
    <w:pPr>
      <w:spacing w:after="200" w:line="276" w:lineRule="auto" w:before="0"/>
    </w:pPr>
  </w:style>
  <w:style w:type="character" w:styleId="SRKDefaultParagraphFont">
    <w:name w:val="SRK Default Paragraph Font"/>
    <w:uiPriority w:val="1"/>
    <w:semiHidden/>
    <w:unhideWhenUsed/>
  </w:style>
  <w:style w:type="paragraph" w:styleId="SRKHeading1">
    <w:name w:val="SRK heading 1"/>
    <w:next w:val="SRKBodyText"/>
    <w:link w:val="SRKHeading1Char"/>
    <w:uiPriority w:val="9"/>
    <w:qFormat/>
    <w:rsid w:val="00F93B17"/>
    <w:pPr>
      <w:keepNext/>
      <w:keepLines/>
      <w:numPr>
        <w:numId w:val="1002"/>
      </w:numPr>
      <w:spacing w:before="240" w:after="240" w:line="240" w:lineRule="auto"/>
      <w:outlineLvl w:val="0"/>
    </w:pPr>
    <w:rPr>
      <w:rFonts w:ascii="Arial" w:eastAsiaTheme="majorEastAsia" w:hAnsi="Arial" w:cstheme="majorBidi"/>
      <w:b/>
      <w:bCs/>
      <w:sz w:val="32"/>
      <w:szCs w:val="28"/>
      <w:lang w:val="en-CA" w:eastAsia="en-US" w:bidi="ar-SA"/>
    </w:rPr>
  </w:style>
  <w:style w:type="character" w:customStyle="1" w:styleId="SRKHeading1Char">
    <w:name w:val="SRK Heading 1 Char"/>
    <w:basedOn w:val="SRKDefaultParagraphFont"/>
    <w:link w:val="SRKHeading1"/>
    <w:uiPriority w:val="9"/>
    <w:rsid w:val="00F93B17"/>
    <w:rPr>
      <w:rFonts w:ascii="Arial" w:eastAsiaTheme="majorEastAsia" w:hAnsi="Arial" w:cstheme="majorBidi"/>
      <w:b/>
      <w:bCs/>
      <w:sz w:val="32"/>
      <w:szCs w:val="28"/>
    </w:rPr>
  </w:style>
  <w:style w:type="paragraph" w:styleId="SRKHeading2">
    <w:name w:val="SRK heading 2"/>
    <w:next w:val="SRKBodyText"/>
    <w:link w:val="SRKHeading2Char"/>
    <w:qFormat/>
    <w:rsid w:val="00FE731A"/>
    <w:pPr>
      <w:keepNext/>
      <w:keepLines/>
      <w:numPr>
        <w:ilvl w:val="1"/>
        <w:numId w:val="1002"/>
      </w:numPr>
      <w:spacing w:after="240" w:line="240" w:lineRule="auto" w:before="0"/>
      <w:outlineLvl w:val="1"/>
    </w:pPr>
    <w:rPr>
      <w:rFonts w:ascii="Arial" w:eastAsiaTheme="majorEastAsia" w:hAnsi="Arial" w:cstheme="majorBidi"/>
      <w:b/>
      <w:bCs/>
      <w:sz w:val="24"/>
      <w:szCs w:val="26"/>
      <w:lang w:val="en-CA" w:eastAsia="en-US" w:bidi="ar-SA"/>
    </w:rPr>
  </w:style>
  <w:style w:type="character" w:customStyle="1" w:styleId="SRKHeading2Char">
    <w:name w:val="SRK Heading 2 Char"/>
    <w:basedOn w:val="SRKDefaultParagraphFont"/>
    <w:link w:val="SRKHeading2"/>
    <w:rsid w:val="00FE731A"/>
    <w:rPr>
      <w:rFonts w:ascii="Arial" w:eastAsiaTheme="majorEastAsia" w:hAnsi="Arial" w:cstheme="majorBidi"/>
      <w:b/>
      <w:bCs/>
      <w:sz w:val="24"/>
      <w:szCs w:val="26"/>
    </w:rPr>
  </w:style>
  <w:style w:type="paragraph" w:styleId="SRKHeading3">
    <w:name w:val="SRK heading 3"/>
    <w:next w:val="SRKBodyText"/>
    <w:link w:val="SRKHeading3Char"/>
    <w:qFormat/>
    <w:rsid w:val="00FE731A"/>
    <w:pPr>
      <w:keepNext/>
      <w:keepLines/>
      <w:numPr>
        <w:ilvl w:val="2"/>
        <w:numId w:val="1002"/>
      </w:numPr>
      <w:spacing w:after="240" w:line="240" w:lineRule="auto" w:before="0"/>
      <w:outlineLvl w:val="2"/>
    </w:pPr>
    <w:rPr>
      <w:rFonts w:ascii="Arial" w:eastAsiaTheme="majorEastAsia" w:hAnsi="Arial" w:cstheme="majorBidi"/>
      <w:b/>
      <w:bCs/>
      <w:sz w:val="20"/>
      <w:szCs w:val="22"/>
      <w:lang w:val="en-CA" w:eastAsia="en-US" w:bidi="ar-SA"/>
    </w:rPr>
  </w:style>
  <w:style w:type="character" w:customStyle="1" w:styleId="SRKHeading3Char">
    <w:name w:val="SRK Heading 3 Char"/>
    <w:basedOn w:val="SRKDefaultParagraphFont"/>
    <w:link w:val="SRKHeading3"/>
    <w:rsid w:val="00FE731A"/>
    <w:rPr>
      <w:rFonts w:ascii="Arial" w:eastAsiaTheme="majorEastAsia" w:hAnsi="Arial" w:cstheme="majorBidi"/>
      <w:b/>
      <w:bCs/>
      <w:sz w:val="20"/>
    </w:rPr>
  </w:style>
  <w:style w:type="paragraph" w:styleId="SRKHeading6">
    <w:name w:val="SRK heading 6"/>
    <w:next w:val="SRKBodyText"/>
    <w:link w:val="SRKHeading6Char"/>
    <w:uiPriority w:val="1"/>
    <w:qFormat/>
    <w:rsid w:val="00FE731A"/>
    <w:pPr>
      <w:keepNext/>
      <w:keepLines/>
      <w:numPr>
        <w:ilvl w:val="5"/>
        <w:numId w:val="1002"/>
      </w:numPr>
      <w:spacing w:after="240" w:line="240" w:lineRule="auto" w:before="0"/>
      <w:outlineLvl w:val="5"/>
    </w:pPr>
    <w:rPr>
      <w:rFonts w:ascii="Arial" w:eastAsiaTheme="majorEastAsia" w:hAnsi="Arial" w:cstheme="majorBidi"/>
      <w:i/>
      <w:iCs/>
      <w:sz w:val="20"/>
      <w:szCs w:val="22"/>
      <w:lang w:val="en-CA" w:eastAsia="en-US" w:bidi="ar-SA"/>
    </w:rPr>
  </w:style>
  <w:style w:type="character" w:customStyle="1" w:styleId="SRKHeading6Char">
    <w:name w:val="SRK Heading 6 Char"/>
    <w:basedOn w:val="SRKDefaultParagraphFont"/>
    <w:link w:val="SRKHeading6"/>
    <w:rsid w:val="00FE731A"/>
    <w:rPr>
      <w:rFonts w:ascii="Arial" w:eastAsiaTheme="majorEastAsia" w:hAnsi="Arial" w:cstheme="majorBidi"/>
      <w:i/>
      <w:iCs/>
      <w:sz w:val="20"/>
    </w:rPr>
  </w:style>
  <w:style w:type="paragraph" w:styleId="SRKHeading7">
    <w:name w:val="SRK heading 7"/>
    <w:next w:val="SRKBodyText"/>
    <w:link w:val="SRKHeading7Char"/>
    <w:uiPriority w:val="1"/>
    <w:qFormat/>
    <w:rsid w:val="00FE731A"/>
    <w:pPr>
      <w:keepNext/>
      <w:keepLines/>
      <w:numPr>
        <w:ilvl w:val="6"/>
        <w:numId w:val="1002"/>
      </w:numPr>
      <w:spacing w:after="240" w:line="240" w:lineRule="auto" w:before="0"/>
      <w:outlineLvl w:val="6"/>
    </w:pPr>
    <w:rPr>
      <w:rFonts w:ascii="Arial" w:eastAsiaTheme="majorEastAsia" w:hAnsi="Arial" w:cstheme="majorBidi"/>
      <w:iCs/>
      <w:sz w:val="20"/>
      <w:u w:val="single"/>
      <w:szCs w:val="22"/>
      <w:lang w:val="en-CA" w:eastAsia="en-US" w:bidi="ar-SA"/>
    </w:rPr>
  </w:style>
  <w:style w:type="character" w:customStyle="1" w:styleId="SRKHeading7Char">
    <w:name w:val="SRK Heading 7 Char"/>
    <w:basedOn w:val="SRKDefaultParagraphFont"/>
    <w:link w:val="SRKHeading7"/>
    <w:uiPriority w:val="1"/>
    <w:rsid w:val="00FE731A"/>
    <w:rPr>
      <w:rFonts w:ascii="Arial" w:eastAsiaTheme="majorEastAsia" w:hAnsi="Arial" w:cstheme="majorBidi"/>
      <w:iCs/>
      <w:sz w:val="20"/>
      <w:u w:val="single"/>
    </w:rPr>
  </w:style>
  <w:style w:type="paragraph" w:styleId="SRKHeading8">
    <w:name w:val="SRK heading 8"/>
    <w:next w:val="SRKBodyText"/>
    <w:link w:val="SRKHeading8Char"/>
    <w:uiPriority w:val="1"/>
    <w:qFormat/>
    <w:rsid w:val="007F4D23"/>
    <w:pPr>
      <w:keepNext/>
      <w:keepLines/>
      <w:numPr>
        <w:ilvl w:val="7"/>
        <w:numId w:val="1002"/>
      </w:numPr>
      <w:pBdr>
        <w:bottom w:val="single" w:sz="4" w:space="1" w:color="auto"/>
      </w:pBdr>
      <w:spacing w:after="0" w:line="240" w:lineRule="auto" w:before="0"/>
      <w:jc w:val="right"/>
      <w:outlineLvl w:val="7"/>
    </w:pPr>
    <w:rPr>
      <w:rFonts w:ascii="Arial" w:eastAsiaTheme="majorEastAsia" w:hAnsi="Arial" w:cstheme="majorBidi"/>
      <w:b/>
      <w:bCs/>
      <w:sz w:val="26"/>
      <w:szCs w:val="20"/>
      <w:lang w:val="en-CA" w:eastAsia="en-US" w:bidi="ar-SA"/>
    </w:rPr>
  </w:style>
  <w:style w:type="character" w:customStyle="1" w:styleId="SRKHeading8Char">
    <w:name w:val="SRK Heading 8 Char"/>
    <w:basedOn w:val="SRKDefaultParagraphFont"/>
    <w:link w:val="SRKHeading8"/>
    <w:uiPriority w:val="1"/>
    <w:rsid w:val="007F4D23"/>
    <w:rPr>
      <w:rFonts w:ascii="Arial" w:eastAsiaTheme="majorEastAsia" w:hAnsi="Arial" w:cstheme="majorBidi"/>
      <w:b/>
      <w:bCs/>
      <w:sz w:val="26"/>
      <w:szCs w:val="20"/>
    </w:rPr>
  </w:style>
  <w:style w:type="paragraph" w:styleId="SRKHeading9">
    <w:name w:val="SRK heading 9"/>
    <w:next w:val="SRKBodyText"/>
    <w:link w:val="SRKHeading9Char"/>
    <w:uiPriority w:val="1"/>
    <w:qFormat/>
    <w:rsid w:val="00A95C6D"/>
    <w:pPr>
      <w:keepNext/>
      <w:keepLines/>
      <w:numPr>
        <w:ilvl w:val="8"/>
        <w:numId w:val="1002"/>
      </w:numPr>
      <w:pBdr>
        <w:bottom w:val="single" w:sz="4" w:space="1" w:color="auto"/>
      </w:pBdr>
      <w:spacing w:after="0" w:line="240" w:lineRule="auto" w:before="0"/>
      <w:jc w:val="right"/>
      <w:outlineLvl w:val="8"/>
    </w:pPr>
    <w:rPr>
      <w:rFonts w:ascii="Arial" w:eastAsiaTheme="majorEastAsia" w:hAnsi="Arial" w:cstheme="majorBidi"/>
      <w:b/>
      <w:iCs/>
      <w:sz w:val="26"/>
      <w:szCs w:val="20"/>
      <w:lang w:val="en-CA" w:eastAsia="en-US" w:bidi="ar-SA"/>
    </w:rPr>
  </w:style>
  <w:style w:type="character" w:customStyle="1" w:styleId="SRKHeading9Char">
    <w:name w:val="SRK Heading 9 Char"/>
    <w:basedOn w:val="SRKDefaultParagraphFont"/>
    <w:link w:val="SRKHeading9"/>
    <w:uiPriority w:val="1"/>
    <w:rsid w:val="00A95C6D"/>
    <w:rPr>
      <w:rFonts w:ascii="Arial" w:eastAsiaTheme="majorEastAsia" w:hAnsi="Arial" w:cstheme="majorBidi"/>
      <w:b/>
      <w:iCs/>
      <w:sz w:val="26"/>
      <w:szCs w:val="20"/>
    </w:rPr>
  </w:style>
  <w:style w:type="numbering" w:customStyle="1" w:styleId="SRKHeadings">
    <w:name w:val="SRK Headings"/>
    <w:uiPriority w:val="99"/>
    <w:rsid w:val="00FE731A"/>
    <w:pPr>
      <w:numPr>
        <w:numId w:val="1001"/>
      </w:numPr>
    </w:pPr>
  </w:style>
  <w:style w:type="paragraph" w:styleId="SRKNormal">
    <w:name w:val="SRK Normal"/>
    <w:uiPriority w:val="1"/>
    <w:rsid w:val="00A9285F"/>
    <w:pPr>
      <w:spacing w:after="0" w:before="0"/>
    </w:pPr>
    <w:rPr>
      <w:rFonts w:ascii="Arial" w:hAnsi="Arial"/>
      <w:sz w:val="20"/>
      <w:szCs w:val="22"/>
      <w:lang w:val="en-CA" w:eastAsia="en-US" w:bidi="ar-SA"/>
    </w:rPr>
  </w:style>
  <w:style w:type="character" w:styleId="SRKStrong">
    <w:name w:val="SRK Strong"/>
    <w:basedOn w:val="SRKDefaultParagraphFont"/>
    <w:uiPriority w:val="22"/>
    <w:qFormat/>
    <w:rsid w:val="000B4AE4"/>
    <w:rPr>
      <w:b/>
      <w:bCs/>
    </w:rPr>
  </w:style>
  <w:style w:type="table" w:styleId="SRKTableGrid">
    <w:name w:val="SRK Table Grid"/>
    <w:basedOn w:val="SRKTableNormal"/>
    <w:rsid w:val="00B33DB6"/>
    <w:pPr>
      <w:spacing w:after="0" w:line="240" w:lineRule="auto"/>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Pr>
  </w:style>
  <w:style w:type="table" w:styleId="SRKTableNormal">
    <w:name w:val="SRK 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90715">
      <w:bodyDiv w:val="1"/>
      <w:marLeft w:val="0"/>
      <w:marRight w:val="0"/>
      <w:marTop w:val="0"/>
      <w:marBottom w:val="0"/>
      <w:divBdr>
        <w:top w:val="none" w:sz="0" w:space="0" w:color="auto"/>
        <w:left w:val="none" w:sz="0" w:space="0" w:color="auto"/>
        <w:bottom w:val="none" w:sz="0" w:space="0" w:color="auto"/>
        <w:right w:val="none" w:sz="0" w:space="0" w:color="auto"/>
      </w:divBdr>
    </w:div>
    <w:div w:id="15159360">
      <w:bodyDiv w:val="1"/>
      <w:marLeft w:val="0"/>
      <w:marRight w:val="0"/>
      <w:marTop w:val="0"/>
      <w:marBottom w:val="0"/>
      <w:divBdr>
        <w:top w:val="none" w:sz="0" w:space="0" w:color="auto"/>
        <w:left w:val="none" w:sz="0" w:space="0" w:color="auto"/>
        <w:bottom w:val="none" w:sz="0" w:space="0" w:color="auto"/>
        <w:right w:val="none" w:sz="0" w:space="0" w:color="auto"/>
      </w:divBdr>
    </w:div>
    <w:div w:id="21127278">
      <w:bodyDiv w:val="1"/>
      <w:marLeft w:val="0"/>
      <w:marRight w:val="0"/>
      <w:marTop w:val="0"/>
      <w:marBottom w:val="0"/>
      <w:divBdr>
        <w:top w:val="none" w:sz="0" w:space="0" w:color="auto"/>
        <w:left w:val="none" w:sz="0" w:space="0" w:color="auto"/>
        <w:bottom w:val="none" w:sz="0" w:space="0" w:color="auto"/>
        <w:right w:val="none" w:sz="0" w:space="0" w:color="auto"/>
      </w:divBdr>
    </w:div>
    <w:div w:id="23292855">
      <w:bodyDiv w:val="1"/>
      <w:marLeft w:val="0"/>
      <w:marRight w:val="0"/>
      <w:marTop w:val="0"/>
      <w:marBottom w:val="0"/>
      <w:divBdr>
        <w:top w:val="none" w:sz="0" w:space="0" w:color="auto"/>
        <w:left w:val="none" w:sz="0" w:space="0" w:color="auto"/>
        <w:bottom w:val="none" w:sz="0" w:space="0" w:color="auto"/>
        <w:right w:val="none" w:sz="0" w:space="0" w:color="auto"/>
      </w:divBdr>
    </w:div>
    <w:div w:id="28991031">
      <w:bodyDiv w:val="1"/>
      <w:marLeft w:val="0"/>
      <w:marRight w:val="0"/>
      <w:marTop w:val="0"/>
      <w:marBottom w:val="0"/>
      <w:divBdr>
        <w:top w:val="none" w:sz="0" w:space="0" w:color="auto"/>
        <w:left w:val="none" w:sz="0" w:space="0" w:color="auto"/>
        <w:bottom w:val="none" w:sz="0" w:space="0" w:color="auto"/>
        <w:right w:val="none" w:sz="0" w:space="0" w:color="auto"/>
      </w:divBdr>
    </w:div>
    <w:div w:id="35200988">
      <w:bodyDiv w:val="1"/>
      <w:marLeft w:val="0"/>
      <w:marRight w:val="0"/>
      <w:marTop w:val="0"/>
      <w:marBottom w:val="0"/>
      <w:divBdr>
        <w:top w:val="none" w:sz="0" w:space="0" w:color="auto"/>
        <w:left w:val="none" w:sz="0" w:space="0" w:color="auto"/>
        <w:bottom w:val="none" w:sz="0" w:space="0" w:color="auto"/>
        <w:right w:val="none" w:sz="0" w:space="0" w:color="auto"/>
      </w:divBdr>
    </w:div>
    <w:div w:id="36245308">
      <w:bodyDiv w:val="1"/>
      <w:marLeft w:val="0"/>
      <w:marRight w:val="0"/>
      <w:marTop w:val="0"/>
      <w:marBottom w:val="0"/>
      <w:divBdr>
        <w:top w:val="none" w:sz="0" w:space="0" w:color="auto"/>
        <w:left w:val="none" w:sz="0" w:space="0" w:color="auto"/>
        <w:bottom w:val="none" w:sz="0" w:space="0" w:color="auto"/>
        <w:right w:val="none" w:sz="0" w:space="0" w:color="auto"/>
      </w:divBdr>
    </w:div>
    <w:div w:id="61101393">
      <w:bodyDiv w:val="1"/>
      <w:marLeft w:val="0"/>
      <w:marRight w:val="0"/>
      <w:marTop w:val="0"/>
      <w:marBottom w:val="0"/>
      <w:divBdr>
        <w:top w:val="none" w:sz="0" w:space="0" w:color="auto"/>
        <w:left w:val="none" w:sz="0" w:space="0" w:color="auto"/>
        <w:bottom w:val="none" w:sz="0" w:space="0" w:color="auto"/>
        <w:right w:val="none" w:sz="0" w:space="0" w:color="auto"/>
      </w:divBdr>
    </w:div>
    <w:div w:id="72163652">
      <w:bodyDiv w:val="1"/>
      <w:marLeft w:val="0"/>
      <w:marRight w:val="0"/>
      <w:marTop w:val="0"/>
      <w:marBottom w:val="0"/>
      <w:divBdr>
        <w:top w:val="none" w:sz="0" w:space="0" w:color="auto"/>
        <w:left w:val="none" w:sz="0" w:space="0" w:color="auto"/>
        <w:bottom w:val="none" w:sz="0" w:space="0" w:color="auto"/>
        <w:right w:val="none" w:sz="0" w:space="0" w:color="auto"/>
      </w:divBdr>
    </w:div>
    <w:div w:id="84763813">
      <w:bodyDiv w:val="1"/>
      <w:marLeft w:val="0"/>
      <w:marRight w:val="0"/>
      <w:marTop w:val="0"/>
      <w:marBottom w:val="0"/>
      <w:divBdr>
        <w:top w:val="none" w:sz="0" w:space="0" w:color="auto"/>
        <w:left w:val="none" w:sz="0" w:space="0" w:color="auto"/>
        <w:bottom w:val="none" w:sz="0" w:space="0" w:color="auto"/>
        <w:right w:val="none" w:sz="0" w:space="0" w:color="auto"/>
      </w:divBdr>
    </w:div>
    <w:div w:id="88544529">
      <w:bodyDiv w:val="1"/>
      <w:marLeft w:val="0"/>
      <w:marRight w:val="0"/>
      <w:marTop w:val="0"/>
      <w:marBottom w:val="0"/>
      <w:divBdr>
        <w:top w:val="none" w:sz="0" w:space="0" w:color="auto"/>
        <w:left w:val="none" w:sz="0" w:space="0" w:color="auto"/>
        <w:bottom w:val="none" w:sz="0" w:space="0" w:color="auto"/>
        <w:right w:val="none" w:sz="0" w:space="0" w:color="auto"/>
      </w:divBdr>
    </w:div>
    <w:div w:id="88551257">
      <w:bodyDiv w:val="1"/>
      <w:marLeft w:val="0"/>
      <w:marRight w:val="0"/>
      <w:marTop w:val="0"/>
      <w:marBottom w:val="0"/>
      <w:divBdr>
        <w:top w:val="none" w:sz="0" w:space="0" w:color="auto"/>
        <w:left w:val="none" w:sz="0" w:space="0" w:color="auto"/>
        <w:bottom w:val="none" w:sz="0" w:space="0" w:color="auto"/>
        <w:right w:val="none" w:sz="0" w:space="0" w:color="auto"/>
      </w:divBdr>
    </w:div>
    <w:div w:id="93018444">
      <w:bodyDiv w:val="1"/>
      <w:marLeft w:val="0"/>
      <w:marRight w:val="0"/>
      <w:marTop w:val="0"/>
      <w:marBottom w:val="0"/>
      <w:divBdr>
        <w:top w:val="none" w:sz="0" w:space="0" w:color="auto"/>
        <w:left w:val="none" w:sz="0" w:space="0" w:color="auto"/>
        <w:bottom w:val="none" w:sz="0" w:space="0" w:color="auto"/>
        <w:right w:val="none" w:sz="0" w:space="0" w:color="auto"/>
      </w:divBdr>
    </w:div>
    <w:div w:id="94056943">
      <w:bodyDiv w:val="1"/>
      <w:marLeft w:val="0"/>
      <w:marRight w:val="0"/>
      <w:marTop w:val="0"/>
      <w:marBottom w:val="0"/>
      <w:divBdr>
        <w:top w:val="none" w:sz="0" w:space="0" w:color="auto"/>
        <w:left w:val="none" w:sz="0" w:space="0" w:color="auto"/>
        <w:bottom w:val="none" w:sz="0" w:space="0" w:color="auto"/>
        <w:right w:val="none" w:sz="0" w:space="0" w:color="auto"/>
      </w:divBdr>
    </w:div>
    <w:div w:id="121777629">
      <w:bodyDiv w:val="1"/>
      <w:marLeft w:val="0"/>
      <w:marRight w:val="0"/>
      <w:marTop w:val="0"/>
      <w:marBottom w:val="0"/>
      <w:divBdr>
        <w:top w:val="none" w:sz="0" w:space="0" w:color="auto"/>
        <w:left w:val="none" w:sz="0" w:space="0" w:color="auto"/>
        <w:bottom w:val="none" w:sz="0" w:space="0" w:color="auto"/>
        <w:right w:val="none" w:sz="0" w:space="0" w:color="auto"/>
      </w:divBdr>
    </w:div>
    <w:div w:id="124811083">
      <w:bodyDiv w:val="1"/>
      <w:marLeft w:val="0"/>
      <w:marRight w:val="0"/>
      <w:marTop w:val="0"/>
      <w:marBottom w:val="0"/>
      <w:divBdr>
        <w:top w:val="none" w:sz="0" w:space="0" w:color="auto"/>
        <w:left w:val="none" w:sz="0" w:space="0" w:color="auto"/>
        <w:bottom w:val="none" w:sz="0" w:space="0" w:color="auto"/>
        <w:right w:val="none" w:sz="0" w:space="0" w:color="auto"/>
      </w:divBdr>
    </w:div>
    <w:div w:id="131213644">
      <w:bodyDiv w:val="1"/>
      <w:marLeft w:val="0"/>
      <w:marRight w:val="0"/>
      <w:marTop w:val="0"/>
      <w:marBottom w:val="0"/>
      <w:divBdr>
        <w:top w:val="none" w:sz="0" w:space="0" w:color="auto"/>
        <w:left w:val="none" w:sz="0" w:space="0" w:color="auto"/>
        <w:bottom w:val="none" w:sz="0" w:space="0" w:color="auto"/>
        <w:right w:val="none" w:sz="0" w:space="0" w:color="auto"/>
      </w:divBdr>
    </w:div>
    <w:div w:id="154761970">
      <w:bodyDiv w:val="1"/>
      <w:marLeft w:val="0"/>
      <w:marRight w:val="0"/>
      <w:marTop w:val="0"/>
      <w:marBottom w:val="0"/>
      <w:divBdr>
        <w:top w:val="none" w:sz="0" w:space="0" w:color="auto"/>
        <w:left w:val="none" w:sz="0" w:space="0" w:color="auto"/>
        <w:bottom w:val="none" w:sz="0" w:space="0" w:color="auto"/>
        <w:right w:val="none" w:sz="0" w:space="0" w:color="auto"/>
      </w:divBdr>
    </w:div>
    <w:div w:id="158621420">
      <w:bodyDiv w:val="1"/>
      <w:marLeft w:val="0"/>
      <w:marRight w:val="0"/>
      <w:marTop w:val="0"/>
      <w:marBottom w:val="0"/>
      <w:divBdr>
        <w:top w:val="none" w:sz="0" w:space="0" w:color="auto"/>
        <w:left w:val="none" w:sz="0" w:space="0" w:color="auto"/>
        <w:bottom w:val="none" w:sz="0" w:space="0" w:color="auto"/>
        <w:right w:val="none" w:sz="0" w:space="0" w:color="auto"/>
      </w:divBdr>
    </w:div>
    <w:div w:id="163594272">
      <w:bodyDiv w:val="1"/>
      <w:marLeft w:val="0"/>
      <w:marRight w:val="0"/>
      <w:marTop w:val="0"/>
      <w:marBottom w:val="0"/>
      <w:divBdr>
        <w:top w:val="none" w:sz="0" w:space="0" w:color="auto"/>
        <w:left w:val="none" w:sz="0" w:space="0" w:color="auto"/>
        <w:bottom w:val="none" w:sz="0" w:space="0" w:color="auto"/>
        <w:right w:val="none" w:sz="0" w:space="0" w:color="auto"/>
      </w:divBdr>
    </w:div>
    <w:div w:id="165555342">
      <w:bodyDiv w:val="1"/>
      <w:marLeft w:val="0"/>
      <w:marRight w:val="0"/>
      <w:marTop w:val="0"/>
      <w:marBottom w:val="0"/>
      <w:divBdr>
        <w:top w:val="none" w:sz="0" w:space="0" w:color="auto"/>
        <w:left w:val="none" w:sz="0" w:space="0" w:color="auto"/>
        <w:bottom w:val="none" w:sz="0" w:space="0" w:color="auto"/>
        <w:right w:val="none" w:sz="0" w:space="0" w:color="auto"/>
      </w:divBdr>
    </w:div>
    <w:div w:id="168251720">
      <w:bodyDiv w:val="1"/>
      <w:marLeft w:val="0"/>
      <w:marRight w:val="0"/>
      <w:marTop w:val="0"/>
      <w:marBottom w:val="0"/>
      <w:divBdr>
        <w:top w:val="none" w:sz="0" w:space="0" w:color="auto"/>
        <w:left w:val="none" w:sz="0" w:space="0" w:color="auto"/>
        <w:bottom w:val="none" w:sz="0" w:space="0" w:color="auto"/>
        <w:right w:val="none" w:sz="0" w:space="0" w:color="auto"/>
      </w:divBdr>
    </w:div>
    <w:div w:id="171068936">
      <w:bodyDiv w:val="1"/>
      <w:marLeft w:val="0"/>
      <w:marRight w:val="0"/>
      <w:marTop w:val="0"/>
      <w:marBottom w:val="0"/>
      <w:divBdr>
        <w:top w:val="none" w:sz="0" w:space="0" w:color="auto"/>
        <w:left w:val="none" w:sz="0" w:space="0" w:color="auto"/>
        <w:bottom w:val="none" w:sz="0" w:space="0" w:color="auto"/>
        <w:right w:val="none" w:sz="0" w:space="0" w:color="auto"/>
      </w:divBdr>
    </w:div>
    <w:div w:id="171846731">
      <w:bodyDiv w:val="1"/>
      <w:marLeft w:val="0"/>
      <w:marRight w:val="0"/>
      <w:marTop w:val="0"/>
      <w:marBottom w:val="0"/>
      <w:divBdr>
        <w:top w:val="none" w:sz="0" w:space="0" w:color="auto"/>
        <w:left w:val="none" w:sz="0" w:space="0" w:color="auto"/>
        <w:bottom w:val="none" w:sz="0" w:space="0" w:color="auto"/>
        <w:right w:val="none" w:sz="0" w:space="0" w:color="auto"/>
      </w:divBdr>
    </w:div>
    <w:div w:id="173036957">
      <w:bodyDiv w:val="1"/>
      <w:marLeft w:val="0"/>
      <w:marRight w:val="0"/>
      <w:marTop w:val="0"/>
      <w:marBottom w:val="0"/>
      <w:divBdr>
        <w:top w:val="none" w:sz="0" w:space="0" w:color="auto"/>
        <w:left w:val="none" w:sz="0" w:space="0" w:color="auto"/>
        <w:bottom w:val="none" w:sz="0" w:space="0" w:color="auto"/>
        <w:right w:val="none" w:sz="0" w:space="0" w:color="auto"/>
      </w:divBdr>
    </w:div>
    <w:div w:id="181286200">
      <w:bodyDiv w:val="1"/>
      <w:marLeft w:val="0"/>
      <w:marRight w:val="0"/>
      <w:marTop w:val="0"/>
      <w:marBottom w:val="0"/>
      <w:divBdr>
        <w:top w:val="none" w:sz="0" w:space="0" w:color="auto"/>
        <w:left w:val="none" w:sz="0" w:space="0" w:color="auto"/>
        <w:bottom w:val="none" w:sz="0" w:space="0" w:color="auto"/>
        <w:right w:val="none" w:sz="0" w:space="0" w:color="auto"/>
      </w:divBdr>
    </w:div>
    <w:div w:id="182666717">
      <w:bodyDiv w:val="1"/>
      <w:marLeft w:val="0"/>
      <w:marRight w:val="0"/>
      <w:marTop w:val="0"/>
      <w:marBottom w:val="0"/>
      <w:divBdr>
        <w:top w:val="none" w:sz="0" w:space="0" w:color="auto"/>
        <w:left w:val="none" w:sz="0" w:space="0" w:color="auto"/>
        <w:bottom w:val="none" w:sz="0" w:space="0" w:color="auto"/>
        <w:right w:val="none" w:sz="0" w:space="0" w:color="auto"/>
      </w:divBdr>
    </w:div>
    <w:div w:id="183902519">
      <w:bodyDiv w:val="1"/>
      <w:marLeft w:val="0"/>
      <w:marRight w:val="0"/>
      <w:marTop w:val="0"/>
      <w:marBottom w:val="0"/>
      <w:divBdr>
        <w:top w:val="none" w:sz="0" w:space="0" w:color="auto"/>
        <w:left w:val="none" w:sz="0" w:space="0" w:color="auto"/>
        <w:bottom w:val="none" w:sz="0" w:space="0" w:color="auto"/>
        <w:right w:val="none" w:sz="0" w:space="0" w:color="auto"/>
      </w:divBdr>
    </w:div>
    <w:div w:id="190807197">
      <w:bodyDiv w:val="1"/>
      <w:marLeft w:val="0"/>
      <w:marRight w:val="0"/>
      <w:marTop w:val="0"/>
      <w:marBottom w:val="0"/>
      <w:divBdr>
        <w:top w:val="none" w:sz="0" w:space="0" w:color="auto"/>
        <w:left w:val="none" w:sz="0" w:space="0" w:color="auto"/>
        <w:bottom w:val="none" w:sz="0" w:space="0" w:color="auto"/>
        <w:right w:val="none" w:sz="0" w:space="0" w:color="auto"/>
      </w:divBdr>
    </w:div>
    <w:div w:id="199557566">
      <w:bodyDiv w:val="1"/>
      <w:marLeft w:val="0"/>
      <w:marRight w:val="0"/>
      <w:marTop w:val="0"/>
      <w:marBottom w:val="0"/>
      <w:divBdr>
        <w:top w:val="none" w:sz="0" w:space="0" w:color="auto"/>
        <w:left w:val="none" w:sz="0" w:space="0" w:color="auto"/>
        <w:bottom w:val="none" w:sz="0" w:space="0" w:color="auto"/>
        <w:right w:val="none" w:sz="0" w:space="0" w:color="auto"/>
      </w:divBdr>
    </w:div>
    <w:div w:id="200486423">
      <w:bodyDiv w:val="1"/>
      <w:marLeft w:val="0"/>
      <w:marRight w:val="0"/>
      <w:marTop w:val="0"/>
      <w:marBottom w:val="0"/>
      <w:divBdr>
        <w:top w:val="none" w:sz="0" w:space="0" w:color="auto"/>
        <w:left w:val="none" w:sz="0" w:space="0" w:color="auto"/>
        <w:bottom w:val="none" w:sz="0" w:space="0" w:color="auto"/>
        <w:right w:val="none" w:sz="0" w:space="0" w:color="auto"/>
      </w:divBdr>
    </w:div>
    <w:div w:id="201477593">
      <w:bodyDiv w:val="1"/>
      <w:marLeft w:val="0"/>
      <w:marRight w:val="0"/>
      <w:marTop w:val="0"/>
      <w:marBottom w:val="0"/>
      <w:divBdr>
        <w:top w:val="none" w:sz="0" w:space="0" w:color="auto"/>
        <w:left w:val="none" w:sz="0" w:space="0" w:color="auto"/>
        <w:bottom w:val="none" w:sz="0" w:space="0" w:color="auto"/>
        <w:right w:val="none" w:sz="0" w:space="0" w:color="auto"/>
      </w:divBdr>
    </w:div>
    <w:div w:id="203175602">
      <w:bodyDiv w:val="1"/>
      <w:marLeft w:val="0"/>
      <w:marRight w:val="0"/>
      <w:marTop w:val="0"/>
      <w:marBottom w:val="0"/>
      <w:divBdr>
        <w:top w:val="none" w:sz="0" w:space="0" w:color="auto"/>
        <w:left w:val="none" w:sz="0" w:space="0" w:color="auto"/>
        <w:bottom w:val="none" w:sz="0" w:space="0" w:color="auto"/>
        <w:right w:val="none" w:sz="0" w:space="0" w:color="auto"/>
      </w:divBdr>
    </w:div>
    <w:div w:id="205526059">
      <w:bodyDiv w:val="1"/>
      <w:marLeft w:val="0"/>
      <w:marRight w:val="0"/>
      <w:marTop w:val="0"/>
      <w:marBottom w:val="0"/>
      <w:divBdr>
        <w:top w:val="none" w:sz="0" w:space="0" w:color="auto"/>
        <w:left w:val="none" w:sz="0" w:space="0" w:color="auto"/>
        <w:bottom w:val="none" w:sz="0" w:space="0" w:color="auto"/>
        <w:right w:val="none" w:sz="0" w:space="0" w:color="auto"/>
      </w:divBdr>
    </w:div>
    <w:div w:id="205798083">
      <w:bodyDiv w:val="1"/>
      <w:marLeft w:val="0"/>
      <w:marRight w:val="0"/>
      <w:marTop w:val="0"/>
      <w:marBottom w:val="0"/>
      <w:divBdr>
        <w:top w:val="none" w:sz="0" w:space="0" w:color="auto"/>
        <w:left w:val="none" w:sz="0" w:space="0" w:color="auto"/>
        <w:bottom w:val="none" w:sz="0" w:space="0" w:color="auto"/>
        <w:right w:val="none" w:sz="0" w:space="0" w:color="auto"/>
      </w:divBdr>
    </w:div>
    <w:div w:id="211160440">
      <w:bodyDiv w:val="1"/>
      <w:marLeft w:val="0"/>
      <w:marRight w:val="0"/>
      <w:marTop w:val="0"/>
      <w:marBottom w:val="0"/>
      <w:divBdr>
        <w:top w:val="none" w:sz="0" w:space="0" w:color="auto"/>
        <w:left w:val="none" w:sz="0" w:space="0" w:color="auto"/>
        <w:bottom w:val="none" w:sz="0" w:space="0" w:color="auto"/>
        <w:right w:val="none" w:sz="0" w:space="0" w:color="auto"/>
      </w:divBdr>
    </w:div>
    <w:div w:id="212161204">
      <w:bodyDiv w:val="1"/>
      <w:marLeft w:val="0"/>
      <w:marRight w:val="0"/>
      <w:marTop w:val="0"/>
      <w:marBottom w:val="0"/>
      <w:divBdr>
        <w:top w:val="none" w:sz="0" w:space="0" w:color="auto"/>
        <w:left w:val="none" w:sz="0" w:space="0" w:color="auto"/>
        <w:bottom w:val="none" w:sz="0" w:space="0" w:color="auto"/>
        <w:right w:val="none" w:sz="0" w:space="0" w:color="auto"/>
      </w:divBdr>
    </w:div>
    <w:div w:id="216212392">
      <w:bodyDiv w:val="1"/>
      <w:marLeft w:val="0"/>
      <w:marRight w:val="0"/>
      <w:marTop w:val="0"/>
      <w:marBottom w:val="0"/>
      <w:divBdr>
        <w:top w:val="none" w:sz="0" w:space="0" w:color="auto"/>
        <w:left w:val="none" w:sz="0" w:space="0" w:color="auto"/>
        <w:bottom w:val="none" w:sz="0" w:space="0" w:color="auto"/>
        <w:right w:val="none" w:sz="0" w:space="0" w:color="auto"/>
      </w:divBdr>
    </w:div>
    <w:div w:id="224067701">
      <w:bodyDiv w:val="1"/>
      <w:marLeft w:val="0"/>
      <w:marRight w:val="0"/>
      <w:marTop w:val="0"/>
      <w:marBottom w:val="0"/>
      <w:divBdr>
        <w:top w:val="none" w:sz="0" w:space="0" w:color="auto"/>
        <w:left w:val="none" w:sz="0" w:space="0" w:color="auto"/>
        <w:bottom w:val="none" w:sz="0" w:space="0" w:color="auto"/>
        <w:right w:val="none" w:sz="0" w:space="0" w:color="auto"/>
      </w:divBdr>
    </w:div>
    <w:div w:id="228853015">
      <w:bodyDiv w:val="1"/>
      <w:marLeft w:val="0"/>
      <w:marRight w:val="0"/>
      <w:marTop w:val="0"/>
      <w:marBottom w:val="0"/>
      <w:divBdr>
        <w:top w:val="none" w:sz="0" w:space="0" w:color="auto"/>
        <w:left w:val="none" w:sz="0" w:space="0" w:color="auto"/>
        <w:bottom w:val="none" w:sz="0" w:space="0" w:color="auto"/>
        <w:right w:val="none" w:sz="0" w:space="0" w:color="auto"/>
      </w:divBdr>
    </w:div>
    <w:div w:id="234171908">
      <w:bodyDiv w:val="1"/>
      <w:marLeft w:val="0"/>
      <w:marRight w:val="0"/>
      <w:marTop w:val="0"/>
      <w:marBottom w:val="0"/>
      <w:divBdr>
        <w:top w:val="none" w:sz="0" w:space="0" w:color="auto"/>
        <w:left w:val="none" w:sz="0" w:space="0" w:color="auto"/>
        <w:bottom w:val="none" w:sz="0" w:space="0" w:color="auto"/>
        <w:right w:val="none" w:sz="0" w:space="0" w:color="auto"/>
      </w:divBdr>
    </w:div>
    <w:div w:id="249580485">
      <w:bodyDiv w:val="1"/>
      <w:marLeft w:val="0"/>
      <w:marRight w:val="0"/>
      <w:marTop w:val="0"/>
      <w:marBottom w:val="0"/>
      <w:divBdr>
        <w:top w:val="none" w:sz="0" w:space="0" w:color="auto"/>
        <w:left w:val="none" w:sz="0" w:space="0" w:color="auto"/>
        <w:bottom w:val="none" w:sz="0" w:space="0" w:color="auto"/>
        <w:right w:val="none" w:sz="0" w:space="0" w:color="auto"/>
      </w:divBdr>
    </w:div>
    <w:div w:id="253129443">
      <w:bodyDiv w:val="1"/>
      <w:marLeft w:val="0"/>
      <w:marRight w:val="0"/>
      <w:marTop w:val="0"/>
      <w:marBottom w:val="0"/>
      <w:divBdr>
        <w:top w:val="none" w:sz="0" w:space="0" w:color="auto"/>
        <w:left w:val="none" w:sz="0" w:space="0" w:color="auto"/>
        <w:bottom w:val="none" w:sz="0" w:space="0" w:color="auto"/>
        <w:right w:val="none" w:sz="0" w:space="0" w:color="auto"/>
      </w:divBdr>
    </w:div>
    <w:div w:id="263075531">
      <w:bodyDiv w:val="1"/>
      <w:marLeft w:val="0"/>
      <w:marRight w:val="0"/>
      <w:marTop w:val="0"/>
      <w:marBottom w:val="0"/>
      <w:divBdr>
        <w:top w:val="none" w:sz="0" w:space="0" w:color="auto"/>
        <w:left w:val="none" w:sz="0" w:space="0" w:color="auto"/>
        <w:bottom w:val="none" w:sz="0" w:space="0" w:color="auto"/>
        <w:right w:val="none" w:sz="0" w:space="0" w:color="auto"/>
      </w:divBdr>
    </w:div>
    <w:div w:id="265619645">
      <w:bodyDiv w:val="1"/>
      <w:marLeft w:val="0"/>
      <w:marRight w:val="0"/>
      <w:marTop w:val="0"/>
      <w:marBottom w:val="0"/>
      <w:divBdr>
        <w:top w:val="none" w:sz="0" w:space="0" w:color="auto"/>
        <w:left w:val="none" w:sz="0" w:space="0" w:color="auto"/>
        <w:bottom w:val="none" w:sz="0" w:space="0" w:color="auto"/>
        <w:right w:val="none" w:sz="0" w:space="0" w:color="auto"/>
      </w:divBdr>
    </w:div>
    <w:div w:id="279384545">
      <w:bodyDiv w:val="1"/>
      <w:marLeft w:val="0"/>
      <w:marRight w:val="0"/>
      <w:marTop w:val="0"/>
      <w:marBottom w:val="0"/>
      <w:divBdr>
        <w:top w:val="none" w:sz="0" w:space="0" w:color="auto"/>
        <w:left w:val="none" w:sz="0" w:space="0" w:color="auto"/>
        <w:bottom w:val="none" w:sz="0" w:space="0" w:color="auto"/>
        <w:right w:val="none" w:sz="0" w:space="0" w:color="auto"/>
      </w:divBdr>
    </w:div>
    <w:div w:id="291012259">
      <w:bodyDiv w:val="1"/>
      <w:marLeft w:val="0"/>
      <w:marRight w:val="0"/>
      <w:marTop w:val="0"/>
      <w:marBottom w:val="0"/>
      <w:divBdr>
        <w:top w:val="none" w:sz="0" w:space="0" w:color="auto"/>
        <w:left w:val="none" w:sz="0" w:space="0" w:color="auto"/>
        <w:bottom w:val="none" w:sz="0" w:space="0" w:color="auto"/>
        <w:right w:val="none" w:sz="0" w:space="0" w:color="auto"/>
      </w:divBdr>
    </w:div>
    <w:div w:id="293365617">
      <w:bodyDiv w:val="1"/>
      <w:marLeft w:val="0"/>
      <w:marRight w:val="0"/>
      <w:marTop w:val="0"/>
      <w:marBottom w:val="0"/>
      <w:divBdr>
        <w:top w:val="none" w:sz="0" w:space="0" w:color="auto"/>
        <w:left w:val="none" w:sz="0" w:space="0" w:color="auto"/>
        <w:bottom w:val="none" w:sz="0" w:space="0" w:color="auto"/>
        <w:right w:val="none" w:sz="0" w:space="0" w:color="auto"/>
      </w:divBdr>
    </w:div>
    <w:div w:id="306714702">
      <w:bodyDiv w:val="1"/>
      <w:marLeft w:val="0"/>
      <w:marRight w:val="0"/>
      <w:marTop w:val="0"/>
      <w:marBottom w:val="0"/>
      <w:divBdr>
        <w:top w:val="none" w:sz="0" w:space="0" w:color="auto"/>
        <w:left w:val="none" w:sz="0" w:space="0" w:color="auto"/>
        <w:bottom w:val="none" w:sz="0" w:space="0" w:color="auto"/>
        <w:right w:val="none" w:sz="0" w:space="0" w:color="auto"/>
      </w:divBdr>
    </w:div>
    <w:div w:id="310603502">
      <w:bodyDiv w:val="1"/>
      <w:marLeft w:val="0"/>
      <w:marRight w:val="0"/>
      <w:marTop w:val="0"/>
      <w:marBottom w:val="0"/>
      <w:divBdr>
        <w:top w:val="none" w:sz="0" w:space="0" w:color="auto"/>
        <w:left w:val="none" w:sz="0" w:space="0" w:color="auto"/>
        <w:bottom w:val="none" w:sz="0" w:space="0" w:color="auto"/>
        <w:right w:val="none" w:sz="0" w:space="0" w:color="auto"/>
      </w:divBdr>
    </w:div>
    <w:div w:id="315037345">
      <w:bodyDiv w:val="1"/>
      <w:marLeft w:val="0"/>
      <w:marRight w:val="0"/>
      <w:marTop w:val="0"/>
      <w:marBottom w:val="0"/>
      <w:divBdr>
        <w:top w:val="none" w:sz="0" w:space="0" w:color="auto"/>
        <w:left w:val="none" w:sz="0" w:space="0" w:color="auto"/>
        <w:bottom w:val="none" w:sz="0" w:space="0" w:color="auto"/>
        <w:right w:val="none" w:sz="0" w:space="0" w:color="auto"/>
      </w:divBdr>
    </w:div>
    <w:div w:id="317809245">
      <w:bodyDiv w:val="1"/>
      <w:marLeft w:val="0"/>
      <w:marRight w:val="0"/>
      <w:marTop w:val="0"/>
      <w:marBottom w:val="0"/>
      <w:divBdr>
        <w:top w:val="none" w:sz="0" w:space="0" w:color="auto"/>
        <w:left w:val="none" w:sz="0" w:space="0" w:color="auto"/>
        <w:bottom w:val="none" w:sz="0" w:space="0" w:color="auto"/>
        <w:right w:val="none" w:sz="0" w:space="0" w:color="auto"/>
      </w:divBdr>
    </w:div>
    <w:div w:id="317812249">
      <w:bodyDiv w:val="1"/>
      <w:marLeft w:val="0"/>
      <w:marRight w:val="0"/>
      <w:marTop w:val="0"/>
      <w:marBottom w:val="0"/>
      <w:divBdr>
        <w:top w:val="none" w:sz="0" w:space="0" w:color="auto"/>
        <w:left w:val="none" w:sz="0" w:space="0" w:color="auto"/>
        <w:bottom w:val="none" w:sz="0" w:space="0" w:color="auto"/>
        <w:right w:val="none" w:sz="0" w:space="0" w:color="auto"/>
      </w:divBdr>
    </w:div>
    <w:div w:id="319191751">
      <w:bodyDiv w:val="1"/>
      <w:marLeft w:val="0"/>
      <w:marRight w:val="0"/>
      <w:marTop w:val="0"/>
      <w:marBottom w:val="0"/>
      <w:divBdr>
        <w:top w:val="none" w:sz="0" w:space="0" w:color="auto"/>
        <w:left w:val="none" w:sz="0" w:space="0" w:color="auto"/>
        <w:bottom w:val="none" w:sz="0" w:space="0" w:color="auto"/>
        <w:right w:val="none" w:sz="0" w:space="0" w:color="auto"/>
      </w:divBdr>
    </w:div>
    <w:div w:id="320933768">
      <w:bodyDiv w:val="1"/>
      <w:marLeft w:val="0"/>
      <w:marRight w:val="0"/>
      <w:marTop w:val="0"/>
      <w:marBottom w:val="0"/>
      <w:divBdr>
        <w:top w:val="none" w:sz="0" w:space="0" w:color="auto"/>
        <w:left w:val="none" w:sz="0" w:space="0" w:color="auto"/>
        <w:bottom w:val="none" w:sz="0" w:space="0" w:color="auto"/>
        <w:right w:val="none" w:sz="0" w:space="0" w:color="auto"/>
      </w:divBdr>
    </w:div>
    <w:div w:id="324280048">
      <w:bodyDiv w:val="1"/>
      <w:marLeft w:val="0"/>
      <w:marRight w:val="0"/>
      <w:marTop w:val="0"/>
      <w:marBottom w:val="0"/>
      <w:divBdr>
        <w:top w:val="none" w:sz="0" w:space="0" w:color="auto"/>
        <w:left w:val="none" w:sz="0" w:space="0" w:color="auto"/>
        <w:bottom w:val="none" w:sz="0" w:space="0" w:color="auto"/>
        <w:right w:val="none" w:sz="0" w:space="0" w:color="auto"/>
      </w:divBdr>
    </w:div>
    <w:div w:id="324477333">
      <w:bodyDiv w:val="1"/>
      <w:marLeft w:val="0"/>
      <w:marRight w:val="0"/>
      <w:marTop w:val="0"/>
      <w:marBottom w:val="0"/>
      <w:divBdr>
        <w:top w:val="none" w:sz="0" w:space="0" w:color="auto"/>
        <w:left w:val="none" w:sz="0" w:space="0" w:color="auto"/>
        <w:bottom w:val="none" w:sz="0" w:space="0" w:color="auto"/>
        <w:right w:val="none" w:sz="0" w:space="0" w:color="auto"/>
      </w:divBdr>
    </w:div>
    <w:div w:id="325673498">
      <w:bodyDiv w:val="1"/>
      <w:marLeft w:val="0"/>
      <w:marRight w:val="0"/>
      <w:marTop w:val="0"/>
      <w:marBottom w:val="0"/>
      <w:divBdr>
        <w:top w:val="none" w:sz="0" w:space="0" w:color="auto"/>
        <w:left w:val="none" w:sz="0" w:space="0" w:color="auto"/>
        <w:bottom w:val="none" w:sz="0" w:space="0" w:color="auto"/>
        <w:right w:val="none" w:sz="0" w:space="0" w:color="auto"/>
      </w:divBdr>
    </w:div>
    <w:div w:id="330566100">
      <w:bodyDiv w:val="1"/>
      <w:marLeft w:val="0"/>
      <w:marRight w:val="0"/>
      <w:marTop w:val="0"/>
      <w:marBottom w:val="0"/>
      <w:divBdr>
        <w:top w:val="none" w:sz="0" w:space="0" w:color="auto"/>
        <w:left w:val="none" w:sz="0" w:space="0" w:color="auto"/>
        <w:bottom w:val="none" w:sz="0" w:space="0" w:color="auto"/>
        <w:right w:val="none" w:sz="0" w:space="0" w:color="auto"/>
      </w:divBdr>
    </w:div>
    <w:div w:id="336814654">
      <w:bodyDiv w:val="1"/>
      <w:marLeft w:val="0"/>
      <w:marRight w:val="0"/>
      <w:marTop w:val="0"/>
      <w:marBottom w:val="0"/>
      <w:divBdr>
        <w:top w:val="none" w:sz="0" w:space="0" w:color="auto"/>
        <w:left w:val="none" w:sz="0" w:space="0" w:color="auto"/>
        <w:bottom w:val="none" w:sz="0" w:space="0" w:color="auto"/>
        <w:right w:val="none" w:sz="0" w:space="0" w:color="auto"/>
      </w:divBdr>
    </w:div>
    <w:div w:id="341317983">
      <w:bodyDiv w:val="1"/>
      <w:marLeft w:val="0"/>
      <w:marRight w:val="0"/>
      <w:marTop w:val="0"/>
      <w:marBottom w:val="0"/>
      <w:divBdr>
        <w:top w:val="none" w:sz="0" w:space="0" w:color="auto"/>
        <w:left w:val="none" w:sz="0" w:space="0" w:color="auto"/>
        <w:bottom w:val="none" w:sz="0" w:space="0" w:color="auto"/>
        <w:right w:val="none" w:sz="0" w:space="0" w:color="auto"/>
      </w:divBdr>
    </w:div>
    <w:div w:id="348483193">
      <w:bodyDiv w:val="1"/>
      <w:marLeft w:val="0"/>
      <w:marRight w:val="0"/>
      <w:marTop w:val="0"/>
      <w:marBottom w:val="0"/>
      <w:divBdr>
        <w:top w:val="none" w:sz="0" w:space="0" w:color="auto"/>
        <w:left w:val="none" w:sz="0" w:space="0" w:color="auto"/>
        <w:bottom w:val="none" w:sz="0" w:space="0" w:color="auto"/>
        <w:right w:val="none" w:sz="0" w:space="0" w:color="auto"/>
      </w:divBdr>
    </w:div>
    <w:div w:id="373165827">
      <w:bodyDiv w:val="1"/>
      <w:marLeft w:val="0"/>
      <w:marRight w:val="0"/>
      <w:marTop w:val="0"/>
      <w:marBottom w:val="0"/>
      <w:divBdr>
        <w:top w:val="none" w:sz="0" w:space="0" w:color="auto"/>
        <w:left w:val="none" w:sz="0" w:space="0" w:color="auto"/>
        <w:bottom w:val="none" w:sz="0" w:space="0" w:color="auto"/>
        <w:right w:val="none" w:sz="0" w:space="0" w:color="auto"/>
      </w:divBdr>
    </w:div>
    <w:div w:id="375397572">
      <w:bodyDiv w:val="1"/>
      <w:marLeft w:val="0"/>
      <w:marRight w:val="0"/>
      <w:marTop w:val="0"/>
      <w:marBottom w:val="0"/>
      <w:divBdr>
        <w:top w:val="none" w:sz="0" w:space="0" w:color="auto"/>
        <w:left w:val="none" w:sz="0" w:space="0" w:color="auto"/>
        <w:bottom w:val="none" w:sz="0" w:space="0" w:color="auto"/>
        <w:right w:val="none" w:sz="0" w:space="0" w:color="auto"/>
      </w:divBdr>
    </w:div>
    <w:div w:id="389572785">
      <w:bodyDiv w:val="1"/>
      <w:marLeft w:val="0"/>
      <w:marRight w:val="0"/>
      <w:marTop w:val="0"/>
      <w:marBottom w:val="0"/>
      <w:divBdr>
        <w:top w:val="none" w:sz="0" w:space="0" w:color="auto"/>
        <w:left w:val="none" w:sz="0" w:space="0" w:color="auto"/>
        <w:bottom w:val="none" w:sz="0" w:space="0" w:color="auto"/>
        <w:right w:val="none" w:sz="0" w:space="0" w:color="auto"/>
      </w:divBdr>
    </w:div>
    <w:div w:id="389698116">
      <w:bodyDiv w:val="1"/>
      <w:marLeft w:val="0"/>
      <w:marRight w:val="0"/>
      <w:marTop w:val="0"/>
      <w:marBottom w:val="0"/>
      <w:divBdr>
        <w:top w:val="none" w:sz="0" w:space="0" w:color="auto"/>
        <w:left w:val="none" w:sz="0" w:space="0" w:color="auto"/>
        <w:bottom w:val="none" w:sz="0" w:space="0" w:color="auto"/>
        <w:right w:val="none" w:sz="0" w:space="0" w:color="auto"/>
      </w:divBdr>
    </w:div>
    <w:div w:id="404376789">
      <w:bodyDiv w:val="1"/>
      <w:marLeft w:val="0"/>
      <w:marRight w:val="0"/>
      <w:marTop w:val="0"/>
      <w:marBottom w:val="0"/>
      <w:divBdr>
        <w:top w:val="none" w:sz="0" w:space="0" w:color="auto"/>
        <w:left w:val="none" w:sz="0" w:space="0" w:color="auto"/>
        <w:bottom w:val="none" w:sz="0" w:space="0" w:color="auto"/>
        <w:right w:val="none" w:sz="0" w:space="0" w:color="auto"/>
      </w:divBdr>
    </w:div>
    <w:div w:id="407075390">
      <w:bodyDiv w:val="1"/>
      <w:marLeft w:val="0"/>
      <w:marRight w:val="0"/>
      <w:marTop w:val="0"/>
      <w:marBottom w:val="0"/>
      <w:divBdr>
        <w:top w:val="none" w:sz="0" w:space="0" w:color="auto"/>
        <w:left w:val="none" w:sz="0" w:space="0" w:color="auto"/>
        <w:bottom w:val="none" w:sz="0" w:space="0" w:color="auto"/>
        <w:right w:val="none" w:sz="0" w:space="0" w:color="auto"/>
      </w:divBdr>
    </w:div>
    <w:div w:id="413091811">
      <w:bodyDiv w:val="1"/>
      <w:marLeft w:val="0"/>
      <w:marRight w:val="0"/>
      <w:marTop w:val="0"/>
      <w:marBottom w:val="0"/>
      <w:divBdr>
        <w:top w:val="none" w:sz="0" w:space="0" w:color="auto"/>
        <w:left w:val="none" w:sz="0" w:space="0" w:color="auto"/>
        <w:bottom w:val="none" w:sz="0" w:space="0" w:color="auto"/>
        <w:right w:val="none" w:sz="0" w:space="0" w:color="auto"/>
      </w:divBdr>
    </w:div>
    <w:div w:id="426078009">
      <w:bodyDiv w:val="1"/>
      <w:marLeft w:val="0"/>
      <w:marRight w:val="0"/>
      <w:marTop w:val="0"/>
      <w:marBottom w:val="0"/>
      <w:divBdr>
        <w:top w:val="none" w:sz="0" w:space="0" w:color="auto"/>
        <w:left w:val="none" w:sz="0" w:space="0" w:color="auto"/>
        <w:bottom w:val="none" w:sz="0" w:space="0" w:color="auto"/>
        <w:right w:val="none" w:sz="0" w:space="0" w:color="auto"/>
      </w:divBdr>
    </w:div>
    <w:div w:id="431240187">
      <w:bodyDiv w:val="1"/>
      <w:marLeft w:val="0"/>
      <w:marRight w:val="0"/>
      <w:marTop w:val="0"/>
      <w:marBottom w:val="0"/>
      <w:divBdr>
        <w:top w:val="none" w:sz="0" w:space="0" w:color="auto"/>
        <w:left w:val="none" w:sz="0" w:space="0" w:color="auto"/>
        <w:bottom w:val="none" w:sz="0" w:space="0" w:color="auto"/>
        <w:right w:val="none" w:sz="0" w:space="0" w:color="auto"/>
      </w:divBdr>
    </w:div>
    <w:div w:id="435103427">
      <w:bodyDiv w:val="1"/>
      <w:marLeft w:val="0"/>
      <w:marRight w:val="0"/>
      <w:marTop w:val="0"/>
      <w:marBottom w:val="0"/>
      <w:divBdr>
        <w:top w:val="none" w:sz="0" w:space="0" w:color="auto"/>
        <w:left w:val="none" w:sz="0" w:space="0" w:color="auto"/>
        <w:bottom w:val="none" w:sz="0" w:space="0" w:color="auto"/>
        <w:right w:val="none" w:sz="0" w:space="0" w:color="auto"/>
      </w:divBdr>
    </w:div>
    <w:div w:id="447312745">
      <w:bodyDiv w:val="1"/>
      <w:marLeft w:val="0"/>
      <w:marRight w:val="0"/>
      <w:marTop w:val="0"/>
      <w:marBottom w:val="0"/>
      <w:divBdr>
        <w:top w:val="none" w:sz="0" w:space="0" w:color="auto"/>
        <w:left w:val="none" w:sz="0" w:space="0" w:color="auto"/>
        <w:bottom w:val="none" w:sz="0" w:space="0" w:color="auto"/>
        <w:right w:val="none" w:sz="0" w:space="0" w:color="auto"/>
      </w:divBdr>
    </w:div>
    <w:div w:id="447897403">
      <w:bodyDiv w:val="1"/>
      <w:marLeft w:val="0"/>
      <w:marRight w:val="0"/>
      <w:marTop w:val="0"/>
      <w:marBottom w:val="0"/>
      <w:divBdr>
        <w:top w:val="none" w:sz="0" w:space="0" w:color="auto"/>
        <w:left w:val="none" w:sz="0" w:space="0" w:color="auto"/>
        <w:bottom w:val="none" w:sz="0" w:space="0" w:color="auto"/>
        <w:right w:val="none" w:sz="0" w:space="0" w:color="auto"/>
      </w:divBdr>
    </w:div>
    <w:div w:id="451170748">
      <w:bodyDiv w:val="1"/>
      <w:marLeft w:val="0"/>
      <w:marRight w:val="0"/>
      <w:marTop w:val="0"/>
      <w:marBottom w:val="0"/>
      <w:divBdr>
        <w:top w:val="none" w:sz="0" w:space="0" w:color="auto"/>
        <w:left w:val="none" w:sz="0" w:space="0" w:color="auto"/>
        <w:bottom w:val="none" w:sz="0" w:space="0" w:color="auto"/>
        <w:right w:val="none" w:sz="0" w:space="0" w:color="auto"/>
      </w:divBdr>
    </w:div>
    <w:div w:id="480775101">
      <w:bodyDiv w:val="1"/>
      <w:marLeft w:val="0"/>
      <w:marRight w:val="0"/>
      <w:marTop w:val="0"/>
      <w:marBottom w:val="0"/>
      <w:divBdr>
        <w:top w:val="none" w:sz="0" w:space="0" w:color="auto"/>
        <w:left w:val="none" w:sz="0" w:space="0" w:color="auto"/>
        <w:bottom w:val="none" w:sz="0" w:space="0" w:color="auto"/>
        <w:right w:val="none" w:sz="0" w:space="0" w:color="auto"/>
      </w:divBdr>
    </w:div>
    <w:div w:id="483544506">
      <w:bodyDiv w:val="1"/>
      <w:marLeft w:val="0"/>
      <w:marRight w:val="0"/>
      <w:marTop w:val="0"/>
      <w:marBottom w:val="0"/>
      <w:divBdr>
        <w:top w:val="none" w:sz="0" w:space="0" w:color="auto"/>
        <w:left w:val="none" w:sz="0" w:space="0" w:color="auto"/>
        <w:bottom w:val="none" w:sz="0" w:space="0" w:color="auto"/>
        <w:right w:val="none" w:sz="0" w:space="0" w:color="auto"/>
      </w:divBdr>
    </w:div>
    <w:div w:id="484710555">
      <w:bodyDiv w:val="1"/>
      <w:marLeft w:val="0"/>
      <w:marRight w:val="0"/>
      <w:marTop w:val="0"/>
      <w:marBottom w:val="0"/>
      <w:divBdr>
        <w:top w:val="none" w:sz="0" w:space="0" w:color="auto"/>
        <w:left w:val="none" w:sz="0" w:space="0" w:color="auto"/>
        <w:bottom w:val="none" w:sz="0" w:space="0" w:color="auto"/>
        <w:right w:val="none" w:sz="0" w:space="0" w:color="auto"/>
      </w:divBdr>
    </w:div>
    <w:div w:id="491877643">
      <w:bodyDiv w:val="1"/>
      <w:marLeft w:val="0"/>
      <w:marRight w:val="0"/>
      <w:marTop w:val="0"/>
      <w:marBottom w:val="0"/>
      <w:divBdr>
        <w:top w:val="none" w:sz="0" w:space="0" w:color="auto"/>
        <w:left w:val="none" w:sz="0" w:space="0" w:color="auto"/>
        <w:bottom w:val="none" w:sz="0" w:space="0" w:color="auto"/>
        <w:right w:val="none" w:sz="0" w:space="0" w:color="auto"/>
      </w:divBdr>
    </w:div>
    <w:div w:id="494953507">
      <w:bodyDiv w:val="1"/>
      <w:marLeft w:val="0"/>
      <w:marRight w:val="0"/>
      <w:marTop w:val="0"/>
      <w:marBottom w:val="0"/>
      <w:divBdr>
        <w:top w:val="none" w:sz="0" w:space="0" w:color="auto"/>
        <w:left w:val="none" w:sz="0" w:space="0" w:color="auto"/>
        <w:bottom w:val="none" w:sz="0" w:space="0" w:color="auto"/>
        <w:right w:val="none" w:sz="0" w:space="0" w:color="auto"/>
      </w:divBdr>
    </w:div>
    <w:div w:id="501355643">
      <w:bodyDiv w:val="1"/>
      <w:marLeft w:val="0"/>
      <w:marRight w:val="0"/>
      <w:marTop w:val="0"/>
      <w:marBottom w:val="0"/>
      <w:divBdr>
        <w:top w:val="none" w:sz="0" w:space="0" w:color="auto"/>
        <w:left w:val="none" w:sz="0" w:space="0" w:color="auto"/>
        <w:bottom w:val="none" w:sz="0" w:space="0" w:color="auto"/>
        <w:right w:val="none" w:sz="0" w:space="0" w:color="auto"/>
      </w:divBdr>
    </w:div>
    <w:div w:id="503865395">
      <w:bodyDiv w:val="1"/>
      <w:marLeft w:val="0"/>
      <w:marRight w:val="0"/>
      <w:marTop w:val="0"/>
      <w:marBottom w:val="0"/>
      <w:divBdr>
        <w:top w:val="none" w:sz="0" w:space="0" w:color="auto"/>
        <w:left w:val="none" w:sz="0" w:space="0" w:color="auto"/>
        <w:bottom w:val="none" w:sz="0" w:space="0" w:color="auto"/>
        <w:right w:val="none" w:sz="0" w:space="0" w:color="auto"/>
      </w:divBdr>
    </w:div>
    <w:div w:id="507065402">
      <w:bodyDiv w:val="1"/>
      <w:marLeft w:val="0"/>
      <w:marRight w:val="0"/>
      <w:marTop w:val="0"/>
      <w:marBottom w:val="0"/>
      <w:divBdr>
        <w:top w:val="none" w:sz="0" w:space="0" w:color="auto"/>
        <w:left w:val="none" w:sz="0" w:space="0" w:color="auto"/>
        <w:bottom w:val="none" w:sz="0" w:space="0" w:color="auto"/>
        <w:right w:val="none" w:sz="0" w:space="0" w:color="auto"/>
      </w:divBdr>
    </w:div>
    <w:div w:id="510340990">
      <w:bodyDiv w:val="1"/>
      <w:marLeft w:val="0"/>
      <w:marRight w:val="0"/>
      <w:marTop w:val="0"/>
      <w:marBottom w:val="0"/>
      <w:divBdr>
        <w:top w:val="none" w:sz="0" w:space="0" w:color="auto"/>
        <w:left w:val="none" w:sz="0" w:space="0" w:color="auto"/>
        <w:bottom w:val="none" w:sz="0" w:space="0" w:color="auto"/>
        <w:right w:val="none" w:sz="0" w:space="0" w:color="auto"/>
      </w:divBdr>
    </w:div>
    <w:div w:id="519591510">
      <w:bodyDiv w:val="1"/>
      <w:marLeft w:val="0"/>
      <w:marRight w:val="0"/>
      <w:marTop w:val="0"/>
      <w:marBottom w:val="0"/>
      <w:divBdr>
        <w:top w:val="none" w:sz="0" w:space="0" w:color="auto"/>
        <w:left w:val="none" w:sz="0" w:space="0" w:color="auto"/>
        <w:bottom w:val="none" w:sz="0" w:space="0" w:color="auto"/>
        <w:right w:val="none" w:sz="0" w:space="0" w:color="auto"/>
      </w:divBdr>
    </w:div>
    <w:div w:id="529614627">
      <w:bodyDiv w:val="1"/>
      <w:marLeft w:val="0"/>
      <w:marRight w:val="0"/>
      <w:marTop w:val="0"/>
      <w:marBottom w:val="0"/>
      <w:divBdr>
        <w:top w:val="none" w:sz="0" w:space="0" w:color="auto"/>
        <w:left w:val="none" w:sz="0" w:space="0" w:color="auto"/>
        <w:bottom w:val="none" w:sz="0" w:space="0" w:color="auto"/>
        <w:right w:val="none" w:sz="0" w:space="0" w:color="auto"/>
      </w:divBdr>
    </w:div>
    <w:div w:id="533734454">
      <w:bodyDiv w:val="1"/>
      <w:marLeft w:val="0"/>
      <w:marRight w:val="0"/>
      <w:marTop w:val="0"/>
      <w:marBottom w:val="0"/>
      <w:divBdr>
        <w:top w:val="none" w:sz="0" w:space="0" w:color="auto"/>
        <w:left w:val="none" w:sz="0" w:space="0" w:color="auto"/>
        <w:bottom w:val="none" w:sz="0" w:space="0" w:color="auto"/>
        <w:right w:val="none" w:sz="0" w:space="0" w:color="auto"/>
      </w:divBdr>
    </w:div>
    <w:div w:id="534125760">
      <w:bodyDiv w:val="1"/>
      <w:marLeft w:val="0"/>
      <w:marRight w:val="0"/>
      <w:marTop w:val="0"/>
      <w:marBottom w:val="0"/>
      <w:divBdr>
        <w:top w:val="none" w:sz="0" w:space="0" w:color="auto"/>
        <w:left w:val="none" w:sz="0" w:space="0" w:color="auto"/>
        <w:bottom w:val="none" w:sz="0" w:space="0" w:color="auto"/>
        <w:right w:val="none" w:sz="0" w:space="0" w:color="auto"/>
      </w:divBdr>
    </w:div>
    <w:div w:id="537283301">
      <w:bodyDiv w:val="1"/>
      <w:marLeft w:val="0"/>
      <w:marRight w:val="0"/>
      <w:marTop w:val="0"/>
      <w:marBottom w:val="0"/>
      <w:divBdr>
        <w:top w:val="none" w:sz="0" w:space="0" w:color="auto"/>
        <w:left w:val="none" w:sz="0" w:space="0" w:color="auto"/>
        <w:bottom w:val="none" w:sz="0" w:space="0" w:color="auto"/>
        <w:right w:val="none" w:sz="0" w:space="0" w:color="auto"/>
      </w:divBdr>
    </w:div>
    <w:div w:id="540440329">
      <w:bodyDiv w:val="1"/>
      <w:marLeft w:val="0"/>
      <w:marRight w:val="0"/>
      <w:marTop w:val="0"/>
      <w:marBottom w:val="0"/>
      <w:divBdr>
        <w:top w:val="none" w:sz="0" w:space="0" w:color="auto"/>
        <w:left w:val="none" w:sz="0" w:space="0" w:color="auto"/>
        <w:bottom w:val="none" w:sz="0" w:space="0" w:color="auto"/>
        <w:right w:val="none" w:sz="0" w:space="0" w:color="auto"/>
      </w:divBdr>
    </w:div>
    <w:div w:id="552231449">
      <w:bodyDiv w:val="1"/>
      <w:marLeft w:val="0"/>
      <w:marRight w:val="0"/>
      <w:marTop w:val="0"/>
      <w:marBottom w:val="0"/>
      <w:divBdr>
        <w:top w:val="none" w:sz="0" w:space="0" w:color="auto"/>
        <w:left w:val="none" w:sz="0" w:space="0" w:color="auto"/>
        <w:bottom w:val="none" w:sz="0" w:space="0" w:color="auto"/>
        <w:right w:val="none" w:sz="0" w:space="0" w:color="auto"/>
      </w:divBdr>
    </w:div>
    <w:div w:id="554852099">
      <w:bodyDiv w:val="1"/>
      <w:marLeft w:val="0"/>
      <w:marRight w:val="0"/>
      <w:marTop w:val="0"/>
      <w:marBottom w:val="0"/>
      <w:divBdr>
        <w:top w:val="none" w:sz="0" w:space="0" w:color="auto"/>
        <w:left w:val="none" w:sz="0" w:space="0" w:color="auto"/>
        <w:bottom w:val="none" w:sz="0" w:space="0" w:color="auto"/>
        <w:right w:val="none" w:sz="0" w:space="0" w:color="auto"/>
      </w:divBdr>
    </w:div>
    <w:div w:id="567347784">
      <w:bodyDiv w:val="1"/>
      <w:marLeft w:val="0"/>
      <w:marRight w:val="0"/>
      <w:marTop w:val="0"/>
      <w:marBottom w:val="0"/>
      <w:divBdr>
        <w:top w:val="none" w:sz="0" w:space="0" w:color="auto"/>
        <w:left w:val="none" w:sz="0" w:space="0" w:color="auto"/>
        <w:bottom w:val="none" w:sz="0" w:space="0" w:color="auto"/>
        <w:right w:val="none" w:sz="0" w:space="0" w:color="auto"/>
      </w:divBdr>
    </w:div>
    <w:div w:id="569536117">
      <w:bodyDiv w:val="1"/>
      <w:marLeft w:val="0"/>
      <w:marRight w:val="0"/>
      <w:marTop w:val="0"/>
      <w:marBottom w:val="0"/>
      <w:divBdr>
        <w:top w:val="none" w:sz="0" w:space="0" w:color="auto"/>
        <w:left w:val="none" w:sz="0" w:space="0" w:color="auto"/>
        <w:bottom w:val="none" w:sz="0" w:space="0" w:color="auto"/>
        <w:right w:val="none" w:sz="0" w:space="0" w:color="auto"/>
      </w:divBdr>
    </w:div>
    <w:div w:id="575287835">
      <w:bodyDiv w:val="1"/>
      <w:marLeft w:val="0"/>
      <w:marRight w:val="0"/>
      <w:marTop w:val="0"/>
      <w:marBottom w:val="0"/>
      <w:divBdr>
        <w:top w:val="none" w:sz="0" w:space="0" w:color="auto"/>
        <w:left w:val="none" w:sz="0" w:space="0" w:color="auto"/>
        <w:bottom w:val="none" w:sz="0" w:space="0" w:color="auto"/>
        <w:right w:val="none" w:sz="0" w:space="0" w:color="auto"/>
      </w:divBdr>
    </w:div>
    <w:div w:id="577788081">
      <w:bodyDiv w:val="1"/>
      <w:marLeft w:val="0"/>
      <w:marRight w:val="0"/>
      <w:marTop w:val="0"/>
      <w:marBottom w:val="0"/>
      <w:divBdr>
        <w:top w:val="none" w:sz="0" w:space="0" w:color="auto"/>
        <w:left w:val="none" w:sz="0" w:space="0" w:color="auto"/>
        <w:bottom w:val="none" w:sz="0" w:space="0" w:color="auto"/>
        <w:right w:val="none" w:sz="0" w:space="0" w:color="auto"/>
      </w:divBdr>
    </w:div>
    <w:div w:id="581791792">
      <w:bodyDiv w:val="1"/>
      <w:marLeft w:val="0"/>
      <w:marRight w:val="0"/>
      <w:marTop w:val="0"/>
      <w:marBottom w:val="0"/>
      <w:divBdr>
        <w:top w:val="none" w:sz="0" w:space="0" w:color="auto"/>
        <w:left w:val="none" w:sz="0" w:space="0" w:color="auto"/>
        <w:bottom w:val="none" w:sz="0" w:space="0" w:color="auto"/>
        <w:right w:val="none" w:sz="0" w:space="0" w:color="auto"/>
      </w:divBdr>
    </w:div>
    <w:div w:id="586035934">
      <w:bodyDiv w:val="1"/>
      <w:marLeft w:val="0"/>
      <w:marRight w:val="0"/>
      <w:marTop w:val="0"/>
      <w:marBottom w:val="0"/>
      <w:divBdr>
        <w:top w:val="none" w:sz="0" w:space="0" w:color="auto"/>
        <w:left w:val="none" w:sz="0" w:space="0" w:color="auto"/>
        <w:bottom w:val="none" w:sz="0" w:space="0" w:color="auto"/>
        <w:right w:val="none" w:sz="0" w:space="0" w:color="auto"/>
      </w:divBdr>
    </w:div>
    <w:div w:id="592475760">
      <w:bodyDiv w:val="1"/>
      <w:marLeft w:val="0"/>
      <w:marRight w:val="0"/>
      <w:marTop w:val="0"/>
      <w:marBottom w:val="0"/>
      <w:divBdr>
        <w:top w:val="none" w:sz="0" w:space="0" w:color="auto"/>
        <w:left w:val="none" w:sz="0" w:space="0" w:color="auto"/>
        <w:bottom w:val="none" w:sz="0" w:space="0" w:color="auto"/>
        <w:right w:val="none" w:sz="0" w:space="0" w:color="auto"/>
      </w:divBdr>
    </w:div>
    <w:div w:id="598832890">
      <w:bodyDiv w:val="1"/>
      <w:marLeft w:val="0"/>
      <w:marRight w:val="0"/>
      <w:marTop w:val="0"/>
      <w:marBottom w:val="0"/>
      <w:divBdr>
        <w:top w:val="none" w:sz="0" w:space="0" w:color="auto"/>
        <w:left w:val="none" w:sz="0" w:space="0" w:color="auto"/>
        <w:bottom w:val="none" w:sz="0" w:space="0" w:color="auto"/>
        <w:right w:val="none" w:sz="0" w:space="0" w:color="auto"/>
      </w:divBdr>
    </w:div>
    <w:div w:id="605163056">
      <w:bodyDiv w:val="1"/>
      <w:marLeft w:val="0"/>
      <w:marRight w:val="0"/>
      <w:marTop w:val="0"/>
      <w:marBottom w:val="0"/>
      <w:divBdr>
        <w:top w:val="none" w:sz="0" w:space="0" w:color="auto"/>
        <w:left w:val="none" w:sz="0" w:space="0" w:color="auto"/>
        <w:bottom w:val="none" w:sz="0" w:space="0" w:color="auto"/>
        <w:right w:val="none" w:sz="0" w:space="0" w:color="auto"/>
      </w:divBdr>
    </w:div>
    <w:div w:id="605695230">
      <w:bodyDiv w:val="1"/>
      <w:marLeft w:val="0"/>
      <w:marRight w:val="0"/>
      <w:marTop w:val="0"/>
      <w:marBottom w:val="0"/>
      <w:divBdr>
        <w:top w:val="none" w:sz="0" w:space="0" w:color="auto"/>
        <w:left w:val="none" w:sz="0" w:space="0" w:color="auto"/>
        <w:bottom w:val="none" w:sz="0" w:space="0" w:color="auto"/>
        <w:right w:val="none" w:sz="0" w:space="0" w:color="auto"/>
      </w:divBdr>
    </w:div>
    <w:div w:id="610363049">
      <w:bodyDiv w:val="1"/>
      <w:marLeft w:val="0"/>
      <w:marRight w:val="0"/>
      <w:marTop w:val="0"/>
      <w:marBottom w:val="0"/>
      <w:divBdr>
        <w:top w:val="none" w:sz="0" w:space="0" w:color="auto"/>
        <w:left w:val="none" w:sz="0" w:space="0" w:color="auto"/>
        <w:bottom w:val="none" w:sz="0" w:space="0" w:color="auto"/>
        <w:right w:val="none" w:sz="0" w:space="0" w:color="auto"/>
      </w:divBdr>
    </w:div>
    <w:div w:id="612639243">
      <w:bodyDiv w:val="1"/>
      <w:marLeft w:val="0"/>
      <w:marRight w:val="0"/>
      <w:marTop w:val="0"/>
      <w:marBottom w:val="0"/>
      <w:divBdr>
        <w:top w:val="none" w:sz="0" w:space="0" w:color="auto"/>
        <w:left w:val="none" w:sz="0" w:space="0" w:color="auto"/>
        <w:bottom w:val="none" w:sz="0" w:space="0" w:color="auto"/>
        <w:right w:val="none" w:sz="0" w:space="0" w:color="auto"/>
      </w:divBdr>
    </w:div>
    <w:div w:id="621501342">
      <w:bodyDiv w:val="1"/>
      <w:marLeft w:val="0"/>
      <w:marRight w:val="0"/>
      <w:marTop w:val="0"/>
      <w:marBottom w:val="0"/>
      <w:divBdr>
        <w:top w:val="none" w:sz="0" w:space="0" w:color="auto"/>
        <w:left w:val="none" w:sz="0" w:space="0" w:color="auto"/>
        <w:bottom w:val="none" w:sz="0" w:space="0" w:color="auto"/>
        <w:right w:val="none" w:sz="0" w:space="0" w:color="auto"/>
      </w:divBdr>
    </w:div>
    <w:div w:id="627245548">
      <w:bodyDiv w:val="1"/>
      <w:marLeft w:val="0"/>
      <w:marRight w:val="0"/>
      <w:marTop w:val="0"/>
      <w:marBottom w:val="0"/>
      <w:divBdr>
        <w:top w:val="none" w:sz="0" w:space="0" w:color="auto"/>
        <w:left w:val="none" w:sz="0" w:space="0" w:color="auto"/>
        <w:bottom w:val="none" w:sz="0" w:space="0" w:color="auto"/>
        <w:right w:val="none" w:sz="0" w:space="0" w:color="auto"/>
      </w:divBdr>
    </w:div>
    <w:div w:id="632713552">
      <w:bodyDiv w:val="1"/>
      <w:marLeft w:val="0"/>
      <w:marRight w:val="0"/>
      <w:marTop w:val="0"/>
      <w:marBottom w:val="0"/>
      <w:divBdr>
        <w:top w:val="none" w:sz="0" w:space="0" w:color="auto"/>
        <w:left w:val="none" w:sz="0" w:space="0" w:color="auto"/>
        <w:bottom w:val="none" w:sz="0" w:space="0" w:color="auto"/>
        <w:right w:val="none" w:sz="0" w:space="0" w:color="auto"/>
      </w:divBdr>
    </w:div>
    <w:div w:id="643966249">
      <w:bodyDiv w:val="1"/>
      <w:marLeft w:val="0"/>
      <w:marRight w:val="0"/>
      <w:marTop w:val="0"/>
      <w:marBottom w:val="0"/>
      <w:divBdr>
        <w:top w:val="none" w:sz="0" w:space="0" w:color="auto"/>
        <w:left w:val="none" w:sz="0" w:space="0" w:color="auto"/>
        <w:bottom w:val="none" w:sz="0" w:space="0" w:color="auto"/>
        <w:right w:val="none" w:sz="0" w:space="0" w:color="auto"/>
      </w:divBdr>
    </w:div>
    <w:div w:id="647055183">
      <w:bodyDiv w:val="1"/>
      <w:marLeft w:val="0"/>
      <w:marRight w:val="0"/>
      <w:marTop w:val="0"/>
      <w:marBottom w:val="0"/>
      <w:divBdr>
        <w:top w:val="none" w:sz="0" w:space="0" w:color="auto"/>
        <w:left w:val="none" w:sz="0" w:space="0" w:color="auto"/>
        <w:bottom w:val="none" w:sz="0" w:space="0" w:color="auto"/>
        <w:right w:val="none" w:sz="0" w:space="0" w:color="auto"/>
      </w:divBdr>
    </w:div>
    <w:div w:id="647200408">
      <w:bodyDiv w:val="1"/>
      <w:marLeft w:val="0"/>
      <w:marRight w:val="0"/>
      <w:marTop w:val="0"/>
      <w:marBottom w:val="0"/>
      <w:divBdr>
        <w:top w:val="none" w:sz="0" w:space="0" w:color="auto"/>
        <w:left w:val="none" w:sz="0" w:space="0" w:color="auto"/>
        <w:bottom w:val="none" w:sz="0" w:space="0" w:color="auto"/>
        <w:right w:val="none" w:sz="0" w:space="0" w:color="auto"/>
      </w:divBdr>
    </w:div>
    <w:div w:id="650062565">
      <w:bodyDiv w:val="1"/>
      <w:marLeft w:val="0"/>
      <w:marRight w:val="0"/>
      <w:marTop w:val="0"/>
      <w:marBottom w:val="0"/>
      <w:divBdr>
        <w:top w:val="none" w:sz="0" w:space="0" w:color="auto"/>
        <w:left w:val="none" w:sz="0" w:space="0" w:color="auto"/>
        <w:bottom w:val="none" w:sz="0" w:space="0" w:color="auto"/>
        <w:right w:val="none" w:sz="0" w:space="0" w:color="auto"/>
      </w:divBdr>
    </w:div>
    <w:div w:id="650064116">
      <w:bodyDiv w:val="1"/>
      <w:marLeft w:val="0"/>
      <w:marRight w:val="0"/>
      <w:marTop w:val="0"/>
      <w:marBottom w:val="0"/>
      <w:divBdr>
        <w:top w:val="none" w:sz="0" w:space="0" w:color="auto"/>
        <w:left w:val="none" w:sz="0" w:space="0" w:color="auto"/>
        <w:bottom w:val="none" w:sz="0" w:space="0" w:color="auto"/>
        <w:right w:val="none" w:sz="0" w:space="0" w:color="auto"/>
      </w:divBdr>
    </w:div>
    <w:div w:id="653342184">
      <w:bodyDiv w:val="1"/>
      <w:marLeft w:val="0"/>
      <w:marRight w:val="0"/>
      <w:marTop w:val="0"/>
      <w:marBottom w:val="0"/>
      <w:divBdr>
        <w:top w:val="none" w:sz="0" w:space="0" w:color="auto"/>
        <w:left w:val="none" w:sz="0" w:space="0" w:color="auto"/>
        <w:bottom w:val="none" w:sz="0" w:space="0" w:color="auto"/>
        <w:right w:val="none" w:sz="0" w:space="0" w:color="auto"/>
      </w:divBdr>
    </w:div>
    <w:div w:id="654838346">
      <w:bodyDiv w:val="1"/>
      <w:marLeft w:val="0"/>
      <w:marRight w:val="0"/>
      <w:marTop w:val="0"/>
      <w:marBottom w:val="0"/>
      <w:divBdr>
        <w:top w:val="none" w:sz="0" w:space="0" w:color="auto"/>
        <w:left w:val="none" w:sz="0" w:space="0" w:color="auto"/>
        <w:bottom w:val="none" w:sz="0" w:space="0" w:color="auto"/>
        <w:right w:val="none" w:sz="0" w:space="0" w:color="auto"/>
      </w:divBdr>
    </w:div>
    <w:div w:id="665208773">
      <w:bodyDiv w:val="1"/>
      <w:marLeft w:val="0"/>
      <w:marRight w:val="0"/>
      <w:marTop w:val="0"/>
      <w:marBottom w:val="0"/>
      <w:divBdr>
        <w:top w:val="none" w:sz="0" w:space="0" w:color="auto"/>
        <w:left w:val="none" w:sz="0" w:space="0" w:color="auto"/>
        <w:bottom w:val="none" w:sz="0" w:space="0" w:color="auto"/>
        <w:right w:val="none" w:sz="0" w:space="0" w:color="auto"/>
      </w:divBdr>
    </w:div>
    <w:div w:id="670304276">
      <w:bodyDiv w:val="1"/>
      <w:marLeft w:val="0"/>
      <w:marRight w:val="0"/>
      <w:marTop w:val="0"/>
      <w:marBottom w:val="0"/>
      <w:divBdr>
        <w:top w:val="none" w:sz="0" w:space="0" w:color="auto"/>
        <w:left w:val="none" w:sz="0" w:space="0" w:color="auto"/>
        <w:bottom w:val="none" w:sz="0" w:space="0" w:color="auto"/>
        <w:right w:val="none" w:sz="0" w:space="0" w:color="auto"/>
      </w:divBdr>
    </w:div>
    <w:div w:id="673531425">
      <w:bodyDiv w:val="1"/>
      <w:marLeft w:val="0"/>
      <w:marRight w:val="0"/>
      <w:marTop w:val="0"/>
      <w:marBottom w:val="0"/>
      <w:divBdr>
        <w:top w:val="none" w:sz="0" w:space="0" w:color="auto"/>
        <w:left w:val="none" w:sz="0" w:space="0" w:color="auto"/>
        <w:bottom w:val="none" w:sz="0" w:space="0" w:color="auto"/>
        <w:right w:val="none" w:sz="0" w:space="0" w:color="auto"/>
      </w:divBdr>
    </w:div>
    <w:div w:id="685642877">
      <w:bodyDiv w:val="1"/>
      <w:marLeft w:val="0"/>
      <w:marRight w:val="0"/>
      <w:marTop w:val="0"/>
      <w:marBottom w:val="0"/>
      <w:divBdr>
        <w:top w:val="none" w:sz="0" w:space="0" w:color="auto"/>
        <w:left w:val="none" w:sz="0" w:space="0" w:color="auto"/>
        <w:bottom w:val="none" w:sz="0" w:space="0" w:color="auto"/>
        <w:right w:val="none" w:sz="0" w:space="0" w:color="auto"/>
      </w:divBdr>
    </w:div>
    <w:div w:id="690422269">
      <w:bodyDiv w:val="1"/>
      <w:marLeft w:val="0"/>
      <w:marRight w:val="0"/>
      <w:marTop w:val="0"/>
      <w:marBottom w:val="0"/>
      <w:divBdr>
        <w:top w:val="none" w:sz="0" w:space="0" w:color="auto"/>
        <w:left w:val="none" w:sz="0" w:space="0" w:color="auto"/>
        <w:bottom w:val="none" w:sz="0" w:space="0" w:color="auto"/>
        <w:right w:val="none" w:sz="0" w:space="0" w:color="auto"/>
      </w:divBdr>
    </w:div>
    <w:div w:id="702826293">
      <w:bodyDiv w:val="1"/>
      <w:marLeft w:val="0"/>
      <w:marRight w:val="0"/>
      <w:marTop w:val="0"/>
      <w:marBottom w:val="0"/>
      <w:divBdr>
        <w:top w:val="none" w:sz="0" w:space="0" w:color="auto"/>
        <w:left w:val="none" w:sz="0" w:space="0" w:color="auto"/>
        <w:bottom w:val="none" w:sz="0" w:space="0" w:color="auto"/>
        <w:right w:val="none" w:sz="0" w:space="0" w:color="auto"/>
      </w:divBdr>
    </w:div>
    <w:div w:id="714701470">
      <w:bodyDiv w:val="1"/>
      <w:marLeft w:val="0"/>
      <w:marRight w:val="0"/>
      <w:marTop w:val="0"/>
      <w:marBottom w:val="0"/>
      <w:divBdr>
        <w:top w:val="none" w:sz="0" w:space="0" w:color="auto"/>
        <w:left w:val="none" w:sz="0" w:space="0" w:color="auto"/>
        <w:bottom w:val="none" w:sz="0" w:space="0" w:color="auto"/>
        <w:right w:val="none" w:sz="0" w:space="0" w:color="auto"/>
      </w:divBdr>
    </w:div>
    <w:div w:id="714817124">
      <w:bodyDiv w:val="1"/>
      <w:marLeft w:val="0"/>
      <w:marRight w:val="0"/>
      <w:marTop w:val="0"/>
      <w:marBottom w:val="0"/>
      <w:divBdr>
        <w:top w:val="none" w:sz="0" w:space="0" w:color="auto"/>
        <w:left w:val="none" w:sz="0" w:space="0" w:color="auto"/>
        <w:bottom w:val="none" w:sz="0" w:space="0" w:color="auto"/>
        <w:right w:val="none" w:sz="0" w:space="0" w:color="auto"/>
      </w:divBdr>
    </w:div>
    <w:div w:id="715668107">
      <w:bodyDiv w:val="1"/>
      <w:marLeft w:val="0"/>
      <w:marRight w:val="0"/>
      <w:marTop w:val="0"/>
      <w:marBottom w:val="0"/>
      <w:divBdr>
        <w:top w:val="none" w:sz="0" w:space="0" w:color="auto"/>
        <w:left w:val="none" w:sz="0" w:space="0" w:color="auto"/>
        <w:bottom w:val="none" w:sz="0" w:space="0" w:color="auto"/>
        <w:right w:val="none" w:sz="0" w:space="0" w:color="auto"/>
      </w:divBdr>
    </w:div>
    <w:div w:id="725184958">
      <w:bodyDiv w:val="1"/>
      <w:marLeft w:val="0"/>
      <w:marRight w:val="0"/>
      <w:marTop w:val="0"/>
      <w:marBottom w:val="0"/>
      <w:divBdr>
        <w:top w:val="none" w:sz="0" w:space="0" w:color="auto"/>
        <w:left w:val="none" w:sz="0" w:space="0" w:color="auto"/>
        <w:bottom w:val="none" w:sz="0" w:space="0" w:color="auto"/>
        <w:right w:val="none" w:sz="0" w:space="0" w:color="auto"/>
      </w:divBdr>
    </w:div>
    <w:div w:id="725764349">
      <w:bodyDiv w:val="1"/>
      <w:marLeft w:val="0"/>
      <w:marRight w:val="0"/>
      <w:marTop w:val="0"/>
      <w:marBottom w:val="0"/>
      <w:divBdr>
        <w:top w:val="none" w:sz="0" w:space="0" w:color="auto"/>
        <w:left w:val="none" w:sz="0" w:space="0" w:color="auto"/>
        <w:bottom w:val="none" w:sz="0" w:space="0" w:color="auto"/>
        <w:right w:val="none" w:sz="0" w:space="0" w:color="auto"/>
      </w:divBdr>
    </w:div>
    <w:div w:id="727457727">
      <w:bodyDiv w:val="1"/>
      <w:marLeft w:val="0"/>
      <w:marRight w:val="0"/>
      <w:marTop w:val="0"/>
      <w:marBottom w:val="0"/>
      <w:divBdr>
        <w:top w:val="none" w:sz="0" w:space="0" w:color="auto"/>
        <w:left w:val="none" w:sz="0" w:space="0" w:color="auto"/>
        <w:bottom w:val="none" w:sz="0" w:space="0" w:color="auto"/>
        <w:right w:val="none" w:sz="0" w:space="0" w:color="auto"/>
      </w:divBdr>
    </w:div>
    <w:div w:id="731737570">
      <w:bodyDiv w:val="1"/>
      <w:marLeft w:val="0"/>
      <w:marRight w:val="0"/>
      <w:marTop w:val="0"/>
      <w:marBottom w:val="0"/>
      <w:divBdr>
        <w:top w:val="none" w:sz="0" w:space="0" w:color="auto"/>
        <w:left w:val="none" w:sz="0" w:space="0" w:color="auto"/>
        <w:bottom w:val="none" w:sz="0" w:space="0" w:color="auto"/>
        <w:right w:val="none" w:sz="0" w:space="0" w:color="auto"/>
      </w:divBdr>
    </w:div>
    <w:div w:id="739447168">
      <w:bodyDiv w:val="1"/>
      <w:marLeft w:val="0"/>
      <w:marRight w:val="0"/>
      <w:marTop w:val="0"/>
      <w:marBottom w:val="0"/>
      <w:divBdr>
        <w:top w:val="none" w:sz="0" w:space="0" w:color="auto"/>
        <w:left w:val="none" w:sz="0" w:space="0" w:color="auto"/>
        <w:bottom w:val="none" w:sz="0" w:space="0" w:color="auto"/>
        <w:right w:val="none" w:sz="0" w:space="0" w:color="auto"/>
      </w:divBdr>
    </w:div>
    <w:div w:id="742292718">
      <w:bodyDiv w:val="1"/>
      <w:marLeft w:val="0"/>
      <w:marRight w:val="0"/>
      <w:marTop w:val="0"/>
      <w:marBottom w:val="0"/>
      <w:divBdr>
        <w:top w:val="none" w:sz="0" w:space="0" w:color="auto"/>
        <w:left w:val="none" w:sz="0" w:space="0" w:color="auto"/>
        <w:bottom w:val="none" w:sz="0" w:space="0" w:color="auto"/>
        <w:right w:val="none" w:sz="0" w:space="0" w:color="auto"/>
      </w:divBdr>
    </w:div>
    <w:div w:id="755521794">
      <w:bodyDiv w:val="1"/>
      <w:marLeft w:val="0"/>
      <w:marRight w:val="0"/>
      <w:marTop w:val="0"/>
      <w:marBottom w:val="0"/>
      <w:divBdr>
        <w:top w:val="none" w:sz="0" w:space="0" w:color="auto"/>
        <w:left w:val="none" w:sz="0" w:space="0" w:color="auto"/>
        <w:bottom w:val="none" w:sz="0" w:space="0" w:color="auto"/>
        <w:right w:val="none" w:sz="0" w:space="0" w:color="auto"/>
      </w:divBdr>
    </w:div>
    <w:div w:id="756756638">
      <w:bodyDiv w:val="1"/>
      <w:marLeft w:val="0"/>
      <w:marRight w:val="0"/>
      <w:marTop w:val="0"/>
      <w:marBottom w:val="0"/>
      <w:divBdr>
        <w:top w:val="none" w:sz="0" w:space="0" w:color="auto"/>
        <w:left w:val="none" w:sz="0" w:space="0" w:color="auto"/>
        <w:bottom w:val="none" w:sz="0" w:space="0" w:color="auto"/>
        <w:right w:val="none" w:sz="0" w:space="0" w:color="auto"/>
      </w:divBdr>
    </w:div>
    <w:div w:id="763108347">
      <w:bodyDiv w:val="1"/>
      <w:marLeft w:val="0"/>
      <w:marRight w:val="0"/>
      <w:marTop w:val="0"/>
      <w:marBottom w:val="0"/>
      <w:divBdr>
        <w:top w:val="none" w:sz="0" w:space="0" w:color="auto"/>
        <w:left w:val="none" w:sz="0" w:space="0" w:color="auto"/>
        <w:bottom w:val="none" w:sz="0" w:space="0" w:color="auto"/>
        <w:right w:val="none" w:sz="0" w:space="0" w:color="auto"/>
      </w:divBdr>
    </w:div>
    <w:div w:id="779179390">
      <w:bodyDiv w:val="1"/>
      <w:marLeft w:val="0"/>
      <w:marRight w:val="0"/>
      <w:marTop w:val="0"/>
      <w:marBottom w:val="0"/>
      <w:divBdr>
        <w:top w:val="none" w:sz="0" w:space="0" w:color="auto"/>
        <w:left w:val="none" w:sz="0" w:space="0" w:color="auto"/>
        <w:bottom w:val="none" w:sz="0" w:space="0" w:color="auto"/>
        <w:right w:val="none" w:sz="0" w:space="0" w:color="auto"/>
      </w:divBdr>
    </w:div>
    <w:div w:id="788889494">
      <w:bodyDiv w:val="1"/>
      <w:marLeft w:val="0"/>
      <w:marRight w:val="0"/>
      <w:marTop w:val="0"/>
      <w:marBottom w:val="0"/>
      <w:divBdr>
        <w:top w:val="none" w:sz="0" w:space="0" w:color="auto"/>
        <w:left w:val="none" w:sz="0" w:space="0" w:color="auto"/>
        <w:bottom w:val="none" w:sz="0" w:space="0" w:color="auto"/>
        <w:right w:val="none" w:sz="0" w:space="0" w:color="auto"/>
      </w:divBdr>
    </w:div>
    <w:div w:id="789592701">
      <w:bodyDiv w:val="1"/>
      <w:marLeft w:val="0"/>
      <w:marRight w:val="0"/>
      <w:marTop w:val="0"/>
      <w:marBottom w:val="0"/>
      <w:divBdr>
        <w:top w:val="none" w:sz="0" w:space="0" w:color="auto"/>
        <w:left w:val="none" w:sz="0" w:space="0" w:color="auto"/>
        <w:bottom w:val="none" w:sz="0" w:space="0" w:color="auto"/>
        <w:right w:val="none" w:sz="0" w:space="0" w:color="auto"/>
      </w:divBdr>
    </w:div>
    <w:div w:id="793909885">
      <w:bodyDiv w:val="1"/>
      <w:marLeft w:val="0"/>
      <w:marRight w:val="0"/>
      <w:marTop w:val="0"/>
      <w:marBottom w:val="0"/>
      <w:divBdr>
        <w:top w:val="none" w:sz="0" w:space="0" w:color="auto"/>
        <w:left w:val="none" w:sz="0" w:space="0" w:color="auto"/>
        <w:bottom w:val="none" w:sz="0" w:space="0" w:color="auto"/>
        <w:right w:val="none" w:sz="0" w:space="0" w:color="auto"/>
      </w:divBdr>
    </w:div>
    <w:div w:id="794249941">
      <w:bodyDiv w:val="1"/>
      <w:marLeft w:val="0"/>
      <w:marRight w:val="0"/>
      <w:marTop w:val="0"/>
      <w:marBottom w:val="0"/>
      <w:divBdr>
        <w:top w:val="none" w:sz="0" w:space="0" w:color="auto"/>
        <w:left w:val="none" w:sz="0" w:space="0" w:color="auto"/>
        <w:bottom w:val="none" w:sz="0" w:space="0" w:color="auto"/>
        <w:right w:val="none" w:sz="0" w:space="0" w:color="auto"/>
      </w:divBdr>
    </w:div>
    <w:div w:id="797913347">
      <w:bodyDiv w:val="1"/>
      <w:marLeft w:val="0"/>
      <w:marRight w:val="0"/>
      <w:marTop w:val="0"/>
      <w:marBottom w:val="0"/>
      <w:divBdr>
        <w:top w:val="none" w:sz="0" w:space="0" w:color="auto"/>
        <w:left w:val="none" w:sz="0" w:space="0" w:color="auto"/>
        <w:bottom w:val="none" w:sz="0" w:space="0" w:color="auto"/>
        <w:right w:val="none" w:sz="0" w:space="0" w:color="auto"/>
      </w:divBdr>
    </w:div>
    <w:div w:id="798959094">
      <w:bodyDiv w:val="1"/>
      <w:marLeft w:val="0"/>
      <w:marRight w:val="0"/>
      <w:marTop w:val="0"/>
      <w:marBottom w:val="0"/>
      <w:divBdr>
        <w:top w:val="none" w:sz="0" w:space="0" w:color="auto"/>
        <w:left w:val="none" w:sz="0" w:space="0" w:color="auto"/>
        <w:bottom w:val="none" w:sz="0" w:space="0" w:color="auto"/>
        <w:right w:val="none" w:sz="0" w:space="0" w:color="auto"/>
      </w:divBdr>
    </w:div>
    <w:div w:id="802187794">
      <w:bodyDiv w:val="1"/>
      <w:marLeft w:val="0"/>
      <w:marRight w:val="0"/>
      <w:marTop w:val="0"/>
      <w:marBottom w:val="0"/>
      <w:divBdr>
        <w:top w:val="none" w:sz="0" w:space="0" w:color="auto"/>
        <w:left w:val="none" w:sz="0" w:space="0" w:color="auto"/>
        <w:bottom w:val="none" w:sz="0" w:space="0" w:color="auto"/>
        <w:right w:val="none" w:sz="0" w:space="0" w:color="auto"/>
      </w:divBdr>
    </w:div>
    <w:div w:id="803811966">
      <w:bodyDiv w:val="1"/>
      <w:marLeft w:val="0"/>
      <w:marRight w:val="0"/>
      <w:marTop w:val="0"/>
      <w:marBottom w:val="0"/>
      <w:divBdr>
        <w:top w:val="none" w:sz="0" w:space="0" w:color="auto"/>
        <w:left w:val="none" w:sz="0" w:space="0" w:color="auto"/>
        <w:bottom w:val="none" w:sz="0" w:space="0" w:color="auto"/>
        <w:right w:val="none" w:sz="0" w:space="0" w:color="auto"/>
      </w:divBdr>
    </w:div>
    <w:div w:id="807086274">
      <w:bodyDiv w:val="1"/>
      <w:marLeft w:val="0"/>
      <w:marRight w:val="0"/>
      <w:marTop w:val="0"/>
      <w:marBottom w:val="0"/>
      <w:divBdr>
        <w:top w:val="none" w:sz="0" w:space="0" w:color="auto"/>
        <w:left w:val="none" w:sz="0" w:space="0" w:color="auto"/>
        <w:bottom w:val="none" w:sz="0" w:space="0" w:color="auto"/>
        <w:right w:val="none" w:sz="0" w:space="0" w:color="auto"/>
      </w:divBdr>
    </w:div>
    <w:div w:id="808521299">
      <w:bodyDiv w:val="1"/>
      <w:marLeft w:val="0"/>
      <w:marRight w:val="0"/>
      <w:marTop w:val="0"/>
      <w:marBottom w:val="0"/>
      <w:divBdr>
        <w:top w:val="none" w:sz="0" w:space="0" w:color="auto"/>
        <w:left w:val="none" w:sz="0" w:space="0" w:color="auto"/>
        <w:bottom w:val="none" w:sz="0" w:space="0" w:color="auto"/>
        <w:right w:val="none" w:sz="0" w:space="0" w:color="auto"/>
      </w:divBdr>
    </w:div>
    <w:div w:id="811411508">
      <w:bodyDiv w:val="1"/>
      <w:marLeft w:val="0"/>
      <w:marRight w:val="0"/>
      <w:marTop w:val="0"/>
      <w:marBottom w:val="0"/>
      <w:divBdr>
        <w:top w:val="none" w:sz="0" w:space="0" w:color="auto"/>
        <w:left w:val="none" w:sz="0" w:space="0" w:color="auto"/>
        <w:bottom w:val="none" w:sz="0" w:space="0" w:color="auto"/>
        <w:right w:val="none" w:sz="0" w:space="0" w:color="auto"/>
      </w:divBdr>
    </w:div>
    <w:div w:id="817577786">
      <w:bodyDiv w:val="1"/>
      <w:marLeft w:val="0"/>
      <w:marRight w:val="0"/>
      <w:marTop w:val="0"/>
      <w:marBottom w:val="0"/>
      <w:divBdr>
        <w:top w:val="none" w:sz="0" w:space="0" w:color="auto"/>
        <w:left w:val="none" w:sz="0" w:space="0" w:color="auto"/>
        <w:bottom w:val="none" w:sz="0" w:space="0" w:color="auto"/>
        <w:right w:val="none" w:sz="0" w:space="0" w:color="auto"/>
      </w:divBdr>
    </w:div>
    <w:div w:id="817956651">
      <w:bodyDiv w:val="1"/>
      <w:marLeft w:val="0"/>
      <w:marRight w:val="0"/>
      <w:marTop w:val="0"/>
      <w:marBottom w:val="0"/>
      <w:divBdr>
        <w:top w:val="none" w:sz="0" w:space="0" w:color="auto"/>
        <w:left w:val="none" w:sz="0" w:space="0" w:color="auto"/>
        <w:bottom w:val="none" w:sz="0" w:space="0" w:color="auto"/>
        <w:right w:val="none" w:sz="0" w:space="0" w:color="auto"/>
      </w:divBdr>
    </w:div>
    <w:div w:id="826479225">
      <w:bodyDiv w:val="1"/>
      <w:marLeft w:val="0"/>
      <w:marRight w:val="0"/>
      <w:marTop w:val="0"/>
      <w:marBottom w:val="0"/>
      <w:divBdr>
        <w:top w:val="none" w:sz="0" w:space="0" w:color="auto"/>
        <w:left w:val="none" w:sz="0" w:space="0" w:color="auto"/>
        <w:bottom w:val="none" w:sz="0" w:space="0" w:color="auto"/>
        <w:right w:val="none" w:sz="0" w:space="0" w:color="auto"/>
      </w:divBdr>
    </w:div>
    <w:div w:id="827789423">
      <w:bodyDiv w:val="1"/>
      <w:marLeft w:val="0"/>
      <w:marRight w:val="0"/>
      <w:marTop w:val="0"/>
      <w:marBottom w:val="0"/>
      <w:divBdr>
        <w:top w:val="none" w:sz="0" w:space="0" w:color="auto"/>
        <w:left w:val="none" w:sz="0" w:space="0" w:color="auto"/>
        <w:bottom w:val="none" w:sz="0" w:space="0" w:color="auto"/>
        <w:right w:val="none" w:sz="0" w:space="0" w:color="auto"/>
      </w:divBdr>
    </w:div>
    <w:div w:id="828907122">
      <w:bodyDiv w:val="1"/>
      <w:marLeft w:val="0"/>
      <w:marRight w:val="0"/>
      <w:marTop w:val="0"/>
      <w:marBottom w:val="0"/>
      <w:divBdr>
        <w:top w:val="none" w:sz="0" w:space="0" w:color="auto"/>
        <w:left w:val="none" w:sz="0" w:space="0" w:color="auto"/>
        <w:bottom w:val="none" w:sz="0" w:space="0" w:color="auto"/>
        <w:right w:val="none" w:sz="0" w:space="0" w:color="auto"/>
      </w:divBdr>
    </w:div>
    <w:div w:id="830944435">
      <w:bodyDiv w:val="1"/>
      <w:marLeft w:val="0"/>
      <w:marRight w:val="0"/>
      <w:marTop w:val="0"/>
      <w:marBottom w:val="0"/>
      <w:divBdr>
        <w:top w:val="none" w:sz="0" w:space="0" w:color="auto"/>
        <w:left w:val="none" w:sz="0" w:space="0" w:color="auto"/>
        <w:bottom w:val="none" w:sz="0" w:space="0" w:color="auto"/>
        <w:right w:val="none" w:sz="0" w:space="0" w:color="auto"/>
      </w:divBdr>
    </w:div>
    <w:div w:id="834496542">
      <w:bodyDiv w:val="1"/>
      <w:marLeft w:val="0"/>
      <w:marRight w:val="0"/>
      <w:marTop w:val="0"/>
      <w:marBottom w:val="0"/>
      <w:divBdr>
        <w:top w:val="none" w:sz="0" w:space="0" w:color="auto"/>
        <w:left w:val="none" w:sz="0" w:space="0" w:color="auto"/>
        <w:bottom w:val="none" w:sz="0" w:space="0" w:color="auto"/>
        <w:right w:val="none" w:sz="0" w:space="0" w:color="auto"/>
      </w:divBdr>
    </w:div>
    <w:div w:id="846752512">
      <w:bodyDiv w:val="1"/>
      <w:marLeft w:val="0"/>
      <w:marRight w:val="0"/>
      <w:marTop w:val="0"/>
      <w:marBottom w:val="0"/>
      <w:divBdr>
        <w:top w:val="none" w:sz="0" w:space="0" w:color="auto"/>
        <w:left w:val="none" w:sz="0" w:space="0" w:color="auto"/>
        <w:bottom w:val="none" w:sz="0" w:space="0" w:color="auto"/>
        <w:right w:val="none" w:sz="0" w:space="0" w:color="auto"/>
      </w:divBdr>
    </w:div>
    <w:div w:id="847795241">
      <w:bodyDiv w:val="1"/>
      <w:marLeft w:val="0"/>
      <w:marRight w:val="0"/>
      <w:marTop w:val="0"/>
      <w:marBottom w:val="0"/>
      <w:divBdr>
        <w:top w:val="none" w:sz="0" w:space="0" w:color="auto"/>
        <w:left w:val="none" w:sz="0" w:space="0" w:color="auto"/>
        <w:bottom w:val="none" w:sz="0" w:space="0" w:color="auto"/>
        <w:right w:val="none" w:sz="0" w:space="0" w:color="auto"/>
      </w:divBdr>
    </w:div>
    <w:div w:id="859010792">
      <w:bodyDiv w:val="1"/>
      <w:marLeft w:val="0"/>
      <w:marRight w:val="0"/>
      <w:marTop w:val="0"/>
      <w:marBottom w:val="0"/>
      <w:divBdr>
        <w:top w:val="none" w:sz="0" w:space="0" w:color="auto"/>
        <w:left w:val="none" w:sz="0" w:space="0" w:color="auto"/>
        <w:bottom w:val="none" w:sz="0" w:space="0" w:color="auto"/>
        <w:right w:val="none" w:sz="0" w:space="0" w:color="auto"/>
      </w:divBdr>
    </w:div>
    <w:div w:id="868951430">
      <w:bodyDiv w:val="1"/>
      <w:marLeft w:val="0"/>
      <w:marRight w:val="0"/>
      <w:marTop w:val="0"/>
      <w:marBottom w:val="0"/>
      <w:divBdr>
        <w:top w:val="none" w:sz="0" w:space="0" w:color="auto"/>
        <w:left w:val="none" w:sz="0" w:space="0" w:color="auto"/>
        <w:bottom w:val="none" w:sz="0" w:space="0" w:color="auto"/>
        <w:right w:val="none" w:sz="0" w:space="0" w:color="auto"/>
      </w:divBdr>
    </w:div>
    <w:div w:id="871302474">
      <w:bodyDiv w:val="1"/>
      <w:marLeft w:val="0"/>
      <w:marRight w:val="0"/>
      <w:marTop w:val="0"/>
      <w:marBottom w:val="0"/>
      <w:divBdr>
        <w:top w:val="none" w:sz="0" w:space="0" w:color="auto"/>
        <w:left w:val="none" w:sz="0" w:space="0" w:color="auto"/>
        <w:bottom w:val="none" w:sz="0" w:space="0" w:color="auto"/>
        <w:right w:val="none" w:sz="0" w:space="0" w:color="auto"/>
      </w:divBdr>
    </w:div>
    <w:div w:id="872693525">
      <w:bodyDiv w:val="1"/>
      <w:marLeft w:val="0"/>
      <w:marRight w:val="0"/>
      <w:marTop w:val="0"/>
      <w:marBottom w:val="0"/>
      <w:divBdr>
        <w:top w:val="none" w:sz="0" w:space="0" w:color="auto"/>
        <w:left w:val="none" w:sz="0" w:space="0" w:color="auto"/>
        <w:bottom w:val="none" w:sz="0" w:space="0" w:color="auto"/>
        <w:right w:val="none" w:sz="0" w:space="0" w:color="auto"/>
      </w:divBdr>
    </w:div>
    <w:div w:id="875701928">
      <w:bodyDiv w:val="1"/>
      <w:marLeft w:val="0"/>
      <w:marRight w:val="0"/>
      <w:marTop w:val="0"/>
      <w:marBottom w:val="0"/>
      <w:divBdr>
        <w:top w:val="none" w:sz="0" w:space="0" w:color="auto"/>
        <w:left w:val="none" w:sz="0" w:space="0" w:color="auto"/>
        <w:bottom w:val="none" w:sz="0" w:space="0" w:color="auto"/>
        <w:right w:val="none" w:sz="0" w:space="0" w:color="auto"/>
      </w:divBdr>
    </w:div>
    <w:div w:id="880048813">
      <w:bodyDiv w:val="1"/>
      <w:marLeft w:val="0"/>
      <w:marRight w:val="0"/>
      <w:marTop w:val="0"/>
      <w:marBottom w:val="0"/>
      <w:divBdr>
        <w:top w:val="none" w:sz="0" w:space="0" w:color="auto"/>
        <w:left w:val="none" w:sz="0" w:space="0" w:color="auto"/>
        <w:bottom w:val="none" w:sz="0" w:space="0" w:color="auto"/>
        <w:right w:val="none" w:sz="0" w:space="0" w:color="auto"/>
      </w:divBdr>
    </w:div>
    <w:div w:id="885797319">
      <w:bodyDiv w:val="1"/>
      <w:marLeft w:val="0"/>
      <w:marRight w:val="0"/>
      <w:marTop w:val="0"/>
      <w:marBottom w:val="0"/>
      <w:divBdr>
        <w:top w:val="none" w:sz="0" w:space="0" w:color="auto"/>
        <w:left w:val="none" w:sz="0" w:space="0" w:color="auto"/>
        <w:bottom w:val="none" w:sz="0" w:space="0" w:color="auto"/>
        <w:right w:val="none" w:sz="0" w:space="0" w:color="auto"/>
      </w:divBdr>
    </w:div>
    <w:div w:id="899943499">
      <w:bodyDiv w:val="1"/>
      <w:marLeft w:val="0"/>
      <w:marRight w:val="0"/>
      <w:marTop w:val="0"/>
      <w:marBottom w:val="0"/>
      <w:divBdr>
        <w:top w:val="none" w:sz="0" w:space="0" w:color="auto"/>
        <w:left w:val="none" w:sz="0" w:space="0" w:color="auto"/>
        <w:bottom w:val="none" w:sz="0" w:space="0" w:color="auto"/>
        <w:right w:val="none" w:sz="0" w:space="0" w:color="auto"/>
      </w:divBdr>
    </w:div>
    <w:div w:id="909852677">
      <w:bodyDiv w:val="1"/>
      <w:marLeft w:val="0"/>
      <w:marRight w:val="0"/>
      <w:marTop w:val="0"/>
      <w:marBottom w:val="0"/>
      <w:divBdr>
        <w:top w:val="none" w:sz="0" w:space="0" w:color="auto"/>
        <w:left w:val="none" w:sz="0" w:space="0" w:color="auto"/>
        <w:bottom w:val="none" w:sz="0" w:space="0" w:color="auto"/>
        <w:right w:val="none" w:sz="0" w:space="0" w:color="auto"/>
      </w:divBdr>
    </w:div>
    <w:div w:id="924531060">
      <w:bodyDiv w:val="1"/>
      <w:marLeft w:val="0"/>
      <w:marRight w:val="0"/>
      <w:marTop w:val="0"/>
      <w:marBottom w:val="0"/>
      <w:divBdr>
        <w:top w:val="none" w:sz="0" w:space="0" w:color="auto"/>
        <w:left w:val="none" w:sz="0" w:space="0" w:color="auto"/>
        <w:bottom w:val="none" w:sz="0" w:space="0" w:color="auto"/>
        <w:right w:val="none" w:sz="0" w:space="0" w:color="auto"/>
      </w:divBdr>
    </w:div>
    <w:div w:id="932013445">
      <w:bodyDiv w:val="1"/>
      <w:marLeft w:val="0"/>
      <w:marRight w:val="0"/>
      <w:marTop w:val="0"/>
      <w:marBottom w:val="0"/>
      <w:divBdr>
        <w:top w:val="none" w:sz="0" w:space="0" w:color="auto"/>
        <w:left w:val="none" w:sz="0" w:space="0" w:color="auto"/>
        <w:bottom w:val="none" w:sz="0" w:space="0" w:color="auto"/>
        <w:right w:val="none" w:sz="0" w:space="0" w:color="auto"/>
      </w:divBdr>
    </w:div>
    <w:div w:id="936863604">
      <w:bodyDiv w:val="1"/>
      <w:marLeft w:val="0"/>
      <w:marRight w:val="0"/>
      <w:marTop w:val="0"/>
      <w:marBottom w:val="0"/>
      <w:divBdr>
        <w:top w:val="none" w:sz="0" w:space="0" w:color="auto"/>
        <w:left w:val="none" w:sz="0" w:space="0" w:color="auto"/>
        <w:bottom w:val="none" w:sz="0" w:space="0" w:color="auto"/>
        <w:right w:val="none" w:sz="0" w:space="0" w:color="auto"/>
      </w:divBdr>
    </w:div>
    <w:div w:id="943079095">
      <w:bodyDiv w:val="1"/>
      <w:marLeft w:val="0"/>
      <w:marRight w:val="0"/>
      <w:marTop w:val="0"/>
      <w:marBottom w:val="0"/>
      <w:divBdr>
        <w:top w:val="none" w:sz="0" w:space="0" w:color="auto"/>
        <w:left w:val="none" w:sz="0" w:space="0" w:color="auto"/>
        <w:bottom w:val="none" w:sz="0" w:space="0" w:color="auto"/>
        <w:right w:val="none" w:sz="0" w:space="0" w:color="auto"/>
      </w:divBdr>
    </w:div>
    <w:div w:id="953751077">
      <w:bodyDiv w:val="1"/>
      <w:marLeft w:val="0"/>
      <w:marRight w:val="0"/>
      <w:marTop w:val="0"/>
      <w:marBottom w:val="0"/>
      <w:divBdr>
        <w:top w:val="none" w:sz="0" w:space="0" w:color="auto"/>
        <w:left w:val="none" w:sz="0" w:space="0" w:color="auto"/>
        <w:bottom w:val="none" w:sz="0" w:space="0" w:color="auto"/>
        <w:right w:val="none" w:sz="0" w:space="0" w:color="auto"/>
      </w:divBdr>
    </w:div>
    <w:div w:id="960652474">
      <w:bodyDiv w:val="1"/>
      <w:marLeft w:val="0"/>
      <w:marRight w:val="0"/>
      <w:marTop w:val="0"/>
      <w:marBottom w:val="0"/>
      <w:divBdr>
        <w:top w:val="none" w:sz="0" w:space="0" w:color="auto"/>
        <w:left w:val="none" w:sz="0" w:space="0" w:color="auto"/>
        <w:bottom w:val="none" w:sz="0" w:space="0" w:color="auto"/>
        <w:right w:val="none" w:sz="0" w:space="0" w:color="auto"/>
      </w:divBdr>
    </w:div>
    <w:div w:id="962423836">
      <w:bodyDiv w:val="1"/>
      <w:marLeft w:val="0"/>
      <w:marRight w:val="0"/>
      <w:marTop w:val="0"/>
      <w:marBottom w:val="0"/>
      <w:divBdr>
        <w:top w:val="none" w:sz="0" w:space="0" w:color="auto"/>
        <w:left w:val="none" w:sz="0" w:space="0" w:color="auto"/>
        <w:bottom w:val="none" w:sz="0" w:space="0" w:color="auto"/>
        <w:right w:val="none" w:sz="0" w:space="0" w:color="auto"/>
      </w:divBdr>
    </w:div>
    <w:div w:id="966396990">
      <w:bodyDiv w:val="1"/>
      <w:marLeft w:val="0"/>
      <w:marRight w:val="0"/>
      <w:marTop w:val="0"/>
      <w:marBottom w:val="0"/>
      <w:divBdr>
        <w:top w:val="none" w:sz="0" w:space="0" w:color="auto"/>
        <w:left w:val="none" w:sz="0" w:space="0" w:color="auto"/>
        <w:bottom w:val="none" w:sz="0" w:space="0" w:color="auto"/>
        <w:right w:val="none" w:sz="0" w:space="0" w:color="auto"/>
      </w:divBdr>
    </w:div>
    <w:div w:id="970786440">
      <w:bodyDiv w:val="1"/>
      <w:marLeft w:val="0"/>
      <w:marRight w:val="0"/>
      <w:marTop w:val="0"/>
      <w:marBottom w:val="0"/>
      <w:divBdr>
        <w:top w:val="none" w:sz="0" w:space="0" w:color="auto"/>
        <w:left w:val="none" w:sz="0" w:space="0" w:color="auto"/>
        <w:bottom w:val="none" w:sz="0" w:space="0" w:color="auto"/>
        <w:right w:val="none" w:sz="0" w:space="0" w:color="auto"/>
      </w:divBdr>
    </w:div>
    <w:div w:id="972949908">
      <w:bodyDiv w:val="1"/>
      <w:marLeft w:val="0"/>
      <w:marRight w:val="0"/>
      <w:marTop w:val="0"/>
      <w:marBottom w:val="0"/>
      <w:divBdr>
        <w:top w:val="none" w:sz="0" w:space="0" w:color="auto"/>
        <w:left w:val="none" w:sz="0" w:space="0" w:color="auto"/>
        <w:bottom w:val="none" w:sz="0" w:space="0" w:color="auto"/>
        <w:right w:val="none" w:sz="0" w:space="0" w:color="auto"/>
      </w:divBdr>
    </w:div>
    <w:div w:id="973675340">
      <w:bodyDiv w:val="1"/>
      <w:marLeft w:val="0"/>
      <w:marRight w:val="0"/>
      <w:marTop w:val="0"/>
      <w:marBottom w:val="0"/>
      <w:divBdr>
        <w:top w:val="none" w:sz="0" w:space="0" w:color="auto"/>
        <w:left w:val="none" w:sz="0" w:space="0" w:color="auto"/>
        <w:bottom w:val="none" w:sz="0" w:space="0" w:color="auto"/>
        <w:right w:val="none" w:sz="0" w:space="0" w:color="auto"/>
      </w:divBdr>
    </w:div>
    <w:div w:id="981472094">
      <w:bodyDiv w:val="1"/>
      <w:marLeft w:val="0"/>
      <w:marRight w:val="0"/>
      <w:marTop w:val="0"/>
      <w:marBottom w:val="0"/>
      <w:divBdr>
        <w:top w:val="none" w:sz="0" w:space="0" w:color="auto"/>
        <w:left w:val="none" w:sz="0" w:space="0" w:color="auto"/>
        <w:bottom w:val="none" w:sz="0" w:space="0" w:color="auto"/>
        <w:right w:val="none" w:sz="0" w:space="0" w:color="auto"/>
      </w:divBdr>
    </w:div>
    <w:div w:id="987367203">
      <w:bodyDiv w:val="1"/>
      <w:marLeft w:val="0"/>
      <w:marRight w:val="0"/>
      <w:marTop w:val="0"/>
      <w:marBottom w:val="0"/>
      <w:divBdr>
        <w:top w:val="none" w:sz="0" w:space="0" w:color="auto"/>
        <w:left w:val="none" w:sz="0" w:space="0" w:color="auto"/>
        <w:bottom w:val="none" w:sz="0" w:space="0" w:color="auto"/>
        <w:right w:val="none" w:sz="0" w:space="0" w:color="auto"/>
      </w:divBdr>
    </w:div>
    <w:div w:id="989749431">
      <w:bodyDiv w:val="1"/>
      <w:marLeft w:val="0"/>
      <w:marRight w:val="0"/>
      <w:marTop w:val="0"/>
      <w:marBottom w:val="0"/>
      <w:divBdr>
        <w:top w:val="none" w:sz="0" w:space="0" w:color="auto"/>
        <w:left w:val="none" w:sz="0" w:space="0" w:color="auto"/>
        <w:bottom w:val="none" w:sz="0" w:space="0" w:color="auto"/>
        <w:right w:val="none" w:sz="0" w:space="0" w:color="auto"/>
      </w:divBdr>
    </w:div>
    <w:div w:id="999581164">
      <w:bodyDiv w:val="1"/>
      <w:marLeft w:val="0"/>
      <w:marRight w:val="0"/>
      <w:marTop w:val="0"/>
      <w:marBottom w:val="0"/>
      <w:divBdr>
        <w:top w:val="none" w:sz="0" w:space="0" w:color="auto"/>
        <w:left w:val="none" w:sz="0" w:space="0" w:color="auto"/>
        <w:bottom w:val="none" w:sz="0" w:space="0" w:color="auto"/>
        <w:right w:val="none" w:sz="0" w:space="0" w:color="auto"/>
      </w:divBdr>
    </w:div>
    <w:div w:id="1000474311">
      <w:bodyDiv w:val="1"/>
      <w:marLeft w:val="0"/>
      <w:marRight w:val="0"/>
      <w:marTop w:val="0"/>
      <w:marBottom w:val="0"/>
      <w:divBdr>
        <w:top w:val="none" w:sz="0" w:space="0" w:color="auto"/>
        <w:left w:val="none" w:sz="0" w:space="0" w:color="auto"/>
        <w:bottom w:val="none" w:sz="0" w:space="0" w:color="auto"/>
        <w:right w:val="none" w:sz="0" w:space="0" w:color="auto"/>
      </w:divBdr>
    </w:div>
    <w:div w:id="1008290764">
      <w:bodyDiv w:val="1"/>
      <w:marLeft w:val="0"/>
      <w:marRight w:val="0"/>
      <w:marTop w:val="0"/>
      <w:marBottom w:val="0"/>
      <w:divBdr>
        <w:top w:val="none" w:sz="0" w:space="0" w:color="auto"/>
        <w:left w:val="none" w:sz="0" w:space="0" w:color="auto"/>
        <w:bottom w:val="none" w:sz="0" w:space="0" w:color="auto"/>
        <w:right w:val="none" w:sz="0" w:space="0" w:color="auto"/>
      </w:divBdr>
    </w:div>
    <w:div w:id="1011644656">
      <w:bodyDiv w:val="1"/>
      <w:marLeft w:val="0"/>
      <w:marRight w:val="0"/>
      <w:marTop w:val="0"/>
      <w:marBottom w:val="0"/>
      <w:divBdr>
        <w:top w:val="none" w:sz="0" w:space="0" w:color="auto"/>
        <w:left w:val="none" w:sz="0" w:space="0" w:color="auto"/>
        <w:bottom w:val="none" w:sz="0" w:space="0" w:color="auto"/>
        <w:right w:val="none" w:sz="0" w:space="0" w:color="auto"/>
      </w:divBdr>
    </w:div>
    <w:div w:id="1037119189">
      <w:bodyDiv w:val="1"/>
      <w:marLeft w:val="0"/>
      <w:marRight w:val="0"/>
      <w:marTop w:val="0"/>
      <w:marBottom w:val="0"/>
      <w:divBdr>
        <w:top w:val="none" w:sz="0" w:space="0" w:color="auto"/>
        <w:left w:val="none" w:sz="0" w:space="0" w:color="auto"/>
        <w:bottom w:val="none" w:sz="0" w:space="0" w:color="auto"/>
        <w:right w:val="none" w:sz="0" w:space="0" w:color="auto"/>
      </w:divBdr>
    </w:div>
    <w:div w:id="1040861902">
      <w:bodyDiv w:val="1"/>
      <w:marLeft w:val="0"/>
      <w:marRight w:val="0"/>
      <w:marTop w:val="0"/>
      <w:marBottom w:val="0"/>
      <w:divBdr>
        <w:top w:val="none" w:sz="0" w:space="0" w:color="auto"/>
        <w:left w:val="none" w:sz="0" w:space="0" w:color="auto"/>
        <w:bottom w:val="none" w:sz="0" w:space="0" w:color="auto"/>
        <w:right w:val="none" w:sz="0" w:space="0" w:color="auto"/>
      </w:divBdr>
    </w:div>
    <w:div w:id="1046105080">
      <w:bodyDiv w:val="1"/>
      <w:marLeft w:val="0"/>
      <w:marRight w:val="0"/>
      <w:marTop w:val="0"/>
      <w:marBottom w:val="0"/>
      <w:divBdr>
        <w:top w:val="none" w:sz="0" w:space="0" w:color="auto"/>
        <w:left w:val="none" w:sz="0" w:space="0" w:color="auto"/>
        <w:bottom w:val="none" w:sz="0" w:space="0" w:color="auto"/>
        <w:right w:val="none" w:sz="0" w:space="0" w:color="auto"/>
      </w:divBdr>
    </w:div>
    <w:div w:id="1049454577">
      <w:bodyDiv w:val="1"/>
      <w:marLeft w:val="0"/>
      <w:marRight w:val="0"/>
      <w:marTop w:val="0"/>
      <w:marBottom w:val="0"/>
      <w:divBdr>
        <w:top w:val="none" w:sz="0" w:space="0" w:color="auto"/>
        <w:left w:val="none" w:sz="0" w:space="0" w:color="auto"/>
        <w:bottom w:val="none" w:sz="0" w:space="0" w:color="auto"/>
        <w:right w:val="none" w:sz="0" w:space="0" w:color="auto"/>
      </w:divBdr>
    </w:div>
    <w:div w:id="1050302328">
      <w:bodyDiv w:val="1"/>
      <w:marLeft w:val="0"/>
      <w:marRight w:val="0"/>
      <w:marTop w:val="0"/>
      <w:marBottom w:val="0"/>
      <w:divBdr>
        <w:top w:val="none" w:sz="0" w:space="0" w:color="auto"/>
        <w:left w:val="none" w:sz="0" w:space="0" w:color="auto"/>
        <w:bottom w:val="none" w:sz="0" w:space="0" w:color="auto"/>
        <w:right w:val="none" w:sz="0" w:space="0" w:color="auto"/>
      </w:divBdr>
    </w:div>
    <w:div w:id="1053188833">
      <w:bodyDiv w:val="1"/>
      <w:marLeft w:val="0"/>
      <w:marRight w:val="0"/>
      <w:marTop w:val="0"/>
      <w:marBottom w:val="0"/>
      <w:divBdr>
        <w:top w:val="none" w:sz="0" w:space="0" w:color="auto"/>
        <w:left w:val="none" w:sz="0" w:space="0" w:color="auto"/>
        <w:bottom w:val="none" w:sz="0" w:space="0" w:color="auto"/>
        <w:right w:val="none" w:sz="0" w:space="0" w:color="auto"/>
      </w:divBdr>
    </w:div>
    <w:div w:id="1054696146">
      <w:bodyDiv w:val="1"/>
      <w:marLeft w:val="0"/>
      <w:marRight w:val="0"/>
      <w:marTop w:val="0"/>
      <w:marBottom w:val="0"/>
      <w:divBdr>
        <w:top w:val="none" w:sz="0" w:space="0" w:color="auto"/>
        <w:left w:val="none" w:sz="0" w:space="0" w:color="auto"/>
        <w:bottom w:val="none" w:sz="0" w:space="0" w:color="auto"/>
        <w:right w:val="none" w:sz="0" w:space="0" w:color="auto"/>
      </w:divBdr>
    </w:div>
    <w:div w:id="1065763036">
      <w:bodyDiv w:val="1"/>
      <w:marLeft w:val="0"/>
      <w:marRight w:val="0"/>
      <w:marTop w:val="0"/>
      <w:marBottom w:val="0"/>
      <w:divBdr>
        <w:top w:val="none" w:sz="0" w:space="0" w:color="auto"/>
        <w:left w:val="none" w:sz="0" w:space="0" w:color="auto"/>
        <w:bottom w:val="none" w:sz="0" w:space="0" w:color="auto"/>
        <w:right w:val="none" w:sz="0" w:space="0" w:color="auto"/>
      </w:divBdr>
    </w:div>
    <w:div w:id="1073090431">
      <w:bodyDiv w:val="1"/>
      <w:marLeft w:val="0"/>
      <w:marRight w:val="0"/>
      <w:marTop w:val="0"/>
      <w:marBottom w:val="0"/>
      <w:divBdr>
        <w:top w:val="none" w:sz="0" w:space="0" w:color="auto"/>
        <w:left w:val="none" w:sz="0" w:space="0" w:color="auto"/>
        <w:bottom w:val="none" w:sz="0" w:space="0" w:color="auto"/>
        <w:right w:val="none" w:sz="0" w:space="0" w:color="auto"/>
      </w:divBdr>
    </w:div>
    <w:div w:id="1073158895">
      <w:bodyDiv w:val="1"/>
      <w:marLeft w:val="0"/>
      <w:marRight w:val="0"/>
      <w:marTop w:val="0"/>
      <w:marBottom w:val="0"/>
      <w:divBdr>
        <w:top w:val="none" w:sz="0" w:space="0" w:color="auto"/>
        <w:left w:val="none" w:sz="0" w:space="0" w:color="auto"/>
        <w:bottom w:val="none" w:sz="0" w:space="0" w:color="auto"/>
        <w:right w:val="none" w:sz="0" w:space="0" w:color="auto"/>
      </w:divBdr>
    </w:div>
    <w:div w:id="1078747958">
      <w:bodyDiv w:val="1"/>
      <w:marLeft w:val="0"/>
      <w:marRight w:val="0"/>
      <w:marTop w:val="0"/>
      <w:marBottom w:val="0"/>
      <w:divBdr>
        <w:top w:val="none" w:sz="0" w:space="0" w:color="auto"/>
        <w:left w:val="none" w:sz="0" w:space="0" w:color="auto"/>
        <w:bottom w:val="none" w:sz="0" w:space="0" w:color="auto"/>
        <w:right w:val="none" w:sz="0" w:space="0" w:color="auto"/>
      </w:divBdr>
    </w:div>
    <w:div w:id="1090584892">
      <w:bodyDiv w:val="1"/>
      <w:marLeft w:val="0"/>
      <w:marRight w:val="0"/>
      <w:marTop w:val="0"/>
      <w:marBottom w:val="0"/>
      <w:divBdr>
        <w:top w:val="none" w:sz="0" w:space="0" w:color="auto"/>
        <w:left w:val="none" w:sz="0" w:space="0" w:color="auto"/>
        <w:bottom w:val="none" w:sz="0" w:space="0" w:color="auto"/>
        <w:right w:val="none" w:sz="0" w:space="0" w:color="auto"/>
      </w:divBdr>
    </w:div>
    <w:div w:id="1091856412">
      <w:bodyDiv w:val="1"/>
      <w:marLeft w:val="0"/>
      <w:marRight w:val="0"/>
      <w:marTop w:val="0"/>
      <w:marBottom w:val="0"/>
      <w:divBdr>
        <w:top w:val="none" w:sz="0" w:space="0" w:color="auto"/>
        <w:left w:val="none" w:sz="0" w:space="0" w:color="auto"/>
        <w:bottom w:val="none" w:sz="0" w:space="0" w:color="auto"/>
        <w:right w:val="none" w:sz="0" w:space="0" w:color="auto"/>
      </w:divBdr>
    </w:div>
    <w:div w:id="1094787005">
      <w:bodyDiv w:val="1"/>
      <w:marLeft w:val="0"/>
      <w:marRight w:val="0"/>
      <w:marTop w:val="0"/>
      <w:marBottom w:val="0"/>
      <w:divBdr>
        <w:top w:val="none" w:sz="0" w:space="0" w:color="auto"/>
        <w:left w:val="none" w:sz="0" w:space="0" w:color="auto"/>
        <w:bottom w:val="none" w:sz="0" w:space="0" w:color="auto"/>
        <w:right w:val="none" w:sz="0" w:space="0" w:color="auto"/>
      </w:divBdr>
    </w:div>
    <w:div w:id="1095200655">
      <w:bodyDiv w:val="1"/>
      <w:marLeft w:val="0"/>
      <w:marRight w:val="0"/>
      <w:marTop w:val="0"/>
      <w:marBottom w:val="0"/>
      <w:divBdr>
        <w:top w:val="none" w:sz="0" w:space="0" w:color="auto"/>
        <w:left w:val="none" w:sz="0" w:space="0" w:color="auto"/>
        <w:bottom w:val="none" w:sz="0" w:space="0" w:color="auto"/>
        <w:right w:val="none" w:sz="0" w:space="0" w:color="auto"/>
      </w:divBdr>
    </w:div>
    <w:div w:id="1096176705">
      <w:bodyDiv w:val="1"/>
      <w:marLeft w:val="0"/>
      <w:marRight w:val="0"/>
      <w:marTop w:val="0"/>
      <w:marBottom w:val="0"/>
      <w:divBdr>
        <w:top w:val="none" w:sz="0" w:space="0" w:color="auto"/>
        <w:left w:val="none" w:sz="0" w:space="0" w:color="auto"/>
        <w:bottom w:val="none" w:sz="0" w:space="0" w:color="auto"/>
        <w:right w:val="none" w:sz="0" w:space="0" w:color="auto"/>
      </w:divBdr>
    </w:div>
    <w:div w:id="1121344182">
      <w:bodyDiv w:val="1"/>
      <w:marLeft w:val="0"/>
      <w:marRight w:val="0"/>
      <w:marTop w:val="0"/>
      <w:marBottom w:val="0"/>
      <w:divBdr>
        <w:top w:val="none" w:sz="0" w:space="0" w:color="auto"/>
        <w:left w:val="none" w:sz="0" w:space="0" w:color="auto"/>
        <w:bottom w:val="none" w:sz="0" w:space="0" w:color="auto"/>
        <w:right w:val="none" w:sz="0" w:space="0" w:color="auto"/>
      </w:divBdr>
    </w:div>
    <w:div w:id="1121917543">
      <w:bodyDiv w:val="1"/>
      <w:marLeft w:val="0"/>
      <w:marRight w:val="0"/>
      <w:marTop w:val="0"/>
      <w:marBottom w:val="0"/>
      <w:divBdr>
        <w:top w:val="none" w:sz="0" w:space="0" w:color="auto"/>
        <w:left w:val="none" w:sz="0" w:space="0" w:color="auto"/>
        <w:bottom w:val="none" w:sz="0" w:space="0" w:color="auto"/>
        <w:right w:val="none" w:sz="0" w:space="0" w:color="auto"/>
      </w:divBdr>
    </w:div>
    <w:div w:id="1142847260">
      <w:bodyDiv w:val="1"/>
      <w:marLeft w:val="0"/>
      <w:marRight w:val="0"/>
      <w:marTop w:val="0"/>
      <w:marBottom w:val="0"/>
      <w:divBdr>
        <w:top w:val="none" w:sz="0" w:space="0" w:color="auto"/>
        <w:left w:val="none" w:sz="0" w:space="0" w:color="auto"/>
        <w:bottom w:val="none" w:sz="0" w:space="0" w:color="auto"/>
        <w:right w:val="none" w:sz="0" w:space="0" w:color="auto"/>
      </w:divBdr>
    </w:div>
    <w:div w:id="1145855865">
      <w:bodyDiv w:val="1"/>
      <w:marLeft w:val="0"/>
      <w:marRight w:val="0"/>
      <w:marTop w:val="0"/>
      <w:marBottom w:val="0"/>
      <w:divBdr>
        <w:top w:val="none" w:sz="0" w:space="0" w:color="auto"/>
        <w:left w:val="none" w:sz="0" w:space="0" w:color="auto"/>
        <w:bottom w:val="none" w:sz="0" w:space="0" w:color="auto"/>
        <w:right w:val="none" w:sz="0" w:space="0" w:color="auto"/>
      </w:divBdr>
    </w:div>
    <w:div w:id="1159495146">
      <w:bodyDiv w:val="1"/>
      <w:marLeft w:val="0"/>
      <w:marRight w:val="0"/>
      <w:marTop w:val="0"/>
      <w:marBottom w:val="0"/>
      <w:divBdr>
        <w:top w:val="none" w:sz="0" w:space="0" w:color="auto"/>
        <w:left w:val="none" w:sz="0" w:space="0" w:color="auto"/>
        <w:bottom w:val="none" w:sz="0" w:space="0" w:color="auto"/>
        <w:right w:val="none" w:sz="0" w:space="0" w:color="auto"/>
      </w:divBdr>
    </w:div>
    <w:div w:id="1164514788">
      <w:bodyDiv w:val="1"/>
      <w:marLeft w:val="0"/>
      <w:marRight w:val="0"/>
      <w:marTop w:val="0"/>
      <w:marBottom w:val="0"/>
      <w:divBdr>
        <w:top w:val="none" w:sz="0" w:space="0" w:color="auto"/>
        <w:left w:val="none" w:sz="0" w:space="0" w:color="auto"/>
        <w:bottom w:val="none" w:sz="0" w:space="0" w:color="auto"/>
        <w:right w:val="none" w:sz="0" w:space="0" w:color="auto"/>
      </w:divBdr>
    </w:div>
    <w:div w:id="1166435542">
      <w:bodyDiv w:val="1"/>
      <w:marLeft w:val="0"/>
      <w:marRight w:val="0"/>
      <w:marTop w:val="0"/>
      <w:marBottom w:val="0"/>
      <w:divBdr>
        <w:top w:val="none" w:sz="0" w:space="0" w:color="auto"/>
        <w:left w:val="none" w:sz="0" w:space="0" w:color="auto"/>
        <w:bottom w:val="none" w:sz="0" w:space="0" w:color="auto"/>
        <w:right w:val="none" w:sz="0" w:space="0" w:color="auto"/>
      </w:divBdr>
    </w:div>
    <w:div w:id="1169978526">
      <w:bodyDiv w:val="1"/>
      <w:marLeft w:val="0"/>
      <w:marRight w:val="0"/>
      <w:marTop w:val="0"/>
      <w:marBottom w:val="0"/>
      <w:divBdr>
        <w:top w:val="none" w:sz="0" w:space="0" w:color="auto"/>
        <w:left w:val="none" w:sz="0" w:space="0" w:color="auto"/>
        <w:bottom w:val="none" w:sz="0" w:space="0" w:color="auto"/>
        <w:right w:val="none" w:sz="0" w:space="0" w:color="auto"/>
      </w:divBdr>
    </w:div>
    <w:div w:id="1176656854">
      <w:bodyDiv w:val="1"/>
      <w:marLeft w:val="0"/>
      <w:marRight w:val="0"/>
      <w:marTop w:val="0"/>
      <w:marBottom w:val="0"/>
      <w:divBdr>
        <w:top w:val="none" w:sz="0" w:space="0" w:color="auto"/>
        <w:left w:val="none" w:sz="0" w:space="0" w:color="auto"/>
        <w:bottom w:val="none" w:sz="0" w:space="0" w:color="auto"/>
        <w:right w:val="none" w:sz="0" w:space="0" w:color="auto"/>
      </w:divBdr>
    </w:div>
    <w:div w:id="1186559850">
      <w:bodyDiv w:val="1"/>
      <w:marLeft w:val="0"/>
      <w:marRight w:val="0"/>
      <w:marTop w:val="0"/>
      <w:marBottom w:val="0"/>
      <w:divBdr>
        <w:top w:val="none" w:sz="0" w:space="0" w:color="auto"/>
        <w:left w:val="none" w:sz="0" w:space="0" w:color="auto"/>
        <w:bottom w:val="none" w:sz="0" w:space="0" w:color="auto"/>
        <w:right w:val="none" w:sz="0" w:space="0" w:color="auto"/>
      </w:divBdr>
    </w:div>
    <w:div w:id="1195728756">
      <w:bodyDiv w:val="1"/>
      <w:marLeft w:val="0"/>
      <w:marRight w:val="0"/>
      <w:marTop w:val="0"/>
      <w:marBottom w:val="0"/>
      <w:divBdr>
        <w:top w:val="none" w:sz="0" w:space="0" w:color="auto"/>
        <w:left w:val="none" w:sz="0" w:space="0" w:color="auto"/>
        <w:bottom w:val="none" w:sz="0" w:space="0" w:color="auto"/>
        <w:right w:val="none" w:sz="0" w:space="0" w:color="auto"/>
      </w:divBdr>
    </w:div>
    <w:div w:id="1198541235">
      <w:bodyDiv w:val="1"/>
      <w:marLeft w:val="0"/>
      <w:marRight w:val="0"/>
      <w:marTop w:val="0"/>
      <w:marBottom w:val="0"/>
      <w:divBdr>
        <w:top w:val="none" w:sz="0" w:space="0" w:color="auto"/>
        <w:left w:val="none" w:sz="0" w:space="0" w:color="auto"/>
        <w:bottom w:val="none" w:sz="0" w:space="0" w:color="auto"/>
        <w:right w:val="none" w:sz="0" w:space="0" w:color="auto"/>
      </w:divBdr>
    </w:div>
    <w:div w:id="1200053271">
      <w:bodyDiv w:val="1"/>
      <w:marLeft w:val="0"/>
      <w:marRight w:val="0"/>
      <w:marTop w:val="0"/>
      <w:marBottom w:val="0"/>
      <w:divBdr>
        <w:top w:val="none" w:sz="0" w:space="0" w:color="auto"/>
        <w:left w:val="none" w:sz="0" w:space="0" w:color="auto"/>
        <w:bottom w:val="none" w:sz="0" w:space="0" w:color="auto"/>
        <w:right w:val="none" w:sz="0" w:space="0" w:color="auto"/>
      </w:divBdr>
    </w:div>
    <w:div w:id="1207067739">
      <w:bodyDiv w:val="1"/>
      <w:marLeft w:val="0"/>
      <w:marRight w:val="0"/>
      <w:marTop w:val="0"/>
      <w:marBottom w:val="0"/>
      <w:divBdr>
        <w:top w:val="none" w:sz="0" w:space="0" w:color="auto"/>
        <w:left w:val="none" w:sz="0" w:space="0" w:color="auto"/>
        <w:bottom w:val="none" w:sz="0" w:space="0" w:color="auto"/>
        <w:right w:val="none" w:sz="0" w:space="0" w:color="auto"/>
      </w:divBdr>
    </w:div>
    <w:div w:id="1212691571">
      <w:bodyDiv w:val="1"/>
      <w:marLeft w:val="0"/>
      <w:marRight w:val="0"/>
      <w:marTop w:val="0"/>
      <w:marBottom w:val="0"/>
      <w:divBdr>
        <w:top w:val="none" w:sz="0" w:space="0" w:color="auto"/>
        <w:left w:val="none" w:sz="0" w:space="0" w:color="auto"/>
        <w:bottom w:val="none" w:sz="0" w:space="0" w:color="auto"/>
        <w:right w:val="none" w:sz="0" w:space="0" w:color="auto"/>
      </w:divBdr>
    </w:div>
    <w:div w:id="1213230756">
      <w:bodyDiv w:val="1"/>
      <w:marLeft w:val="0"/>
      <w:marRight w:val="0"/>
      <w:marTop w:val="0"/>
      <w:marBottom w:val="0"/>
      <w:divBdr>
        <w:top w:val="none" w:sz="0" w:space="0" w:color="auto"/>
        <w:left w:val="none" w:sz="0" w:space="0" w:color="auto"/>
        <w:bottom w:val="none" w:sz="0" w:space="0" w:color="auto"/>
        <w:right w:val="none" w:sz="0" w:space="0" w:color="auto"/>
      </w:divBdr>
    </w:div>
    <w:div w:id="1214972299">
      <w:bodyDiv w:val="1"/>
      <w:marLeft w:val="0"/>
      <w:marRight w:val="0"/>
      <w:marTop w:val="0"/>
      <w:marBottom w:val="0"/>
      <w:divBdr>
        <w:top w:val="none" w:sz="0" w:space="0" w:color="auto"/>
        <w:left w:val="none" w:sz="0" w:space="0" w:color="auto"/>
        <w:bottom w:val="none" w:sz="0" w:space="0" w:color="auto"/>
        <w:right w:val="none" w:sz="0" w:space="0" w:color="auto"/>
      </w:divBdr>
    </w:div>
    <w:div w:id="1219441627">
      <w:bodyDiv w:val="1"/>
      <w:marLeft w:val="0"/>
      <w:marRight w:val="0"/>
      <w:marTop w:val="0"/>
      <w:marBottom w:val="0"/>
      <w:divBdr>
        <w:top w:val="none" w:sz="0" w:space="0" w:color="auto"/>
        <w:left w:val="none" w:sz="0" w:space="0" w:color="auto"/>
        <w:bottom w:val="none" w:sz="0" w:space="0" w:color="auto"/>
        <w:right w:val="none" w:sz="0" w:space="0" w:color="auto"/>
      </w:divBdr>
    </w:div>
    <w:div w:id="1226794725">
      <w:bodyDiv w:val="1"/>
      <w:marLeft w:val="0"/>
      <w:marRight w:val="0"/>
      <w:marTop w:val="0"/>
      <w:marBottom w:val="0"/>
      <w:divBdr>
        <w:top w:val="none" w:sz="0" w:space="0" w:color="auto"/>
        <w:left w:val="none" w:sz="0" w:space="0" w:color="auto"/>
        <w:bottom w:val="none" w:sz="0" w:space="0" w:color="auto"/>
        <w:right w:val="none" w:sz="0" w:space="0" w:color="auto"/>
      </w:divBdr>
    </w:div>
    <w:div w:id="1229800472">
      <w:bodyDiv w:val="1"/>
      <w:marLeft w:val="0"/>
      <w:marRight w:val="0"/>
      <w:marTop w:val="0"/>
      <w:marBottom w:val="0"/>
      <w:divBdr>
        <w:top w:val="none" w:sz="0" w:space="0" w:color="auto"/>
        <w:left w:val="none" w:sz="0" w:space="0" w:color="auto"/>
        <w:bottom w:val="none" w:sz="0" w:space="0" w:color="auto"/>
        <w:right w:val="none" w:sz="0" w:space="0" w:color="auto"/>
      </w:divBdr>
    </w:div>
    <w:div w:id="1234048309">
      <w:bodyDiv w:val="1"/>
      <w:marLeft w:val="0"/>
      <w:marRight w:val="0"/>
      <w:marTop w:val="0"/>
      <w:marBottom w:val="0"/>
      <w:divBdr>
        <w:top w:val="none" w:sz="0" w:space="0" w:color="auto"/>
        <w:left w:val="none" w:sz="0" w:space="0" w:color="auto"/>
        <w:bottom w:val="none" w:sz="0" w:space="0" w:color="auto"/>
        <w:right w:val="none" w:sz="0" w:space="0" w:color="auto"/>
      </w:divBdr>
    </w:div>
    <w:div w:id="1239947585">
      <w:bodyDiv w:val="1"/>
      <w:marLeft w:val="0"/>
      <w:marRight w:val="0"/>
      <w:marTop w:val="0"/>
      <w:marBottom w:val="0"/>
      <w:divBdr>
        <w:top w:val="none" w:sz="0" w:space="0" w:color="auto"/>
        <w:left w:val="none" w:sz="0" w:space="0" w:color="auto"/>
        <w:bottom w:val="none" w:sz="0" w:space="0" w:color="auto"/>
        <w:right w:val="none" w:sz="0" w:space="0" w:color="auto"/>
      </w:divBdr>
    </w:div>
    <w:div w:id="1248811998">
      <w:bodyDiv w:val="1"/>
      <w:marLeft w:val="0"/>
      <w:marRight w:val="0"/>
      <w:marTop w:val="0"/>
      <w:marBottom w:val="0"/>
      <w:divBdr>
        <w:top w:val="none" w:sz="0" w:space="0" w:color="auto"/>
        <w:left w:val="none" w:sz="0" w:space="0" w:color="auto"/>
        <w:bottom w:val="none" w:sz="0" w:space="0" w:color="auto"/>
        <w:right w:val="none" w:sz="0" w:space="0" w:color="auto"/>
      </w:divBdr>
    </w:div>
    <w:div w:id="1249656812">
      <w:bodyDiv w:val="1"/>
      <w:marLeft w:val="0"/>
      <w:marRight w:val="0"/>
      <w:marTop w:val="0"/>
      <w:marBottom w:val="0"/>
      <w:divBdr>
        <w:top w:val="none" w:sz="0" w:space="0" w:color="auto"/>
        <w:left w:val="none" w:sz="0" w:space="0" w:color="auto"/>
        <w:bottom w:val="none" w:sz="0" w:space="0" w:color="auto"/>
        <w:right w:val="none" w:sz="0" w:space="0" w:color="auto"/>
      </w:divBdr>
    </w:div>
    <w:div w:id="1254167971">
      <w:bodyDiv w:val="1"/>
      <w:marLeft w:val="0"/>
      <w:marRight w:val="0"/>
      <w:marTop w:val="0"/>
      <w:marBottom w:val="0"/>
      <w:divBdr>
        <w:top w:val="none" w:sz="0" w:space="0" w:color="auto"/>
        <w:left w:val="none" w:sz="0" w:space="0" w:color="auto"/>
        <w:bottom w:val="none" w:sz="0" w:space="0" w:color="auto"/>
        <w:right w:val="none" w:sz="0" w:space="0" w:color="auto"/>
      </w:divBdr>
    </w:div>
    <w:div w:id="1260717389">
      <w:bodyDiv w:val="1"/>
      <w:marLeft w:val="0"/>
      <w:marRight w:val="0"/>
      <w:marTop w:val="0"/>
      <w:marBottom w:val="0"/>
      <w:divBdr>
        <w:top w:val="none" w:sz="0" w:space="0" w:color="auto"/>
        <w:left w:val="none" w:sz="0" w:space="0" w:color="auto"/>
        <w:bottom w:val="none" w:sz="0" w:space="0" w:color="auto"/>
        <w:right w:val="none" w:sz="0" w:space="0" w:color="auto"/>
      </w:divBdr>
    </w:div>
    <w:div w:id="1261523078">
      <w:bodyDiv w:val="1"/>
      <w:marLeft w:val="0"/>
      <w:marRight w:val="0"/>
      <w:marTop w:val="0"/>
      <w:marBottom w:val="0"/>
      <w:divBdr>
        <w:top w:val="none" w:sz="0" w:space="0" w:color="auto"/>
        <w:left w:val="none" w:sz="0" w:space="0" w:color="auto"/>
        <w:bottom w:val="none" w:sz="0" w:space="0" w:color="auto"/>
        <w:right w:val="none" w:sz="0" w:space="0" w:color="auto"/>
      </w:divBdr>
    </w:div>
    <w:div w:id="1261600151">
      <w:bodyDiv w:val="1"/>
      <w:marLeft w:val="0"/>
      <w:marRight w:val="0"/>
      <w:marTop w:val="0"/>
      <w:marBottom w:val="0"/>
      <w:divBdr>
        <w:top w:val="none" w:sz="0" w:space="0" w:color="auto"/>
        <w:left w:val="none" w:sz="0" w:space="0" w:color="auto"/>
        <w:bottom w:val="none" w:sz="0" w:space="0" w:color="auto"/>
        <w:right w:val="none" w:sz="0" w:space="0" w:color="auto"/>
      </w:divBdr>
    </w:div>
    <w:div w:id="1261794045">
      <w:bodyDiv w:val="1"/>
      <w:marLeft w:val="0"/>
      <w:marRight w:val="0"/>
      <w:marTop w:val="0"/>
      <w:marBottom w:val="0"/>
      <w:divBdr>
        <w:top w:val="none" w:sz="0" w:space="0" w:color="auto"/>
        <w:left w:val="none" w:sz="0" w:space="0" w:color="auto"/>
        <w:bottom w:val="none" w:sz="0" w:space="0" w:color="auto"/>
        <w:right w:val="none" w:sz="0" w:space="0" w:color="auto"/>
      </w:divBdr>
    </w:div>
    <w:div w:id="1262761764">
      <w:bodyDiv w:val="1"/>
      <w:marLeft w:val="0"/>
      <w:marRight w:val="0"/>
      <w:marTop w:val="0"/>
      <w:marBottom w:val="0"/>
      <w:divBdr>
        <w:top w:val="none" w:sz="0" w:space="0" w:color="auto"/>
        <w:left w:val="none" w:sz="0" w:space="0" w:color="auto"/>
        <w:bottom w:val="none" w:sz="0" w:space="0" w:color="auto"/>
        <w:right w:val="none" w:sz="0" w:space="0" w:color="auto"/>
      </w:divBdr>
    </w:div>
    <w:div w:id="1274752154">
      <w:bodyDiv w:val="1"/>
      <w:marLeft w:val="0"/>
      <w:marRight w:val="0"/>
      <w:marTop w:val="0"/>
      <w:marBottom w:val="0"/>
      <w:divBdr>
        <w:top w:val="none" w:sz="0" w:space="0" w:color="auto"/>
        <w:left w:val="none" w:sz="0" w:space="0" w:color="auto"/>
        <w:bottom w:val="none" w:sz="0" w:space="0" w:color="auto"/>
        <w:right w:val="none" w:sz="0" w:space="0" w:color="auto"/>
      </w:divBdr>
    </w:div>
    <w:div w:id="1275985928">
      <w:bodyDiv w:val="1"/>
      <w:marLeft w:val="0"/>
      <w:marRight w:val="0"/>
      <w:marTop w:val="0"/>
      <w:marBottom w:val="0"/>
      <w:divBdr>
        <w:top w:val="none" w:sz="0" w:space="0" w:color="auto"/>
        <w:left w:val="none" w:sz="0" w:space="0" w:color="auto"/>
        <w:bottom w:val="none" w:sz="0" w:space="0" w:color="auto"/>
        <w:right w:val="none" w:sz="0" w:space="0" w:color="auto"/>
      </w:divBdr>
    </w:div>
    <w:div w:id="1290435556">
      <w:bodyDiv w:val="1"/>
      <w:marLeft w:val="0"/>
      <w:marRight w:val="0"/>
      <w:marTop w:val="0"/>
      <w:marBottom w:val="0"/>
      <w:divBdr>
        <w:top w:val="none" w:sz="0" w:space="0" w:color="auto"/>
        <w:left w:val="none" w:sz="0" w:space="0" w:color="auto"/>
        <w:bottom w:val="none" w:sz="0" w:space="0" w:color="auto"/>
        <w:right w:val="none" w:sz="0" w:space="0" w:color="auto"/>
      </w:divBdr>
    </w:div>
    <w:div w:id="1291859941">
      <w:bodyDiv w:val="1"/>
      <w:marLeft w:val="0"/>
      <w:marRight w:val="0"/>
      <w:marTop w:val="0"/>
      <w:marBottom w:val="0"/>
      <w:divBdr>
        <w:top w:val="none" w:sz="0" w:space="0" w:color="auto"/>
        <w:left w:val="none" w:sz="0" w:space="0" w:color="auto"/>
        <w:bottom w:val="none" w:sz="0" w:space="0" w:color="auto"/>
        <w:right w:val="none" w:sz="0" w:space="0" w:color="auto"/>
      </w:divBdr>
    </w:div>
    <w:div w:id="1293056909">
      <w:bodyDiv w:val="1"/>
      <w:marLeft w:val="0"/>
      <w:marRight w:val="0"/>
      <w:marTop w:val="0"/>
      <w:marBottom w:val="0"/>
      <w:divBdr>
        <w:top w:val="none" w:sz="0" w:space="0" w:color="auto"/>
        <w:left w:val="none" w:sz="0" w:space="0" w:color="auto"/>
        <w:bottom w:val="none" w:sz="0" w:space="0" w:color="auto"/>
        <w:right w:val="none" w:sz="0" w:space="0" w:color="auto"/>
      </w:divBdr>
    </w:div>
    <w:div w:id="1296718772">
      <w:bodyDiv w:val="1"/>
      <w:marLeft w:val="0"/>
      <w:marRight w:val="0"/>
      <w:marTop w:val="0"/>
      <w:marBottom w:val="0"/>
      <w:divBdr>
        <w:top w:val="none" w:sz="0" w:space="0" w:color="auto"/>
        <w:left w:val="none" w:sz="0" w:space="0" w:color="auto"/>
        <w:bottom w:val="none" w:sz="0" w:space="0" w:color="auto"/>
        <w:right w:val="none" w:sz="0" w:space="0" w:color="auto"/>
      </w:divBdr>
    </w:div>
    <w:div w:id="1299455872">
      <w:bodyDiv w:val="1"/>
      <w:marLeft w:val="0"/>
      <w:marRight w:val="0"/>
      <w:marTop w:val="0"/>
      <w:marBottom w:val="0"/>
      <w:divBdr>
        <w:top w:val="none" w:sz="0" w:space="0" w:color="auto"/>
        <w:left w:val="none" w:sz="0" w:space="0" w:color="auto"/>
        <w:bottom w:val="none" w:sz="0" w:space="0" w:color="auto"/>
        <w:right w:val="none" w:sz="0" w:space="0" w:color="auto"/>
      </w:divBdr>
    </w:div>
    <w:div w:id="1300186986">
      <w:bodyDiv w:val="1"/>
      <w:marLeft w:val="0"/>
      <w:marRight w:val="0"/>
      <w:marTop w:val="0"/>
      <w:marBottom w:val="0"/>
      <w:divBdr>
        <w:top w:val="none" w:sz="0" w:space="0" w:color="auto"/>
        <w:left w:val="none" w:sz="0" w:space="0" w:color="auto"/>
        <w:bottom w:val="none" w:sz="0" w:space="0" w:color="auto"/>
        <w:right w:val="none" w:sz="0" w:space="0" w:color="auto"/>
      </w:divBdr>
    </w:div>
    <w:div w:id="1300920507">
      <w:bodyDiv w:val="1"/>
      <w:marLeft w:val="0"/>
      <w:marRight w:val="0"/>
      <w:marTop w:val="0"/>
      <w:marBottom w:val="0"/>
      <w:divBdr>
        <w:top w:val="none" w:sz="0" w:space="0" w:color="auto"/>
        <w:left w:val="none" w:sz="0" w:space="0" w:color="auto"/>
        <w:bottom w:val="none" w:sz="0" w:space="0" w:color="auto"/>
        <w:right w:val="none" w:sz="0" w:space="0" w:color="auto"/>
      </w:divBdr>
    </w:div>
    <w:div w:id="1302419986">
      <w:bodyDiv w:val="1"/>
      <w:marLeft w:val="0"/>
      <w:marRight w:val="0"/>
      <w:marTop w:val="0"/>
      <w:marBottom w:val="0"/>
      <w:divBdr>
        <w:top w:val="none" w:sz="0" w:space="0" w:color="auto"/>
        <w:left w:val="none" w:sz="0" w:space="0" w:color="auto"/>
        <w:bottom w:val="none" w:sz="0" w:space="0" w:color="auto"/>
        <w:right w:val="none" w:sz="0" w:space="0" w:color="auto"/>
      </w:divBdr>
    </w:div>
    <w:div w:id="1304844597">
      <w:bodyDiv w:val="1"/>
      <w:marLeft w:val="0"/>
      <w:marRight w:val="0"/>
      <w:marTop w:val="0"/>
      <w:marBottom w:val="0"/>
      <w:divBdr>
        <w:top w:val="none" w:sz="0" w:space="0" w:color="auto"/>
        <w:left w:val="none" w:sz="0" w:space="0" w:color="auto"/>
        <w:bottom w:val="none" w:sz="0" w:space="0" w:color="auto"/>
        <w:right w:val="none" w:sz="0" w:space="0" w:color="auto"/>
      </w:divBdr>
    </w:div>
    <w:div w:id="1312756721">
      <w:bodyDiv w:val="1"/>
      <w:marLeft w:val="0"/>
      <w:marRight w:val="0"/>
      <w:marTop w:val="0"/>
      <w:marBottom w:val="0"/>
      <w:divBdr>
        <w:top w:val="none" w:sz="0" w:space="0" w:color="auto"/>
        <w:left w:val="none" w:sz="0" w:space="0" w:color="auto"/>
        <w:bottom w:val="none" w:sz="0" w:space="0" w:color="auto"/>
        <w:right w:val="none" w:sz="0" w:space="0" w:color="auto"/>
      </w:divBdr>
    </w:div>
    <w:div w:id="1326279280">
      <w:bodyDiv w:val="1"/>
      <w:marLeft w:val="0"/>
      <w:marRight w:val="0"/>
      <w:marTop w:val="0"/>
      <w:marBottom w:val="0"/>
      <w:divBdr>
        <w:top w:val="none" w:sz="0" w:space="0" w:color="auto"/>
        <w:left w:val="none" w:sz="0" w:space="0" w:color="auto"/>
        <w:bottom w:val="none" w:sz="0" w:space="0" w:color="auto"/>
        <w:right w:val="none" w:sz="0" w:space="0" w:color="auto"/>
      </w:divBdr>
    </w:div>
    <w:div w:id="1327440088">
      <w:bodyDiv w:val="1"/>
      <w:marLeft w:val="0"/>
      <w:marRight w:val="0"/>
      <w:marTop w:val="0"/>
      <w:marBottom w:val="0"/>
      <w:divBdr>
        <w:top w:val="none" w:sz="0" w:space="0" w:color="auto"/>
        <w:left w:val="none" w:sz="0" w:space="0" w:color="auto"/>
        <w:bottom w:val="none" w:sz="0" w:space="0" w:color="auto"/>
        <w:right w:val="none" w:sz="0" w:space="0" w:color="auto"/>
      </w:divBdr>
    </w:div>
    <w:div w:id="1342467815">
      <w:bodyDiv w:val="1"/>
      <w:marLeft w:val="0"/>
      <w:marRight w:val="0"/>
      <w:marTop w:val="0"/>
      <w:marBottom w:val="0"/>
      <w:divBdr>
        <w:top w:val="none" w:sz="0" w:space="0" w:color="auto"/>
        <w:left w:val="none" w:sz="0" w:space="0" w:color="auto"/>
        <w:bottom w:val="none" w:sz="0" w:space="0" w:color="auto"/>
        <w:right w:val="none" w:sz="0" w:space="0" w:color="auto"/>
      </w:divBdr>
    </w:div>
    <w:div w:id="1343511698">
      <w:bodyDiv w:val="1"/>
      <w:marLeft w:val="0"/>
      <w:marRight w:val="0"/>
      <w:marTop w:val="0"/>
      <w:marBottom w:val="0"/>
      <w:divBdr>
        <w:top w:val="none" w:sz="0" w:space="0" w:color="auto"/>
        <w:left w:val="none" w:sz="0" w:space="0" w:color="auto"/>
        <w:bottom w:val="none" w:sz="0" w:space="0" w:color="auto"/>
        <w:right w:val="none" w:sz="0" w:space="0" w:color="auto"/>
      </w:divBdr>
    </w:div>
    <w:div w:id="1346009792">
      <w:bodyDiv w:val="1"/>
      <w:marLeft w:val="0"/>
      <w:marRight w:val="0"/>
      <w:marTop w:val="0"/>
      <w:marBottom w:val="0"/>
      <w:divBdr>
        <w:top w:val="none" w:sz="0" w:space="0" w:color="auto"/>
        <w:left w:val="none" w:sz="0" w:space="0" w:color="auto"/>
        <w:bottom w:val="none" w:sz="0" w:space="0" w:color="auto"/>
        <w:right w:val="none" w:sz="0" w:space="0" w:color="auto"/>
      </w:divBdr>
    </w:div>
    <w:div w:id="1350595238">
      <w:bodyDiv w:val="1"/>
      <w:marLeft w:val="0"/>
      <w:marRight w:val="0"/>
      <w:marTop w:val="0"/>
      <w:marBottom w:val="0"/>
      <w:divBdr>
        <w:top w:val="none" w:sz="0" w:space="0" w:color="auto"/>
        <w:left w:val="none" w:sz="0" w:space="0" w:color="auto"/>
        <w:bottom w:val="none" w:sz="0" w:space="0" w:color="auto"/>
        <w:right w:val="none" w:sz="0" w:space="0" w:color="auto"/>
      </w:divBdr>
    </w:div>
    <w:div w:id="1371029658">
      <w:bodyDiv w:val="1"/>
      <w:marLeft w:val="0"/>
      <w:marRight w:val="0"/>
      <w:marTop w:val="0"/>
      <w:marBottom w:val="0"/>
      <w:divBdr>
        <w:top w:val="none" w:sz="0" w:space="0" w:color="auto"/>
        <w:left w:val="none" w:sz="0" w:space="0" w:color="auto"/>
        <w:bottom w:val="none" w:sz="0" w:space="0" w:color="auto"/>
        <w:right w:val="none" w:sz="0" w:space="0" w:color="auto"/>
      </w:divBdr>
    </w:div>
    <w:div w:id="1378091675">
      <w:bodyDiv w:val="1"/>
      <w:marLeft w:val="0"/>
      <w:marRight w:val="0"/>
      <w:marTop w:val="0"/>
      <w:marBottom w:val="0"/>
      <w:divBdr>
        <w:top w:val="none" w:sz="0" w:space="0" w:color="auto"/>
        <w:left w:val="none" w:sz="0" w:space="0" w:color="auto"/>
        <w:bottom w:val="none" w:sz="0" w:space="0" w:color="auto"/>
        <w:right w:val="none" w:sz="0" w:space="0" w:color="auto"/>
      </w:divBdr>
    </w:div>
    <w:div w:id="1385255244">
      <w:bodyDiv w:val="1"/>
      <w:marLeft w:val="0"/>
      <w:marRight w:val="0"/>
      <w:marTop w:val="0"/>
      <w:marBottom w:val="0"/>
      <w:divBdr>
        <w:top w:val="none" w:sz="0" w:space="0" w:color="auto"/>
        <w:left w:val="none" w:sz="0" w:space="0" w:color="auto"/>
        <w:bottom w:val="none" w:sz="0" w:space="0" w:color="auto"/>
        <w:right w:val="none" w:sz="0" w:space="0" w:color="auto"/>
      </w:divBdr>
    </w:div>
    <w:div w:id="1393311907">
      <w:bodyDiv w:val="1"/>
      <w:marLeft w:val="0"/>
      <w:marRight w:val="0"/>
      <w:marTop w:val="0"/>
      <w:marBottom w:val="0"/>
      <w:divBdr>
        <w:top w:val="none" w:sz="0" w:space="0" w:color="auto"/>
        <w:left w:val="none" w:sz="0" w:space="0" w:color="auto"/>
        <w:bottom w:val="none" w:sz="0" w:space="0" w:color="auto"/>
        <w:right w:val="none" w:sz="0" w:space="0" w:color="auto"/>
      </w:divBdr>
    </w:div>
    <w:div w:id="1396658489">
      <w:bodyDiv w:val="1"/>
      <w:marLeft w:val="0"/>
      <w:marRight w:val="0"/>
      <w:marTop w:val="0"/>
      <w:marBottom w:val="0"/>
      <w:divBdr>
        <w:top w:val="none" w:sz="0" w:space="0" w:color="auto"/>
        <w:left w:val="none" w:sz="0" w:space="0" w:color="auto"/>
        <w:bottom w:val="none" w:sz="0" w:space="0" w:color="auto"/>
        <w:right w:val="none" w:sz="0" w:space="0" w:color="auto"/>
      </w:divBdr>
    </w:div>
    <w:div w:id="1401824680">
      <w:bodyDiv w:val="1"/>
      <w:marLeft w:val="0"/>
      <w:marRight w:val="0"/>
      <w:marTop w:val="0"/>
      <w:marBottom w:val="0"/>
      <w:divBdr>
        <w:top w:val="none" w:sz="0" w:space="0" w:color="auto"/>
        <w:left w:val="none" w:sz="0" w:space="0" w:color="auto"/>
        <w:bottom w:val="none" w:sz="0" w:space="0" w:color="auto"/>
        <w:right w:val="none" w:sz="0" w:space="0" w:color="auto"/>
      </w:divBdr>
    </w:div>
    <w:div w:id="1402673277">
      <w:bodyDiv w:val="1"/>
      <w:marLeft w:val="0"/>
      <w:marRight w:val="0"/>
      <w:marTop w:val="0"/>
      <w:marBottom w:val="0"/>
      <w:divBdr>
        <w:top w:val="none" w:sz="0" w:space="0" w:color="auto"/>
        <w:left w:val="none" w:sz="0" w:space="0" w:color="auto"/>
        <w:bottom w:val="none" w:sz="0" w:space="0" w:color="auto"/>
        <w:right w:val="none" w:sz="0" w:space="0" w:color="auto"/>
      </w:divBdr>
    </w:div>
    <w:div w:id="1407067790">
      <w:bodyDiv w:val="1"/>
      <w:marLeft w:val="0"/>
      <w:marRight w:val="0"/>
      <w:marTop w:val="0"/>
      <w:marBottom w:val="0"/>
      <w:divBdr>
        <w:top w:val="none" w:sz="0" w:space="0" w:color="auto"/>
        <w:left w:val="none" w:sz="0" w:space="0" w:color="auto"/>
        <w:bottom w:val="none" w:sz="0" w:space="0" w:color="auto"/>
        <w:right w:val="none" w:sz="0" w:space="0" w:color="auto"/>
      </w:divBdr>
    </w:div>
    <w:div w:id="1410417994">
      <w:bodyDiv w:val="1"/>
      <w:marLeft w:val="0"/>
      <w:marRight w:val="0"/>
      <w:marTop w:val="0"/>
      <w:marBottom w:val="0"/>
      <w:divBdr>
        <w:top w:val="none" w:sz="0" w:space="0" w:color="auto"/>
        <w:left w:val="none" w:sz="0" w:space="0" w:color="auto"/>
        <w:bottom w:val="none" w:sz="0" w:space="0" w:color="auto"/>
        <w:right w:val="none" w:sz="0" w:space="0" w:color="auto"/>
      </w:divBdr>
    </w:div>
    <w:div w:id="1421831708">
      <w:bodyDiv w:val="1"/>
      <w:marLeft w:val="0"/>
      <w:marRight w:val="0"/>
      <w:marTop w:val="0"/>
      <w:marBottom w:val="0"/>
      <w:divBdr>
        <w:top w:val="none" w:sz="0" w:space="0" w:color="auto"/>
        <w:left w:val="none" w:sz="0" w:space="0" w:color="auto"/>
        <w:bottom w:val="none" w:sz="0" w:space="0" w:color="auto"/>
        <w:right w:val="none" w:sz="0" w:space="0" w:color="auto"/>
      </w:divBdr>
    </w:div>
    <w:div w:id="1423993416">
      <w:bodyDiv w:val="1"/>
      <w:marLeft w:val="0"/>
      <w:marRight w:val="0"/>
      <w:marTop w:val="0"/>
      <w:marBottom w:val="0"/>
      <w:divBdr>
        <w:top w:val="none" w:sz="0" w:space="0" w:color="auto"/>
        <w:left w:val="none" w:sz="0" w:space="0" w:color="auto"/>
        <w:bottom w:val="none" w:sz="0" w:space="0" w:color="auto"/>
        <w:right w:val="none" w:sz="0" w:space="0" w:color="auto"/>
      </w:divBdr>
    </w:div>
    <w:div w:id="1424493295">
      <w:bodyDiv w:val="1"/>
      <w:marLeft w:val="0"/>
      <w:marRight w:val="0"/>
      <w:marTop w:val="0"/>
      <w:marBottom w:val="0"/>
      <w:divBdr>
        <w:top w:val="none" w:sz="0" w:space="0" w:color="auto"/>
        <w:left w:val="none" w:sz="0" w:space="0" w:color="auto"/>
        <w:bottom w:val="none" w:sz="0" w:space="0" w:color="auto"/>
        <w:right w:val="none" w:sz="0" w:space="0" w:color="auto"/>
      </w:divBdr>
    </w:div>
    <w:div w:id="1429352897">
      <w:bodyDiv w:val="1"/>
      <w:marLeft w:val="0"/>
      <w:marRight w:val="0"/>
      <w:marTop w:val="0"/>
      <w:marBottom w:val="0"/>
      <w:divBdr>
        <w:top w:val="none" w:sz="0" w:space="0" w:color="auto"/>
        <w:left w:val="none" w:sz="0" w:space="0" w:color="auto"/>
        <w:bottom w:val="none" w:sz="0" w:space="0" w:color="auto"/>
        <w:right w:val="none" w:sz="0" w:space="0" w:color="auto"/>
      </w:divBdr>
    </w:div>
    <w:div w:id="1429618862">
      <w:bodyDiv w:val="1"/>
      <w:marLeft w:val="0"/>
      <w:marRight w:val="0"/>
      <w:marTop w:val="0"/>
      <w:marBottom w:val="0"/>
      <w:divBdr>
        <w:top w:val="none" w:sz="0" w:space="0" w:color="auto"/>
        <w:left w:val="none" w:sz="0" w:space="0" w:color="auto"/>
        <w:bottom w:val="none" w:sz="0" w:space="0" w:color="auto"/>
        <w:right w:val="none" w:sz="0" w:space="0" w:color="auto"/>
      </w:divBdr>
    </w:div>
    <w:div w:id="1434203413">
      <w:bodyDiv w:val="1"/>
      <w:marLeft w:val="0"/>
      <w:marRight w:val="0"/>
      <w:marTop w:val="0"/>
      <w:marBottom w:val="0"/>
      <w:divBdr>
        <w:top w:val="none" w:sz="0" w:space="0" w:color="auto"/>
        <w:left w:val="none" w:sz="0" w:space="0" w:color="auto"/>
        <w:bottom w:val="none" w:sz="0" w:space="0" w:color="auto"/>
        <w:right w:val="none" w:sz="0" w:space="0" w:color="auto"/>
      </w:divBdr>
    </w:div>
    <w:div w:id="1436250731">
      <w:bodyDiv w:val="1"/>
      <w:marLeft w:val="0"/>
      <w:marRight w:val="0"/>
      <w:marTop w:val="0"/>
      <w:marBottom w:val="0"/>
      <w:divBdr>
        <w:top w:val="none" w:sz="0" w:space="0" w:color="auto"/>
        <w:left w:val="none" w:sz="0" w:space="0" w:color="auto"/>
        <w:bottom w:val="none" w:sz="0" w:space="0" w:color="auto"/>
        <w:right w:val="none" w:sz="0" w:space="0" w:color="auto"/>
      </w:divBdr>
    </w:div>
    <w:div w:id="1444881510">
      <w:bodyDiv w:val="1"/>
      <w:marLeft w:val="0"/>
      <w:marRight w:val="0"/>
      <w:marTop w:val="0"/>
      <w:marBottom w:val="0"/>
      <w:divBdr>
        <w:top w:val="none" w:sz="0" w:space="0" w:color="auto"/>
        <w:left w:val="none" w:sz="0" w:space="0" w:color="auto"/>
        <w:bottom w:val="none" w:sz="0" w:space="0" w:color="auto"/>
        <w:right w:val="none" w:sz="0" w:space="0" w:color="auto"/>
      </w:divBdr>
    </w:div>
    <w:div w:id="1447119680">
      <w:bodyDiv w:val="1"/>
      <w:marLeft w:val="0"/>
      <w:marRight w:val="0"/>
      <w:marTop w:val="0"/>
      <w:marBottom w:val="0"/>
      <w:divBdr>
        <w:top w:val="none" w:sz="0" w:space="0" w:color="auto"/>
        <w:left w:val="none" w:sz="0" w:space="0" w:color="auto"/>
        <w:bottom w:val="none" w:sz="0" w:space="0" w:color="auto"/>
        <w:right w:val="none" w:sz="0" w:space="0" w:color="auto"/>
      </w:divBdr>
    </w:div>
    <w:div w:id="1449618346">
      <w:bodyDiv w:val="1"/>
      <w:marLeft w:val="0"/>
      <w:marRight w:val="0"/>
      <w:marTop w:val="0"/>
      <w:marBottom w:val="0"/>
      <w:divBdr>
        <w:top w:val="none" w:sz="0" w:space="0" w:color="auto"/>
        <w:left w:val="none" w:sz="0" w:space="0" w:color="auto"/>
        <w:bottom w:val="none" w:sz="0" w:space="0" w:color="auto"/>
        <w:right w:val="none" w:sz="0" w:space="0" w:color="auto"/>
      </w:divBdr>
    </w:div>
    <w:div w:id="1459838260">
      <w:bodyDiv w:val="1"/>
      <w:marLeft w:val="0"/>
      <w:marRight w:val="0"/>
      <w:marTop w:val="0"/>
      <w:marBottom w:val="0"/>
      <w:divBdr>
        <w:top w:val="none" w:sz="0" w:space="0" w:color="auto"/>
        <w:left w:val="none" w:sz="0" w:space="0" w:color="auto"/>
        <w:bottom w:val="none" w:sz="0" w:space="0" w:color="auto"/>
        <w:right w:val="none" w:sz="0" w:space="0" w:color="auto"/>
      </w:divBdr>
    </w:div>
    <w:div w:id="1460343654">
      <w:bodyDiv w:val="1"/>
      <w:marLeft w:val="0"/>
      <w:marRight w:val="0"/>
      <w:marTop w:val="0"/>
      <w:marBottom w:val="0"/>
      <w:divBdr>
        <w:top w:val="none" w:sz="0" w:space="0" w:color="auto"/>
        <w:left w:val="none" w:sz="0" w:space="0" w:color="auto"/>
        <w:bottom w:val="none" w:sz="0" w:space="0" w:color="auto"/>
        <w:right w:val="none" w:sz="0" w:space="0" w:color="auto"/>
      </w:divBdr>
    </w:div>
    <w:div w:id="1468401940">
      <w:bodyDiv w:val="1"/>
      <w:marLeft w:val="0"/>
      <w:marRight w:val="0"/>
      <w:marTop w:val="0"/>
      <w:marBottom w:val="0"/>
      <w:divBdr>
        <w:top w:val="none" w:sz="0" w:space="0" w:color="auto"/>
        <w:left w:val="none" w:sz="0" w:space="0" w:color="auto"/>
        <w:bottom w:val="none" w:sz="0" w:space="0" w:color="auto"/>
        <w:right w:val="none" w:sz="0" w:space="0" w:color="auto"/>
      </w:divBdr>
    </w:div>
    <w:div w:id="1492258060">
      <w:bodyDiv w:val="1"/>
      <w:marLeft w:val="0"/>
      <w:marRight w:val="0"/>
      <w:marTop w:val="0"/>
      <w:marBottom w:val="0"/>
      <w:divBdr>
        <w:top w:val="none" w:sz="0" w:space="0" w:color="auto"/>
        <w:left w:val="none" w:sz="0" w:space="0" w:color="auto"/>
        <w:bottom w:val="none" w:sz="0" w:space="0" w:color="auto"/>
        <w:right w:val="none" w:sz="0" w:space="0" w:color="auto"/>
      </w:divBdr>
    </w:div>
    <w:div w:id="1495804659">
      <w:bodyDiv w:val="1"/>
      <w:marLeft w:val="0"/>
      <w:marRight w:val="0"/>
      <w:marTop w:val="0"/>
      <w:marBottom w:val="0"/>
      <w:divBdr>
        <w:top w:val="none" w:sz="0" w:space="0" w:color="auto"/>
        <w:left w:val="none" w:sz="0" w:space="0" w:color="auto"/>
        <w:bottom w:val="none" w:sz="0" w:space="0" w:color="auto"/>
        <w:right w:val="none" w:sz="0" w:space="0" w:color="auto"/>
      </w:divBdr>
    </w:div>
    <w:div w:id="1495953408">
      <w:bodyDiv w:val="1"/>
      <w:marLeft w:val="0"/>
      <w:marRight w:val="0"/>
      <w:marTop w:val="0"/>
      <w:marBottom w:val="0"/>
      <w:divBdr>
        <w:top w:val="none" w:sz="0" w:space="0" w:color="auto"/>
        <w:left w:val="none" w:sz="0" w:space="0" w:color="auto"/>
        <w:bottom w:val="none" w:sz="0" w:space="0" w:color="auto"/>
        <w:right w:val="none" w:sz="0" w:space="0" w:color="auto"/>
      </w:divBdr>
    </w:div>
    <w:div w:id="1522161017">
      <w:bodyDiv w:val="1"/>
      <w:marLeft w:val="0"/>
      <w:marRight w:val="0"/>
      <w:marTop w:val="0"/>
      <w:marBottom w:val="0"/>
      <w:divBdr>
        <w:top w:val="none" w:sz="0" w:space="0" w:color="auto"/>
        <w:left w:val="none" w:sz="0" w:space="0" w:color="auto"/>
        <w:bottom w:val="none" w:sz="0" w:space="0" w:color="auto"/>
        <w:right w:val="none" w:sz="0" w:space="0" w:color="auto"/>
      </w:divBdr>
    </w:div>
    <w:div w:id="1523975701">
      <w:bodyDiv w:val="1"/>
      <w:marLeft w:val="0"/>
      <w:marRight w:val="0"/>
      <w:marTop w:val="0"/>
      <w:marBottom w:val="0"/>
      <w:divBdr>
        <w:top w:val="none" w:sz="0" w:space="0" w:color="auto"/>
        <w:left w:val="none" w:sz="0" w:space="0" w:color="auto"/>
        <w:bottom w:val="none" w:sz="0" w:space="0" w:color="auto"/>
        <w:right w:val="none" w:sz="0" w:space="0" w:color="auto"/>
      </w:divBdr>
    </w:div>
    <w:div w:id="1542859191">
      <w:bodyDiv w:val="1"/>
      <w:marLeft w:val="0"/>
      <w:marRight w:val="0"/>
      <w:marTop w:val="0"/>
      <w:marBottom w:val="0"/>
      <w:divBdr>
        <w:top w:val="none" w:sz="0" w:space="0" w:color="auto"/>
        <w:left w:val="none" w:sz="0" w:space="0" w:color="auto"/>
        <w:bottom w:val="none" w:sz="0" w:space="0" w:color="auto"/>
        <w:right w:val="none" w:sz="0" w:space="0" w:color="auto"/>
      </w:divBdr>
    </w:div>
    <w:div w:id="1543206005">
      <w:bodyDiv w:val="1"/>
      <w:marLeft w:val="0"/>
      <w:marRight w:val="0"/>
      <w:marTop w:val="0"/>
      <w:marBottom w:val="0"/>
      <w:divBdr>
        <w:top w:val="none" w:sz="0" w:space="0" w:color="auto"/>
        <w:left w:val="none" w:sz="0" w:space="0" w:color="auto"/>
        <w:bottom w:val="none" w:sz="0" w:space="0" w:color="auto"/>
        <w:right w:val="none" w:sz="0" w:space="0" w:color="auto"/>
      </w:divBdr>
    </w:div>
    <w:div w:id="1546143204">
      <w:bodyDiv w:val="1"/>
      <w:marLeft w:val="0"/>
      <w:marRight w:val="0"/>
      <w:marTop w:val="0"/>
      <w:marBottom w:val="0"/>
      <w:divBdr>
        <w:top w:val="none" w:sz="0" w:space="0" w:color="auto"/>
        <w:left w:val="none" w:sz="0" w:space="0" w:color="auto"/>
        <w:bottom w:val="none" w:sz="0" w:space="0" w:color="auto"/>
        <w:right w:val="none" w:sz="0" w:space="0" w:color="auto"/>
      </w:divBdr>
    </w:div>
    <w:div w:id="1553805764">
      <w:bodyDiv w:val="1"/>
      <w:marLeft w:val="0"/>
      <w:marRight w:val="0"/>
      <w:marTop w:val="0"/>
      <w:marBottom w:val="0"/>
      <w:divBdr>
        <w:top w:val="none" w:sz="0" w:space="0" w:color="auto"/>
        <w:left w:val="none" w:sz="0" w:space="0" w:color="auto"/>
        <w:bottom w:val="none" w:sz="0" w:space="0" w:color="auto"/>
        <w:right w:val="none" w:sz="0" w:space="0" w:color="auto"/>
      </w:divBdr>
    </w:div>
    <w:div w:id="1556428683">
      <w:bodyDiv w:val="1"/>
      <w:marLeft w:val="0"/>
      <w:marRight w:val="0"/>
      <w:marTop w:val="0"/>
      <w:marBottom w:val="0"/>
      <w:divBdr>
        <w:top w:val="none" w:sz="0" w:space="0" w:color="auto"/>
        <w:left w:val="none" w:sz="0" w:space="0" w:color="auto"/>
        <w:bottom w:val="none" w:sz="0" w:space="0" w:color="auto"/>
        <w:right w:val="none" w:sz="0" w:space="0" w:color="auto"/>
      </w:divBdr>
    </w:div>
    <w:div w:id="1558079634">
      <w:bodyDiv w:val="1"/>
      <w:marLeft w:val="0"/>
      <w:marRight w:val="0"/>
      <w:marTop w:val="0"/>
      <w:marBottom w:val="0"/>
      <w:divBdr>
        <w:top w:val="none" w:sz="0" w:space="0" w:color="auto"/>
        <w:left w:val="none" w:sz="0" w:space="0" w:color="auto"/>
        <w:bottom w:val="none" w:sz="0" w:space="0" w:color="auto"/>
        <w:right w:val="none" w:sz="0" w:space="0" w:color="auto"/>
      </w:divBdr>
    </w:div>
    <w:div w:id="1563297003">
      <w:bodyDiv w:val="1"/>
      <w:marLeft w:val="0"/>
      <w:marRight w:val="0"/>
      <w:marTop w:val="0"/>
      <w:marBottom w:val="0"/>
      <w:divBdr>
        <w:top w:val="none" w:sz="0" w:space="0" w:color="auto"/>
        <w:left w:val="none" w:sz="0" w:space="0" w:color="auto"/>
        <w:bottom w:val="none" w:sz="0" w:space="0" w:color="auto"/>
        <w:right w:val="none" w:sz="0" w:space="0" w:color="auto"/>
      </w:divBdr>
    </w:div>
    <w:div w:id="1568492635">
      <w:bodyDiv w:val="1"/>
      <w:marLeft w:val="0"/>
      <w:marRight w:val="0"/>
      <w:marTop w:val="0"/>
      <w:marBottom w:val="0"/>
      <w:divBdr>
        <w:top w:val="none" w:sz="0" w:space="0" w:color="auto"/>
        <w:left w:val="none" w:sz="0" w:space="0" w:color="auto"/>
        <w:bottom w:val="none" w:sz="0" w:space="0" w:color="auto"/>
        <w:right w:val="none" w:sz="0" w:space="0" w:color="auto"/>
      </w:divBdr>
    </w:div>
    <w:div w:id="1571380930">
      <w:bodyDiv w:val="1"/>
      <w:marLeft w:val="0"/>
      <w:marRight w:val="0"/>
      <w:marTop w:val="0"/>
      <w:marBottom w:val="0"/>
      <w:divBdr>
        <w:top w:val="none" w:sz="0" w:space="0" w:color="auto"/>
        <w:left w:val="none" w:sz="0" w:space="0" w:color="auto"/>
        <w:bottom w:val="none" w:sz="0" w:space="0" w:color="auto"/>
        <w:right w:val="none" w:sz="0" w:space="0" w:color="auto"/>
      </w:divBdr>
    </w:div>
    <w:div w:id="1583760634">
      <w:bodyDiv w:val="1"/>
      <w:marLeft w:val="0"/>
      <w:marRight w:val="0"/>
      <w:marTop w:val="0"/>
      <w:marBottom w:val="0"/>
      <w:divBdr>
        <w:top w:val="none" w:sz="0" w:space="0" w:color="auto"/>
        <w:left w:val="none" w:sz="0" w:space="0" w:color="auto"/>
        <w:bottom w:val="none" w:sz="0" w:space="0" w:color="auto"/>
        <w:right w:val="none" w:sz="0" w:space="0" w:color="auto"/>
      </w:divBdr>
    </w:div>
    <w:div w:id="1584561044">
      <w:bodyDiv w:val="1"/>
      <w:marLeft w:val="0"/>
      <w:marRight w:val="0"/>
      <w:marTop w:val="0"/>
      <w:marBottom w:val="0"/>
      <w:divBdr>
        <w:top w:val="none" w:sz="0" w:space="0" w:color="auto"/>
        <w:left w:val="none" w:sz="0" w:space="0" w:color="auto"/>
        <w:bottom w:val="none" w:sz="0" w:space="0" w:color="auto"/>
        <w:right w:val="none" w:sz="0" w:space="0" w:color="auto"/>
      </w:divBdr>
    </w:div>
    <w:div w:id="1587611837">
      <w:bodyDiv w:val="1"/>
      <w:marLeft w:val="0"/>
      <w:marRight w:val="0"/>
      <w:marTop w:val="0"/>
      <w:marBottom w:val="0"/>
      <w:divBdr>
        <w:top w:val="none" w:sz="0" w:space="0" w:color="auto"/>
        <w:left w:val="none" w:sz="0" w:space="0" w:color="auto"/>
        <w:bottom w:val="none" w:sz="0" w:space="0" w:color="auto"/>
        <w:right w:val="none" w:sz="0" w:space="0" w:color="auto"/>
      </w:divBdr>
    </w:div>
    <w:div w:id="1617565812">
      <w:bodyDiv w:val="1"/>
      <w:marLeft w:val="0"/>
      <w:marRight w:val="0"/>
      <w:marTop w:val="0"/>
      <w:marBottom w:val="0"/>
      <w:divBdr>
        <w:top w:val="none" w:sz="0" w:space="0" w:color="auto"/>
        <w:left w:val="none" w:sz="0" w:space="0" w:color="auto"/>
        <w:bottom w:val="none" w:sz="0" w:space="0" w:color="auto"/>
        <w:right w:val="none" w:sz="0" w:space="0" w:color="auto"/>
      </w:divBdr>
    </w:div>
    <w:div w:id="1622036565">
      <w:bodyDiv w:val="1"/>
      <w:marLeft w:val="0"/>
      <w:marRight w:val="0"/>
      <w:marTop w:val="0"/>
      <w:marBottom w:val="0"/>
      <w:divBdr>
        <w:top w:val="none" w:sz="0" w:space="0" w:color="auto"/>
        <w:left w:val="none" w:sz="0" w:space="0" w:color="auto"/>
        <w:bottom w:val="none" w:sz="0" w:space="0" w:color="auto"/>
        <w:right w:val="none" w:sz="0" w:space="0" w:color="auto"/>
      </w:divBdr>
    </w:div>
    <w:div w:id="1626036138">
      <w:bodyDiv w:val="1"/>
      <w:marLeft w:val="0"/>
      <w:marRight w:val="0"/>
      <w:marTop w:val="0"/>
      <w:marBottom w:val="0"/>
      <w:divBdr>
        <w:top w:val="none" w:sz="0" w:space="0" w:color="auto"/>
        <w:left w:val="none" w:sz="0" w:space="0" w:color="auto"/>
        <w:bottom w:val="none" w:sz="0" w:space="0" w:color="auto"/>
        <w:right w:val="none" w:sz="0" w:space="0" w:color="auto"/>
      </w:divBdr>
    </w:div>
    <w:div w:id="1626884684">
      <w:bodyDiv w:val="1"/>
      <w:marLeft w:val="0"/>
      <w:marRight w:val="0"/>
      <w:marTop w:val="0"/>
      <w:marBottom w:val="0"/>
      <w:divBdr>
        <w:top w:val="none" w:sz="0" w:space="0" w:color="auto"/>
        <w:left w:val="none" w:sz="0" w:space="0" w:color="auto"/>
        <w:bottom w:val="none" w:sz="0" w:space="0" w:color="auto"/>
        <w:right w:val="none" w:sz="0" w:space="0" w:color="auto"/>
      </w:divBdr>
    </w:div>
    <w:div w:id="1636255430">
      <w:bodyDiv w:val="1"/>
      <w:marLeft w:val="0"/>
      <w:marRight w:val="0"/>
      <w:marTop w:val="0"/>
      <w:marBottom w:val="0"/>
      <w:divBdr>
        <w:top w:val="none" w:sz="0" w:space="0" w:color="auto"/>
        <w:left w:val="none" w:sz="0" w:space="0" w:color="auto"/>
        <w:bottom w:val="none" w:sz="0" w:space="0" w:color="auto"/>
        <w:right w:val="none" w:sz="0" w:space="0" w:color="auto"/>
      </w:divBdr>
    </w:div>
    <w:div w:id="1643122442">
      <w:bodyDiv w:val="1"/>
      <w:marLeft w:val="0"/>
      <w:marRight w:val="0"/>
      <w:marTop w:val="0"/>
      <w:marBottom w:val="0"/>
      <w:divBdr>
        <w:top w:val="none" w:sz="0" w:space="0" w:color="auto"/>
        <w:left w:val="none" w:sz="0" w:space="0" w:color="auto"/>
        <w:bottom w:val="none" w:sz="0" w:space="0" w:color="auto"/>
        <w:right w:val="none" w:sz="0" w:space="0" w:color="auto"/>
      </w:divBdr>
    </w:div>
    <w:div w:id="1646930822">
      <w:bodyDiv w:val="1"/>
      <w:marLeft w:val="0"/>
      <w:marRight w:val="0"/>
      <w:marTop w:val="0"/>
      <w:marBottom w:val="0"/>
      <w:divBdr>
        <w:top w:val="none" w:sz="0" w:space="0" w:color="auto"/>
        <w:left w:val="none" w:sz="0" w:space="0" w:color="auto"/>
        <w:bottom w:val="none" w:sz="0" w:space="0" w:color="auto"/>
        <w:right w:val="none" w:sz="0" w:space="0" w:color="auto"/>
      </w:divBdr>
    </w:div>
    <w:div w:id="1654720409">
      <w:bodyDiv w:val="1"/>
      <w:marLeft w:val="0"/>
      <w:marRight w:val="0"/>
      <w:marTop w:val="0"/>
      <w:marBottom w:val="0"/>
      <w:divBdr>
        <w:top w:val="none" w:sz="0" w:space="0" w:color="auto"/>
        <w:left w:val="none" w:sz="0" w:space="0" w:color="auto"/>
        <w:bottom w:val="none" w:sz="0" w:space="0" w:color="auto"/>
        <w:right w:val="none" w:sz="0" w:space="0" w:color="auto"/>
      </w:divBdr>
    </w:div>
    <w:div w:id="1657027195">
      <w:bodyDiv w:val="1"/>
      <w:marLeft w:val="0"/>
      <w:marRight w:val="0"/>
      <w:marTop w:val="0"/>
      <w:marBottom w:val="0"/>
      <w:divBdr>
        <w:top w:val="none" w:sz="0" w:space="0" w:color="auto"/>
        <w:left w:val="none" w:sz="0" w:space="0" w:color="auto"/>
        <w:bottom w:val="none" w:sz="0" w:space="0" w:color="auto"/>
        <w:right w:val="none" w:sz="0" w:space="0" w:color="auto"/>
      </w:divBdr>
    </w:div>
    <w:div w:id="1659266060">
      <w:bodyDiv w:val="1"/>
      <w:marLeft w:val="0"/>
      <w:marRight w:val="0"/>
      <w:marTop w:val="0"/>
      <w:marBottom w:val="0"/>
      <w:divBdr>
        <w:top w:val="none" w:sz="0" w:space="0" w:color="auto"/>
        <w:left w:val="none" w:sz="0" w:space="0" w:color="auto"/>
        <w:bottom w:val="none" w:sz="0" w:space="0" w:color="auto"/>
        <w:right w:val="none" w:sz="0" w:space="0" w:color="auto"/>
      </w:divBdr>
    </w:div>
    <w:div w:id="1665205124">
      <w:bodyDiv w:val="1"/>
      <w:marLeft w:val="0"/>
      <w:marRight w:val="0"/>
      <w:marTop w:val="0"/>
      <w:marBottom w:val="0"/>
      <w:divBdr>
        <w:top w:val="none" w:sz="0" w:space="0" w:color="auto"/>
        <w:left w:val="none" w:sz="0" w:space="0" w:color="auto"/>
        <w:bottom w:val="none" w:sz="0" w:space="0" w:color="auto"/>
        <w:right w:val="none" w:sz="0" w:space="0" w:color="auto"/>
      </w:divBdr>
    </w:div>
    <w:div w:id="1667857392">
      <w:bodyDiv w:val="1"/>
      <w:marLeft w:val="0"/>
      <w:marRight w:val="0"/>
      <w:marTop w:val="0"/>
      <w:marBottom w:val="0"/>
      <w:divBdr>
        <w:top w:val="none" w:sz="0" w:space="0" w:color="auto"/>
        <w:left w:val="none" w:sz="0" w:space="0" w:color="auto"/>
        <w:bottom w:val="none" w:sz="0" w:space="0" w:color="auto"/>
        <w:right w:val="none" w:sz="0" w:space="0" w:color="auto"/>
      </w:divBdr>
    </w:div>
    <w:div w:id="1670399809">
      <w:bodyDiv w:val="1"/>
      <w:marLeft w:val="0"/>
      <w:marRight w:val="0"/>
      <w:marTop w:val="0"/>
      <w:marBottom w:val="0"/>
      <w:divBdr>
        <w:top w:val="none" w:sz="0" w:space="0" w:color="auto"/>
        <w:left w:val="none" w:sz="0" w:space="0" w:color="auto"/>
        <w:bottom w:val="none" w:sz="0" w:space="0" w:color="auto"/>
        <w:right w:val="none" w:sz="0" w:space="0" w:color="auto"/>
      </w:divBdr>
    </w:div>
    <w:div w:id="1672370927">
      <w:bodyDiv w:val="1"/>
      <w:marLeft w:val="0"/>
      <w:marRight w:val="0"/>
      <w:marTop w:val="0"/>
      <w:marBottom w:val="0"/>
      <w:divBdr>
        <w:top w:val="none" w:sz="0" w:space="0" w:color="auto"/>
        <w:left w:val="none" w:sz="0" w:space="0" w:color="auto"/>
        <w:bottom w:val="none" w:sz="0" w:space="0" w:color="auto"/>
        <w:right w:val="none" w:sz="0" w:space="0" w:color="auto"/>
      </w:divBdr>
    </w:div>
    <w:div w:id="1672635785">
      <w:bodyDiv w:val="1"/>
      <w:marLeft w:val="0"/>
      <w:marRight w:val="0"/>
      <w:marTop w:val="0"/>
      <w:marBottom w:val="0"/>
      <w:divBdr>
        <w:top w:val="none" w:sz="0" w:space="0" w:color="auto"/>
        <w:left w:val="none" w:sz="0" w:space="0" w:color="auto"/>
        <w:bottom w:val="none" w:sz="0" w:space="0" w:color="auto"/>
        <w:right w:val="none" w:sz="0" w:space="0" w:color="auto"/>
      </w:divBdr>
    </w:div>
    <w:div w:id="1682585084">
      <w:bodyDiv w:val="1"/>
      <w:marLeft w:val="0"/>
      <w:marRight w:val="0"/>
      <w:marTop w:val="0"/>
      <w:marBottom w:val="0"/>
      <w:divBdr>
        <w:top w:val="none" w:sz="0" w:space="0" w:color="auto"/>
        <w:left w:val="none" w:sz="0" w:space="0" w:color="auto"/>
        <w:bottom w:val="none" w:sz="0" w:space="0" w:color="auto"/>
        <w:right w:val="none" w:sz="0" w:space="0" w:color="auto"/>
      </w:divBdr>
    </w:div>
    <w:div w:id="1683049200">
      <w:bodyDiv w:val="1"/>
      <w:marLeft w:val="0"/>
      <w:marRight w:val="0"/>
      <w:marTop w:val="0"/>
      <w:marBottom w:val="0"/>
      <w:divBdr>
        <w:top w:val="none" w:sz="0" w:space="0" w:color="auto"/>
        <w:left w:val="none" w:sz="0" w:space="0" w:color="auto"/>
        <w:bottom w:val="none" w:sz="0" w:space="0" w:color="auto"/>
        <w:right w:val="none" w:sz="0" w:space="0" w:color="auto"/>
      </w:divBdr>
    </w:div>
    <w:div w:id="1687950031">
      <w:bodyDiv w:val="1"/>
      <w:marLeft w:val="0"/>
      <w:marRight w:val="0"/>
      <w:marTop w:val="0"/>
      <w:marBottom w:val="0"/>
      <w:divBdr>
        <w:top w:val="none" w:sz="0" w:space="0" w:color="auto"/>
        <w:left w:val="none" w:sz="0" w:space="0" w:color="auto"/>
        <w:bottom w:val="none" w:sz="0" w:space="0" w:color="auto"/>
        <w:right w:val="none" w:sz="0" w:space="0" w:color="auto"/>
      </w:divBdr>
    </w:div>
    <w:div w:id="1692492229">
      <w:bodyDiv w:val="1"/>
      <w:marLeft w:val="0"/>
      <w:marRight w:val="0"/>
      <w:marTop w:val="0"/>
      <w:marBottom w:val="0"/>
      <w:divBdr>
        <w:top w:val="none" w:sz="0" w:space="0" w:color="auto"/>
        <w:left w:val="none" w:sz="0" w:space="0" w:color="auto"/>
        <w:bottom w:val="none" w:sz="0" w:space="0" w:color="auto"/>
        <w:right w:val="none" w:sz="0" w:space="0" w:color="auto"/>
      </w:divBdr>
    </w:div>
    <w:div w:id="1692687961">
      <w:bodyDiv w:val="1"/>
      <w:marLeft w:val="0"/>
      <w:marRight w:val="0"/>
      <w:marTop w:val="0"/>
      <w:marBottom w:val="0"/>
      <w:divBdr>
        <w:top w:val="none" w:sz="0" w:space="0" w:color="auto"/>
        <w:left w:val="none" w:sz="0" w:space="0" w:color="auto"/>
        <w:bottom w:val="none" w:sz="0" w:space="0" w:color="auto"/>
        <w:right w:val="none" w:sz="0" w:space="0" w:color="auto"/>
      </w:divBdr>
    </w:div>
    <w:div w:id="1710063150">
      <w:bodyDiv w:val="1"/>
      <w:marLeft w:val="0"/>
      <w:marRight w:val="0"/>
      <w:marTop w:val="0"/>
      <w:marBottom w:val="0"/>
      <w:divBdr>
        <w:top w:val="none" w:sz="0" w:space="0" w:color="auto"/>
        <w:left w:val="none" w:sz="0" w:space="0" w:color="auto"/>
        <w:bottom w:val="none" w:sz="0" w:space="0" w:color="auto"/>
        <w:right w:val="none" w:sz="0" w:space="0" w:color="auto"/>
      </w:divBdr>
    </w:div>
    <w:div w:id="1720855424">
      <w:bodyDiv w:val="1"/>
      <w:marLeft w:val="0"/>
      <w:marRight w:val="0"/>
      <w:marTop w:val="0"/>
      <w:marBottom w:val="0"/>
      <w:divBdr>
        <w:top w:val="none" w:sz="0" w:space="0" w:color="auto"/>
        <w:left w:val="none" w:sz="0" w:space="0" w:color="auto"/>
        <w:bottom w:val="none" w:sz="0" w:space="0" w:color="auto"/>
        <w:right w:val="none" w:sz="0" w:space="0" w:color="auto"/>
      </w:divBdr>
    </w:div>
    <w:div w:id="1724135015">
      <w:bodyDiv w:val="1"/>
      <w:marLeft w:val="0"/>
      <w:marRight w:val="0"/>
      <w:marTop w:val="0"/>
      <w:marBottom w:val="0"/>
      <w:divBdr>
        <w:top w:val="none" w:sz="0" w:space="0" w:color="auto"/>
        <w:left w:val="none" w:sz="0" w:space="0" w:color="auto"/>
        <w:bottom w:val="none" w:sz="0" w:space="0" w:color="auto"/>
        <w:right w:val="none" w:sz="0" w:space="0" w:color="auto"/>
      </w:divBdr>
    </w:div>
    <w:div w:id="1757508007">
      <w:bodyDiv w:val="1"/>
      <w:marLeft w:val="0"/>
      <w:marRight w:val="0"/>
      <w:marTop w:val="0"/>
      <w:marBottom w:val="0"/>
      <w:divBdr>
        <w:top w:val="none" w:sz="0" w:space="0" w:color="auto"/>
        <w:left w:val="none" w:sz="0" w:space="0" w:color="auto"/>
        <w:bottom w:val="none" w:sz="0" w:space="0" w:color="auto"/>
        <w:right w:val="none" w:sz="0" w:space="0" w:color="auto"/>
      </w:divBdr>
    </w:div>
    <w:div w:id="1762291989">
      <w:bodyDiv w:val="1"/>
      <w:marLeft w:val="0"/>
      <w:marRight w:val="0"/>
      <w:marTop w:val="0"/>
      <w:marBottom w:val="0"/>
      <w:divBdr>
        <w:top w:val="none" w:sz="0" w:space="0" w:color="auto"/>
        <w:left w:val="none" w:sz="0" w:space="0" w:color="auto"/>
        <w:bottom w:val="none" w:sz="0" w:space="0" w:color="auto"/>
        <w:right w:val="none" w:sz="0" w:space="0" w:color="auto"/>
      </w:divBdr>
    </w:div>
    <w:div w:id="1768116794">
      <w:bodyDiv w:val="1"/>
      <w:marLeft w:val="0"/>
      <w:marRight w:val="0"/>
      <w:marTop w:val="0"/>
      <w:marBottom w:val="0"/>
      <w:divBdr>
        <w:top w:val="none" w:sz="0" w:space="0" w:color="auto"/>
        <w:left w:val="none" w:sz="0" w:space="0" w:color="auto"/>
        <w:bottom w:val="none" w:sz="0" w:space="0" w:color="auto"/>
        <w:right w:val="none" w:sz="0" w:space="0" w:color="auto"/>
      </w:divBdr>
    </w:div>
    <w:div w:id="1778719962">
      <w:bodyDiv w:val="1"/>
      <w:marLeft w:val="0"/>
      <w:marRight w:val="0"/>
      <w:marTop w:val="0"/>
      <w:marBottom w:val="0"/>
      <w:divBdr>
        <w:top w:val="none" w:sz="0" w:space="0" w:color="auto"/>
        <w:left w:val="none" w:sz="0" w:space="0" w:color="auto"/>
        <w:bottom w:val="none" w:sz="0" w:space="0" w:color="auto"/>
        <w:right w:val="none" w:sz="0" w:space="0" w:color="auto"/>
      </w:divBdr>
    </w:div>
    <w:div w:id="1783769644">
      <w:bodyDiv w:val="1"/>
      <w:marLeft w:val="0"/>
      <w:marRight w:val="0"/>
      <w:marTop w:val="0"/>
      <w:marBottom w:val="0"/>
      <w:divBdr>
        <w:top w:val="none" w:sz="0" w:space="0" w:color="auto"/>
        <w:left w:val="none" w:sz="0" w:space="0" w:color="auto"/>
        <w:bottom w:val="none" w:sz="0" w:space="0" w:color="auto"/>
        <w:right w:val="none" w:sz="0" w:space="0" w:color="auto"/>
      </w:divBdr>
    </w:div>
    <w:div w:id="1784424516">
      <w:bodyDiv w:val="1"/>
      <w:marLeft w:val="0"/>
      <w:marRight w:val="0"/>
      <w:marTop w:val="0"/>
      <w:marBottom w:val="0"/>
      <w:divBdr>
        <w:top w:val="none" w:sz="0" w:space="0" w:color="auto"/>
        <w:left w:val="none" w:sz="0" w:space="0" w:color="auto"/>
        <w:bottom w:val="none" w:sz="0" w:space="0" w:color="auto"/>
        <w:right w:val="none" w:sz="0" w:space="0" w:color="auto"/>
      </w:divBdr>
    </w:div>
    <w:div w:id="1790974300">
      <w:bodyDiv w:val="1"/>
      <w:marLeft w:val="0"/>
      <w:marRight w:val="0"/>
      <w:marTop w:val="0"/>
      <w:marBottom w:val="0"/>
      <w:divBdr>
        <w:top w:val="none" w:sz="0" w:space="0" w:color="auto"/>
        <w:left w:val="none" w:sz="0" w:space="0" w:color="auto"/>
        <w:bottom w:val="none" w:sz="0" w:space="0" w:color="auto"/>
        <w:right w:val="none" w:sz="0" w:space="0" w:color="auto"/>
      </w:divBdr>
    </w:div>
    <w:div w:id="1796018646">
      <w:bodyDiv w:val="1"/>
      <w:marLeft w:val="0"/>
      <w:marRight w:val="0"/>
      <w:marTop w:val="0"/>
      <w:marBottom w:val="0"/>
      <w:divBdr>
        <w:top w:val="none" w:sz="0" w:space="0" w:color="auto"/>
        <w:left w:val="none" w:sz="0" w:space="0" w:color="auto"/>
        <w:bottom w:val="none" w:sz="0" w:space="0" w:color="auto"/>
        <w:right w:val="none" w:sz="0" w:space="0" w:color="auto"/>
      </w:divBdr>
    </w:div>
    <w:div w:id="1797136033">
      <w:bodyDiv w:val="1"/>
      <w:marLeft w:val="0"/>
      <w:marRight w:val="0"/>
      <w:marTop w:val="0"/>
      <w:marBottom w:val="0"/>
      <w:divBdr>
        <w:top w:val="none" w:sz="0" w:space="0" w:color="auto"/>
        <w:left w:val="none" w:sz="0" w:space="0" w:color="auto"/>
        <w:bottom w:val="none" w:sz="0" w:space="0" w:color="auto"/>
        <w:right w:val="none" w:sz="0" w:space="0" w:color="auto"/>
      </w:divBdr>
    </w:div>
    <w:div w:id="1801727251">
      <w:bodyDiv w:val="1"/>
      <w:marLeft w:val="0"/>
      <w:marRight w:val="0"/>
      <w:marTop w:val="0"/>
      <w:marBottom w:val="0"/>
      <w:divBdr>
        <w:top w:val="none" w:sz="0" w:space="0" w:color="auto"/>
        <w:left w:val="none" w:sz="0" w:space="0" w:color="auto"/>
        <w:bottom w:val="none" w:sz="0" w:space="0" w:color="auto"/>
        <w:right w:val="none" w:sz="0" w:space="0" w:color="auto"/>
      </w:divBdr>
    </w:div>
    <w:div w:id="1812475269">
      <w:bodyDiv w:val="1"/>
      <w:marLeft w:val="0"/>
      <w:marRight w:val="0"/>
      <w:marTop w:val="0"/>
      <w:marBottom w:val="0"/>
      <w:divBdr>
        <w:top w:val="none" w:sz="0" w:space="0" w:color="auto"/>
        <w:left w:val="none" w:sz="0" w:space="0" w:color="auto"/>
        <w:bottom w:val="none" w:sz="0" w:space="0" w:color="auto"/>
        <w:right w:val="none" w:sz="0" w:space="0" w:color="auto"/>
      </w:divBdr>
    </w:div>
    <w:div w:id="1813014252">
      <w:bodyDiv w:val="1"/>
      <w:marLeft w:val="0"/>
      <w:marRight w:val="0"/>
      <w:marTop w:val="0"/>
      <w:marBottom w:val="0"/>
      <w:divBdr>
        <w:top w:val="none" w:sz="0" w:space="0" w:color="auto"/>
        <w:left w:val="none" w:sz="0" w:space="0" w:color="auto"/>
        <w:bottom w:val="none" w:sz="0" w:space="0" w:color="auto"/>
        <w:right w:val="none" w:sz="0" w:space="0" w:color="auto"/>
      </w:divBdr>
    </w:div>
    <w:div w:id="1814061541">
      <w:bodyDiv w:val="1"/>
      <w:marLeft w:val="0"/>
      <w:marRight w:val="0"/>
      <w:marTop w:val="0"/>
      <w:marBottom w:val="0"/>
      <w:divBdr>
        <w:top w:val="none" w:sz="0" w:space="0" w:color="auto"/>
        <w:left w:val="none" w:sz="0" w:space="0" w:color="auto"/>
        <w:bottom w:val="none" w:sz="0" w:space="0" w:color="auto"/>
        <w:right w:val="none" w:sz="0" w:space="0" w:color="auto"/>
      </w:divBdr>
    </w:div>
    <w:div w:id="1817720927">
      <w:bodyDiv w:val="1"/>
      <w:marLeft w:val="0"/>
      <w:marRight w:val="0"/>
      <w:marTop w:val="0"/>
      <w:marBottom w:val="0"/>
      <w:divBdr>
        <w:top w:val="none" w:sz="0" w:space="0" w:color="auto"/>
        <w:left w:val="none" w:sz="0" w:space="0" w:color="auto"/>
        <w:bottom w:val="none" w:sz="0" w:space="0" w:color="auto"/>
        <w:right w:val="none" w:sz="0" w:space="0" w:color="auto"/>
      </w:divBdr>
    </w:div>
    <w:div w:id="1820920393">
      <w:bodyDiv w:val="1"/>
      <w:marLeft w:val="0"/>
      <w:marRight w:val="0"/>
      <w:marTop w:val="0"/>
      <w:marBottom w:val="0"/>
      <w:divBdr>
        <w:top w:val="none" w:sz="0" w:space="0" w:color="auto"/>
        <w:left w:val="none" w:sz="0" w:space="0" w:color="auto"/>
        <w:bottom w:val="none" w:sz="0" w:space="0" w:color="auto"/>
        <w:right w:val="none" w:sz="0" w:space="0" w:color="auto"/>
      </w:divBdr>
    </w:div>
    <w:div w:id="1844391882">
      <w:bodyDiv w:val="1"/>
      <w:marLeft w:val="0"/>
      <w:marRight w:val="0"/>
      <w:marTop w:val="0"/>
      <w:marBottom w:val="0"/>
      <w:divBdr>
        <w:top w:val="none" w:sz="0" w:space="0" w:color="auto"/>
        <w:left w:val="none" w:sz="0" w:space="0" w:color="auto"/>
        <w:bottom w:val="none" w:sz="0" w:space="0" w:color="auto"/>
        <w:right w:val="none" w:sz="0" w:space="0" w:color="auto"/>
      </w:divBdr>
    </w:div>
    <w:div w:id="1845508376">
      <w:bodyDiv w:val="1"/>
      <w:marLeft w:val="0"/>
      <w:marRight w:val="0"/>
      <w:marTop w:val="0"/>
      <w:marBottom w:val="0"/>
      <w:divBdr>
        <w:top w:val="none" w:sz="0" w:space="0" w:color="auto"/>
        <w:left w:val="none" w:sz="0" w:space="0" w:color="auto"/>
        <w:bottom w:val="none" w:sz="0" w:space="0" w:color="auto"/>
        <w:right w:val="none" w:sz="0" w:space="0" w:color="auto"/>
      </w:divBdr>
    </w:div>
    <w:div w:id="1845970019">
      <w:bodyDiv w:val="1"/>
      <w:marLeft w:val="0"/>
      <w:marRight w:val="0"/>
      <w:marTop w:val="0"/>
      <w:marBottom w:val="0"/>
      <w:divBdr>
        <w:top w:val="none" w:sz="0" w:space="0" w:color="auto"/>
        <w:left w:val="none" w:sz="0" w:space="0" w:color="auto"/>
        <w:bottom w:val="none" w:sz="0" w:space="0" w:color="auto"/>
        <w:right w:val="none" w:sz="0" w:space="0" w:color="auto"/>
      </w:divBdr>
    </w:div>
    <w:div w:id="1851095696">
      <w:bodyDiv w:val="1"/>
      <w:marLeft w:val="0"/>
      <w:marRight w:val="0"/>
      <w:marTop w:val="0"/>
      <w:marBottom w:val="0"/>
      <w:divBdr>
        <w:top w:val="none" w:sz="0" w:space="0" w:color="auto"/>
        <w:left w:val="none" w:sz="0" w:space="0" w:color="auto"/>
        <w:bottom w:val="none" w:sz="0" w:space="0" w:color="auto"/>
        <w:right w:val="none" w:sz="0" w:space="0" w:color="auto"/>
      </w:divBdr>
    </w:div>
    <w:div w:id="1853253245">
      <w:bodyDiv w:val="1"/>
      <w:marLeft w:val="0"/>
      <w:marRight w:val="0"/>
      <w:marTop w:val="0"/>
      <w:marBottom w:val="0"/>
      <w:divBdr>
        <w:top w:val="none" w:sz="0" w:space="0" w:color="auto"/>
        <w:left w:val="none" w:sz="0" w:space="0" w:color="auto"/>
        <w:bottom w:val="none" w:sz="0" w:space="0" w:color="auto"/>
        <w:right w:val="none" w:sz="0" w:space="0" w:color="auto"/>
      </w:divBdr>
    </w:div>
    <w:div w:id="1860316873">
      <w:bodyDiv w:val="1"/>
      <w:marLeft w:val="0"/>
      <w:marRight w:val="0"/>
      <w:marTop w:val="0"/>
      <w:marBottom w:val="0"/>
      <w:divBdr>
        <w:top w:val="none" w:sz="0" w:space="0" w:color="auto"/>
        <w:left w:val="none" w:sz="0" w:space="0" w:color="auto"/>
        <w:bottom w:val="none" w:sz="0" w:space="0" w:color="auto"/>
        <w:right w:val="none" w:sz="0" w:space="0" w:color="auto"/>
      </w:divBdr>
    </w:div>
    <w:div w:id="1870097382">
      <w:bodyDiv w:val="1"/>
      <w:marLeft w:val="0"/>
      <w:marRight w:val="0"/>
      <w:marTop w:val="0"/>
      <w:marBottom w:val="0"/>
      <w:divBdr>
        <w:top w:val="none" w:sz="0" w:space="0" w:color="auto"/>
        <w:left w:val="none" w:sz="0" w:space="0" w:color="auto"/>
        <w:bottom w:val="none" w:sz="0" w:space="0" w:color="auto"/>
        <w:right w:val="none" w:sz="0" w:space="0" w:color="auto"/>
      </w:divBdr>
    </w:div>
    <w:div w:id="1874027337">
      <w:bodyDiv w:val="1"/>
      <w:marLeft w:val="0"/>
      <w:marRight w:val="0"/>
      <w:marTop w:val="0"/>
      <w:marBottom w:val="0"/>
      <w:divBdr>
        <w:top w:val="none" w:sz="0" w:space="0" w:color="auto"/>
        <w:left w:val="none" w:sz="0" w:space="0" w:color="auto"/>
        <w:bottom w:val="none" w:sz="0" w:space="0" w:color="auto"/>
        <w:right w:val="none" w:sz="0" w:space="0" w:color="auto"/>
      </w:divBdr>
    </w:div>
    <w:div w:id="1874153779">
      <w:bodyDiv w:val="1"/>
      <w:marLeft w:val="0"/>
      <w:marRight w:val="0"/>
      <w:marTop w:val="0"/>
      <w:marBottom w:val="0"/>
      <w:divBdr>
        <w:top w:val="none" w:sz="0" w:space="0" w:color="auto"/>
        <w:left w:val="none" w:sz="0" w:space="0" w:color="auto"/>
        <w:bottom w:val="none" w:sz="0" w:space="0" w:color="auto"/>
        <w:right w:val="none" w:sz="0" w:space="0" w:color="auto"/>
      </w:divBdr>
    </w:div>
    <w:div w:id="1883323689">
      <w:bodyDiv w:val="1"/>
      <w:marLeft w:val="0"/>
      <w:marRight w:val="0"/>
      <w:marTop w:val="0"/>
      <w:marBottom w:val="0"/>
      <w:divBdr>
        <w:top w:val="none" w:sz="0" w:space="0" w:color="auto"/>
        <w:left w:val="none" w:sz="0" w:space="0" w:color="auto"/>
        <w:bottom w:val="none" w:sz="0" w:space="0" w:color="auto"/>
        <w:right w:val="none" w:sz="0" w:space="0" w:color="auto"/>
      </w:divBdr>
    </w:div>
    <w:div w:id="1886794056">
      <w:bodyDiv w:val="1"/>
      <w:marLeft w:val="0"/>
      <w:marRight w:val="0"/>
      <w:marTop w:val="0"/>
      <w:marBottom w:val="0"/>
      <w:divBdr>
        <w:top w:val="none" w:sz="0" w:space="0" w:color="auto"/>
        <w:left w:val="none" w:sz="0" w:space="0" w:color="auto"/>
        <w:bottom w:val="none" w:sz="0" w:space="0" w:color="auto"/>
        <w:right w:val="none" w:sz="0" w:space="0" w:color="auto"/>
      </w:divBdr>
    </w:div>
    <w:div w:id="1890531713">
      <w:bodyDiv w:val="1"/>
      <w:marLeft w:val="0"/>
      <w:marRight w:val="0"/>
      <w:marTop w:val="0"/>
      <w:marBottom w:val="0"/>
      <w:divBdr>
        <w:top w:val="none" w:sz="0" w:space="0" w:color="auto"/>
        <w:left w:val="none" w:sz="0" w:space="0" w:color="auto"/>
        <w:bottom w:val="none" w:sz="0" w:space="0" w:color="auto"/>
        <w:right w:val="none" w:sz="0" w:space="0" w:color="auto"/>
      </w:divBdr>
    </w:div>
    <w:div w:id="1891185329">
      <w:bodyDiv w:val="1"/>
      <w:marLeft w:val="0"/>
      <w:marRight w:val="0"/>
      <w:marTop w:val="0"/>
      <w:marBottom w:val="0"/>
      <w:divBdr>
        <w:top w:val="none" w:sz="0" w:space="0" w:color="auto"/>
        <w:left w:val="none" w:sz="0" w:space="0" w:color="auto"/>
        <w:bottom w:val="none" w:sz="0" w:space="0" w:color="auto"/>
        <w:right w:val="none" w:sz="0" w:space="0" w:color="auto"/>
      </w:divBdr>
    </w:div>
    <w:div w:id="1907104064">
      <w:bodyDiv w:val="1"/>
      <w:marLeft w:val="0"/>
      <w:marRight w:val="0"/>
      <w:marTop w:val="0"/>
      <w:marBottom w:val="0"/>
      <w:divBdr>
        <w:top w:val="none" w:sz="0" w:space="0" w:color="auto"/>
        <w:left w:val="none" w:sz="0" w:space="0" w:color="auto"/>
        <w:bottom w:val="none" w:sz="0" w:space="0" w:color="auto"/>
        <w:right w:val="none" w:sz="0" w:space="0" w:color="auto"/>
      </w:divBdr>
    </w:div>
    <w:div w:id="1909918722">
      <w:bodyDiv w:val="1"/>
      <w:marLeft w:val="0"/>
      <w:marRight w:val="0"/>
      <w:marTop w:val="0"/>
      <w:marBottom w:val="0"/>
      <w:divBdr>
        <w:top w:val="none" w:sz="0" w:space="0" w:color="auto"/>
        <w:left w:val="none" w:sz="0" w:space="0" w:color="auto"/>
        <w:bottom w:val="none" w:sz="0" w:space="0" w:color="auto"/>
        <w:right w:val="none" w:sz="0" w:space="0" w:color="auto"/>
      </w:divBdr>
    </w:div>
    <w:div w:id="1911236564">
      <w:bodyDiv w:val="1"/>
      <w:marLeft w:val="0"/>
      <w:marRight w:val="0"/>
      <w:marTop w:val="0"/>
      <w:marBottom w:val="0"/>
      <w:divBdr>
        <w:top w:val="none" w:sz="0" w:space="0" w:color="auto"/>
        <w:left w:val="none" w:sz="0" w:space="0" w:color="auto"/>
        <w:bottom w:val="none" w:sz="0" w:space="0" w:color="auto"/>
        <w:right w:val="none" w:sz="0" w:space="0" w:color="auto"/>
      </w:divBdr>
    </w:div>
    <w:div w:id="1914199866">
      <w:bodyDiv w:val="1"/>
      <w:marLeft w:val="0"/>
      <w:marRight w:val="0"/>
      <w:marTop w:val="0"/>
      <w:marBottom w:val="0"/>
      <w:divBdr>
        <w:top w:val="none" w:sz="0" w:space="0" w:color="auto"/>
        <w:left w:val="none" w:sz="0" w:space="0" w:color="auto"/>
        <w:bottom w:val="none" w:sz="0" w:space="0" w:color="auto"/>
        <w:right w:val="none" w:sz="0" w:space="0" w:color="auto"/>
      </w:divBdr>
    </w:div>
    <w:div w:id="1916089291">
      <w:bodyDiv w:val="1"/>
      <w:marLeft w:val="0"/>
      <w:marRight w:val="0"/>
      <w:marTop w:val="0"/>
      <w:marBottom w:val="0"/>
      <w:divBdr>
        <w:top w:val="none" w:sz="0" w:space="0" w:color="auto"/>
        <w:left w:val="none" w:sz="0" w:space="0" w:color="auto"/>
        <w:bottom w:val="none" w:sz="0" w:space="0" w:color="auto"/>
        <w:right w:val="none" w:sz="0" w:space="0" w:color="auto"/>
      </w:divBdr>
    </w:div>
    <w:div w:id="1926263502">
      <w:bodyDiv w:val="1"/>
      <w:marLeft w:val="0"/>
      <w:marRight w:val="0"/>
      <w:marTop w:val="0"/>
      <w:marBottom w:val="0"/>
      <w:divBdr>
        <w:top w:val="none" w:sz="0" w:space="0" w:color="auto"/>
        <w:left w:val="none" w:sz="0" w:space="0" w:color="auto"/>
        <w:bottom w:val="none" w:sz="0" w:space="0" w:color="auto"/>
        <w:right w:val="none" w:sz="0" w:space="0" w:color="auto"/>
      </w:divBdr>
    </w:div>
    <w:div w:id="1926919935">
      <w:bodyDiv w:val="1"/>
      <w:marLeft w:val="0"/>
      <w:marRight w:val="0"/>
      <w:marTop w:val="0"/>
      <w:marBottom w:val="0"/>
      <w:divBdr>
        <w:top w:val="none" w:sz="0" w:space="0" w:color="auto"/>
        <w:left w:val="none" w:sz="0" w:space="0" w:color="auto"/>
        <w:bottom w:val="none" w:sz="0" w:space="0" w:color="auto"/>
        <w:right w:val="none" w:sz="0" w:space="0" w:color="auto"/>
      </w:divBdr>
    </w:div>
    <w:div w:id="1930919088">
      <w:bodyDiv w:val="1"/>
      <w:marLeft w:val="0"/>
      <w:marRight w:val="0"/>
      <w:marTop w:val="0"/>
      <w:marBottom w:val="0"/>
      <w:divBdr>
        <w:top w:val="none" w:sz="0" w:space="0" w:color="auto"/>
        <w:left w:val="none" w:sz="0" w:space="0" w:color="auto"/>
        <w:bottom w:val="none" w:sz="0" w:space="0" w:color="auto"/>
        <w:right w:val="none" w:sz="0" w:space="0" w:color="auto"/>
      </w:divBdr>
    </w:div>
    <w:div w:id="1932425367">
      <w:bodyDiv w:val="1"/>
      <w:marLeft w:val="0"/>
      <w:marRight w:val="0"/>
      <w:marTop w:val="0"/>
      <w:marBottom w:val="0"/>
      <w:divBdr>
        <w:top w:val="none" w:sz="0" w:space="0" w:color="auto"/>
        <w:left w:val="none" w:sz="0" w:space="0" w:color="auto"/>
        <w:bottom w:val="none" w:sz="0" w:space="0" w:color="auto"/>
        <w:right w:val="none" w:sz="0" w:space="0" w:color="auto"/>
      </w:divBdr>
    </w:div>
    <w:div w:id="1942057978">
      <w:bodyDiv w:val="1"/>
      <w:marLeft w:val="0"/>
      <w:marRight w:val="0"/>
      <w:marTop w:val="0"/>
      <w:marBottom w:val="0"/>
      <w:divBdr>
        <w:top w:val="none" w:sz="0" w:space="0" w:color="auto"/>
        <w:left w:val="none" w:sz="0" w:space="0" w:color="auto"/>
        <w:bottom w:val="none" w:sz="0" w:space="0" w:color="auto"/>
        <w:right w:val="none" w:sz="0" w:space="0" w:color="auto"/>
      </w:divBdr>
    </w:div>
    <w:div w:id="1950508726">
      <w:bodyDiv w:val="1"/>
      <w:marLeft w:val="0"/>
      <w:marRight w:val="0"/>
      <w:marTop w:val="0"/>
      <w:marBottom w:val="0"/>
      <w:divBdr>
        <w:top w:val="none" w:sz="0" w:space="0" w:color="auto"/>
        <w:left w:val="none" w:sz="0" w:space="0" w:color="auto"/>
        <w:bottom w:val="none" w:sz="0" w:space="0" w:color="auto"/>
        <w:right w:val="none" w:sz="0" w:space="0" w:color="auto"/>
      </w:divBdr>
    </w:div>
    <w:div w:id="1960916160">
      <w:bodyDiv w:val="1"/>
      <w:marLeft w:val="0"/>
      <w:marRight w:val="0"/>
      <w:marTop w:val="0"/>
      <w:marBottom w:val="0"/>
      <w:divBdr>
        <w:top w:val="none" w:sz="0" w:space="0" w:color="auto"/>
        <w:left w:val="none" w:sz="0" w:space="0" w:color="auto"/>
        <w:bottom w:val="none" w:sz="0" w:space="0" w:color="auto"/>
        <w:right w:val="none" w:sz="0" w:space="0" w:color="auto"/>
      </w:divBdr>
    </w:div>
    <w:div w:id="1962027433">
      <w:bodyDiv w:val="1"/>
      <w:marLeft w:val="0"/>
      <w:marRight w:val="0"/>
      <w:marTop w:val="0"/>
      <w:marBottom w:val="0"/>
      <w:divBdr>
        <w:top w:val="none" w:sz="0" w:space="0" w:color="auto"/>
        <w:left w:val="none" w:sz="0" w:space="0" w:color="auto"/>
        <w:bottom w:val="none" w:sz="0" w:space="0" w:color="auto"/>
        <w:right w:val="none" w:sz="0" w:space="0" w:color="auto"/>
      </w:divBdr>
    </w:div>
    <w:div w:id="1963072586">
      <w:bodyDiv w:val="1"/>
      <w:marLeft w:val="0"/>
      <w:marRight w:val="0"/>
      <w:marTop w:val="0"/>
      <w:marBottom w:val="0"/>
      <w:divBdr>
        <w:top w:val="none" w:sz="0" w:space="0" w:color="auto"/>
        <w:left w:val="none" w:sz="0" w:space="0" w:color="auto"/>
        <w:bottom w:val="none" w:sz="0" w:space="0" w:color="auto"/>
        <w:right w:val="none" w:sz="0" w:space="0" w:color="auto"/>
      </w:divBdr>
    </w:div>
    <w:div w:id="1963682661">
      <w:bodyDiv w:val="1"/>
      <w:marLeft w:val="0"/>
      <w:marRight w:val="0"/>
      <w:marTop w:val="0"/>
      <w:marBottom w:val="0"/>
      <w:divBdr>
        <w:top w:val="none" w:sz="0" w:space="0" w:color="auto"/>
        <w:left w:val="none" w:sz="0" w:space="0" w:color="auto"/>
        <w:bottom w:val="none" w:sz="0" w:space="0" w:color="auto"/>
        <w:right w:val="none" w:sz="0" w:space="0" w:color="auto"/>
      </w:divBdr>
    </w:div>
    <w:div w:id="1965309849">
      <w:bodyDiv w:val="1"/>
      <w:marLeft w:val="0"/>
      <w:marRight w:val="0"/>
      <w:marTop w:val="0"/>
      <w:marBottom w:val="0"/>
      <w:divBdr>
        <w:top w:val="none" w:sz="0" w:space="0" w:color="auto"/>
        <w:left w:val="none" w:sz="0" w:space="0" w:color="auto"/>
        <w:bottom w:val="none" w:sz="0" w:space="0" w:color="auto"/>
        <w:right w:val="none" w:sz="0" w:space="0" w:color="auto"/>
      </w:divBdr>
    </w:div>
    <w:div w:id="1968320002">
      <w:bodyDiv w:val="1"/>
      <w:marLeft w:val="0"/>
      <w:marRight w:val="0"/>
      <w:marTop w:val="0"/>
      <w:marBottom w:val="0"/>
      <w:divBdr>
        <w:top w:val="none" w:sz="0" w:space="0" w:color="auto"/>
        <w:left w:val="none" w:sz="0" w:space="0" w:color="auto"/>
        <w:bottom w:val="none" w:sz="0" w:space="0" w:color="auto"/>
        <w:right w:val="none" w:sz="0" w:space="0" w:color="auto"/>
      </w:divBdr>
    </w:div>
    <w:div w:id="1983188928">
      <w:bodyDiv w:val="1"/>
      <w:marLeft w:val="0"/>
      <w:marRight w:val="0"/>
      <w:marTop w:val="0"/>
      <w:marBottom w:val="0"/>
      <w:divBdr>
        <w:top w:val="none" w:sz="0" w:space="0" w:color="auto"/>
        <w:left w:val="none" w:sz="0" w:space="0" w:color="auto"/>
        <w:bottom w:val="none" w:sz="0" w:space="0" w:color="auto"/>
        <w:right w:val="none" w:sz="0" w:space="0" w:color="auto"/>
      </w:divBdr>
    </w:div>
    <w:div w:id="1986229498">
      <w:bodyDiv w:val="1"/>
      <w:marLeft w:val="0"/>
      <w:marRight w:val="0"/>
      <w:marTop w:val="0"/>
      <w:marBottom w:val="0"/>
      <w:divBdr>
        <w:top w:val="none" w:sz="0" w:space="0" w:color="auto"/>
        <w:left w:val="none" w:sz="0" w:space="0" w:color="auto"/>
        <w:bottom w:val="none" w:sz="0" w:space="0" w:color="auto"/>
        <w:right w:val="none" w:sz="0" w:space="0" w:color="auto"/>
      </w:divBdr>
    </w:div>
    <w:div w:id="1996956301">
      <w:bodyDiv w:val="1"/>
      <w:marLeft w:val="0"/>
      <w:marRight w:val="0"/>
      <w:marTop w:val="0"/>
      <w:marBottom w:val="0"/>
      <w:divBdr>
        <w:top w:val="none" w:sz="0" w:space="0" w:color="auto"/>
        <w:left w:val="none" w:sz="0" w:space="0" w:color="auto"/>
        <w:bottom w:val="none" w:sz="0" w:space="0" w:color="auto"/>
        <w:right w:val="none" w:sz="0" w:space="0" w:color="auto"/>
      </w:divBdr>
    </w:div>
    <w:div w:id="1999261312">
      <w:bodyDiv w:val="1"/>
      <w:marLeft w:val="0"/>
      <w:marRight w:val="0"/>
      <w:marTop w:val="0"/>
      <w:marBottom w:val="0"/>
      <w:divBdr>
        <w:top w:val="none" w:sz="0" w:space="0" w:color="auto"/>
        <w:left w:val="none" w:sz="0" w:space="0" w:color="auto"/>
        <w:bottom w:val="none" w:sz="0" w:space="0" w:color="auto"/>
        <w:right w:val="none" w:sz="0" w:space="0" w:color="auto"/>
      </w:divBdr>
    </w:div>
    <w:div w:id="2000307408">
      <w:bodyDiv w:val="1"/>
      <w:marLeft w:val="0"/>
      <w:marRight w:val="0"/>
      <w:marTop w:val="0"/>
      <w:marBottom w:val="0"/>
      <w:divBdr>
        <w:top w:val="none" w:sz="0" w:space="0" w:color="auto"/>
        <w:left w:val="none" w:sz="0" w:space="0" w:color="auto"/>
        <w:bottom w:val="none" w:sz="0" w:space="0" w:color="auto"/>
        <w:right w:val="none" w:sz="0" w:space="0" w:color="auto"/>
      </w:divBdr>
    </w:div>
    <w:div w:id="2008822161">
      <w:bodyDiv w:val="1"/>
      <w:marLeft w:val="0"/>
      <w:marRight w:val="0"/>
      <w:marTop w:val="0"/>
      <w:marBottom w:val="0"/>
      <w:divBdr>
        <w:top w:val="none" w:sz="0" w:space="0" w:color="auto"/>
        <w:left w:val="none" w:sz="0" w:space="0" w:color="auto"/>
        <w:bottom w:val="none" w:sz="0" w:space="0" w:color="auto"/>
        <w:right w:val="none" w:sz="0" w:space="0" w:color="auto"/>
      </w:divBdr>
    </w:div>
    <w:div w:id="2009627410">
      <w:bodyDiv w:val="1"/>
      <w:marLeft w:val="0"/>
      <w:marRight w:val="0"/>
      <w:marTop w:val="0"/>
      <w:marBottom w:val="0"/>
      <w:divBdr>
        <w:top w:val="none" w:sz="0" w:space="0" w:color="auto"/>
        <w:left w:val="none" w:sz="0" w:space="0" w:color="auto"/>
        <w:bottom w:val="none" w:sz="0" w:space="0" w:color="auto"/>
        <w:right w:val="none" w:sz="0" w:space="0" w:color="auto"/>
      </w:divBdr>
    </w:div>
    <w:div w:id="2022387964">
      <w:bodyDiv w:val="1"/>
      <w:marLeft w:val="0"/>
      <w:marRight w:val="0"/>
      <w:marTop w:val="0"/>
      <w:marBottom w:val="0"/>
      <w:divBdr>
        <w:top w:val="none" w:sz="0" w:space="0" w:color="auto"/>
        <w:left w:val="none" w:sz="0" w:space="0" w:color="auto"/>
        <w:bottom w:val="none" w:sz="0" w:space="0" w:color="auto"/>
        <w:right w:val="none" w:sz="0" w:space="0" w:color="auto"/>
      </w:divBdr>
    </w:div>
    <w:div w:id="2035418974">
      <w:bodyDiv w:val="1"/>
      <w:marLeft w:val="0"/>
      <w:marRight w:val="0"/>
      <w:marTop w:val="0"/>
      <w:marBottom w:val="0"/>
      <w:divBdr>
        <w:top w:val="none" w:sz="0" w:space="0" w:color="auto"/>
        <w:left w:val="none" w:sz="0" w:space="0" w:color="auto"/>
        <w:bottom w:val="none" w:sz="0" w:space="0" w:color="auto"/>
        <w:right w:val="none" w:sz="0" w:space="0" w:color="auto"/>
      </w:divBdr>
    </w:div>
    <w:div w:id="2038114750">
      <w:bodyDiv w:val="1"/>
      <w:marLeft w:val="0"/>
      <w:marRight w:val="0"/>
      <w:marTop w:val="0"/>
      <w:marBottom w:val="0"/>
      <w:divBdr>
        <w:top w:val="none" w:sz="0" w:space="0" w:color="auto"/>
        <w:left w:val="none" w:sz="0" w:space="0" w:color="auto"/>
        <w:bottom w:val="none" w:sz="0" w:space="0" w:color="auto"/>
        <w:right w:val="none" w:sz="0" w:space="0" w:color="auto"/>
      </w:divBdr>
    </w:div>
    <w:div w:id="2040352181">
      <w:bodyDiv w:val="1"/>
      <w:marLeft w:val="0"/>
      <w:marRight w:val="0"/>
      <w:marTop w:val="0"/>
      <w:marBottom w:val="0"/>
      <w:divBdr>
        <w:top w:val="none" w:sz="0" w:space="0" w:color="auto"/>
        <w:left w:val="none" w:sz="0" w:space="0" w:color="auto"/>
        <w:bottom w:val="none" w:sz="0" w:space="0" w:color="auto"/>
        <w:right w:val="none" w:sz="0" w:space="0" w:color="auto"/>
      </w:divBdr>
    </w:div>
    <w:div w:id="2050835524">
      <w:bodyDiv w:val="1"/>
      <w:marLeft w:val="0"/>
      <w:marRight w:val="0"/>
      <w:marTop w:val="0"/>
      <w:marBottom w:val="0"/>
      <w:divBdr>
        <w:top w:val="none" w:sz="0" w:space="0" w:color="auto"/>
        <w:left w:val="none" w:sz="0" w:space="0" w:color="auto"/>
        <w:bottom w:val="none" w:sz="0" w:space="0" w:color="auto"/>
        <w:right w:val="none" w:sz="0" w:space="0" w:color="auto"/>
      </w:divBdr>
    </w:div>
    <w:div w:id="2054309405">
      <w:bodyDiv w:val="1"/>
      <w:marLeft w:val="0"/>
      <w:marRight w:val="0"/>
      <w:marTop w:val="0"/>
      <w:marBottom w:val="0"/>
      <w:divBdr>
        <w:top w:val="none" w:sz="0" w:space="0" w:color="auto"/>
        <w:left w:val="none" w:sz="0" w:space="0" w:color="auto"/>
        <w:bottom w:val="none" w:sz="0" w:space="0" w:color="auto"/>
        <w:right w:val="none" w:sz="0" w:space="0" w:color="auto"/>
      </w:divBdr>
    </w:div>
    <w:div w:id="2061201898">
      <w:bodyDiv w:val="1"/>
      <w:marLeft w:val="0"/>
      <w:marRight w:val="0"/>
      <w:marTop w:val="0"/>
      <w:marBottom w:val="0"/>
      <w:divBdr>
        <w:top w:val="none" w:sz="0" w:space="0" w:color="auto"/>
        <w:left w:val="none" w:sz="0" w:space="0" w:color="auto"/>
        <w:bottom w:val="none" w:sz="0" w:space="0" w:color="auto"/>
        <w:right w:val="none" w:sz="0" w:space="0" w:color="auto"/>
      </w:divBdr>
    </w:div>
    <w:div w:id="2069108509">
      <w:bodyDiv w:val="1"/>
      <w:marLeft w:val="0"/>
      <w:marRight w:val="0"/>
      <w:marTop w:val="0"/>
      <w:marBottom w:val="0"/>
      <w:divBdr>
        <w:top w:val="none" w:sz="0" w:space="0" w:color="auto"/>
        <w:left w:val="none" w:sz="0" w:space="0" w:color="auto"/>
        <w:bottom w:val="none" w:sz="0" w:space="0" w:color="auto"/>
        <w:right w:val="none" w:sz="0" w:space="0" w:color="auto"/>
      </w:divBdr>
    </w:div>
    <w:div w:id="2070111449">
      <w:bodyDiv w:val="1"/>
      <w:marLeft w:val="0"/>
      <w:marRight w:val="0"/>
      <w:marTop w:val="0"/>
      <w:marBottom w:val="0"/>
      <w:divBdr>
        <w:top w:val="none" w:sz="0" w:space="0" w:color="auto"/>
        <w:left w:val="none" w:sz="0" w:space="0" w:color="auto"/>
        <w:bottom w:val="none" w:sz="0" w:space="0" w:color="auto"/>
        <w:right w:val="none" w:sz="0" w:space="0" w:color="auto"/>
      </w:divBdr>
    </w:div>
    <w:div w:id="2071422838">
      <w:bodyDiv w:val="1"/>
      <w:marLeft w:val="0"/>
      <w:marRight w:val="0"/>
      <w:marTop w:val="0"/>
      <w:marBottom w:val="0"/>
      <w:divBdr>
        <w:top w:val="none" w:sz="0" w:space="0" w:color="auto"/>
        <w:left w:val="none" w:sz="0" w:space="0" w:color="auto"/>
        <w:bottom w:val="none" w:sz="0" w:space="0" w:color="auto"/>
        <w:right w:val="none" w:sz="0" w:space="0" w:color="auto"/>
      </w:divBdr>
    </w:div>
    <w:div w:id="2072118078">
      <w:bodyDiv w:val="1"/>
      <w:marLeft w:val="0"/>
      <w:marRight w:val="0"/>
      <w:marTop w:val="0"/>
      <w:marBottom w:val="0"/>
      <w:divBdr>
        <w:top w:val="none" w:sz="0" w:space="0" w:color="auto"/>
        <w:left w:val="none" w:sz="0" w:space="0" w:color="auto"/>
        <w:bottom w:val="none" w:sz="0" w:space="0" w:color="auto"/>
        <w:right w:val="none" w:sz="0" w:space="0" w:color="auto"/>
      </w:divBdr>
    </w:div>
    <w:div w:id="2081782759">
      <w:bodyDiv w:val="1"/>
      <w:marLeft w:val="0"/>
      <w:marRight w:val="0"/>
      <w:marTop w:val="0"/>
      <w:marBottom w:val="0"/>
      <w:divBdr>
        <w:top w:val="none" w:sz="0" w:space="0" w:color="auto"/>
        <w:left w:val="none" w:sz="0" w:space="0" w:color="auto"/>
        <w:bottom w:val="none" w:sz="0" w:space="0" w:color="auto"/>
        <w:right w:val="none" w:sz="0" w:space="0" w:color="auto"/>
      </w:divBdr>
    </w:div>
    <w:div w:id="2082016331">
      <w:bodyDiv w:val="1"/>
      <w:marLeft w:val="0"/>
      <w:marRight w:val="0"/>
      <w:marTop w:val="0"/>
      <w:marBottom w:val="0"/>
      <w:divBdr>
        <w:top w:val="none" w:sz="0" w:space="0" w:color="auto"/>
        <w:left w:val="none" w:sz="0" w:space="0" w:color="auto"/>
        <w:bottom w:val="none" w:sz="0" w:space="0" w:color="auto"/>
        <w:right w:val="none" w:sz="0" w:space="0" w:color="auto"/>
      </w:divBdr>
    </w:div>
    <w:div w:id="2084447060">
      <w:bodyDiv w:val="1"/>
      <w:marLeft w:val="0"/>
      <w:marRight w:val="0"/>
      <w:marTop w:val="0"/>
      <w:marBottom w:val="0"/>
      <w:divBdr>
        <w:top w:val="none" w:sz="0" w:space="0" w:color="auto"/>
        <w:left w:val="none" w:sz="0" w:space="0" w:color="auto"/>
        <w:bottom w:val="none" w:sz="0" w:space="0" w:color="auto"/>
        <w:right w:val="none" w:sz="0" w:space="0" w:color="auto"/>
      </w:divBdr>
    </w:div>
    <w:div w:id="2085640407">
      <w:bodyDiv w:val="1"/>
      <w:marLeft w:val="0"/>
      <w:marRight w:val="0"/>
      <w:marTop w:val="0"/>
      <w:marBottom w:val="0"/>
      <w:divBdr>
        <w:top w:val="none" w:sz="0" w:space="0" w:color="auto"/>
        <w:left w:val="none" w:sz="0" w:space="0" w:color="auto"/>
        <w:bottom w:val="none" w:sz="0" w:space="0" w:color="auto"/>
        <w:right w:val="none" w:sz="0" w:space="0" w:color="auto"/>
      </w:divBdr>
    </w:div>
    <w:div w:id="2089308017">
      <w:bodyDiv w:val="1"/>
      <w:marLeft w:val="0"/>
      <w:marRight w:val="0"/>
      <w:marTop w:val="0"/>
      <w:marBottom w:val="0"/>
      <w:divBdr>
        <w:top w:val="none" w:sz="0" w:space="0" w:color="auto"/>
        <w:left w:val="none" w:sz="0" w:space="0" w:color="auto"/>
        <w:bottom w:val="none" w:sz="0" w:space="0" w:color="auto"/>
        <w:right w:val="none" w:sz="0" w:space="0" w:color="auto"/>
      </w:divBdr>
    </w:div>
    <w:div w:id="2097246810">
      <w:bodyDiv w:val="1"/>
      <w:marLeft w:val="0"/>
      <w:marRight w:val="0"/>
      <w:marTop w:val="0"/>
      <w:marBottom w:val="0"/>
      <w:divBdr>
        <w:top w:val="none" w:sz="0" w:space="0" w:color="auto"/>
        <w:left w:val="none" w:sz="0" w:space="0" w:color="auto"/>
        <w:bottom w:val="none" w:sz="0" w:space="0" w:color="auto"/>
        <w:right w:val="none" w:sz="0" w:space="0" w:color="auto"/>
      </w:divBdr>
    </w:div>
    <w:div w:id="2103720989">
      <w:bodyDiv w:val="1"/>
      <w:marLeft w:val="0"/>
      <w:marRight w:val="0"/>
      <w:marTop w:val="0"/>
      <w:marBottom w:val="0"/>
      <w:divBdr>
        <w:top w:val="none" w:sz="0" w:space="0" w:color="auto"/>
        <w:left w:val="none" w:sz="0" w:space="0" w:color="auto"/>
        <w:bottom w:val="none" w:sz="0" w:space="0" w:color="auto"/>
        <w:right w:val="none" w:sz="0" w:space="0" w:color="auto"/>
      </w:divBdr>
    </w:div>
    <w:div w:id="2105222538">
      <w:bodyDiv w:val="1"/>
      <w:marLeft w:val="0"/>
      <w:marRight w:val="0"/>
      <w:marTop w:val="0"/>
      <w:marBottom w:val="0"/>
      <w:divBdr>
        <w:top w:val="none" w:sz="0" w:space="0" w:color="auto"/>
        <w:left w:val="none" w:sz="0" w:space="0" w:color="auto"/>
        <w:bottom w:val="none" w:sz="0" w:space="0" w:color="auto"/>
        <w:right w:val="none" w:sz="0" w:space="0" w:color="auto"/>
      </w:divBdr>
    </w:div>
    <w:div w:id="2108502281">
      <w:bodyDiv w:val="1"/>
      <w:marLeft w:val="0"/>
      <w:marRight w:val="0"/>
      <w:marTop w:val="0"/>
      <w:marBottom w:val="0"/>
      <w:divBdr>
        <w:top w:val="none" w:sz="0" w:space="0" w:color="auto"/>
        <w:left w:val="none" w:sz="0" w:space="0" w:color="auto"/>
        <w:bottom w:val="none" w:sz="0" w:space="0" w:color="auto"/>
        <w:right w:val="none" w:sz="0" w:space="0" w:color="auto"/>
      </w:divBdr>
    </w:div>
    <w:div w:id="2112041712">
      <w:bodyDiv w:val="1"/>
      <w:marLeft w:val="0"/>
      <w:marRight w:val="0"/>
      <w:marTop w:val="0"/>
      <w:marBottom w:val="0"/>
      <w:divBdr>
        <w:top w:val="none" w:sz="0" w:space="0" w:color="auto"/>
        <w:left w:val="none" w:sz="0" w:space="0" w:color="auto"/>
        <w:bottom w:val="none" w:sz="0" w:space="0" w:color="auto"/>
        <w:right w:val="none" w:sz="0" w:space="0" w:color="auto"/>
      </w:divBdr>
    </w:div>
    <w:div w:id="2114664352">
      <w:bodyDiv w:val="1"/>
      <w:marLeft w:val="0"/>
      <w:marRight w:val="0"/>
      <w:marTop w:val="0"/>
      <w:marBottom w:val="0"/>
      <w:divBdr>
        <w:top w:val="none" w:sz="0" w:space="0" w:color="auto"/>
        <w:left w:val="none" w:sz="0" w:space="0" w:color="auto"/>
        <w:bottom w:val="none" w:sz="0" w:space="0" w:color="auto"/>
        <w:right w:val="none" w:sz="0" w:space="0" w:color="auto"/>
      </w:divBdr>
    </w:div>
    <w:div w:id="2116047923">
      <w:bodyDiv w:val="1"/>
      <w:marLeft w:val="0"/>
      <w:marRight w:val="0"/>
      <w:marTop w:val="0"/>
      <w:marBottom w:val="0"/>
      <w:divBdr>
        <w:top w:val="none" w:sz="0" w:space="0" w:color="auto"/>
        <w:left w:val="none" w:sz="0" w:space="0" w:color="auto"/>
        <w:bottom w:val="none" w:sz="0" w:space="0" w:color="auto"/>
        <w:right w:val="none" w:sz="0" w:space="0" w:color="auto"/>
      </w:divBdr>
    </w:div>
    <w:div w:id="2119711213">
      <w:bodyDiv w:val="1"/>
      <w:marLeft w:val="0"/>
      <w:marRight w:val="0"/>
      <w:marTop w:val="0"/>
      <w:marBottom w:val="0"/>
      <w:divBdr>
        <w:top w:val="none" w:sz="0" w:space="0" w:color="auto"/>
        <w:left w:val="none" w:sz="0" w:space="0" w:color="auto"/>
        <w:bottom w:val="none" w:sz="0" w:space="0" w:color="auto"/>
        <w:right w:val="none" w:sz="0" w:space="0" w:color="auto"/>
      </w:divBdr>
    </w:div>
    <w:div w:id="2124760653">
      <w:bodyDiv w:val="1"/>
      <w:marLeft w:val="0"/>
      <w:marRight w:val="0"/>
      <w:marTop w:val="0"/>
      <w:marBottom w:val="0"/>
      <w:divBdr>
        <w:top w:val="none" w:sz="0" w:space="0" w:color="auto"/>
        <w:left w:val="none" w:sz="0" w:space="0" w:color="auto"/>
        <w:bottom w:val="none" w:sz="0" w:space="0" w:color="auto"/>
        <w:right w:val="none" w:sz="0" w:space="0" w:color="auto"/>
      </w:divBdr>
    </w:div>
    <w:div w:id="2135631644">
      <w:bodyDiv w:val="1"/>
      <w:marLeft w:val="0"/>
      <w:marRight w:val="0"/>
      <w:marTop w:val="0"/>
      <w:marBottom w:val="0"/>
      <w:divBdr>
        <w:top w:val="none" w:sz="0" w:space="0" w:color="auto"/>
        <w:left w:val="none" w:sz="0" w:space="0" w:color="auto"/>
        <w:bottom w:val="none" w:sz="0" w:space="0" w:color="auto"/>
        <w:right w:val="none" w:sz="0" w:space="0" w:color="auto"/>
      </w:divBdr>
    </w:div>
    <w:div w:id="2136830837">
      <w:bodyDiv w:val="1"/>
      <w:marLeft w:val="0"/>
      <w:marRight w:val="0"/>
      <w:marTop w:val="0"/>
      <w:marBottom w:val="0"/>
      <w:divBdr>
        <w:top w:val="none" w:sz="0" w:space="0" w:color="auto"/>
        <w:left w:val="none" w:sz="0" w:space="0" w:color="auto"/>
        <w:bottom w:val="none" w:sz="0" w:space="0" w:color="auto"/>
        <w:right w:val="none" w:sz="0" w:space="0" w:color="auto"/>
      </w:divBdr>
    </w:div>
    <w:div w:id="214276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Id="srk1" Target="header1.xml" Type="http://schemas.openxmlformats.org/officeDocument/2006/relationships/header"/><Relationship Id="srk2" Target="footer1.xml" Type="http://schemas.openxmlformats.org/officeDocument/2006/relationships/footer"/><Relationship Type="http://schemas.openxmlformats.org/officeDocument/2006/relationships/hyperlink" Id="rId12" Target="https://arm2v4d-gmdp.srk.ar" TargetMode="External"/><Relationship Type="http://schemas.openxmlformats.org/officeDocument/2006/relationships/hyperlink" Id="rId19" Target="https://arm2v4d-report.srk.ar" TargetMode="External"/><Relationship Type="http://schemas.openxmlformats.org/officeDocument/2006/relationships/hyperlink" Id="rId11" Target="https://arm2v4d-sdc.srk.ar" TargetMode="External"/><Relationship Type="http://schemas.openxmlformats.org/officeDocument/2006/relationships/hyperlink" Id="rId9" Target="https://arm2v4d-sha.srk.ar" TargetMode="External"/><Relationship Type="http://schemas.openxmlformats.org/officeDocument/2006/relationships/hyperlink" Id="rId10" Target="https://arm2v4d-srs.srk.ar" TargetMode="External"/><Relationship Type="http://schemas.openxmlformats.org/officeDocument/2006/relationships/hyperlink" Id="rId201" Target="https://docs.openquake.org/oq-engine/3.21/" TargetMode="External"/><Relationship Type="http://schemas.openxmlformats.org/officeDocument/2006/relationships/hyperlink" Id="rId198" Target="https://docs.openquake.org/oq-engine/current/manual/" TargetMode="External"/><Relationship Type="http://schemas.openxmlformats.org/officeDocument/2006/relationships/hyperlink" Id="rId145" Target="https://doi.org/10.1002/eqe.4290160704" TargetMode="External"/><Relationship Type="http://schemas.openxmlformats.org/officeDocument/2006/relationships/hyperlink" Id="rId163" Target="https://doi.org/10.1002/eqe.571" TargetMode="External"/><Relationship Type="http://schemas.openxmlformats.org/officeDocument/2006/relationships/hyperlink" Id="rId222" Target="https://doi.org/10.1007/s10518-020-00869-1" TargetMode="External"/><Relationship Type="http://schemas.openxmlformats.org/officeDocument/2006/relationships/hyperlink" Id="rId271" Target="https://doi.org/10.1007/s10518-020-00940-x" TargetMode="External"/><Relationship Type="http://schemas.openxmlformats.org/officeDocument/2006/relationships/hyperlink" Id="rId236" Target="https://doi.org/10.1007/s10950-023-10177-1" TargetMode="External"/><Relationship Type="http://schemas.openxmlformats.org/officeDocument/2006/relationships/hyperlink" Id="rId192" Target="https://doi.org/10.1016/0261-7277(85)90037-3" TargetMode="External"/><Relationship Type="http://schemas.openxmlformats.org/officeDocument/2006/relationships/hyperlink" Id="rId220" Target="https://doi.org/10.1016/j.enggeo.2007.01.013" TargetMode="External"/><Relationship Type="http://schemas.openxmlformats.org/officeDocument/2006/relationships/hyperlink" Id="rId149" Target="https://doi.org/10.1016/j.soildyn.2024.108851" TargetMode="External"/><Relationship Type="http://schemas.openxmlformats.org/officeDocument/2006/relationships/hyperlink" Id="rId161" Target="https://doi.org/10.1017/9781108425056" TargetMode="External"/><Relationship Type="http://schemas.openxmlformats.org/officeDocument/2006/relationships/hyperlink" Id="rId180" Target="https://doi.org/10.1061/(ASCE)1090-0241(2007)133:4(381)" TargetMode="External"/><Relationship Type="http://schemas.openxmlformats.org/officeDocument/2006/relationships/hyperlink" Id="rId182" Target="https://doi.org/10.1061/(ASCE)GT.1943-5606.0000012" TargetMode="External"/><Relationship Type="http://schemas.openxmlformats.org/officeDocument/2006/relationships/hyperlink" Id="rId178" Target="https://doi.org/10.1061/(ASCE)GT.1943-5606.0001833" TargetMode="External"/><Relationship Type="http://schemas.openxmlformats.org/officeDocument/2006/relationships/hyperlink" Id="rId176" Target="https://doi.org/10.1061/(ASCE)GT.1943-5606.0002143" TargetMode="External"/><Relationship Type="http://schemas.openxmlformats.org/officeDocument/2006/relationships/hyperlink" Id="rId230" Target="https://doi.org/10.1061/AJGEB6.0000668" TargetMode="External"/><Relationship Type="http://schemas.openxmlformats.org/officeDocument/2006/relationships/hyperlink" Id="rId207" Target="https://doi.org/10.1061/JSFEAQ.0001100" TargetMode="External"/><Relationship Type="http://schemas.openxmlformats.org/officeDocument/2006/relationships/hyperlink" Id="rId209" Target="https://doi.org/10.1061/JSFEAQ.0001756" TargetMode="External"/><Relationship Type="http://schemas.openxmlformats.org/officeDocument/2006/relationships/hyperlink" Id="rId216" Target="https://doi.org/10.1093/oso/9780198562245.001.0001" TargetMode="External"/><Relationship Type="http://schemas.openxmlformats.org/officeDocument/2006/relationships/hyperlink" Id="rId213" Target="https://doi.org/10.1098/rspa.1998.0193" TargetMode="External"/><Relationship Type="http://schemas.openxmlformats.org/officeDocument/2006/relationships/hyperlink" Id="rId194" Target="https://doi.org/10.1109/TSP.2013.2288675" TargetMode="External"/><Relationship Type="http://schemas.openxmlformats.org/officeDocument/2006/relationships/hyperlink" Id="rId257" Target="https://doi.org/10.1177/8755293019878185" TargetMode="External"/><Relationship Type="http://schemas.openxmlformats.org/officeDocument/2006/relationships/hyperlink" Id="rId211" Target="https://doi.org/10.1177/8755293019878193" TargetMode="External"/><Relationship Type="http://schemas.openxmlformats.org/officeDocument/2006/relationships/hyperlink" Id="rId189" Target="https://doi.org/10.1177/8755293019891711" TargetMode="External"/><Relationship Type="http://schemas.openxmlformats.org/officeDocument/2006/relationships/hyperlink" Id="rId218" Target="https://doi.org/10.1177/8755293019899947" TargetMode="External"/><Relationship Type="http://schemas.openxmlformats.org/officeDocument/2006/relationships/hyperlink" Id="rId242" Target="https://doi.org/10.1177/87552930211034889" TargetMode="External"/><Relationship Type="http://schemas.openxmlformats.org/officeDocument/2006/relationships/hyperlink" Id="rId138" Target="https://doi.org/10.1177/87552930221114374" TargetMode="External"/><Relationship Type="http://schemas.openxmlformats.org/officeDocument/2006/relationships/hyperlink" Id="rId142" Target="https://doi.org/10.1193/051712EQS188MR" TargetMode="External"/><Relationship Type="http://schemas.openxmlformats.org/officeDocument/2006/relationships/hyperlink" Id="rId185" Target="https://doi.org/10.1193/062913EQS175M" TargetMode="External"/><Relationship Type="http://schemas.openxmlformats.org/officeDocument/2006/relationships/hyperlink" Id="rId168" Target="https://doi.org/10.1193/1.2830434" TargetMode="External"/><Relationship Type="http://schemas.openxmlformats.org/officeDocument/2006/relationships/hyperlink" Id="rId165" Target="https://doi.org/10.1193/1.2857544" TargetMode="External"/><Relationship Type="http://schemas.openxmlformats.org/officeDocument/2006/relationships/hyperlink" Id="rId172" Target="https://doi.org/10.1193/1.4000047" TargetMode="External"/><Relationship Type="http://schemas.openxmlformats.org/officeDocument/2006/relationships/hyperlink" Id="rId228" Target="https://doi.org/10.1193/122516EQS251M" TargetMode="External"/><Relationship Type="http://schemas.openxmlformats.org/officeDocument/2006/relationships/hyperlink" Id="rId240" Target="https://doi.org/10.1680/geot.1965.15.2.139" TargetMode="External"/><Relationship Type="http://schemas.openxmlformats.org/officeDocument/2006/relationships/hyperlink" Id="rId153" Target="https://doi.org/10.1785/0120050245" TargetMode="External"/><Relationship Type="http://schemas.openxmlformats.org/officeDocument/2006/relationships/hyperlink" Id="rId244" Target="https://doi.org/10.1785/0120100082" TargetMode="External"/><Relationship Type="http://schemas.openxmlformats.org/officeDocument/2006/relationships/hyperlink" Id="rId155" Target="https://doi.org/10.1785/0120100270" TargetMode="External"/><Relationship Type="http://schemas.openxmlformats.org/officeDocument/2006/relationships/hyperlink" Id="rId234" Target="https://doi.org/10.1785/0120160221" TargetMode="External"/><Relationship Type="http://schemas.openxmlformats.org/officeDocument/2006/relationships/hyperlink" Id="rId170" Target="https://doi.org/10.1785/0120200270" TargetMode="External"/><Relationship Type="http://schemas.openxmlformats.org/officeDocument/2006/relationships/hyperlink" Id="rId251" Target="https://doi.org/10.2208/jscej1969.1975.57" TargetMode="External"/><Relationship Type="http://schemas.openxmlformats.org/officeDocument/2006/relationships/hyperlink" Id="rId203" Target="https://globaltailingsreview.org/wp-content/uploads/2020/08/global-industry-standard-on-tailings-management.pdf" TargetMode="External"/><Relationship Type="http://schemas.openxmlformats.org/officeDocument/2006/relationships/hyperlink" Id="rId246" Target="https://journals.sagepub.com/doi/abs/10.1177/87552930211061168" TargetMode="External"/><Relationship Type="http://schemas.openxmlformats.org/officeDocument/2006/relationships/hyperlink" Id="rId249" Target="https://open.library.ubc.ca/soa/cIRcle/collections/59368/items/1.0314230" TargetMode="External"/><Relationship Type="http://schemas.openxmlformats.org/officeDocument/2006/relationships/hyperlink" Id="rId205" Target="https://peer.berkeley.edu/new-peer-report-201703" TargetMode="External"/><Relationship Type="http://schemas.openxmlformats.org/officeDocument/2006/relationships/hyperlink" Id="rId140" Target="https://peer.berkeley.edu/publications/2018-02" TargetMode="External"/><Relationship Type="http://schemas.openxmlformats.org/officeDocument/2006/relationships/hyperlink" Id="rId225" Target="https://peer.berkeley.edu/publications/2020-04" TargetMode="External"/><Relationship Type="http://schemas.openxmlformats.org/officeDocument/2006/relationships/hyperlink" Id="rId253" Target="https://peer.berkeley.edu/publications/2020-06" TargetMode="External"/><Relationship Type="http://schemas.openxmlformats.org/officeDocument/2006/relationships/hyperlink" Id="rId151" Target="https://pubs.geoscienceworld.org/ssa/bssa/article-abstract/114/1/350/631700/" TargetMode="External"/><Relationship Type="http://schemas.openxmlformats.org/officeDocument/2006/relationships/hyperlink" Id="rId157" Target="https://pubs.geoscienceworld.org/ssa/bssa/article-abstract/99/3/1552/350126" TargetMode="External"/><Relationship Type="http://schemas.openxmlformats.org/officeDocument/2006/relationships/hyperlink" Id="rId174" Target="https://pubs.geoscienceworld.org/ssa/bssa/article/114/1/329/631789/" TargetMode="External"/><Relationship Type="http://schemas.openxmlformats.org/officeDocument/2006/relationships/hyperlink" Id="rId267" Target="https://sevyt23.srk.ar/article.pdf" TargetMode="External"/><Relationship Type="http://schemas.openxmlformats.org/officeDocument/2006/relationships/hyperlink" Id="rId255" Target="https://www.aees.org.au/wp-content/uploads/2013/11/Somerville-et-al.pdf" TargetMode="External"/><Relationship Type="http://schemas.openxmlformats.org/officeDocument/2006/relationships/hyperlink" Id="rId147" Target="https://www.ce.memphis.edu/7137/PDFs/Seismic%20Manual/nchrp_rpt_611.pdf" TargetMode="External"/><Relationship Type="http://schemas.openxmlformats.org/officeDocument/2006/relationships/hyperlink" Id="rId265" Target="https://www.nrc.gov/reading-rm/doc-collections/nuregs/staff/sr2117/" TargetMode="External"/><Relationship Type="http://schemas.openxmlformats.org/officeDocument/2006/relationships/hyperlink" Id="rId261" Target="https://www.publications.usace.army.mil/Portals/76/Publications/EngineerManuals/EM_1110-2-1902.pdf" TargetMode="External"/><Relationship Type="http://schemas.openxmlformats.org/officeDocument/2006/relationships/hyperlink" Id="rId259" Target="https://www.publications.usace.army.mil/Portals/76/Publications/EngineerRegulations/ER_1110-2-1806.pdf" TargetMode="External"/><Relationship Type="http://schemas.openxmlformats.org/officeDocument/2006/relationships/hyperlink" Id="rId263" Target="https://www.publications.usace.army.mil/portals/76/publications/engineermanuals/em_1110-2-2100.pdf" TargetMode="External"/><Relationship Id="rId13" Type="http://schemas.openxmlformats.org/officeDocument/2006/relationships/image" Target="media/srk-na-logo.wmf"/><Relationship Id="rId14" Type="http://schemas.openxmlformats.org/officeDocument/2006/relationships/header" Target="srk-empty-header.xml"/><Relationship Id="rId15" Type="http://schemas.openxmlformats.org/officeDocument/2006/relationships/footer" Target="srk-empty-footer.xml"/><Relationship Id="rId16" Type="http://schemas.openxmlformats.org/officeDocument/2006/relationships/footer" Target="srk-cover-footer.xml"/></Relationships>
</file>

<file path=word/_rels/footnotes.xml.rels><?xml version="1.0" encoding="UTF-8"?><Relationships xmlns="http://schemas.openxmlformats.org/package/2006/relationships"><Relationship Type="http://schemas.openxmlformats.org/officeDocument/2006/relationships/hyperlink" Id="rId12" Target="https://arm2v4d-gmdp.srk.ar" TargetMode="External" /><Relationship Type="http://schemas.openxmlformats.org/officeDocument/2006/relationships/hyperlink" Id="rId19" Target="https://arm2v4d-report.srk.ar" TargetMode="External" /><Relationship Type="http://schemas.openxmlformats.org/officeDocument/2006/relationships/hyperlink" Id="rId11" Target="https://arm2v4d-sdc.srk.ar" TargetMode="External" /><Relationship Type="http://schemas.openxmlformats.org/officeDocument/2006/relationships/hyperlink" Id="rId9" Target="https://arm2v4d-sha.srk.ar" TargetMode="External" /><Relationship Type="http://schemas.openxmlformats.org/officeDocument/2006/relationships/hyperlink" Id="rId10" Target="https://arm2v4d-srs.srk.ar" TargetMode="External" /><Relationship Type="http://schemas.openxmlformats.org/officeDocument/2006/relationships/hyperlink" Id="rId201" Target="https://docs.openquake.org/oq-engine/3.21/" TargetMode="External" /><Relationship Type="http://schemas.openxmlformats.org/officeDocument/2006/relationships/hyperlink" Id="rId198" Target="https://docs.openquake.org/oq-engine/current/manual/" TargetMode="External" /><Relationship Type="http://schemas.openxmlformats.org/officeDocument/2006/relationships/hyperlink" Id="rId145" Target="https://doi.org/10.1002/eqe.4290160704" TargetMode="External" /><Relationship Type="http://schemas.openxmlformats.org/officeDocument/2006/relationships/hyperlink" Id="rId163" Target="https://doi.org/10.1002/eqe.571" TargetMode="External" /><Relationship Type="http://schemas.openxmlformats.org/officeDocument/2006/relationships/hyperlink" Id="rId222" Target="https://doi.org/10.1007/s10518-020-00869-1" TargetMode="External" /><Relationship Type="http://schemas.openxmlformats.org/officeDocument/2006/relationships/hyperlink" Id="rId271" Target="https://doi.org/10.1007/s10518-020-00940-x" TargetMode="External" /><Relationship Type="http://schemas.openxmlformats.org/officeDocument/2006/relationships/hyperlink" Id="rId236" Target="https://doi.org/10.1007/s10950-023-10177-1" TargetMode="External" /><Relationship Type="http://schemas.openxmlformats.org/officeDocument/2006/relationships/hyperlink" Id="rId192" Target="https://doi.org/10.1016/0261-7277(85)90037-3" TargetMode="External" /><Relationship Type="http://schemas.openxmlformats.org/officeDocument/2006/relationships/hyperlink" Id="rId220" Target="https://doi.org/10.1016/j.enggeo.2007.01.013" TargetMode="External" /><Relationship Type="http://schemas.openxmlformats.org/officeDocument/2006/relationships/hyperlink" Id="rId149" Target="https://doi.org/10.1016/j.soildyn.2024.108851" TargetMode="External" /><Relationship Type="http://schemas.openxmlformats.org/officeDocument/2006/relationships/hyperlink" Id="rId161" Target="https://doi.org/10.1017/9781108425056" TargetMode="External" /><Relationship Type="http://schemas.openxmlformats.org/officeDocument/2006/relationships/hyperlink" Id="rId180" Target="https://doi.org/10.1061/(ASCE)1090-0241(2007)133:4(381)" TargetMode="External" /><Relationship Type="http://schemas.openxmlformats.org/officeDocument/2006/relationships/hyperlink" Id="rId182" Target="https://doi.org/10.1061/(ASCE)GT.1943-5606.0000012" TargetMode="External" /><Relationship Type="http://schemas.openxmlformats.org/officeDocument/2006/relationships/hyperlink" Id="rId178" Target="https://doi.org/10.1061/(ASCE)GT.1943-5606.0001833" TargetMode="External" /><Relationship Type="http://schemas.openxmlformats.org/officeDocument/2006/relationships/hyperlink" Id="rId176" Target="https://doi.org/10.1061/(ASCE)GT.1943-5606.0002143" TargetMode="External" /><Relationship Type="http://schemas.openxmlformats.org/officeDocument/2006/relationships/hyperlink" Id="rId230" Target="https://doi.org/10.1061/AJGEB6.0000668" TargetMode="External" /><Relationship Type="http://schemas.openxmlformats.org/officeDocument/2006/relationships/hyperlink" Id="rId207" Target="https://doi.org/10.1061/JSFEAQ.0001100" TargetMode="External" /><Relationship Type="http://schemas.openxmlformats.org/officeDocument/2006/relationships/hyperlink" Id="rId209" Target="https://doi.org/10.1061/JSFEAQ.0001756" TargetMode="External" /><Relationship Type="http://schemas.openxmlformats.org/officeDocument/2006/relationships/hyperlink" Id="rId216" Target="https://doi.org/10.1093/oso/9780198562245.001.0001" TargetMode="External" /><Relationship Type="http://schemas.openxmlformats.org/officeDocument/2006/relationships/hyperlink" Id="rId213" Target="https://doi.org/10.1098/rspa.1998.0193" TargetMode="External" /><Relationship Type="http://schemas.openxmlformats.org/officeDocument/2006/relationships/hyperlink" Id="rId194" Target="https://doi.org/10.1109/TSP.2013.2288675" TargetMode="External" /><Relationship Type="http://schemas.openxmlformats.org/officeDocument/2006/relationships/hyperlink" Id="rId257" Target="https://doi.org/10.1177/8755293019878185" TargetMode="External" /><Relationship Type="http://schemas.openxmlformats.org/officeDocument/2006/relationships/hyperlink" Id="rId211" Target="https://doi.org/10.1177/8755293019878193" TargetMode="External" /><Relationship Type="http://schemas.openxmlformats.org/officeDocument/2006/relationships/hyperlink" Id="rId189" Target="https://doi.org/10.1177/8755293019891711" TargetMode="External" /><Relationship Type="http://schemas.openxmlformats.org/officeDocument/2006/relationships/hyperlink" Id="rId218" Target="https://doi.org/10.1177/8755293019899947" TargetMode="External" /><Relationship Type="http://schemas.openxmlformats.org/officeDocument/2006/relationships/hyperlink" Id="rId242" Target="https://doi.org/10.1177/87552930211034889" TargetMode="External" /><Relationship Type="http://schemas.openxmlformats.org/officeDocument/2006/relationships/hyperlink" Id="rId138" Target="https://doi.org/10.1177/87552930221114374" TargetMode="External" /><Relationship Type="http://schemas.openxmlformats.org/officeDocument/2006/relationships/hyperlink" Id="rId142" Target="https://doi.org/10.1193/051712EQS188MR" TargetMode="External" /><Relationship Type="http://schemas.openxmlformats.org/officeDocument/2006/relationships/hyperlink" Id="rId185" Target="https://doi.org/10.1193/062913EQS175M" TargetMode="External" /><Relationship Type="http://schemas.openxmlformats.org/officeDocument/2006/relationships/hyperlink" Id="rId168" Target="https://doi.org/10.1193/1.2830434" TargetMode="External" /><Relationship Type="http://schemas.openxmlformats.org/officeDocument/2006/relationships/hyperlink" Id="rId165" Target="https://doi.org/10.1193/1.2857544" TargetMode="External" /><Relationship Type="http://schemas.openxmlformats.org/officeDocument/2006/relationships/hyperlink" Id="rId172" Target="https://doi.org/10.1193/1.4000047" TargetMode="External" /><Relationship Type="http://schemas.openxmlformats.org/officeDocument/2006/relationships/hyperlink" Id="rId228" Target="https://doi.org/10.1193/122516EQS251M" TargetMode="External" /><Relationship Type="http://schemas.openxmlformats.org/officeDocument/2006/relationships/hyperlink" Id="rId240" Target="https://doi.org/10.1680/geot.1965.15.2.139" TargetMode="External" /><Relationship Type="http://schemas.openxmlformats.org/officeDocument/2006/relationships/hyperlink" Id="rId153" Target="https://doi.org/10.1785/0120050245" TargetMode="External" /><Relationship Type="http://schemas.openxmlformats.org/officeDocument/2006/relationships/hyperlink" Id="rId244" Target="https://doi.org/10.1785/0120100082" TargetMode="External" /><Relationship Type="http://schemas.openxmlformats.org/officeDocument/2006/relationships/hyperlink" Id="rId155" Target="https://doi.org/10.1785/0120100270" TargetMode="External" /><Relationship Type="http://schemas.openxmlformats.org/officeDocument/2006/relationships/hyperlink" Id="rId234" Target="https://doi.org/10.1785/0120160221" TargetMode="External" /><Relationship Type="http://schemas.openxmlformats.org/officeDocument/2006/relationships/hyperlink" Id="rId170" Target="https://doi.org/10.1785/0120200270" TargetMode="External" /><Relationship Type="http://schemas.openxmlformats.org/officeDocument/2006/relationships/hyperlink" Id="rId251" Target="https://doi.org/10.2208/jscej1969.1975.57" TargetMode="External" /><Relationship Type="http://schemas.openxmlformats.org/officeDocument/2006/relationships/hyperlink" Id="rId203" Target="https://globaltailingsreview.org/wp-content/uploads/2020/08/global-industry-standard-on-tailings-management.pdf" TargetMode="External" /><Relationship Type="http://schemas.openxmlformats.org/officeDocument/2006/relationships/hyperlink" Id="rId246" Target="https://journals.sagepub.com/doi/abs/10.1177/87552930211061168" TargetMode="External" /><Relationship Type="http://schemas.openxmlformats.org/officeDocument/2006/relationships/hyperlink" Id="rId249" Target="https://open.library.ubc.ca/soa/cIRcle/collections/59368/items/1.0314230" TargetMode="External" /><Relationship Type="http://schemas.openxmlformats.org/officeDocument/2006/relationships/hyperlink" Id="rId205" Target="https://peer.berkeley.edu/new-peer-report-201703" TargetMode="External" /><Relationship Type="http://schemas.openxmlformats.org/officeDocument/2006/relationships/hyperlink" Id="rId140" Target="https://peer.berkeley.edu/publications/2018-02" TargetMode="External" /><Relationship Type="http://schemas.openxmlformats.org/officeDocument/2006/relationships/hyperlink" Id="rId225" Target="https://peer.berkeley.edu/publications/2020-04" TargetMode="External" /><Relationship Type="http://schemas.openxmlformats.org/officeDocument/2006/relationships/hyperlink" Id="rId253" Target="https://peer.berkeley.edu/publications/2020-06" TargetMode="External" /><Relationship Type="http://schemas.openxmlformats.org/officeDocument/2006/relationships/hyperlink" Id="rId151" Target="https://pubs.geoscienceworld.org/ssa/bssa/article-abstract/114/1/350/631700/" TargetMode="External" /><Relationship Type="http://schemas.openxmlformats.org/officeDocument/2006/relationships/hyperlink" Id="rId157" Target="https://pubs.geoscienceworld.org/ssa/bssa/article-abstract/99/3/1552/350126" TargetMode="External" /><Relationship Type="http://schemas.openxmlformats.org/officeDocument/2006/relationships/hyperlink" Id="rId174" Target="https://pubs.geoscienceworld.org/ssa/bssa/article/114/1/329/631789/" TargetMode="External" /><Relationship Type="http://schemas.openxmlformats.org/officeDocument/2006/relationships/hyperlink" Id="rId267" Target="https://sevyt23.srk.ar/article.pdf" TargetMode="External" /><Relationship Type="http://schemas.openxmlformats.org/officeDocument/2006/relationships/hyperlink" Id="rId255" Target="https://www.aees.org.au/wp-content/uploads/2013/11/Somerville-et-al.pdf" TargetMode="External" /><Relationship Type="http://schemas.openxmlformats.org/officeDocument/2006/relationships/hyperlink" Id="rId147" Target="https://www.ce.memphis.edu/7137/PDFs/Seismic%20Manual/nchrp_rpt_611.pdf" TargetMode="External" /><Relationship Type="http://schemas.openxmlformats.org/officeDocument/2006/relationships/hyperlink" Id="rId265" Target="https://www.nrc.gov/reading-rm/doc-collections/nuregs/staff/sr2117/" TargetMode="External" /><Relationship Type="http://schemas.openxmlformats.org/officeDocument/2006/relationships/hyperlink" Id="rId261" Target="https://www.publications.usace.army.mil/Portals/76/Publications/EngineerManuals/EM_1110-2-1902.pdf" TargetMode="External" /><Relationship Type="http://schemas.openxmlformats.org/officeDocument/2006/relationships/hyperlink" Id="rId259" Target="https://www.publications.usace.army.mil/Portals/76/Publications/EngineerRegulations/ER_1110-2-1806.pdf" TargetMode="External" /><Relationship Type="http://schemas.openxmlformats.org/officeDocument/2006/relationships/hyperlink" Id="rId263" Target="https://www.publications.usace.army.mil/portals/76/publications/engineermanuals/em_1110-2-21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Seismic Hazard Study</dc:title>
  <dc:creator/>
  <cp:keywords/>
  <dcterms:created xsi:type="dcterms:W3CDTF">2026-10-15T16:06:44Z</dcterms:created>
  <dcterms:modified xsi:type="dcterms:W3CDTF">2026-10-15T16:06:44Z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olorlinks">
    <vt:lpwstr>True</vt:lpwstr>
  </property>
  <property fmtid="{D5CDD505-2E9C-101B-9397-08002B2CF9AE}" pid="6" name="crossref">
    <vt:lpwstr/>
  </property>
  <property fmtid="{D5CDD505-2E9C-101B-9397-08002B2CF9AE}" pid="7" name="csl">
    <vt:lpwstr>bib/apa.csl</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number-depth">
    <vt:lpwstr>4</vt:lpwstr>
  </property>
  <property fmtid="{D5CDD505-2E9C-101B-9397-08002B2CF9AE}" pid="15" name="template-partials">
    <vt:lpwstr/>
  </property>
  <property fmtid="{D5CDD505-2E9C-101B-9397-08002B2CF9AE}" pid="16" name="toc-title">
    <vt:lpwstr>Table of Contents</vt:lpwstr>
  </property>
</Properties>
</file>