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365D"/>
          <w:sz w:val="44"/>
        </w:rPr>
        <w:t>HYBRID DEEP LEARNING MODEL FOR DETECTION OF ADHD USING EEG</w:t>
      </w:r>
    </w:p>
    <w:p>
      <w:pPr>
        <w:spacing w:after="360"/>
        <w:jc w:val="center"/>
      </w:pPr>
      <w:r>
        <w:rPr>
          <w:i/>
          <w:color w:val="4A5568"/>
          <w:sz w:val="26"/>
        </w:rPr>
        <w:t>Comprehensive Technical Reconstruction, Architecture Design, and Subject-Independent Evaluation Benchmark</w:t>
      </w:r>
    </w:p>
    <w:p>
      <w:pPr>
        <w:pStyle w:val="Heading1"/>
        <w:spacing w:before="320" w:after="120"/>
      </w:pPr>
      <w:r>
        <w:rPr>
          <w:b/>
          <w:color w:val="1A365D"/>
          <w:sz w:val="32"/>
        </w:rPr>
        <w:t>1. Executive Summary &amp; Clinical Research Context</w:t>
      </w:r>
    </w:p>
    <w:p>
      <w:r>
        <w:t>Attention-Deficit/Hyperactivity Disorder (ADHD) is a neurodevelopmental condition characterized by persistent patterns of inattention, hyperactivity, and impulsivity. Traditional diagnosis relies primarily on subjective clinical interviews, behavioral questionnaires, and diagnostic rating scales. While Electroencephalography (EEG) offers an objective, non-invasive biomarker of underlying cerebral electrical activity, analyzing multichannel EEG signals is technically challenging due to non-stationarity, high inter-subject variability, low signal-to-noise ratio, and physiological/powerline contamination.</w:t>
      </w:r>
    </w:p>
    <w:p>
      <w:r>
        <w:t>A critical limitation identified in prior literature (including trial-based CNN-LSTM baselines) is the prevalence of sample-wise data leakage. When continuous EEG signals are segmented into short overlapping time windows and randomly partitioned into training and testing sets, windows originating from the same participant appear in both subsets. This allows deep learning models to memorize individual-specific traits rather than learning generalizable neural biomarkers, leading to artificially inflated accuracy scores (e.g., &gt;98%) that collapse when tested on unseen clinical patients.</w:t>
      </w:r>
    </w:p>
    <w:p>
      <w:r>
        <w:t>To solve this methodological gap, this project establishes a universal, subject-independent deep learning framework for automated ADHD classification. By enforcing strict participant-level isolation before windowing, fitting feature scaling exclusively on training subjects, and benchmarking three neural architectures (Multi-Scale Residual CNN, CNN-BiLSTM with Temporal Attention, and CNN-Transformer with Attention Pooling) across two distinct public datasets (IEEE DataPort 19-channel pediatric cohort and Mendeley 2-channel adult cohort), this study provides a transparent, leakage-free diagnostic baseline.</w:t>
      </w:r>
    </w:p>
    <w:p>
      <w:pPr>
        <w:pStyle w:val="Heading1"/>
        <w:spacing w:before="320" w:after="120"/>
      </w:pPr>
      <w:r>
        <w:rPr>
          <w:b/>
          <w:color w:val="1A365D"/>
          <w:sz w:val="32"/>
        </w:rPr>
        <w:t>2. End-to-End Project Workflow &amp; Implementation Mechanics</w:t>
      </w:r>
    </w:p>
    <w:p>
      <w:r>
        <w:t>The project follows a rigorous 12-stage sequential execution pipeline designed to guarantee data integrity, prevent temporal leakage, and deliver calibrated subject-level diagnostic probabilities:</w:t>
      </w:r>
    </w:p>
    <w:p>
      <w:pPr>
        <w:pStyle w:val="ListBullet"/>
      </w:pPr>
      <w:r>
        <w:rPr>
          <w:b/>
        </w:rPr>
        <w:t xml:space="preserve">Raw EEG File Discovery &amp; Ingestion: </w:t>
      </w:r>
      <w:r>
        <w:t>Recursively scans repository paths for .mat, .zip, .edf, or .csv files containing continuous raw voltage recordings.</w:t>
      </w:r>
    </w:p>
    <w:p>
      <w:pPr>
        <w:pStyle w:val="ListBullet"/>
      </w:pPr>
      <w:r>
        <w:rPr>
          <w:b/>
        </w:rPr>
        <w:t xml:space="preserve">Universal Dataset Parsing &amp; Validation: </w:t>
      </w:r>
      <w:r>
        <w:t>Extracts 2D array structures (samples, channels), verifies sampling frequencies (standardized to 128 Hz), checks for constant or non-finite values, and maps metadata.</w:t>
      </w:r>
    </w:p>
    <w:p>
      <w:pPr>
        <w:pStyle w:val="ListBullet"/>
      </w:pPr>
      <w:r>
        <w:rPr>
          <w:b/>
        </w:rPr>
        <w:t xml:space="preserve">Binary Group Label Assignment: </w:t>
      </w:r>
      <w:r>
        <w:t>Parses file directory paths and naming conventions using keyword vocabulary matching ('adhd', 'patient' -&gt; 1; 'control', 'healthy' -&gt; 0).</w:t>
      </w:r>
    </w:p>
    <w:p>
      <w:pPr>
        <w:pStyle w:val="ListBullet"/>
      </w:pPr>
      <w:r>
        <w:rPr>
          <w:b/>
        </w:rPr>
        <w:t xml:space="preserve">Continuous Signal Preprocessing: </w:t>
      </w:r>
      <w:r>
        <w:t>Applies linear detrending, a 50 Hz IIR notch filter (Q=30) to eliminate powerline interference, a 4th-order Butterworth 1.0–45.0 Hz band-pass filter, and Common Average Referencing (CAR).</w:t>
      </w:r>
    </w:p>
    <w:p>
      <w:pPr>
        <w:pStyle w:val="ListBullet"/>
      </w:pPr>
      <w:r>
        <w:rPr>
          <w:b/>
        </w:rPr>
        <w:t xml:space="preserve">Subject-Independent Stratified Split: </w:t>
      </w:r>
      <w:r>
        <w:t>Partitions unique participant IDs into Train (60%), Validation (20%), and Held-Out Test (20%) sets prior to windowing, ensuring zero participant overlap.</w:t>
      </w:r>
    </w:p>
    <w:p>
      <w:pPr>
        <w:pStyle w:val="ListBullet"/>
      </w:pPr>
      <w:r>
        <w:rPr>
          <w:b/>
        </w:rPr>
        <w:t xml:space="preserve">Train-Only Channel Normalization: </w:t>
      </w:r>
      <w:r>
        <w:t>Fits StandardScaler parameters (mean and standard deviation) strictly on continuous training recordings. Validation and test sets are transformed using train parameters.</w:t>
      </w:r>
    </w:p>
    <w:p>
      <w:pPr>
        <w:pStyle w:val="ListBullet"/>
      </w:pPr>
      <w:r>
        <w:rPr>
          <w:b/>
        </w:rPr>
        <w:t xml:space="preserve">Segmentation &amp; Quality Control Windowing: </w:t>
      </w:r>
      <w:r>
        <w:t>Slices continuous EEG into 4-second fixed windows (512 time steps at 128 Hz) with 50% overlap (256-sample step size). Windows exceeding +/-12 standard deviations are clipped.</w:t>
      </w:r>
    </w:p>
    <w:p>
      <w:pPr>
        <w:pStyle w:val="ListBullet"/>
      </w:pPr>
      <w:r>
        <w:rPr>
          <w:b/>
        </w:rPr>
        <w:t xml:space="preserve">Training Data Augmentation: </w:t>
      </w:r>
      <w:r>
        <w:t>Applies Gaussian noise (sigma=0.01) and random amplitude scaling ([0.95, 1.05]) exclusively to training window tensors.</w:t>
      </w:r>
    </w:p>
    <w:p>
      <w:pPr>
        <w:pStyle w:val="ListBullet"/>
      </w:pPr>
      <w:r>
        <w:rPr>
          <w:b/>
        </w:rPr>
        <w:t xml:space="preserve">Tensor Construction: </w:t>
      </w:r>
      <w:r>
        <w:t>Formats model inputs into 3D tensors of shape (Batch, 512, 19) for the IEEE dataset and (Batch, 512, 2) for the Mendeley dataset.</w:t>
      </w:r>
    </w:p>
    <w:p>
      <w:pPr>
        <w:pStyle w:val="ListBullet"/>
      </w:pPr>
      <w:r>
        <w:rPr>
          <w:b/>
        </w:rPr>
        <w:t xml:space="preserve">Safeguarded Model Training: </w:t>
      </w:r>
      <w:r>
        <w:t>Trains neural networks using AdamW optimizer (learning rate 1e-3, weight decay 1e-4), binary cross-entropy loss, inverse class frequency weighting, and EarlyStopping monitored on validation ROC-AUC.</w:t>
      </w:r>
    </w:p>
    <w:p>
      <w:pPr>
        <w:pStyle w:val="ListBullet"/>
      </w:pPr>
      <w:r>
        <w:rPr>
          <w:b/>
        </w:rPr>
        <w:t xml:space="preserve">Window-to-Subject Prediction Aggregation: </w:t>
      </w:r>
      <w:r>
        <w:t>Aggregates predicted window probabilities by computing the arithmetic mean probability across all windows belonging to each individual subject.</w:t>
      </w:r>
    </w:p>
    <w:p>
      <w:pPr>
        <w:pStyle w:val="ListBullet"/>
      </w:pPr>
      <w:r>
        <w:rPr>
          <w:b/>
        </w:rPr>
        <w:t xml:space="preserve">Multi-Level Metric Evaluation &amp; Explainability: </w:t>
      </w:r>
      <w:r>
        <w:t>Evaluates accuracy, balanced accuracy, precision, sensitivity/recall, specificity, F1-score, ROC-AUC, PR-AUC, confusion matrices, and confidence/entropy measures.</w:t>
      </w:r>
    </w:p>
    <w:p>
      <w:pPr>
        <w:pStyle w:val="Heading1"/>
        <w:spacing w:before="320" w:after="120"/>
      </w:pPr>
      <w:r>
        <w:rPr>
          <w:b/>
          <w:color w:val="1A365D"/>
          <w:sz w:val="32"/>
        </w:rPr>
        <w:t>3. Six Implemented Deep Learning Models &amp; Hyperparameter Specifications</w:t>
      </w:r>
    </w:p>
    <w:p>
      <w:r>
        <w:t>Six distinct neural model instances were constructed and evaluated across the two benchmark datasets. The complete hyperparameter and architectural matrix extracted from code execution logs is summarized below:</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864"/>
            <w:shd w:fill="1A365D"/>
          </w:tcPr>
          <w:p>
            <w:pPr>
              <w:jc w:val="center"/>
            </w:pPr>
            <w:r>
              <w:rPr>
                <w:b/>
                <w:color w:val="FFFFFF"/>
                <w:sz w:val="19"/>
              </w:rPr>
              <w:t>Model #</w:t>
            </w:r>
          </w:p>
        </w:tc>
        <w:tc>
          <w:tcPr>
            <w:tcW w:type="dxa" w:w="2160"/>
            <w:shd w:fill="1A365D"/>
          </w:tcPr>
          <w:p>
            <w:pPr>
              <w:jc w:val="center"/>
            </w:pPr>
            <w:r>
              <w:rPr>
                <w:b/>
                <w:color w:val="FFFFFF"/>
                <w:sz w:val="19"/>
              </w:rPr>
              <w:t>Model Architecture</w:t>
            </w:r>
          </w:p>
        </w:tc>
        <w:tc>
          <w:tcPr>
            <w:tcW w:type="dxa" w:w="1584"/>
            <w:shd w:fill="1A365D"/>
          </w:tcPr>
          <w:p>
            <w:pPr>
              <w:jc w:val="center"/>
            </w:pPr>
            <w:r>
              <w:rPr>
                <w:b/>
                <w:color w:val="FFFFFF"/>
                <w:sz w:val="19"/>
              </w:rPr>
              <w:t>Dataset</w:t>
            </w:r>
          </w:p>
        </w:tc>
        <w:tc>
          <w:tcPr>
            <w:tcW w:type="dxa" w:w="1296"/>
            <w:shd w:fill="1A365D"/>
          </w:tcPr>
          <w:p>
            <w:pPr>
              <w:jc w:val="center"/>
            </w:pPr>
            <w:r>
              <w:rPr>
                <w:b/>
                <w:color w:val="FFFFFF"/>
                <w:sz w:val="19"/>
              </w:rPr>
              <w:t>Input Shape</w:t>
            </w:r>
          </w:p>
        </w:tc>
        <w:tc>
          <w:tcPr>
            <w:tcW w:type="dxa" w:w="1296"/>
            <w:shd w:fill="1A365D"/>
          </w:tcPr>
          <w:p>
            <w:pPr>
              <w:jc w:val="center"/>
            </w:pPr>
            <w:r>
              <w:rPr>
                <w:b/>
                <w:color w:val="FFFFFF"/>
                <w:sz w:val="19"/>
              </w:rPr>
              <w:t>Total Params</w:t>
            </w:r>
          </w:p>
        </w:tc>
        <w:tc>
          <w:tcPr>
            <w:tcW w:type="dxa" w:w="1440"/>
            <w:shd w:fill="1A365D"/>
          </w:tcPr>
          <w:p>
            <w:pPr>
              <w:jc w:val="center"/>
            </w:pPr>
            <w:r>
              <w:rPr>
                <w:b/>
                <w:color w:val="FFFFFF"/>
                <w:sz w:val="19"/>
              </w:rPr>
              <w:t>Optimizer &amp; LR</w:t>
            </w:r>
          </w:p>
        </w:tc>
        <w:tc>
          <w:tcPr>
            <w:tcW w:type="dxa" w:w="1152"/>
            <w:shd w:fill="1A365D"/>
          </w:tcPr>
          <w:p>
            <w:pPr>
              <w:jc w:val="center"/>
            </w:pPr>
            <w:r>
              <w:rPr>
                <w:b/>
                <w:color w:val="FFFFFF"/>
                <w:sz w:val="19"/>
              </w:rPr>
              <w:t>Early Stopping</w:t>
            </w:r>
          </w:p>
        </w:tc>
      </w:tr>
      <w:tr>
        <w:tc>
          <w:tcPr>
            <w:tcW w:type="dxa" w:w="864"/>
          </w:tcPr>
          <w:p>
            <w:pPr>
              <w:jc w:val="center"/>
            </w:pPr>
            <w:r>
              <w:rPr>
                <w:sz w:val="18"/>
              </w:rPr>
              <w:t>Model 1</w:t>
            </w:r>
          </w:p>
        </w:tc>
        <w:tc>
          <w:tcPr>
            <w:tcW w:type="dxa" w:w="2160"/>
          </w:tcPr>
          <w:p>
            <w:pPr>
              <w:jc w:val="left"/>
            </w:pPr>
            <w:r>
              <w:rPr>
                <w:sz w:val="18"/>
              </w:rPr>
              <w:t>Multi-Scale Residual CNN</w:t>
            </w:r>
          </w:p>
        </w:tc>
        <w:tc>
          <w:tcPr>
            <w:tcW w:type="dxa" w:w="1584"/>
          </w:tcPr>
          <w:p>
            <w:pPr>
              <w:jc w:val="center"/>
            </w:pPr>
            <w:r>
              <w:rPr>
                <w:sz w:val="18"/>
              </w:rPr>
              <w:t>IEEE (19 ch)</w:t>
            </w:r>
          </w:p>
        </w:tc>
        <w:tc>
          <w:tcPr>
            <w:tcW w:type="dxa" w:w="1296"/>
          </w:tcPr>
          <w:p>
            <w:pPr>
              <w:jc w:val="center"/>
            </w:pPr>
            <w:r>
              <w:rPr>
                <w:sz w:val="18"/>
              </w:rPr>
              <w:t>(512, 19)</w:t>
            </w:r>
          </w:p>
        </w:tc>
        <w:tc>
          <w:tcPr>
            <w:tcW w:type="dxa" w:w="1296"/>
          </w:tcPr>
          <w:p>
            <w:pPr>
              <w:jc w:val="center"/>
            </w:pPr>
            <w:r>
              <w:rPr>
                <w:sz w:val="18"/>
              </w:rPr>
              <w:t>~258,000</w:t>
            </w:r>
          </w:p>
        </w:tc>
        <w:tc>
          <w:tcPr>
            <w:tcW w:type="dxa" w:w="1440"/>
          </w:tcPr>
          <w:p>
            <w:pPr>
              <w:jc w:val="left"/>
            </w:pPr>
            <w:r>
              <w:rPr>
                <w:sz w:val="18"/>
              </w:rPr>
              <w:t>AdamW (1e-3)</w:t>
            </w:r>
          </w:p>
        </w:tc>
        <w:tc>
          <w:tcPr>
            <w:tcW w:type="dxa" w:w="1152"/>
          </w:tcPr>
          <w:p>
            <w:pPr>
              <w:jc w:val="center"/>
            </w:pPr>
            <w:r>
              <w:rPr>
                <w:sz w:val="18"/>
              </w:rPr>
              <w:t>Patience 10 (val_auc)</w:t>
            </w:r>
          </w:p>
        </w:tc>
      </w:tr>
      <w:tr>
        <w:tc>
          <w:tcPr>
            <w:tcW w:type="dxa" w:w="864"/>
            <w:shd w:fill="F7FAFC"/>
          </w:tcPr>
          <w:p>
            <w:pPr>
              <w:jc w:val="center"/>
            </w:pPr>
            <w:r>
              <w:rPr>
                <w:sz w:val="18"/>
              </w:rPr>
              <w:t>Model 2</w:t>
            </w:r>
          </w:p>
        </w:tc>
        <w:tc>
          <w:tcPr>
            <w:tcW w:type="dxa" w:w="2160"/>
            <w:shd w:fill="F7FAFC"/>
          </w:tcPr>
          <w:p>
            <w:pPr>
              <w:jc w:val="left"/>
            </w:pPr>
            <w:r>
              <w:rPr>
                <w:sz w:val="18"/>
              </w:rPr>
              <w:t>CNN + BiLSTM + Attn</w:t>
            </w:r>
          </w:p>
        </w:tc>
        <w:tc>
          <w:tcPr>
            <w:tcW w:type="dxa" w:w="1584"/>
            <w:shd w:fill="F7FAFC"/>
          </w:tcPr>
          <w:p>
            <w:pPr>
              <w:jc w:val="center"/>
            </w:pPr>
            <w:r>
              <w:rPr>
                <w:sz w:val="18"/>
              </w:rPr>
              <w:t>IEEE (19 ch)</w:t>
            </w:r>
          </w:p>
        </w:tc>
        <w:tc>
          <w:tcPr>
            <w:tcW w:type="dxa" w:w="1296"/>
            <w:shd w:fill="F7FAFC"/>
          </w:tcPr>
          <w:p>
            <w:pPr>
              <w:jc w:val="center"/>
            </w:pPr>
            <w:r>
              <w:rPr>
                <w:sz w:val="18"/>
              </w:rPr>
              <w:t>(512, 19)</w:t>
            </w:r>
          </w:p>
        </w:tc>
        <w:tc>
          <w:tcPr>
            <w:tcW w:type="dxa" w:w="1296"/>
            <w:shd w:fill="F7FAFC"/>
          </w:tcPr>
          <w:p>
            <w:pPr>
              <w:jc w:val="center"/>
            </w:pPr>
            <w:r>
              <w:rPr>
                <w:sz w:val="18"/>
              </w:rPr>
              <w:t>406,594</w:t>
            </w:r>
          </w:p>
        </w:tc>
        <w:tc>
          <w:tcPr>
            <w:tcW w:type="dxa" w:w="1440"/>
            <w:shd w:fill="F7FAFC"/>
          </w:tcPr>
          <w:p>
            <w:pPr>
              <w:jc w:val="left"/>
            </w:pPr>
            <w:r>
              <w:rPr>
                <w:sz w:val="18"/>
              </w:rPr>
              <w:t>AdamW (1e-3)</w:t>
            </w:r>
          </w:p>
        </w:tc>
        <w:tc>
          <w:tcPr>
            <w:tcW w:type="dxa" w:w="1152"/>
            <w:shd w:fill="F7FAFC"/>
          </w:tcPr>
          <w:p>
            <w:pPr>
              <w:jc w:val="center"/>
            </w:pPr>
            <w:r>
              <w:rPr>
                <w:sz w:val="18"/>
              </w:rPr>
              <w:t>Patience 10 (val_auc)</w:t>
            </w:r>
          </w:p>
        </w:tc>
      </w:tr>
      <w:tr>
        <w:tc>
          <w:tcPr>
            <w:tcW w:type="dxa" w:w="864"/>
          </w:tcPr>
          <w:p>
            <w:pPr>
              <w:jc w:val="center"/>
            </w:pPr>
            <w:r>
              <w:rPr>
                <w:sz w:val="18"/>
              </w:rPr>
              <w:t>Model 3</w:t>
            </w:r>
          </w:p>
        </w:tc>
        <w:tc>
          <w:tcPr>
            <w:tcW w:type="dxa" w:w="2160"/>
          </w:tcPr>
          <w:p>
            <w:pPr>
              <w:jc w:val="left"/>
            </w:pPr>
            <w:r>
              <w:rPr>
                <w:sz w:val="18"/>
              </w:rPr>
              <w:t>CNN + Transformer + AttnPool</w:t>
            </w:r>
          </w:p>
        </w:tc>
        <w:tc>
          <w:tcPr>
            <w:tcW w:type="dxa" w:w="1584"/>
          </w:tcPr>
          <w:p>
            <w:pPr>
              <w:jc w:val="center"/>
            </w:pPr>
            <w:r>
              <w:rPr>
                <w:sz w:val="18"/>
              </w:rPr>
              <w:t>IEEE (19 ch)</w:t>
            </w:r>
          </w:p>
        </w:tc>
        <w:tc>
          <w:tcPr>
            <w:tcW w:type="dxa" w:w="1296"/>
          </w:tcPr>
          <w:p>
            <w:pPr>
              <w:jc w:val="center"/>
            </w:pPr>
            <w:r>
              <w:rPr>
                <w:sz w:val="18"/>
              </w:rPr>
              <w:t>(512, 19)</w:t>
            </w:r>
          </w:p>
        </w:tc>
        <w:tc>
          <w:tcPr>
            <w:tcW w:type="dxa" w:w="1296"/>
          </w:tcPr>
          <w:p>
            <w:pPr>
              <w:jc w:val="center"/>
            </w:pPr>
            <w:r>
              <w:rPr>
                <w:sz w:val="18"/>
              </w:rPr>
              <w:t>721,730</w:t>
            </w:r>
          </w:p>
        </w:tc>
        <w:tc>
          <w:tcPr>
            <w:tcW w:type="dxa" w:w="1440"/>
          </w:tcPr>
          <w:p>
            <w:pPr>
              <w:jc w:val="left"/>
            </w:pPr>
            <w:r>
              <w:rPr>
                <w:sz w:val="18"/>
              </w:rPr>
              <w:t>AdamW (1e-3)</w:t>
            </w:r>
          </w:p>
        </w:tc>
        <w:tc>
          <w:tcPr>
            <w:tcW w:type="dxa" w:w="1152"/>
          </w:tcPr>
          <w:p>
            <w:pPr>
              <w:jc w:val="center"/>
            </w:pPr>
            <w:r>
              <w:rPr>
                <w:sz w:val="18"/>
              </w:rPr>
              <w:t>Patience 10 (val_auc)</w:t>
            </w:r>
          </w:p>
        </w:tc>
      </w:tr>
      <w:tr>
        <w:tc>
          <w:tcPr>
            <w:tcW w:type="dxa" w:w="864"/>
            <w:shd w:fill="F7FAFC"/>
          </w:tcPr>
          <w:p>
            <w:pPr>
              <w:jc w:val="center"/>
            </w:pPr>
            <w:r>
              <w:rPr>
                <w:sz w:val="18"/>
              </w:rPr>
              <w:t>Model 4</w:t>
            </w:r>
          </w:p>
        </w:tc>
        <w:tc>
          <w:tcPr>
            <w:tcW w:type="dxa" w:w="2160"/>
            <w:shd w:fill="F7FAFC"/>
          </w:tcPr>
          <w:p>
            <w:pPr>
              <w:jc w:val="left"/>
            </w:pPr>
            <w:r>
              <w:rPr>
                <w:sz w:val="18"/>
              </w:rPr>
              <w:t>Multi-Scale Residual CNN</w:t>
            </w:r>
          </w:p>
        </w:tc>
        <w:tc>
          <w:tcPr>
            <w:tcW w:type="dxa" w:w="1584"/>
            <w:shd w:fill="F7FAFC"/>
          </w:tcPr>
          <w:p>
            <w:pPr>
              <w:jc w:val="center"/>
            </w:pPr>
            <w:r>
              <w:rPr>
                <w:sz w:val="18"/>
              </w:rPr>
              <w:t>Mendeley (2 ch)</w:t>
            </w:r>
          </w:p>
        </w:tc>
        <w:tc>
          <w:tcPr>
            <w:tcW w:type="dxa" w:w="1296"/>
            <w:shd w:fill="F7FAFC"/>
          </w:tcPr>
          <w:p>
            <w:pPr>
              <w:jc w:val="center"/>
            </w:pPr>
            <w:r>
              <w:rPr>
                <w:sz w:val="18"/>
              </w:rPr>
              <w:t>(512, 2)</w:t>
            </w:r>
          </w:p>
        </w:tc>
        <w:tc>
          <w:tcPr>
            <w:tcW w:type="dxa" w:w="1296"/>
            <w:shd w:fill="F7FAFC"/>
          </w:tcPr>
          <w:p>
            <w:pPr>
              <w:jc w:val="center"/>
            </w:pPr>
            <w:r>
              <w:rPr>
                <w:sz w:val="18"/>
              </w:rPr>
              <w:t>~250,000</w:t>
            </w:r>
          </w:p>
        </w:tc>
        <w:tc>
          <w:tcPr>
            <w:tcW w:type="dxa" w:w="1440"/>
            <w:shd w:fill="F7FAFC"/>
          </w:tcPr>
          <w:p>
            <w:pPr>
              <w:jc w:val="left"/>
            </w:pPr>
            <w:r>
              <w:rPr>
                <w:sz w:val="18"/>
              </w:rPr>
              <w:t>AdamW (1e-3)</w:t>
            </w:r>
          </w:p>
        </w:tc>
        <w:tc>
          <w:tcPr>
            <w:tcW w:type="dxa" w:w="1152"/>
            <w:shd w:fill="F7FAFC"/>
          </w:tcPr>
          <w:p>
            <w:pPr>
              <w:jc w:val="center"/>
            </w:pPr>
            <w:r>
              <w:rPr>
                <w:sz w:val="18"/>
              </w:rPr>
              <w:t>Patience 10 (val_auc)</w:t>
            </w:r>
          </w:p>
        </w:tc>
      </w:tr>
      <w:tr>
        <w:tc>
          <w:tcPr>
            <w:tcW w:type="dxa" w:w="864"/>
          </w:tcPr>
          <w:p>
            <w:pPr>
              <w:jc w:val="center"/>
            </w:pPr>
            <w:r>
              <w:rPr>
                <w:sz w:val="18"/>
              </w:rPr>
              <w:t>Model 5</w:t>
            </w:r>
          </w:p>
        </w:tc>
        <w:tc>
          <w:tcPr>
            <w:tcW w:type="dxa" w:w="2160"/>
          </w:tcPr>
          <w:p>
            <w:pPr>
              <w:jc w:val="left"/>
            </w:pPr>
            <w:r>
              <w:rPr>
                <w:sz w:val="18"/>
              </w:rPr>
              <w:t>CNN + BiLSTM + Attn</w:t>
            </w:r>
          </w:p>
        </w:tc>
        <w:tc>
          <w:tcPr>
            <w:tcW w:type="dxa" w:w="1584"/>
          </w:tcPr>
          <w:p>
            <w:pPr>
              <w:jc w:val="center"/>
            </w:pPr>
            <w:r>
              <w:rPr>
                <w:sz w:val="18"/>
              </w:rPr>
              <w:t>Mendeley (2 ch)</w:t>
            </w:r>
          </w:p>
        </w:tc>
        <w:tc>
          <w:tcPr>
            <w:tcW w:type="dxa" w:w="1296"/>
          </w:tcPr>
          <w:p>
            <w:pPr>
              <w:jc w:val="center"/>
            </w:pPr>
            <w:r>
              <w:rPr>
                <w:sz w:val="18"/>
              </w:rPr>
              <w:t>(512, 2)</w:t>
            </w:r>
          </w:p>
        </w:tc>
        <w:tc>
          <w:tcPr>
            <w:tcW w:type="dxa" w:w="1296"/>
          </w:tcPr>
          <w:p>
            <w:pPr>
              <w:jc w:val="center"/>
            </w:pPr>
            <w:r>
              <w:rPr>
                <w:sz w:val="18"/>
              </w:rPr>
              <w:t>398,978</w:t>
            </w:r>
          </w:p>
        </w:tc>
        <w:tc>
          <w:tcPr>
            <w:tcW w:type="dxa" w:w="1440"/>
          </w:tcPr>
          <w:p>
            <w:pPr>
              <w:jc w:val="left"/>
            </w:pPr>
            <w:r>
              <w:rPr>
                <w:sz w:val="18"/>
              </w:rPr>
              <w:t>AdamW (1e-3)</w:t>
            </w:r>
          </w:p>
        </w:tc>
        <w:tc>
          <w:tcPr>
            <w:tcW w:type="dxa" w:w="1152"/>
          </w:tcPr>
          <w:p>
            <w:pPr>
              <w:jc w:val="center"/>
            </w:pPr>
            <w:r>
              <w:rPr>
                <w:sz w:val="18"/>
              </w:rPr>
              <w:t>Patience 10 (val_auc)</w:t>
            </w:r>
          </w:p>
        </w:tc>
      </w:tr>
      <w:tr>
        <w:tc>
          <w:tcPr>
            <w:tcW w:type="dxa" w:w="864"/>
            <w:shd w:fill="F7FAFC"/>
          </w:tcPr>
          <w:p>
            <w:pPr>
              <w:jc w:val="center"/>
            </w:pPr>
            <w:r>
              <w:rPr>
                <w:sz w:val="18"/>
              </w:rPr>
              <w:t>Model 6</w:t>
            </w:r>
          </w:p>
        </w:tc>
        <w:tc>
          <w:tcPr>
            <w:tcW w:type="dxa" w:w="2160"/>
            <w:shd w:fill="F7FAFC"/>
          </w:tcPr>
          <w:p>
            <w:pPr>
              <w:jc w:val="left"/>
            </w:pPr>
            <w:r>
              <w:rPr>
                <w:sz w:val="18"/>
              </w:rPr>
              <w:t>CNN + Transformer + AttnPool</w:t>
            </w:r>
          </w:p>
        </w:tc>
        <w:tc>
          <w:tcPr>
            <w:tcW w:type="dxa" w:w="1584"/>
            <w:shd w:fill="F7FAFC"/>
          </w:tcPr>
          <w:p>
            <w:pPr>
              <w:jc w:val="center"/>
            </w:pPr>
            <w:r>
              <w:rPr>
                <w:sz w:val="18"/>
              </w:rPr>
              <w:t>Mendeley (2 ch)</w:t>
            </w:r>
          </w:p>
        </w:tc>
        <w:tc>
          <w:tcPr>
            <w:tcW w:type="dxa" w:w="1296"/>
            <w:shd w:fill="F7FAFC"/>
          </w:tcPr>
          <w:p>
            <w:pPr>
              <w:jc w:val="center"/>
            </w:pPr>
            <w:r>
              <w:rPr>
                <w:sz w:val="18"/>
              </w:rPr>
              <w:t>(512, 2)</w:t>
            </w:r>
          </w:p>
        </w:tc>
        <w:tc>
          <w:tcPr>
            <w:tcW w:type="dxa" w:w="1296"/>
            <w:shd w:fill="F7FAFC"/>
          </w:tcPr>
          <w:p>
            <w:pPr>
              <w:jc w:val="center"/>
            </w:pPr>
            <w:r>
              <w:rPr>
                <w:sz w:val="18"/>
              </w:rPr>
              <w:t>714,114</w:t>
            </w:r>
          </w:p>
        </w:tc>
        <w:tc>
          <w:tcPr>
            <w:tcW w:type="dxa" w:w="1440"/>
            <w:shd w:fill="F7FAFC"/>
          </w:tcPr>
          <w:p>
            <w:pPr>
              <w:jc w:val="left"/>
            </w:pPr>
            <w:r>
              <w:rPr>
                <w:sz w:val="18"/>
              </w:rPr>
              <w:t>AdamW (1e-3)</w:t>
            </w:r>
          </w:p>
        </w:tc>
        <w:tc>
          <w:tcPr>
            <w:tcW w:type="dxa" w:w="1152"/>
            <w:shd w:fill="F7FAFC"/>
          </w:tcPr>
          <w:p>
            <w:pPr>
              <w:jc w:val="center"/>
            </w:pPr>
            <w:r>
              <w:rPr>
                <w:sz w:val="18"/>
              </w:rPr>
              <w:t>Patience 10 (val_auc)</w:t>
            </w:r>
          </w:p>
        </w:tc>
      </w:tr>
    </w:tbl>
    <w:p>
      <w:pPr>
        <w:spacing w:after="120"/>
      </w:pPr>
    </w:p>
    <w:p>
      <w:pPr>
        <w:pStyle w:val="Heading1"/>
        <w:spacing w:before="320" w:after="120"/>
      </w:pPr>
      <w:r>
        <w:rPr>
          <w:b/>
          <w:color w:val="1A365D"/>
          <w:sz w:val="32"/>
        </w:rPr>
        <w:t>4. Detailed Architectural Breakdown of Core Neural Models</w:t>
      </w:r>
    </w:p>
    <w:p>
      <w:pPr>
        <w:pStyle w:val="Heading2"/>
        <w:spacing w:before="240" w:after="80"/>
      </w:pPr>
      <w:r>
        <w:rPr>
          <w:b/>
          <w:color w:val="2B6CB0"/>
          <w:sz w:val="26"/>
        </w:rPr>
        <w:t>4.1 Multi-Scale Residual CNN (Models 1 &amp; 4)</w:t>
      </w:r>
    </w:p>
    <w:p>
      <w:r>
        <w:t>The Multi-Scale Residual CNN begins with three parallel Conv1D branches employing kernel sizes of 3, 7, and 15 (32 filters each, GELU activation, Batch Normalization) to capture diverse temporal resolutions directly from multichannel EEG. The concatenated 96-channel output is processed through three sequential residual convolutional blocks. Each block contains two Conv1D layers with shortcut residual addition, GELU activation, Squeeze-and-Excitation (SE) channel attention (squeeze ratio 8), MaxPooling1D (stride 2), and Dropout (0.15). Filter counts increase from 96 to 128 and 160 across blocks. Global Average Pooling 1D compresses sequence features into a 160-element vector, followed by Dense(128, GELU), Dropout(0.35), and a Dense(1, Sigmoid) classification output.</w:t>
      </w:r>
    </w:p>
    <w:p>
      <w:pPr>
        <w:pStyle w:val="Heading2"/>
        <w:spacing w:before="240" w:after="80"/>
      </w:pPr>
      <w:r>
        <w:rPr>
          <w:b/>
          <w:color w:val="2B6CB0"/>
          <w:sz w:val="26"/>
        </w:rPr>
        <w:t>4.2 CNN + BiLSTM + Temporal Attention (Models 2 &amp; 5)</w:t>
      </w:r>
    </w:p>
    <w:p>
      <w:r>
        <w:t>This hybrid architecture utilizes a 3-block 1D CNN feature extractor (64, 96, and 128 filters with MaxPool stride 2) to reduce spatial-temporal noise and condense the 512-sample sequence into 128 time steps. The sequence is fed into a 2-layer Bidirectional LSTM (BiLSTM). The first BiLSTM layer contains 96 hidden units per direction (192 total features, return_sequences=True); the second contains 64 units per direction (128 total features). A custom Temporal Attention layer computes a normalized scalar weight for each time step via a Softmax-activated Dense projection, generating a weighted sum context vector (128 elements). The classification head consists of Dense(128, GELU), Dropout(0.35), Dense(64, GELU), Dropout(0.25), and Dense(1, Sigmoid).</w:t>
      </w:r>
    </w:p>
    <w:p>
      <w:pPr>
        <w:pStyle w:val="Heading2"/>
        <w:spacing w:before="240" w:after="80"/>
      </w:pPr>
      <w:r>
        <w:rPr>
          <w:b/>
          <w:color w:val="2B6CB0"/>
          <w:sz w:val="26"/>
        </w:rPr>
        <w:t>4.3 CNN + Transformer + Attention Pooling (Models 3 &amp; 6)</w:t>
      </w:r>
    </w:p>
    <w:p>
      <w:r>
        <w:t>The proposed CNN-Transformer architecture replaces recurrent modules with self-attention mechanism to capture long-range temporal dependencies. A strided CNN compressor (3 Conv1D blocks with kernel sizes 7, 5, 3 and stride 2) compresses the sequence length from 512 down to 64 time steps. A Feature Projection layer projects channels to d_model=128, whereupon a learnable Positional Embedding is added to retain sequence ordering. The tokens pass through 3 Transformer Encoder blocks, each comprising Multi-Head Self-Attention (8 heads, key_dim=16), residual skip connections, Layer Normalization, and a Feed-Forward Network (ff_dim=512, GELU). A learned Attention Pooling layer aggregates the 64 tokens into a single 128-dimensional representation, which feeds Dense(128), Dropout(0.35), Dense(64), Dropout(0.25), and Dense(1, Sigmoid).</w:t>
      </w:r>
    </w:p>
    <w:p>
      <w:pPr>
        <w:pStyle w:val="Heading1"/>
        <w:spacing w:before="320" w:after="120"/>
      </w:pPr>
      <w:r>
        <w:rPr>
          <w:b/>
          <w:color w:val="1A365D"/>
          <w:sz w:val="32"/>
        </w:rPr>
        <w:t>5. Subject-Level Classification Performance &amp; Benchmark Results</w:t>
      </w:r>
    </w:p>
    <w:p>
      <w:r>
        <w:t>Evaluating models on strictly held-out test participants reveals true generalization capabilities, eliminating the false optimism caused by sample-wise data leakage:</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fill="1A365D"/>
          </w:tcPr>
          <w:p>
            <w:pPr>
              <w:jc w:val="center"/>
            </w:pPr>
            <w:r>
              <w:rPr>
                <w:b/>
                <w:color w:val="FFFFFF"/>
                <w:sz w:val="19"/>
              </w:rPr>
              <w:t>Dataset</w:t>
            </w:r>
          </w:p>
        </w:tc>
        <w:tc>
          <w:tcPr>
            <w:tcW w:type="dxa" w:w="2160"/>
            <w:shd w:fill="1A365D"/>
          </w:tcPr>
          <w:p>
            <w:pPr>
              <w:jc w:val="center"/>
            </w:pPr>
            <w:r>
              <w:rPr>
                <w:b/>
                <w:color w:val="FFFFFF"/>
                <w:sz w:val="19"/>
              </w:rPr>
              <w:t>Model</w:t>
            </w:r>
          </w:p>
        </w:tc>
        <w:tc>
          <w:tcPr>
            <w:tcW w:type="dxa" w:w="864"/>
            <w:shd w:fill="1A365D"/>
          </w:tcPr>
          <w:p>
            <w:pPr>
              <w:jc w:val="center"/>
            </w:pPr>
            <w:r>
              <w:rPr>
                <w:b/>
                <w:color w:val="FFFFFF"/>
                <w:sz w:val="19"/>
              </w:rPr>
              <w:t>Test N</w:t>
            </w:r>
          </w:p>
        </w:tc>
        <w:tc>
          <w:tcPr>
            <w:tcW w:type="dxa" w:w="1152"/>
            <w:shd w:fill="1A365D"/>
          </w:tcPr>
          <w:p>
            <w:pPr>
              <w:jc w:val="center"/>
            </w:pPr>
            <w:r>
              <w:rPr>
                <w:b/>
                <w:color w:val="FFFFFF"/>
                <w:sz w:val="19"/>
              </w:rPr>
              <w:t>Accuracy</w:t>
            </w:r>
          </w:p>
        </w:tc>
        <w:tc>
          <w:tcPr>
            <w:tcW w:type="dxa" w:w="1152"/>
            <w:shd w:fill="1A365D"/>
          </w:tcPr>
          <w:p>
            <w:pPr>
              <w:jc w:val="center"/>
            </w:pPr>
            <w:r>
              <w:rPr>
                <w:b/>
                <w:color w:val="FFFFFF"/>
                <w:sz w:val="19"/>
              </w:rPr>
              <w:t>Precision</w:t>
            </w:r>
          </w:p>
        </w:tc>
        <w:tc>
          <w:tcPr>
            <w:tcW w:type="dxa" w:w="1296"/>
            <w:shd w:fill="1A365D"/>
          </w:tcPr>
          <w:p>
            <w:pPr>
              <w:jc w:val="center"/>
            </w:pPr>
            <w:r>
              <w:rPr>
                <w:b/>
                <w:color w:val="FFFFFF"/>
                <w:sz w:val="19"/>
              </w:rPr>
              <w:t>Sensitivity</w:t>
            </w:r>
          </w:p>
        </w:tc>
        <w:tc>
          <w:tcPr>
            <w:tcW w:type="dxa" w:w="1152"/>
            <w:shd w:fill="1A365D"/>
          </w:tcPr>
          <w:p>
            <w:pPr>
              <w:jc w:val="center"/>
            </w:pPr>
            <w:r>
              <w:rPr>
                <w:b/>
                <w:color w:val="FFFFFF"/>
                <w:sz w:val="19"/>
              </w:rPr>
              <w:t>Specificity</w:t>
            </w:r>
          </w:p>
        </w:tc>
        <w:tc>
          <w:tcPr>
            <w:tcW w:type="dxa" w:w="1008"/>
            <w:shd w:fill="1A365D"/>
          </w:tcPr>
          <w:p>
            <w:pPr>
              <w:jc w:val="center"/>
            </w:pPr>
            <w:r>
              <w:rPr>
                <w:b/>
                <w:color w:val="FFFFFF"/>
                <w:sz w:val="19"/>
              </w:rPr>
              <w:t>F1-Score</w:t>
            </w:r>
          </w:p>
        </w:tc>
      </w:tr>
      <w:tr>
        <w:tc>
          <w:tcPr>
            <w:tcW w:type="dxa" w:w="1584"/>
          </w:tcPr>
          <w:p>
            <w:pPr>
              <w:jc w:val="center"/>
            </w:pPr>
            <w:r>
              <w:rPr>
                <w:sz w:val="18"/>
              </w:rPr>
              <w:t>IEEE (19 ch)</w:t>
            </w:r>
          </w:p>
        </w:tc>
        <w:tc>
          <w:tcPr>
            <w:tcW w:type="dxa" w:w="2160"/>
          </w:tcPr>
          <w:p>
            <w:pPr>
              <w:jc w:val="left"/>
            </w:pPr>
            <w:r>
              <w:rPr>
                <w:sz w:val="18"/>
              </w:rPr>
              <w:t>Multi-Scale Residual CNN</w:t>
            </w:r>
          </w:p>
        </w:tc>
        <w:tc>
          <w:tcPr>
            <w:tcW w:type="dxa" w:w="864"/>
          </w:tcPr>
          <w:p>
            <w:pPr>
              <w:jc w:val="center"/>
            </w:pPr>
            <w:r>
              <w:rPr>
                <w:sz w:val="18"/>
              </w:rPr>
              <w:t>25</w:t>
            </w:r>
          </w:p>
        </w:tc>
        <w:tc>
          <w:tcPr>
            <w:tcW w:type="dxa" w:w="1152"/>
          </w:tcPr>
          <w:p>
            <w:pPr>
              <w:jc w:val="center"/>
            </w:pPr>
            <w:r>
              <w:rPr>
                <w:sz w:val="18"/>
              </w:rPr>
              <w:t>72.0%</w:t>
            </w:r>
          </w:p>
        </w:tc>
        <w:tc>
          <w:tcPr>
            <w:tcW w:type="dxa" w:w="1152"/>
          </w:tcPr>
          <w:p>
            <w:pPr>
              <w:jc w:val="center"/>
            </w:pPr>
            <w:r>
              <w:rPr>
                <w:sz w:val="18"/>
              </w:rPr>
              <w:t>68.8%</w:t>
            </w:r>
          </w:p>
        </w:tc>
        <w:tc>
          <w:tcPr>
            <w:tcW w:type="dxa" w:w="1296"/>
          </w:tcPr>
          <w:p>
            <w:pPr>
              <w:jc w:val="center"/>
            </w:pPr>
            <w:r>
              <w:rPr>
                <w:sz w:val="18"/>
              </w:rPr>
              <w:t>84.6%</w:t>
            </w:r>
          </w:p>
        </w:tc>
        <w:tc>
          <w:tcPr>
            <w:tcW w:type="dxa" w:w="1152"/>
          </w:tcPr>
          <w:p>
            <w:pPr>
              <w:jc w:val="center"/>
            </w:pPr>
            <w:r>
              <w:rPr>
                <w:sz w:val="18"/>
              </w:rPr>
              <w:t>58.3%</w:t>
            </w:r>
          </w:p>
        </w:tc>
        <w:tc>
          <w:tcPr>
            <w:tcW w:type="dxa" w:w="1008"/>
          </w:tcPr>
          <w:p>
            <w:pPr>
              <w:jc w:val="center"/>
            </w:pPr>
            <w:r>
              <w:rPr>
                <w:sz w:val="18"/>
              </w:rPr>
              <w:t>75.9%</w:t>
            </w:r>
          </w:p>
        </w:tc>
      </w:tr>
      <w:tr>
        <w:tc>
          <w:tcPr>
            <w:tcW w:type="dxa" w:w="1584"/>
            <w:shd w:fill="F7FAFC"/>
          </w:tcPr>
          <w:p>
            <w:pPr>
              <w:jc w:val="center"/>
            </w:pPr>
            <w:r>
              <w:rPr>
                <w:sz w:val="18"/>
              </w:rPr>
              <w:t>IEEE (19 ch)</w:t>
            </w:r>
          </w:p>
        </w:tc>
        <w:tc>
          <w:tcPr>
            <w:tcW w:type="dxa" w:w="2160"/>
            <w:shd w:fill="F7FAFC"/>
          </w:tcPr>
          <w:p>
            <w:pPr>
              <w:jc w:val="left"/>
            </w:pPr>
            <w:r>
              <w:rPr>
                <w:sz w:val="18"/>
              </w:rPr>
              <w:t>CNN + BiLSTM + Attn</w:t>
            </w:r>
          </w:p>
        </w:tc>
        <w:tc>
          <w:tcPr>
            <w:tcW w:type="dxa" w:w="864"/>
            <w:shd w:fill="F7FAFC"/>
          </w:tcPr>
          <w:p>
            <w:pPr>
              <w:jc w:val="center"/>
            </w:pPr>
            <w:r>
              <w:rPr>
                <w:sz w:val="18"/>
              </w:rPr>
              <w:t>25</w:t>
            </w:r>
          </w:p>
        </w:tc>
        <w:tc>
          <w:tcPr>
            <w:tcW w:type="dxa" w:w="1152"/>
            <w:shd w:fill="F7FAFC"/>
          </w:tcPr>
          <w:p>
            <w:pPr>
              <w:jc w:val="center"/>
            </w:pPr>
            <w:r>
              <w:rPr>
                <w:sz w:val="18"/>
              </w:rPr>
              <w:t>60.0%</w:t>
            </w:r>
          </w:p>
        </w:tc>
        <w:tc>
          <w:tcPr>
            <w:tcW w:type="dxa" w:w="1152"/>
            <w:shd w:fill="F7FAFC"/>
          </w:tcPr>
          <w:p>
            <w:pPr>
              <w:jc w:val="center"/>
            </w:pPr>
            <w:r>
              <w:rPr>
                <w:sz w:val="18"/>
              </w:rPr>
              <w:t>57.9%</w:t>
            </w:r>
          </w:p>
        </w:tc>
        <w:tc>
          <w:tcPr>
            <w:tcW w:type="dxa" w:w="1296"/>
            <w:shd w:fill="F7FAFC"/>
          </w:tcPr>
          <w:p>
            <w:pPr>
              <w:jc w:val="center"/>
            </w:pPr>
            <w:r>
              <w:rPr>
                <w:sz w:val="18"/>
              </w:rPr>
              <w:t>84.6%</w:t>
            </w:r>
          </w:p>
        </w:tc>
        <w:tc>
          <w:tcPr>
            <w:tcW w:type="dxa" w:w="1152"/>
            <w:shd w:fill="F7FAFC"/>
          </w:tcPr>
          <w:p>
            <w:pPr>
              <w:jc w:val="center"/>
            </w:pPr>
            <w:r>
              <w:rPr>
                <w:sz w:val="18"/>
              </w:rPr>
              <w:t>33.3%</w:t>
            </w:r>
          </w:p>
        </w:tc>
        <w:tc>
          <w:tcPr>
            <w:tcW w:type="dxa" w:w="1008"/>
            <w:shd w:fill="F7FAFC"/>
          </w:tcPr>
          <w:p>
            <w:pPr>
              <w:jc w:val="center"/>
            </w:pPr>
            <w:r>
              <w:rPr>
                <w:sz w:val="18"/>
              </w:rPr>
              <w:t>68.8%</w:t>
            </w:r>
          </w:p>
        </w:tc>
      </w:tr>
      <w:tr>
        <w:tc>
          <w:tcPr>
            <w:tcW w:type="dxa" w:w="1584"/>
          </w:tcPr>
          <w:p>
            <w:pPr>
              <w:jc w:val="center"/>
            </w:pPr>
            <w:r>
              <w:rPr>
                <w:sz w:val="18"/>
              </w:rPr>
              <w:t>IEEE (19 ch)</w:t>
            </w:r>
          </w:p>
        </w:tc>
        <w:tc>
          <w:tcPr>
            <w:tcW w:type="dxa" w:w="2160"/>
          </w:tcPr>
          <w:p>
            <w:pPr>
              <w:jc w:val="left"/>
            </w:pPr>
            <w:r>
              <w:rPr>
                <w:sz w:val="18"/>
              </w:rPr>
              <w:t>CNN + Transformer</w:t>
            </w:r>
          </w:p>
        </w:tc>
        <w:tc>
          <w:tcPr>
            <w:tcW w:type="dxa" w:w="864"/>
          </w:tcPr>
          <w:p>
            <w:pPr>
              <w:jc w:val="center"/>
            </w:pPr>
            <w:r>
              <w:rPr>
                <w:sz w:val="18"/>
              </w:rPr>
              <w:t>25</w:t>
            </w:r>
          </w:p>
        </w:tc>
        <w:tc>
          <w:tcPr>
            <w:tcW w:type="dxa" w:w="1152"/>
          </w:tcPr>
          <w:p>
            <w:pPr>
              <w:jc w:val="center"/>
            </w:pPr>
            <w:r>
              <w:rPr>
                <w:sz w:val="18"/>
              </w:rPr>
              <w:t>60.0%</w:t>
            </w:r>
          </w:p>
        </w:tc>
        <w:tc>
          <w:tcPr>
            <w:tcW w:type="dxa" w:w="1152"/>
          </w:tcPr>
          <w:p>
            <w:pPr>
              <w:jc w:val="center"/>
            </w:pPr>
            <w:r>
              <w:rPr>
                <w:sz w:val="18"/>
              </w:rPr>
              <w:t>56.5%</w:t>
            </w:r>
          </w:p>
        </w:tc>
        <w:tc>
          <w:tcPr>
            <w:tcW w:type="dxa" w:w="1296"/>
          </w:tcPr>
          <w:p>
            <w:pPr>
              <w:jc w:val="center"/>
            </w:pPr>
            <w:r>
              <w:rPr>
                <w:sz w:val="18"/>
              </w:rPr>
              <w:t>100.0%</w:t>
            </w:r>
          </w:p>
        </w:tc>
        <w:tc>
          <w:tcPr>
            <w:tcW w:type="dxa" w:w="1152"/>
          </w:tcPr>
          <w:p>
            <w:pPr>
              <w:jc w:val="center"/>
            </w:pPr>
            <w:r>
              <w:rPr>
                <w:sz w:val="18"/>
              </w:rPr>
              <w:t>16.7%</w:t>
            </w:r>
          </w:p>
        </w:tc>
        <w:tc>
          <w:tcPr>
            <w:tcW w:type="dxa" w:w="1008"/>
          </w:tcPr>
          <w:p>
            <w:pPr>
              <w:jc w:val="center"/>
            </w:pPr>
            <w:r>
              <w:rPr>
                <w:sz w:val="18"/>
              </w:rPr>
              <w:t>72.2%</w:t>
            </w:r>
          </w:p>
        </w:tc>
      </w:tr>
      <w:tr>
        <w:tc>
          <w:tcPr>
            <w:tcW w:type="dxa" w:w="1584"/>
            <w:shd w:fill="F7FAFC"/>
          </w:tcPr>
          <w:p>
            <w:pPr>
              <w:jc w:val="center"/>
            </w:pPr>
            <w:r>
              <w:rPr>
                <w:sz w:val="18"/>
              </w:rPr>
              <w:t>Mendeley (2 ch)</w:t>
            </w:r>
          </w:p>
        </w:tc>
        <w:tc>
          <w:tcPr>
            <w:tcW w:type="dxa" w:w="2160"/>
            <w:shd w:fill="F7FAFC"/>
          </w:tcPr>
          <w:p>
            <w:pPr>
              <w:jc w:val="left"/>
            </w:pPr>
            <w:r>
              <w:rPr>
                <w:sz w:val="18"/>
              </w:rPr>
              <w:t>Multi-Scale Residual CNN</w:t>
            </w:r>
          </w:p>
        </w:tc>
        <w:tc>
          <w:tcPr>
            <w:tcW w:type="dxa" w:w="864"/>
            <w:shd w:fill="F7FAFC"/>
          </w:tcPr>
          <w:p>
            <w:pPr>
              <w:jc w:val="center"/>
            </w:pPr>
            <w:r>
              <w:rPr>
                <w:sz w:val="18"/>
              </w:rPr>
              <w:t>16</w:t>
            </w:r>
          </w:p>
        </w:tc>
        <w:tc>
          <w:tcPr>
            <w:tcW w:type="dxa" w:w="1152"/>
            <w:shd w:fill="F7FAFC"/>
          </w:tcPr>
          <w:p>
            <w:pPr>
              <w:jc w:val="center"/>
            </w:pPr>
            <w:r>
              <w:rPr>
                <w:sz w:val="18"/>
              </w:rPr>
              <w:t>100.0%*</w:t>
            </w:r>
          </w:p>
        </w:tc>
        <w:tc>
          <w:tcPr>
            <w:tcW w:type="dxa" w:w="1152"/>
            <w:shd w:fill="F7FAFC"/>
          </w:tcPr>
          <w:p>
            <w:pPr>
              <w:jc w:val="center"/>
            </w:pPr>
            <w:r>
              <w:rPr>
                <w:sz w:val="18"/>
              </w:rPr>
              <w:t>100.0%</w:t>
            </w:r>
          </w:p>
        </w:tc>
        <w:tc>
          <w:tcPr>
            <w:tcW w:type="dxa" w:w="1296"/>
            <w:shd w:fill="F7FAFC"/>
          </w:tcPr>
          <w:p>
            <w:pPr>
              <w:jc w:val="center"/>
            </w:pPr>
            <w:r>
              <w:rPr>
                <w:sz w:val="18"/>
              </w:rPr>
              <w:t>100.0%</w:t>
            </w:r>
          </w:p>
        </w:tc>
        <w:tc>
          <w:tcPr>
            <w:tcW w:type="dxa" w:w="1152"/>
            <w:shd w:fill="F7FAFC"/>
          </w:tcPr>
          <w:p>
            <w:pPr>
              <w:jc w:val="center"/>
            </w:pPr>
            <w:r>
              <w:rPr>
                <w:sz w:val="18"/>
              </w:rPr>
              <w:t>100.0%</w:t>
            </w:r>
          </w:p>
        </w:tc>
        <w:tc>
          <w:tcPr>
            <w:tcW w:type="dxa" w:w="1008"/>
            <w:shd w:fill="F7FAFC"/>
          </w:tcPr>
          <w:p>
            <w:pPr>
              <w:jc w:val="center"/>
            </w:pPr>
            <w:r>
              <w:rPr>
                <w:sz w:val="18"/>
              </w:rPr>
              <w:t>100.0%</w:t>
            </w:r>
          </w:p>
        </w:tc>
      </w:tr>
      <w:tr>
        <w:tc>
          <w:tcPr>
            <w:tcW w:type="dxa" w:w="1584"/>
          </w:tcPr>
          <w:p>
            <w:pPr>
              <w:jc w:val="center"/>
            </w:pPr>
            <w:r>
              <w:rPr>
                <w:sz w:val="18"/>
              </w:rPr>
              <w:t>Mendeley (2 ch)</w:t>
            </w:r>
          </w:p>
        </w:tc>
        <w:tc>
          <w:tcPr>
            <w:tcW w:type="dxa" w:w="2160"/>
          </w:tcPr>
          <w:p>
            <w:pPr>
              <w:jc w:val="left"/>
            </w:pPr>
            <w:r>
              <w:rPr>
                <w:sz w:val="18"/>
              </w:rPr>
              <w:t>CNN + BiLSTM + Attn</w:t>
            </w:r>
          </w:p>
        </w:tc>
        <w:tc>
          <w:tcPr>
            <w:tcW w:type="dxa" w:w="864"/>
          </w:tcPr>
          <w:p>
            <w:pPr>
              <w:jc w:val="center"/>
            </w:pPr>
            <w:r>
              <w:rPr>
                <w:sz w:val="18"/>
              </w:rPr>
              <w:t>16</w:t>
            </w:r>
          </w:p>
        </w:tc>
        <w:tc>
          <w:tcPr>
            <w:tcW w:type="dxa" w:w="1152"/>
          </w:tcPr>
          <w:p>
            <w:pPr>
              <w:jc w:val="center"/>
            </w:pPr>
            <w:r>
              <w:rPr>
                <w:sz w:val="18"/>
              </w:rPr>
              <w:t>75.0%</w:t>
            </w:r>
          </w:p>
        </w:tc>
        <w:tc>
          <w:tcPr>
            <w:tcW w:type="dxa" w:w="1152"/>
          </w:tcPr>
          <w:p>
            <w:pPr>
              <w:jc w:val="center"/>
            </w:pPr>
            <w:r>
              <w:rPr>
                <w:sz w:val="18"/>
              </w:rPr>
              <w:t>80.0%</w:t>
            </w:r>
          </w:p>
        </w:tc>
        <w:tc>
          <w:tcPr>
            <w:tcW w:type="dxa" w:w="1296"/>
          </w:tcPr>
          <w:p>
            <w:pPr>
              <w:jc w:val="center"/>
            </w:pPr>
            <w:r>
              <w:rPr>
                <w:sz w:val="18"/>
              </w:rPr>
              <w:t>57.1%</w:t>
            </w:r>
          </w:p>
        </w:tc>
        <w:tc>
          <w:tcPr>
            <w:tcW w:type="dxa" w:w="1152"/>
          </w:tcPr>
          <w:p>
            <w:pPr>
              <w:jc w:val="center"/>
            </w:pPr>
            <w:r>
              <w:rPr>
                <w:sz w:val="18"/>
              </w:rPr>
              <w:t>88.9%</w:t>
            </w:r>
          </w:p>
        </w:tc>
        <w:tc>
          <w:tcPr>
            <w:tcW w:type="dxa" w:w="1008"/>
          </w:tcPr>
          <w:p>
            <w:pPr>
              <w:jc w:val="center"/>
            </w:pPr>
            <w:r>
              <w:rPr>
                <w:sz w:val="18"/>
              </w:rPr>
              <w:t>66.7%</w:t>
            </w:r>
          </w:p>
        </w:tc>
      </w:tr>
      <w:tr>
        <w:tc>
          <w:tcPr>
            <w:tcW w:type="dxa" w:w="1584"/>
            <w:shd w:fill="F7FAFC"/>
          </w:tcPr>
          <w:p>
            <w:pPr>
              <w:jc w:val="center"/>
            </w:pPr>
            <w:r>
              <w:rPr>
                <w:sz w:val="18"/>
              </w:rPr>
              <w:t>Mendeley (2 ch)</w:t>
            </w:r>
          </w:p>
        </w:tc>
        <w:tc>
          <w:tcPr>
            <w:tcW w:type="dxa" w:w="2160"/>
            <w:shd w:fill="F7FAFC"/>
          </w:tcPr>
          <w:p>
            <w:pPr>
              <w:jc w:val="left"/>
            </w:pPr>
            <w:r>
              <w:rPr>
                <w:sz w:val="18"/>
              </w:rPr>
              <w:t>CNN + Transformer</w:t>
            </w:r>
          </w:p>
        </w:tc>
        <w:tc>
          <w:tcPr>
            <w:tcW w:type="dxa" w:w="864"/>
            <w:shd w:fill="F7FAFC"/>
          </w:tcPr>
          <w:p>
            <w:pPr>
              <w:jc w:val="center"/>
            </w:pPr>
            <w:r>
              <w:rPr>
                <w:sz w:val="18"/>
              </w:rPr>
              <w:t>16</w:t>
            </w:r>
          </w:p>
        </w:tc>
        <w:tc>
          <w:tcPr>
            <w:tcW w:type="dxa" w:w="1152"/>
            <w:shd w:fill="F7FAFC"/>
          </w:tcPr>
          <w:p>
            <w:pPr>
              <w:jc w:val="center"/>
            </w:pPr>
            <w:r>
              <w:rPr>
                <w:sz w:val="18"/>
              </w:rPr>
              <w:t>100.0%*</w:t>
            </w:r>
          </w:p>
        </w:tc>
        <w:tc>
          <w:tcPr>
            <w:tcW w:type="dxa" w:w="1152"/>
            <w:shd w:fill="F7FAFC"/>
          </w:tcPr>
          <w:p>
            <w:pPr>
              <w:jc w:val="center"/>
            </w:pPr>
            <w:r>
              <w:rPr>
                <w:sz w:val="18"/>
              </w:rPr>
              <w:t>100.0%</w:t>
            </w:r>
          </w:p>
        </w:tc>
        <w:tc>
          <w:tcPr>
            <w:tcW w:type="dxa" w:w="1296"/>
            <w:shd w:fill="F7FAFC"/>
          </w:tcPr>
          <w:p>
            <w:pPr>
              <w:jc w:val="center"/>
            </w:pPr>
            <w:r>
              <w:rPr>
                <w:sz w:val="18"/>
              </w:rPr>
              <w:t>100.0%</w:t>
            </w:r>
          </w:p>
        </w:tc>
        <w:tc>
          <w:tcPr>
            <w:tcW w:type="dxa" w:w="1152"/>
            <w:shd w:fill="F7FAFC"/>
          </w:tcPr>
          <w:p>
            <w:pPr>
              <w:jc w:val="center"/>
            </w:pPr>
            <w:r>
              <w:rPr>
                <w:sz w:val="18"/>
              </w:rPr>
              <w:t>100.0%</w:t>
            </w:r>
          </w:p>
        </w:tc>
        <w:tc>
          <w:tcPr>
            <w:tcW w:type="dxa" w:w="1008"/>
            <w:shd w:fill="F7FAFC"/>
          </w:tcPr>
          <w:p>
            <w:pPr>
              <w:jc w:val="center"/>
            </w:pPr>
            <w:r>
              <w:rPr>
                <w:sz w:val="18"/>
              </w:rPr>
              <w:t>100.0%</w:t>
            </w:r>
          </w:p>
        </w:tc>
      </w:tr>
    </w:tbl>
    <w:p>
      <w:pPr>
        <w:spacing w:after="80"/>
      </w:pPr>
    </w:p>
    <w:p>
      <w:r>
        <w:rPr>
          <w:i/>
          <w:color w:val="718096"/>
          <w:sz w:val="17"/>
        </w:rPr>
        <w:t>*Note on Mendeley Results: The 100% scores reflect a small test partition (N=16) and a known label-mapping discrepancy in modified baseline scripts. The IEEE 19-channel benchmark (121 subjects, test N=25) represents the realistic subject-independent clinical baseline.</w:t>
      </w:r>
    </w:p>
    <w:p>
      <w:pPr>
        <w:pStyle w:val="Heading1"/>
        <w:spacing w:before="320" w:after="120"/>
      </w:pPr>
      <w:r>
        <w:rPr>
          <w:b/>
          <w:color w:val="1A365D"/>
          <w:sz w:val="32"/>
        </w:rPr>
        <w:t>6. Key Findings, Clinical Insights, &amp; Research Roadmap</w:t>
      </w:r>
    </w:p>
    <w:p>
      <w:r>
        <w:t>1. True Generalization vs. Leakage Artifacts: Enforcing subject-wise splitting reduces apparent classification accuracy from artificial levels (&gt;98%) to realistic clinical screening ranges (60.0%–72.0% on IEEE 19-channel). This demonstrates that prior high-accuracy claims were driven heavily by sample-wise data leakage.</w:t>
      </w:r>
    </w:p>
    <w:p>
      <w:r>
        <w:t>2. Clinical High-Sensitivity Screening: The CNN-Transformer model achieved 100.0% sensitivity/recall on the IEEE test cohort (catching all 13 actual ADHD patients). In clinical triage, high sensitivity is paramount to ensure zero missed diagnoses (low False Negatives), allowing secondary clinical evaluations to confirm cases.</w:t>
      </w:r>
    </w:p>
    <w:p>
      <w:r>
        <w:t>3. Future Roadmap: Incorporating frequency-domain spectral features (power spectral density across theta and beta EEG bands), median/MAD artifact suppression, and expanding the held-out subject test set represent the essential next steps toward clinical translation.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Hybrid Deep Learning Model for Detection of ADHD Using EEG — Project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