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Research Alignment Grid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Team Members: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Madi, Mahsa, Spencer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Advancing the Use of Artificial Intelligence and Machine Learning in the Development of Useable Tree-ring Proxy based Reconstruction of Streamflow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0"/>
        <w:tblGridChange w:id="0">
          <w:tblGrid>
            <w:gridCol w:w="14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To extend historical streamflow records with tree-ring proxies, provide past information on water availability and variability, and assist water managers on making better water resources decisions in the southeast United States.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4140"/>
        <w:gridCol w:w="4001"/>
        <w:gridCol w:w="3582"/>
        <w:tblGridChange w:id="0">
          <w:tblGrid>
            <w:gridCol w:w="2605"/>
            <w:gridCol w:w="4140"/>
            <w:gridCol w:w="4001"/>
            <w:gridCol w:w="358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c9daf8" w:val="clear"/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Objective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(insert more rows as needed)</w:t>
            </w:r>
          </w:p>
        </w:tc>
        <w:tc>
          <w:tcPr>
            <w:shd w:fill="c9daf8" w:val="clear"/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Assessment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10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Develop a new prairie pothole hydrology algorithm for use in hydrologic models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Hydrologic Forecasting Operations: Use by NWC, NCRFC, and MBRFC</w:t>
            </w:r>
          </w:p>
          <w:p w:rsidR="00000000" w:rsidDel="00000000" w:rsidP="00000000" w:rsidRDefault="00000000" w:rsidRPr="00000000" w14:paraId="00000013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Research Community: algorithm incorporated into NextGen Framework and research paper published</w:t>
            </w:r>
          </w:p>
          <w:p w:rsidR="00000000" w:rsidDel="00000000" w:rsidP="00000000" w:rsidRDefault="00000000" w:rsidRPr="00000000" w14:paraId="00000015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Students/Instructors: Development and testing of algorithm packaged as a tutorial/course module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Algorithm proven: tested for set of evaluation metrics and use cases defined by the NWC and RFCs</w:t>
            </w:r>
          </w:p>
          <w:p w:rsidR="00000000" w:rsidDel="00000000" w:rsidP="00000000" w:rsidRDefault="00000000" w:rsidRPr="00000000" w14:paraId="00000018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Scientific advancement: use of NextGen Franmework and citation of published paper</w:t>
            </w:r>
          </w:p>
          <w:p w:rsidR="00000000" w:rsidDel="00000000" w:rsidP="00000000" w:rsidRDefault="00000000" w:rsidRPr="00000000" w14:paraId="0000001A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Learning Module Used: Module delivered in workshop or course</w:t>
            </w:r>
          </w:p>
          <w:p w:rsidR="00000000" w:rsidDel="00000000" w:rsidP="00000000" w:rsidRDefault="00000000" w:rsidRPr="00000000" w14:paraId="0000001C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Method: Python programming</w:t>
            </w:r>
          </w:p>
          <w:p w:rsidR="00000000" w:rsidDel="00000000" w:rsidP="00000000" w:rsidRDefault="00000000" w:rsidRPr="00000000" w14:paraId="0000001F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Research Integrity: Provide accompanying reproducibility enablers with open source products</w:t>
            </w:r>
          </w:p>
          <w:p w:rsidR="00000000" w:rsidDel="00000000" w:rsidP="00000000" w:rsidRDefault="00000000" w:rsidRPr="00000000" w14:paraId="00000021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Education: Develop one learning module to train how to modify the NextGen framework with a process advancement; deliver at CIROH DevCon 2025</w:t>
            </w:r>
          </w:p>
        </w:tc>
      </w:tr>
      <w:tr>
        <w:trPr>
          <w:cantSplit w:val="0"/>
          <w:trHeight w:val="215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Your Project…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Utilize and compare AI/ML models for streamflow reconstruction to traditional reconstruction methods in the southeast United States using tree-ring based proxies.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TVA: longer and more complete streamflow record to better inform decisions</w:t>
            </w:r>
          </w:p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Research Community: Understanding the ecological and hydrological impact of changing water levels is essential for sustainable resource management, energy production, and ecological preservation.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output tested against observed data for accuracy and understanding.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assessment: Skill statistics for AI/ML model output versus manual output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Impact assessment: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Method: Manual reconstructions using observed streamflow &amp; tree-ring proxies with correlation, stability analysis, SLR, bias correction, skill stats (previously published methods) for comparison with AI/ML results. 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Method: AI/ML reconstructions with tree-ring proxies using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program.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rtl w:val="0"/>
        </w:rPr>
        <w:t xml:space="preserve">How will you achieve your project goal/impacts? Include both research and relevant broader impact goals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What are the specific anticipated impacts (research + broader) associated with the objective?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How will success be measured? What will you prove the objective has been accomplished? Two aspects: method completed and impact achieved.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How will the objectives be accomplished? What are the key activities?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720" w:top="720" w:left="720" w:right="72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60" w:before="28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60" w:line="240" w:lineRule="auto"/>
      <w:ind w:left="36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160" w:before="280" w:line="240" w:lineRule="auto"/>
      <w:outlineLvl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after="120" w:before="160" w:line="240" w:lineRule="auto"/>
      <w:ind w:left="360"/>
      <w:outlineLvl w:val="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9146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46E5"/>
  </w:style>
  <w:style w:type="paragraph" w:styleId="Footer">
    <w:name w:val="footer"/>
    <w:basedOn w:val="Normal"/>
    <w:link w:val="FooterChar"/>
    <w:uiPriority w:val="99"/>
    <w:unhideWhenUsed w:val="1"/>
    <w:rsid w:val="009146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46E5"/>
  </w:style>
  <w:style w:type="paragraph" w:styleId="ListParagraph">
    <w:name w:val="List Paragraph"/>
    <w:basedOn w:val="Normal"/>
    <w:uiPriority w:val="34"/>
    <w:qFormat w:val="1"/>
    <w:rsid w:val="001B2C8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54D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54DC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9E3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mmdFoXuQilONVPG4FYdAHsQVA==">CgMxLjAyCGguZ2pkZ3hzOAByITFDQ0tFcWxBWWRobV80S2o1S3c4N2ZWeXFQUmQzWU1STA==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2020-04-12T20:58:00Z</dcterms:created>
  <dc:creator>Shazia Awan</dc:creator>
</cp:coreProperties>
</file>