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31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  <Override PartName="/word/media/rId35.png" ContentType="image/png"/>
  <Override PartName="/word/media/rId179.png" ContentType="image/png"/>
  <Override PartName="/word/media/rId183.png" ContentType="image/png"/>
  <Override PartName="/word/media/rId187.png" ContentType="image/png"/>
  <Override PartName="/word/media/rId191.png" ContentType="image/png"/>
  <Override PartName="/word/media/rId195.png" ContentType="image/png"/>
  <Override PartName="/word/media/rId199.png" ContentType="image/png"/>
  <Override PartName="/word/media/rId203.png" ContentType="image/png"/>
  <Override PartName="/word/media/rId207.png" ContentType="image/png"/>
  <Override PartName="/word/media/rId211.png" ContentType="image/png"/>
  <Override PartName="/word/media/rId215.png" ContentType="image/png"/>
  <Override PartName="/word/media/rId39.png" ContentType="image/png"/>
  <Override PartName="/word/media/rId219.png" ContentType="image/png"/>
  <Override PartName="/word/media/rId223.png" ContentType="image/png"/>
  <Override PartName="/word/media/rId227.png" ContentType="image/png"/>
  <Override PartName="/word/media/rId231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Author"/>
      </w:pPr>
      <w:r>
        <w:t xml:space="preserve">Люпп Софья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лабораторной работы - приобретение практических навыков работы с системой управления версиями Git, языком программирования Julia.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из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Оформить отчет по лабораторной работе с помощью Markdown</w:t>
      </w:r>
    </w:p>
    <w:p>
      <w:pPr>
        <w:pStyle w:val="SourceCode"/>
        <w:numPr>
          <w:ilvl w:val="0"/>
          <w:numId w:val="1001"/>
        </w:numPr>
      </w:pPr>
      <w:r>
        <w:rPr>
          <w:rStyle w:val="VerbatimChar"/>
        </w:rPr>
        <w:t xml:space="preserve"> Выполнить домашнюю работу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 (Version Control System, VCS) применяются при работе</w:t>
      </w:r>
      <w:r>
        <w:t xml:space="preserve"> </w:t>
      </w:r>
      <w:r>
        <w:t xml:space="preserve">нескольких человек над одним проектом. Обычно основное дерево проекта</w:t>
      </w:r>
      <w:r>
        <w:t xml:space="preserve"> </w:t>
      </w:r>
      <w:r>
        <w:t xml:space="preserve">хранится в локальном или удалённом репозитории, к которому настроен доступ для участников проекта. При внесении изменений в содержание проекта</w:t>
      </w:r>
      <w:r>
        <w:t xml:space="preserve"> </w:t>
      </w:r>
      <w:r>
        <w:t xml:space="preserve">система контроля версий позволяет их фиксировать, совмещать изменения,</w:t>
      </w:r>
      <w:r>
        <w:t xml:space="preserve"> </w:t>
      </w:r>
      <w:r>
        <w:t xml:space="preserve">произведённые разными участниками проекта, производить откат к любой</w:t>
      </w:r>
      <w:r>
        <w:t xml:space="preserve"> </w:t>
      </w:r>
      <w:r>
        <w:t xml:space="preserve">более ранней версии проекта, если это требуется.</w:t>
      </w:r>
    </w:p>
    <w:p>
      <w:pPr>
        <w:pStyle w:val="BodyText"/>
      </w:pPr>
      <w:r>
        <w:t xml:space="preserve">Системы контроля версий также могут обеспечивать дополнительные, более</w:t>
      </w:r>
      <w:r>
        <w:t xml:space="preserve"> </w:t>
      </w:r>
      <w:r>
        <w:t xml:space="preserve">гибкие функциональные возможности. Например, они могут поддерживать</w:t>
      </w:r>
      <w:r>
        <w:t xml:space="preserve"> </w:t>
      </w:r>
      <w:r>
        <w:t xml:space="preserve">работу с несколькими версиями одного файла, сохраняя общую историю изменений до точки ветвления версий и собственные истории изменений каждой</w:t>
      </w:r>
      <w:r>
        <w:t xml:space="preserve"> </w:t>
      </w:r>
      <w:r>
        <w:t xml:space="preserve">ветви. Кроме того, обычно доступна информация о том, кто из участников,</w:t>
      </w:r>
      <w:r>
        <w:t xml:space="preserve"> </w:t>
      </w:r>
      <w:r>
        <w:t xml:space="preserve">когда и какие изменения вносил. Обычно такого рода информация хранится в</w:t>
      </w:r>
      <w:r>
        <w:t xml:space="preserve"> </w:t>
      </w:r>
      <w:r>
        <w:t xml:space="preserve">журнале изменений, доступ к которому можно ограничить.</w:t>
      </w:r>
    </w:p>
    <w:p>
      <w:pPr>
        <w:pStyle w:val="BodyText"/>
      </w:pPr>
      <w:r>
        <w:t xml:space="preserve">1.2.1.4 Создание ключа ssh</w:t>
      </w:r>
      <w:r>
        <w:t xml:space="preserve"> </w:t>
      </w:r>
      <w:r>
        <w:t xml:space="preserve">1. Общая информация</w:t>
      </w:r>
      <w:r>
        <w:t xml:space="preserve"> </w:t>
      </w:r>
      <w:r>
        <w:t xml:space="preserve">1. Алгоритмы шифрования ssh</w:t>
      </w:r>
      <w:r>
        <w:t xml:space="preserve"> </w:t>
      </w:r>
      <w:r>
        <w:t xml:space="preserve">1. Аутентификация</w:t>
      </w:r>
      <w:r>
        <w:t xml:space="preserve"> </w:t>
      </w:r>
      <w:r>
        <w:t xml:space="preserve">В SSH поддерживается четыре алгоритма аутентификации по открытым ключам:</w:t>
      </w:r>
      <w:r>
        <w:t xml:space="preserve"> </w:t>
      </w:r>
      <w:r>
        <w:t xml:space="preserve">— DSA:</w:t>
      </w:r>
      <w:r>
        <w:t xml:space="preserve"> </w:t>
      </w:r>
      <w:r>
        <w:t xml:space="preserve">— размер ключей DSA не может превышать 1024, его следует отключить;</w:t>
      </w:r>
      <w:r>
        <w:t xml:space="preserve"> </w:t>
      </w:r>
      <w:r>
        <w:t xml:space="preserve">— RSA:</w:t>
      </w:r>
      <w:r>
        <w:t xml:space="preserve"> </w:t>
      </w:r>
      <w:r>
        <w:t xml:space="preserve">— следует создавать ключ большого размера: 4096 бит;</w:t>
      </w:r>
      <w:r>
        <w:t xml:space="preserve"> </w:t>
      </w:r>
      <w:r>
        <w:t xml:space="preserve">— ECDSA:</w:t>
      </w:r>
      <w:r>
        <w:t xml:space="preserve"> </w:t>
      </w:r>
      <w:r>
        <w:t xml:space="preserve">— ECDSA завязан на технологиях NIST, его следует отключить;</w:t>
      </w:r>
      <w:r>
        <w:t xml:space="preserve"> </w:t>
      </w:r>
      <w:r>
        <w:t xml:space="preserve">— Ed25519:</w:t>
      </w:r>
      <w:r>
        <w:t xml:space="preserve"> </w:t>
      </w:r>
      <w:r>
        <w:t xml:space="preserve">— используется пока не везде.</w:t>
      </w:r>
    </w:p>
    <w:p>
      <w:pPr>
        <w:pStyle w:val="BodyText"/>
      </w:pPr>
      <w:r>
        <w:t xml:space="preserve">По умолчанию пользовательские ssh-ключи сохраняются в каталоге</w:t>
      </w:r>
      <w:r>
        <w:t xml:space="preserve"> </w:t>
      </w:r>
      <w:r>
        <w:t xml:space="preserve">~/.ssh в домашнем каталоге пользователя.</w:t>
      </w:r>
    </w:p>
    <w:p>
      <w:pPr>
        <w:pStyle w:val="BodyText"/>
      </w:pPr>
      <w:r>
        <w:t xml:space="preserve">Создание ключа ssh</w:t>
      </w:r>
      <w:r>
        <w:t xml:space="preserve"> </w:t>
      </w:r>
      <w:r>
        <w:t xml:space="preserve">— Ключ ssh создаётся командой:</w:t>
      </w:r>
      <w:r>
        <w:t xml:space="preserve"> </w:t>
      </w:r>
      <w:r>
        <w:t xml:space="preserve">ssh-keygen -t</w:t>
      </w:r>
      <w:r>
        <w:t xml:space="preserve"> </w:t>
      </w:r>
    </w:p>
    <w:p>
      <w:pPr>
        <w:pStyle w:val="BodyText"/>
      </w:pPr>
      <w:r>
        <w:t xml:space="preserve">1.2.2.5.1 Основные ветки (master) и ветки разработки (develop)</w:t>
      </w:r>
      <w:r>
        <w:t xml:space="preserve"> </w:t>
      </w:r>
      <w:r>
        <w:t xml:space="preserve">Для фиксации истории проекта в рамках этого процесса вместо одной ветки</w:t>
      </w:r>
      <w:r>
        <w:t xml:space="preserve"> </w:t>
      </w:r>
      <w:r>
        <w:t xml:space="preserve">master используются две ветки. В ветке master хранится официальная история</w:t>
      </w:r>
      <w:r>
        <w:t xml:space="preserve"> </w:t>
      </w:r>
      <w:r>
        <w:t xml:space="preserve">релиза, а ветка develop предназначена для объединения всех функций. Кроме</w:t>
      </w:r>
      <w:r>
        <w:t xml:space="preserve"> </w:t>
      </w:r>
      <w:r>
        <w:t xml:space="preserve">того, для удобства рекомендуется присваивать всем коммитам в ветке master</w:t>
      </w:r>
      <w:r>
        <w:t xml:space="preserve"> </w:t>
      </w:r>
      <w:r>
        <w:t xml:space="preserve">номер версии.</w:t>
      </w:r>
    </w:p>
    <w:p>
      <w:pPr>
        <w:pStyle w:val="BodyText"/>
      </w:pPr>
      <w:r>
        <w:t xml:space="preserve">1.2.2.5.2 Функциональные ветки (feature)</w:t>
      </w:r>
    </w:p>
    <w:p>
      <w:pPr>
        <w:pStyle w:val="BodyText"/>
      </w:pPr>
      <w:r>
        <w:t xml:space="preserve">Под каждую новую функцию должна быть отведена собственная ветка, которую можно отправлять в центральный репозиторий для создания резервной</w:t>
      </w:r>
      <w:r>
        <w:t xml:space="preserve"> </w:t>
      </w:r>
      <w:r>
        <w:t xml:space="preserve">копии или совместной работы команды. Ветки feature создаются не на основе</w:t>
      </w:r>
      <w:r>
        <w:t xml:space="preserve"> </w:t>
      </w:r>
      <w:r>
        <w:t xml:space="preserve">master, а на основе develop. Когда работа над функцией завершается, соответствующая ветка сливается обратно с веткой develop. Функции не следует</w:t>
      </w:r>
      <w:r>
        <w:t xml:space="preserve"> </w:t>
      </w:r>
      <w:r>
        <w:t xml:space="preserve">отправлять напрямую в ветку master.</w:t>
      </w:r>
      <w:r>
        <w:t xml:space="preserve"> </w:t>
      </w:r>
      <w:r>
        <w:t xml:space="preserve">Как правило, ветки feature создаются на основе последней ветки develop.</w:t>
      </w:r>
    </w:p>
    <w:p>
      <w:pPr>
        <w:pStyle w:val="BodyText"/>
      </w:pPr>
      <w:r>
        <w:t xml:space="preserve">2.1 Литературное (грамотное) программирование — это подход, приоритизирующий</w:t>
      </w:r>
      <w:r>
        <w:t xml:space="preserve"> </w:t>
      </w:r>
      <w:r>
        <w:t xml:space="preserve">понятность программы для человека, а не её исполнение компьютером. В экосистеме Julia он реализуется через несколько инструментов. Предлагается использовать Literate.jl.</w:t>
      </w:r>
    </w:p>
    <w:p>
      <w:pPr>
        <w:pStyle w:val="BodyText"/>
      </w:pPr>
      <w:r>
        <w:t xml:space="preserve">Идея, предложенная Дональдом Кнутом [1—3], меняет традиционный взгляд: программа создаётся не как последовательность инструкций для машины, а как литературное эссе, объясняющее логику решения задачи.</w:t>
      </w:r>
    </w:p>
    <w:p>
      <w:pPr>
        <w:pStyle w:val="BodyText"/>
      </w:pPr>
      <w:r>
        <w:t xml:space="preserve">— Literate.jl отлично подходит для автоматизации создания документации, а</w:t>
      </w:r>
      <w:r>
        <w:t xml:space="preserve"> </w:t>
      </w:r>
      <w:r>
        <w:t xml:space="preserve">также для написания статей и учебников прямо в .jl-файлах.</w:t>
      </w:r>
      <w:r>
        <w:t xml:space="preserve"> </w:t>
      </w:r>
      <w:r>
        <w:t xml:space="preserve">— Weave.jl больше заточен под академические отчёты и публикации, требующие</w:t>
      </w:r>
      <w:r>
        <w:t xml:space="preserve"> </w:t>
      </w:r>
      <w:r>
        <w:t xml:space="preserve">строгого форматирования (LaTeX/PDF).</w:t>
      </w:r>
      <w:r>
        <w:t xml:space="preserve"> </w:t>
      </w:r>
      <w:r>
        <w:t xml:space="preserve">— Jupyter лучше подходит для интерактивного исследования данных, но управление версиями .ipynb-файлов и их автоматизация сложнее.</w:t>
      </w:r>
    </w:p>
    <w:bookmarkEnd w:id="22"/>
    <w:bookmarkStart w:id="2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Начинаю с подготовки и настройки рабочего пространства (установка git)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82389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3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git1</w:t>
            </w:r>
          </w:p>
          <w:bookmarkEnd w:id="26"/>
        </w:tc>
      </w:tr>
    </w:tbl>
    <w:p>
      <w:pPr>
        <w:pStyle w:val="BodyText"/>
      </w:pPr>
      <w:r>
        <w:t xml:space="preserve">Настраиваю git configs(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810897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08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gitconfigs</w:t>
            </w:r>
          </w:p>
          <w:bookmarkEnd w:id="30"/>
        </w:tc>
      </w:tr>
    </w:tbl>
    <w:p>
      <w:pPr>
        <w:pStyle w:val="BodyText"/>
      </w:pPr>
      <w:r>
        <w:t xml:space="preserve">Пробую делать коммиты(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77932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9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commits</w:t>
            </w:r>
          </w:p>
          <w:bookmarkEnd w:id="34"/>
        </w:tc>
      </w:tr>
    </w:tbl>
    <w:p>
      <w:pPr>
        <w:pStyle w:val="BodyText"/>
      </w:pPr>
      <w:r>
        <w:t xml:space="preserve">Настраиваю gitignores(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26755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7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gitignores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46601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gitignores2</w:t>
            </w:r>
          </w:p>
          <w:bookmarkEnd w:id="42"/>
        </w:tc>
      </w:tr>
    </w:tbl>
    <w:p>
      <w:pPr>
        <w:pStyle w:val="BodyText"/>
      </w:pPr>
      <w:r>
        <w:t xml:space="preserve">Далее работаю с настройкой ключей ssh-keygen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39258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ssh</w:t>
            </w:r>
          </w:p>
          <w:bookmarkEnd w:id="46"/>
        </w:tc>
      </w:tr>
    </w:tbl>
    <w:p>
      <w:pPr>
        <w:pStyle w:val="BodyText"/>
      </w:pPr>
      <w:r>
        <w:t xml:space="preserve">Получаю ключ rsa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96044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0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rsa</w:t>
            </w:r>
          </w:p>
          <w:bookmarkEnd w:id="50"/>
        </w:tc>
      </w:tr>
    </w:tbl>
    <w:p>
      <w:pPr>
        <w:pStyle w:val="BodyText"/>
      </w:pPr>
      <w:r>
        <w:t xml:space="preserve">Работаю с ветками git master, git origin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94930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git</w:t>
            </w:r>
          </w:p>
          <w:bookmarkEnd w:id="54"/>
        </w:tc>
      </w:tr>
    </w:tbl>
    <w:p>
      <w:pPr>
        <w:pStyle w:val="BodyText"/>
      </w:pPr>
      <w:r>
        <w:t xml:space="preserve">Генерирую ключ gpg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39258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gpg</w:t>
            </w:r>
          </w:p>
          <w:bookmarkEnd w:id="58"/>
        </w:tc>
      </w:tr>
    </w:tbl>
    <w:p>
      <w:pPr>
        <w:pStyle w:val="BodyText"/>
      </w:pPr>
      <w:r>
        <w:t xml:space="preserve">Устанавливаю необходимые параметры для ключа: 4096, rsa, key does not expire at all (0)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39258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gpg1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39258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2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gpg2</w:t>
            </w:r>
          </w:p>
          <w:bookmarkEnd w:id="66"/>
        </w:tc>
      </w:tr>
    </w:tbl>
    <w:p>
      <w:pPr>
        <w:pStyle w:val="BodyText"/>
      </w:pPr>
      <w:r>
        <w:t xml:space="preserve">Затем копирую ключ и прикрепляю новый gpg ключ на свой профиль в GitHub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122186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1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gpg3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38690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6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gpg4</w:t>
            </w:r>
          </w:p>
          <w:bookmarkEnd w:id="74"/>
        </w:tc>
      </w:tr>
    </w:tbl>
    <w:p>
      <w:pPr>
        <w:pStyle w:val="BodyText"/>
      </w:pPr>
      <w:r>
        <w:t xml:space="preserve">Настраиваю configs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437599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7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configs2</w:t>
            </w:r>
          </w:p>
          <w:bookmarkEnd w:id="78"/>
        </w:tc>
      </w:tr>
    </w:tbl>
    <w:p>
      <w:pPr>
        <w:pStyle w:val="BodyText"/>
      </w:pPr>
      <w:r>
        <w:t xml:space="preserve">Теперь необходимо установить и распаковать gitflow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88656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6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gitflow1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1817566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7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gitflow2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228494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4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gitflow3</w:t>
            </w:r>
          </w:p>
          <w:bookmarkEnd w:id="90"/>
        </w:tc>
      </w:tr>
    </w:tbl>
    <w:p>
      <w:pPr>
        <w:pStyle w:val="BodyText"/>
      </w:pPr>
      <w:r>
        <w:t xml:space="preserve">Настройка branches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228494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4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branches</w:t>
            </w:r>
          </w:p>
          <w:bookmarkEnd w:id="94"/>
        </w:tc>
      </w:tr>
    </w:tbl>
    <w:p>
      <w:pPr>
        <w:pStyle w:val="BodyText"/>
      </w:pPr>
      <w:r>
        <w:t xml:space="preserve">Checking the branches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431022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branches2</w:t>
            </w:r>
          </w:p>
          <w:bookmarkEnd w:id="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2108376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8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branches3</w:t>
            </w:r>
          </w:p>
          <w:bookmarkEnd w:id="102"/>
        </w:tc>
      </w:tr>
    </w:tbl>
    <w:p>
      <w:pPr>
        <w:pStyle w:val="BodyText"/>
      </w:pPr>
      <w:r>
        <w:t xml:space="preserve">Так же необходимо предустановить gh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2108376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8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gh</w:t>
            </w:r>
          </w:p>
          <w:bookmarkEnd w:id="106"/>
        </w:tc>
      </w:tr>
    </w:tbl>
    <w:p>
      <w:pPr>
        <w:pStyle w:val="BodyText"/>
      </w:pPr>
      <w:r>
        <w:t xml:space="preserve">Установленный gitflow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228494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4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gitflow</w:t>
            </w:r>
          </w:p>
          <w:bookmarkEnd w:id="110"/>
        </w:tc>
      </w:tr>
    </w:tbl>
    <w:p>
      <w:pPr>
        <w:pStyle w:val="BodyText"/>
      </w:pPr>
      <w:r>
        <w:t xml:space="preserve">По заданию нужно установить nodejs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256272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2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nodejs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256272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2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nodejs2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1405968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5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nodejs3</w:t>
            </w:r>
          </w:p>
          <w:bookmarkEnd w:id="122"/>
        </w:tc>
      </w:tr>
    </w:tbl>
    <w:p>
      <w:pPr>
        <w:pStyle w:val="BodyText"/>
      </w:pPr>
      <w:r>
        <w:t xml:space="preserve">Устанавливаю libxcrip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2497783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7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libxcript</w:t>
            </w:r>
          </w:p>
          <w:bookmarkEnd w:id="126"/>
        </w:tc>
      </w:tr>
    </w:tbl>
    <w:p>
      <w:pPr>
        <w:pStyle w:val="BodyText"/>
      </w:pPr>
      <w:r>
        <w:t xml:space="preserve">Установка quarto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733800" cy="2487483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7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quarto</w:t>
            </w:r>
          </w:p>
          <w:bookmarkEnd w:id="130"/>
        </w:tc>
      </w:tr>
    </w:tbl>
    <w:p>
      <w:pPr>
        <w:pStyle w:val="BodyText"/>
      </w:pPr>
      <w:r>
        <w:t xml:space="preserve">Добавила в преамбуле preamble.tex пакет juliamono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3733800" cy="1709615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9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juliamono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3733800" cy="2526752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6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juliamono2</w:t>
            </w:r>
          </w:p>
          <w:bookmarkEnd w:id="138"/>
        </w:tc>
      </w:tr>
    </w:tbl>
    <w:p>
      <w:pPr>
        <w:pStyle w:val="BodyText"/>
      </w:pPr>
      <w:r>
        <w:t xml:space="preserve">В каталоге отчёта в файл _quarto.yml включила поддержку кода julia. Добавила после описания проекта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3733800" cy="2768162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8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quarto2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3733800" cy="2768162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68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quarto3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2"/>
          <w:p>
            <w:pPr>
              <w:pStyle w:val="Compact"/>
              <w:jc w:val="center"/>
            </w:pPr>
            <w:r>
              <w:drawing>
                <wp:inline>
                  <wp:extent cx="3733800" cy="68549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5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quarto4</w:t>
            </w:r>
          </w:p>
          <w:bookmarkEnd w:id="150"/>
        </w:tc>
      </w:tr>
    </w:tbl>
    <w:p>
      <w:pPr>
        <w:pStyle w:val="BodyText"/>
      </w:pPr>
      <w:r>
        <w:t xml:space="preserve">Устанавливаю jupiter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3"/>
          <w:p>
            <w:pPr>
              <w:pStyle w:val="Compact"/>
              <w:jc w:val="center"/>
            </w:pPr>
            <w:r>
              <w:drawing>
                <wp:inline>
                  <wp:extent cx="3733800" cy="272789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7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jupiter</w:t>
            </w:r>
          </w:p>
          <w:bookmarkEnd w:id="154"/>
        </w:tc>
      </w:tr>
    </w:tbl>
    <w:p>
      <w:pPr>
        <w:pStyle w:val="BodyText"/>
      </w:pPr>
      <w:r>
        <w:t xml:space="preserve">Через терминал вывожу jupiter в mozila firefox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34"/>
          <w:p>
            <w:pPr>
              <w:pStyle w:val="Compact"/>
              <w:jc w:val="center"/>
            </w:pPr>
            <w:r>
              <w:drawing>
                <wp:inline>
                  <wp:extent cx="3733800" cy="2719108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9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jupiter2</w:t>
            </w:r>
          </w:p>
          <w:bookmarkEnd w:id="158"/>
        </w:tc>
      </w:tr>
    </w:tbl>
    <w:p>
      <w:pPr>
        <w:pStyle w:val="BodyText"/>
      </w:pPr>
      <w:r>
        <w:t xml:space="preserve">Генерация файла с экспоненциальным ростом через julia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35"/>
          <w:p>
            <w:pPr>
              <w:pStyle w:val="Compact"/>
              <w:jc w:val="center"/>
            </w:pPr>
            <w:r>
              <w:drawing>
                <wp:inline>
                  <wp:extent cx="3733800" cy="244911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9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exponential</w:t>
            </w:r>
          </w:p>
          <w:bookmarkEnd w:id="162"/>
        </w:tc>
      </w:tr>
    </w:tbl>
    <w:p>
      <w:pPr>
        <w:pStyle w:val="BodyText"/>
      </w:pPr>
      <w:r>
        <w:t xml:space="preserve">Презентация экспоненциального роста в папке plots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36"/>
          <w:p>
            <w:pPr>
              <w:pStyle w:val="Compact"/>
              <w:jc w:val="center"/>
            </w:pPr>
            <w:r>
              <w:drawing>
                <wp:inline>
                  <wp:extent cx="3733800" cy="2693627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3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juliaplots</w:t>
            </w:r>
          </w:p>
          <w:bookmarkEnd w:id="166"/>
        </w:tc>
      </w:tr>
    </w:tbl>
    <w:p>
      <w:pPr>
        <w:pStyle w:val="BodyText"/>
      </w:pPr>
      <w:r>
        <w:t xml:space="preserve">Вывод файла exponential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037"/>
          <w:p>
            <w:pPr>
              <w:pStyle w:val="Compact"/>
              <w:jc w:val="center"/>
            </w:pPr>
            <w:r>
              <w:drawing>
                <wp:inline>
                  <wp:extent cx="3733800" cy="2787904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7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result</w:t>
            </w:r>
          </w:p>
          <w:bookmarkEnd w:id="1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038"/>
          <w:p>
            <w:pPr>
              <w:pStyle w:val="Compact"/>
              <w:jc w:val="center"/>
            </w:pPr>
            <w:r>
              <w:drawing>
                <wp:inline>
                  <wp:extent cx="3733800" cy="2787904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7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results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039"/>
          <w:p>
            <w:pPr>
              <w:pStyle w:val="Compact"/>
              <w:jc w:val="center"/>
            </w:pPr>
            <w:r>
              <w:drawing>
                <wp:inline>
                  <wp:extent cx="3733800" cy="2787904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7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results1</w:t>
            </w:r>
          </w:p>
          <w:bookmarkEnd w:id="1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040"/>
          <w:p>
            <w:pPr>
              <w:pStyle w:val="Compact"/>
              <w:jc w:val="center"/>
            </w:pPr>
            <w:r>
              <w:drawing>
                <wp:inline>
                  <wp:extent cx="3733800" cy="2341718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1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result2</w:t>
            </w:r>
          </w:p>
          <w:bookmarkEnd w:id="182"/>
        </w:tc>
      </w:tr>
    </w:tbl>
    <w:p>
      <w:pPr>
        <w:pStyle w:val="BodyText"/>
      </w:pPr>
      <w:r>
        <w:t xml:space="preserve">Создаю новый файл для описания экспоненциального роста (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) (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041"/>
          <w:p>
            <w:pPr>
              <w:pStyle w:val="Compact"/>
              <w:jc w:val="center"/>
            </w:pPr>
            <w:r>
              <w:drawing>
                <wp:inline>
                  <wp:extent cx="3733800" cy="2341718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1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exp</w:t>
            </w:r>
          </w:p>
          <w:bookmarkEnd w:id="1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042"/>
          <w:p>
            <w:pPr>
              <w:pStyle w:val="Compact"/>
              <w:jc w:val="center"/>
            </w:pPr>
            <w:r>
              <w:drawing>
                <wp:inline>
                  <wp:extent cx="3733800" cy="2341718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1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exp2</w:t>
            </w:r>
          </w:p>
          <w:bookmarkEnd w:id="190"/>
        </w:tc>
      </w:tr>
    </w:tbl>
    <w:p>
      <w:pPr>
        <w:pStyle w:val="BodyText"/>
      </w:pPr>
      <w:r>
        <w:t xml:space="preserve">Устанавливаю пакеты DrWatson и другие (</w:t>
      </w:r>
      <w:hyperlink w:anchor="fig-043">
        <w:r>
          <w:rPr>
            <w:rStyle w:val="Hyperlink"/>
          </w:rPr>
          <w:t xml:space="preserve">рис. 43</w:t>
        </w:r>
      </w:hyperlink>
      <w:r>
        <w:t xml:space="preserve">) (</w:t>
      </w:r>
      <w:hyperlink w:anchor="fig-044">
        <w:r>
          <w:rPr>
            <w:rStyle w:val="Hyperlink"/>
          </w:rPr>
          <w:t xml:space="preserve">рис. 44</w:t>
        </w:r>
      </w:hyperlink>
      <w:r>
        <w:t xml:space="preserve">) (</w:t>
      </w:r>
      <w:hyperlink w:anchor="fig-045">
        <w:r>
          <w:rPr>
            <w:rStyle w:val="Hyperlink"/>
          </w:rPr>
          <w:t xml:space="preserve">рис. 45</w:t>
        </w:r>
      </w:hyperlink>
      <w:r>
        <w:t xml:space="preserve">)(</w:t>
      </w:r>
      <w:hyperlink w:anchor="fig-046">
        <w:r>
          <w:rPr>
            <w:rStyle w:val="Hyperlink"/>
          </w:rPr>
          <w:t xml:space="preserve">рис. 46</w:t>
        </w:r>
      </w:hyperlink>
      <w:r>
        <w:t xml:space="preserve">) 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043"/>
          <w:p>
            <w:pPr>
              <w:pStyle w:val="Compact"/>
              <w:jc w:val="center"/>
            </w:pPr>
            <w:r>
              <w:drawing>
                <wp:inline>
                  <wp:extent cx="3733800" cy="2341718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1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drwatson</w:t>
            </w:r>
          </w:p>
          <w:bookmarkEnd w:id="1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fig-044"/>
          <w:p>
            <w:pPr>
              <w:pStyle w:val="Compact"/>
              <w:jc w:val="center"/>
            </w:pPr>
            <w:r>
              <w:drawing>
                <wp:inline>
                  <wp:extent cx="3733800" cy="2293932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3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packets</w:t>
            </w:r>
          </w:p>
          <w:bookmarkEnd w:id="1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045"/>
          <w:p>
            <w:pPr>
              <w:pStyle w:val="Compact"/>
              <w:jc w:val="center"/>
            </w:pPr>
            <w:r>
              <w:drawing>
                <wp:inline>
                  <wp:extent cx="3733800" cy="2988695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8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packet</w:t>
            </w:r>
          </w:p>
          <w:bookmarkEnd w:id="2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046"/>
          <w:p>
            <w:pPr>
              <w:pStyle w:val="Compact"/>
              <w:jc w:val="center"/>
            </w:pPr>
            <w:r>
              <w:drawing>
                <wp:inline>
                  <wp:extent cx="3733800" cy="835763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5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doneinstall</w:t>
            </w:r>
          </w:p>
          <w:bookmarkEnd w:id="206"/>
        </w:tc>
      </w:tr>
    </w:tbl>
    <w:p>
      <w:pPr>
        <w:pStyle w:val="BodyText"/>
      </w:pPr>
      <w:r>
        <w:t xml:space="preserve">Работа с Julia (</w:t>
      </w:r>
      <w:hyperlink w:anchor="fig-047">
        <w:r>
          <w:rPr>
            <w:rStyle w:val="Hyperlink"/>
          </w:rPr>
          <w:t xml:space="preserve">рис. 47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0" w:name="fig-047"/>
          <w:p>
            <w:pPr>
              <w:pStyle w:val="Compact"/>
              <w:jc w:val="center"/>
            </w:pPr>
            <w:r>
              <w:drawing>
                <wp:inline>
                  <wp:extent cx="3733800" cy="2626684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6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julia1</w:t>
            </w:r>
          </w:p>
          <w:bookmarkEnd w:id="210"/>
        </w:tc>
      </w:tr>
    </w:tbl>
    <w:p>
      <w:pPr>
        <w:pStyle w:val="BodyText"/>
      </w:pPr>
      <w:r>
        <w:t xml:space="preserve">Установка пакетов для Julia (</w:t>
      </w:r>
      <w:hyperlink w:anchor="fig-048">
        <w:r>
          <w:rPr>
            <w:rStyle w:val="Hyperlink"/>
          </w:rPr>
          <w:t xml:space="preserve">рис. 48</w:t>
        </w:r>
      </w:hyperlink>
      <w:r>
        <w:t xml:space="preserve">) (</w:t>
      </w:r>
      <w:hyperlink w:anchor="fig-049">
        <w:r>
          <w:rPr>
            <w:rStyle w:val="Hyperlink"/>
          </w:rPr>
          <w:t xml:space="preserve">рис. 49</w:t>
        </w:r>
      </w:hyperlink>
      <w:r>
        <w:t xml:space="preserve">) (</w:t>
      </w:r>
      <w:hyperlink w:anchor="fig-050">
        <w:r>
          <w:rPr>
            <w:rStyle w:val="Hyperlink"/>
          </w:rPr>
          <w:t xml:space="preserve">рис. 50</w:t>
        </w:r>
      </w:hyperlink>
      <w:r>
        <w:t xml:space="preserve">) (</w:t>
      </w:r>
      <w:hyperlink w:anchor="fig-051">
        <w:r>
          <w:rPr>
            <w:rStyle w:val="Hyperlink"/>
          </w:rPr>
          <w:t xml:space="preserve">рис. 51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4" w:name="fig-048"/>
          <w:p>
            <w:pPr>
              <w:pStyle w:val="Compact"/>
              <w:jc w:val="center"/>
            </w:pPr>
            <w:r>
              <w:drawing>
                <wp:inline>
                  <wp:extent cx="3733800" cy="2626684"/>
                  <wp:effectExtent b="0" l="0" r="0" t="0"/>
                  <wp:docPr descr="" title="" id="212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2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6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juliapackets</w:t>
            </w:r>
          </w:p>
          <w:bookmarkEnd w:id="2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8" w:name="fig-049"/>
          <w:p>
            <w:pPr>
              <w:pStyle w:val="Compact"/>
              <w:jc w:val="center"/>
            </w:pPr>
            <w:r>
              <w:drawing>
                <wp:inline>
                  <wp:extent cx="3733800" cy="618681"/>
                  <wp:effectExtent b="0" l="0" r="0" t="0"/>
                  <wp:docPr descr="" title="" id="216" name="Picture"/>
                  <a:graphic>
                    <a:graphicData uri="http://schemas.openxmlformats.org/drawingml/2006/picture">
                      <pic:pic>
                        <pic:nvPicPr>
                          <pic:cNvPr descr="image/49.png" id="2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8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49: juliapackwt</w:t>
            </w:r>
          </w:p>
          <w:bookmarkEnd w:id="2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050"/>
          <w:p>
            <w:pPr>
              <w:pStyle w:val="Compact"/>
              <w:jc w:val="center"/>
            </w:pPr>
            <w:r>
              <w:drawing>
                <wp:inline>
                  <wp:extent cx="3733800" cy="2349906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mage/50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9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50: juliapac</w:t>
            </w:r>
          </w:p>
          <w:bookmarkEnd w:id="2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051"/>
          <w:p>
            <w:pPr>
              <w:pStyle w:val="Compact"/>
              <w:jc w:val="center"/>
            </w:pPr>
            <w:r>
              <w:drawing>
                <wp:inline>
                  <wp:extent cx="3733800" cy="2349906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mage/5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9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51: error</w:t>
            </w:r>
          </w:p>
          <w:bookmarkEnd w:id="226"/>
        </w:tc>
      </w:tr>
    </w:tbl>
    <w:p>
      <w:pPr>
        <w:pStyle w:val="BodyText"/>
      </w:pPr>
      <w:r>
        <w:t xml:space="preserve">Знакомство с julia через терминал (</w:t>
      </w:r>
      <w:hyperlink w:anchor="fig-052">
        <w:r>
          <w:rPr>
            <w:rStyle w:val="Hyperlink"/>
          </w:rPr>
          <w:t xml:space="preserve">рис. 52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052"/>
          <w:p>
            <w:pPr>
              <w:pStyle w:val="Compact"/>
              <w:jc w:val="center"/>
            </w:pPr>
            <w:r>
              <w:drawing>
                <wp:inline>
                  <wp:extent cx="3733800" cy="1769213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image/52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9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52: acquaintancejulia</w:t>
            </w:r>
          </w:p>
          <w:bookmarkEnd w:id="230"/>
        </w:tc>
      </w:tr>
    </w:tbl>
    <w:p>
      <w:pPr>
        <w:pStyle w:val="BodyText"/>
      </w:pPr>
      <w:r>
        <w:t xml:space="preserve">Загрузка Julia вручную (</w:t>
      </w:r>
      <w:hyperlink w:anchor="fig-053">
        <w:r>
          <w:rPr>
            <w:rStyle w:val="Hyperlink"/>
          </w:rPr>
          <w:t xml:space="preserve">рис. 53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053"/>
          <w:p>
            <w:pPr>
              <w:pStyle w:val="Compact"/>
              <w:jc w:val="center"/>
            </w:pPr>
            <w:r>
              <w:drawing>
                <wp:inline>
                  <wp:extent cx="3733800" cy="1635915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mage/53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5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53: installjulia</w:t>
            </w:r>
          </w:p>
          <w:bookmarkEnd w:id="234"/>
        </w:tc>
      </w:tr>
    </w:tbl>
    <w:bookmarkEnd w:id="235"/>
    <w:bookmarkStart w:id="23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я приобрела практические навыки работы с системой управления версиями Git, языком программирования Julia.</w:t>
      </w:r>
    </w:p>
    <w:bookmarkEnd w:id="236"/>
    <w:bookmarkStart w:id="238" w:name="список-литературы"/>
    <w:p>
      <w:pPr>
        <w:pStyle w:val="Heading1"/>
      </w:pPr>
      <w:r>
        <w:t xml:space="preserve">Список литературы</w:t>
      </w:r>
    </w:p>
    <w:bookmarkStart w:id="237" w:name="refs"/>
    <w:bookmarkEnd w:id="237"/>
    <w:bookmarkEnd w:id="2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1" Target="media/rId31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35" Target="media/rId3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image" Id="rId203" Target="media/rId203.png" /><Relationship Type="http://schemas.openxmlformats.org/officeDocument/2006/relationships/image" Id="rId207" Target="media/rId207.png" /><Relationship Type="http://schemas.openxmlformats.org/officeDocument/2006/relationships/image" Id="rId211" Target="media/rId211.png" /><Relationship Type="http://schemas.openxmlformats.org/officeDocument/2006/relationships/image" Id="rId215" Target="media/rId215.png" /><Relationship Type="http://schemas.openxmlformats.org/officeDocument/2006/relationships/image" Id="rId39" Target="media/rId39.png" /><Relationship Type="http://schemas.openxmlformats.org/officeDocument/2006/relationships/image" Id="rId219" Target="media/rId219.png" /><Relationship Type="http://schemas.openxmlformats.org/officeDocument/2006/relationships/image" Id="rId223" Target="media/rId223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Люпп Софья Романовна</dc:creator>
  <dc:language>ru-RU</dc:language>
  <cp:keywords/>
  <dcterms:created xsi:type="dcterms:W3CDTF">2026-02-17T16:13:34Z</dcterms:created>
  <dcterms:modified xsi:type="dcterms:W3CDTF">2026-02-17T16:13:34Z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/>
  </property>
  <property fmtid="{D5CDD505-2E9C-101B-9397-08002B2CF9AE}" pid="17" name="toc-title">
    <vt:lpwstr>Содержание</vt:lpwstr>
  </property>
</Properties>
</file>