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Document RAG Framework</w:t>
      </w:r>
    </w:p>
    <w:p>
      <w:pPr>
        <w:jc w:val="center"/>
      </w:pPr>
      <w:r>
        <w:rPr>
          <w:i/>
          <w:sz w:val="22"/>
        </w:rPr>
        <w:t>Architecture Document</w:t>
      </w:r>
    </w:p>
    <w:p/>
    <w:p>
      <w:pPr>
        <w:pStyle w:val="Heading1"/>
      </w:pPr>
      <w:r>
        <w:t>1. Purpose</w:t>
      </w:r>
    </w:p>
    <w:p>
      <w:r>
        <w:t>This document describes the architecture for Document RAG Framework, a production-oriented retrieval-augmented generation framework for document intelligence products. The framework provides authenticated document ingestion, durable indexing jobs, hybrid retrieval, cited answer generation, and golden evaluation workflows that can be adapted for enterprise or domain-specific deployments.</w:t>
      </w:r>
    </w:p>
    <w:p>
      <w:pPr>
        <w:pStyle w:val="Heading1"/>
      </w:pPr>
      <w:r>
        <w:t>2. Architecture Goals</w:t>
      </w:r>
    </w:p>
    <w:p>
      <w:pPr>
        <w:pStyle w:val="ListBullet"/>
      </w:pPr>
      <w:r>
        <w:t>Provide reusable full-stack building blocks for document-grounded AI applications.</w:t>
      </w:r>
    </w:p>
    <w:p>
      <w:pPr>
        <w:pStyle w:val="ListBullet"/>
      </w:pPr>
      <w:r>
        <w:t>Keep user documents, chats, and evaluation datasets scoped by authenticated user identity.</w:t>
      </w:r>
    </w:p>
    <w:p>
      <w:pPr>
        <w:pStyle w:val="ListBullet"/>
      </w:pPr>
      <w:r>
        <w:t>Support asynchronous, durable processing for document uploads and evaluation runs.</w:t>
      </w:r>
    </w:p>
    <w:p>
      <w:pPr>
        <w:pStyle w:val="ListBullet"/>
      </w:pPr>
      <w:r>
        <w:t>Separate API request handling from heavy ingestion and evaluation workloads.</w:t>
      </w:r>
    </w:p>
    <w:p>
      <w:pPr>
        <w:pStyle w:val="ListBullet"/>
      </w:pPr>
      <w:r>
        <w:t>Combine semantic and lexical retrieval before answer generation.</w:t>
      </w:r>
    </w:p>
    <w:p>
      <w:pPr>
        <w:pStyle w:val="ListBullet"/>
      </w:pPr>
      <w:r>
        <w:t>Prefer grounded answers with citations and explicit refusal when evidence is insufficient.</w:t>
      </w:r>
    </w:p>
    <w:p>
      <w:pPr>
        <w:pStyle w:val="ListBullet"/>
      </w:pPr>
      <w:r>
        <w:t>Use deployable service boundaries that can move from Docker Compose to managed infrastructure.</w:t>
      </w:r>
    </w:p>
    <w:p>
      <w:pPr>
        <w:pStyle w:val="Heading1"/>
      </w:pPr>
      <w:r>
        <w:t>3. Architecture Positioning</w:t>
      </w:r>
    </w:p>
    <w:p>
      <w:r>
        <w:t>The included Docker Compose configuration is a reference development deployment, not the architectural ceiling. The service boundaries are production-shaped: frontend delivery, stateless API workers, durable job workers, PostgreSQL/pgvector persistence, file storage abstraction, external OAuth, external LLM providers, and configurable model services.</w:t>
      </w:r>
    </w:p>
    <w:p>
      <w:pPr>
        <w:pStyle w:val="Heading1"/>
      </w:pPr>
      <w:r>
        <w:t>4. Context Diagram</w:t>
      </w:r>
    </w:p>
    <w:p>
      <w:r>
        <w:rPr>
          <w:rFonts w:ascii="Courier New" w:hAnsi="Courier New"/>
          <w:sz w:val="18"/>
        </w:rPr>
        <w:t>Users / Client Applications</w:t>
        <w:br/>
        <w:t xml:space="preserve">  |</w:t>
        <w:br/>
        <w:t xml:space="preserve">  v</w:t>
        <w:br/>
        <w:t>Web UI, API Gateway, or Product Frontend</w:t>
        <w:br/>
        <w:t xml:space="preserve">  |</w:t>
        <w:br/>
        <w:t xml:space="preserve">  v</w:t>
        <w:br/>
        <w:t>FastAPI Application Layer ----------------+</w:t>
        <w:br/>
        <w:t xml:space="preserve">  |                                       |</w:t>
        <w:br/>
        <w:t xml:space="preserve">  | SQLAlchemy                            | durable job records</w:t>
        <w:br/>
        <w:t xml:space="preserve">  v                                       v</w:t>
        <w:br/>
        <w:t>PostgreSQL + pgvector &lt;-------------- Worker Pool</w:t>
        <w:br/>
        <w:t xml:space="preserve">  ^                                       |</w:t>
        <w:br/>
        <w:t xml:space="preserve">  |                                       v</w:t>
        <w:br/>
        <w:t xml:space="preserve">  +---- retrieval, chat, eval data    ingestion, embedding, evaluation</w:t>
        <w:br/>
        <w:br/>
        <w:t>External platform services:</w:t>
        <w:br/>
        <w:t>- OAuth identity provider</w:t>
        <w:br/>
        <w:t>- LLM provider</w:t>
        <w:br/>
        <w:t>- Model registry/cache for embedding and reranking models</w:t>
        <w:br/>
        <w:t>- Object storage in production deployments</w:t>
        <w:br/>
        <w:t>- Observability, secrets, and ingress infrastructure</w:t>
      </w:r>
    </w:p>
    <w:p>
      <w:pPr>
        <w:pStyle w:val="Heading1"/>
      </w:pPr>
      <w:r>
        <w:t>5. Runtime Components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Technology</w:t>
            </w:r>
          </w:p>
        </w:tc>
        <w:tc>
          <w:tcPr>
            <w:tcW w:type="dxa" w:w="2880"/>
          </w:tcPr>
          <w:p>
            <w:r>
              <w:rPr>
                <w:b/>
              </w:rPr>
              <w:t>Responsibilities</w:t>
            </w:r>
          </w:p>
        </w:tc>
      </w:tr>
      <w:tr>
        <w:tc>
          <w:tcPr>
            <w:tcW w:type="dxa" w:w="2880"/>
          </w:tcPr>
          <w:p>
            <w:r>
              <w:t>Frontend</w:t>
            </w:r>
          </w:p>
        </w:tc>
        <w:tc>
          <w:tcPr>
            <w:tcW w:type="dxa" w:w="2880"/>
          </w:tcPr>
          <w:p>
            <w:r>
              <w:t>React, Vite, Nginx</w:t>
            </w:r>
          </w:p>
        </w:tc>
        <w:tc>
          <w:tcPr>
            <w:tcW w:type="dxa" w:w="2880"/>
          </w:tcPr>
          <w:p>
            <w:r>
              <w:t>Workspace UI for chat, knowledge base, evaluations, and auth-aware sessions. Can be replaced or embedded in a larger product shell.</w:t>
            </w:r>
          </w:p>
        </w:tc>
      </w:tr>
      <w:tr>
        <w:tc>
          <w:tcPr>
            <w:tcW w:type="dxa" w:w="2880"/>
          </w:tcPr>
          <w:p>
            <w:r>
              <w:t>Backend API</w:t>
            </w:r>
          </w:p>
        </w:tc>
        <w:tc>
          <w:tcPr>
            <w:tcW w:type="dxa" w:w="2880"/>
          </w:tcPr>
          <w:p>
            <w:r>
              <w:t>FastAPI, SQLAlchemy</w:t>
            </w:r>
          </w:p>
        </w:tc>
        <w:tc>
          <w:tcPr>
            <w:tcW w:type="dxa" w:w="2880"/>
          </w:tcPr>
          <w:p>
            <w:r>
              <w:t>Authentication, document APIs, chat APIs, evaluation APIs, health checks, and request orchestration.</w:t>
            </w:r>
          </w:p>
        </w:tc>
      </w:tr>
      <w:tr>
        <w:tc>
          <w:tcPr>
            <w:tcW w:type="dxa" w:w="2880"/>
          </w:tcPr>
          <w:p>
            <w:r>
              <w:t>Worker Pool</w:t>
            </w:r>
          </w:p>
        </w:tc>
        <w:tc>
          <w:tcPr>
            <w:tcW w:type="dxa" w:w="2880"/>
          </w:tcPr>
          <w:p>
            <w:r>
              <w:t>Python module app.workers.job_worker</w:t>
            </w:r>
          </w:p>
        </w:tc>
        <w:tc>
          <w:tcPr>
            <w:tcW w:type="dxa" w:w="2880"/>
          </w:tcPr>
          <w:p>
            <w:r>
              <w:t>Claims pending document jobs and evaluation runs, executes ingestion and evaluation, and persists status.</w:t>
            </w:r>
          </w:p>
        </w:tc>
      </w:tr>
      <w:tr>
        <w:tc>
          <w:tcPr>
            <w:tcW w:type="dxa" w:w="2880"/>
          </w:tcPr>
          <w:p>
            <w:r>
              <w:t>Database</w:t>
            </w:r>
          </w:p>
        </w:tc>
        <w:tc>
          <w:tcPr>
            <w:tcW w:type="dxa" w:w="2880"/>
          </w:tcPr>
          <w:p>
            <w:r>
              <w:t>PostgreSQL with pgvector</w:t>
            </w:r>
          </w:p>
        </w:tc>
        <w:tc>
          <w:tcPr>
            <w:tcW w:type="dxa" w:w="2880"/>
          </w:tcPr>
          <w:p>
            <w:r>
              <w:t>Stores users, documents, chunks, vectors, chat sessions/messages, datasets, runs, and job state.</w:t>
            </w:r>
          </w:p>
        </w:tc>
      </w:tr>
      <w:tr>
        <w:tc>
          <w:tcPr>
            <w:tcW w:type="dxa" w:w="2880"/>
          </w:tcPr>
          <w:p>
            <w:r>
              <w:t>Storage</w:t>
            </w:r>
          </w:p>
        </w:tc>
        <w:tc>
          <w:tcPr>
            <w:tcW w:type="dxa" w:w="2880"/>
          </w:tcPr>
          <w:p>
            <w:r>
              <w:t>Storage abstraction with local implementation</w:t>
            </w:r>
          </w:p>
        </w:tc>
        <w:tc>
          <w:tcPr>
            <w:tcW w:type="dxa" w:w="2880"/>
          </w:tcPr>
          <w:p>
            <w:r>
              <w:t>Stores uploaded raw files and generated artifacts; intended to support object storage in production.</w:t>
            </w:r>
          </w:p>
        </w:tc>
      </w:tr>
      <w:tr>
        <w:tc>
          <w:tcPr>
            <w:tcW w:type="dxa" w:w="2880"/>
          </w:tcPr>
          <w:p>
            <w:r>
              <w:t>Embedding</w:t>
            </w:r>
          </w:p>
        </w:tc>
        <w:tc>
          <w:tcPr>
            <w:tcW w:type="dxa" w:w="2880"/>
          </w:tcPr>
          <w:p>
            <w:r>
              <w:t>SentenceTransformers default provider</w:t>
            </w:r>
          </w:p>
        </w:tc>
        <w:tc>
          <w:tcPr>
            <w:tcW w:type="dxa" w:w="2880"/>
          </w:tcPr>
          <w:p>
            <w:r>
              <w:t>Creates dense vectors for document chunks.</w:t>
            </w:r>
          </w:p>
        </w:tc>
      </w:tr>
      <w:tr>
        <w:tc>
          <w:tcPr>
            <w:tcW w:type="dxa" w:w="2880"/>
          </w:tcPr>
          <w:p>
            <w:r>
              <w:t>Retrieval</w:t>
            </w:r>
          </w:p>
        </w:tc>
        <w:tc>
          <w:tcPr>
            <w:tcW w:type="dxa" w:w="2880"/>
          </w:tcPr>
          <w:p>
            <w:r>
              <w:t>pgvector, BM25, hybrid merge</w:t>
            </w:r>
          </w:p>
        </w:tc>
        <w:tc>
          <w:tcPr>
            <w:tcW w:type="dxa" w:w="2880"/>
          </w:tcPr>
          <w:p>
            <w:r>
              <w:t>Finds candidate chunks using semantic and lexical signals.</w:t>
            </w:r>
          </w:p>
        </w:tc>
      </w:tr>
      <w:tr>
        <w:tc>
          <w:tcPr>
            <w:tcW w:type="dxa" w:w="2880"/>
          </w:tcPr>
          <w:p>
            <w:r>
              <w:t>Reranking</w:t>
            </w:r>
          </w:p>
        </w:tc>
        <w:tc>
          <w:tcPr>
            <w:tcW w:type="dxa" w:w="2880"/>
          </w:tcPr>
          <w:p>
            <w:r>
              <w:t>Cross-encoder default provider</w:t>
            </w:r>
          </w:p>
        </w:tc>
        <w:tc>
          <w:tcPr>
            <w:tcW w:type="dxa" w:w="2880"/>
          </w:tcPr>
          <w:p>
            <w:r>
              <w:t>Reorders candidate chunks before answer generation.</w:t>
            </w:r>
          </w:p>
        </w:tc>
      </w:tr>
      <w:tr>
        <w:tc>
          <w:tcPr>
            <w:tcW w:type="dxa" w:w="2880"/>
          </w:tcPr>
          <w:p>
            <w:r>
              <w:t>Generation</w:t>
            </w:r>
          </w:p>
        </w:tc>
        <w:tc>
          <w:tcPr>
            <w:tcW w:type="dxa" w:w="2880"/>
          </w:tcPr>
          <w:p>
            <w:r>
              <w:t>OpenAI client abstraction</w:t>
            </w:r>
          </w:p>
        </w:tc>
        <w:tc>
          <w:tcPr>
            <w:tcW w:type="dxa" w:w="2880"/>
          </w:tcPr>
          <w:p>
            <w:r>
              <w:t>Produces answers, query rewrites, and support checks.</w:t>
            </w:r>
          </w:p>
        </w:tc>
      </w:tr>
    </w:tbl>
    <w:p/>
    <w:p>
      <w:pPr>
        <w:pStyle w:val="Heading1"/>
      </w:pPr>
      <w:r>
        <w:t>6. Reference Deployment And Production Evolution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Concern</w:t>
            </w:r>
          </w:p>
        </w:tc>
        <w:tc>
          <w:tcPr>
            <w:tcW w:type="dxa" w:w="2880"/>
          </w:tcPr>
          <w:p>
            <w:r>
              <w:rPr>
                <w:b/>
              </w:rPr>
              <w:t>Reference Deployment</w:t>
            </w:r>
          </w:p>
        </w:tc>
        <w:tc>
          <w:tcPr>
            <w:tcW w:type="dxa" w:w="2880"/>
          </w:tcPr>
          <w:p>
            <w:r>
              <w:rPr>
                <w:b/>
              </w:rPr>
              <w:t>Production Direction</w:t>
            </w:r>
          </w:p>
        </w:tc>
      </w:tr>
      <w:tr>
        <w:tc>
          <w:tcPr>
            <w:tcW w:type="dxa" w:w="2880"/>
          </w:tcPr>
          <w:p>
            <w:r>
              <w:t>Frontend</w:t>
            </w:r>
          </w:p>
        </w:tc>
        <w:tc>
          <w:tcPr>
            <w:tcW w:type="dxa" w:w="2880"/>
          </w:tcPr>
          <w:p>
            <w:r>
              <w:t>Nginx container on port 3000</w:t>
            </w:r>
          </w:p>
        </w:tc>
        <w:tc>
          <w:tcPr>
            <w:tcW w:type="dxa" w:w="2880"/>
          </w:tcPr>
          <w:p>
            <w:r>
              <w:t>CDN/static hosting or edge Nginx behind load balancer.</w:t>
            </w:r>
          </w:p>
        </w:tc>
      </w:tr>
      <w:tr>
        <w:tc>
          <w:tcPr>
            <w:tcW w:type="dxa" w:w="2880"/>
          </w:tcPr>
          <w:p>
            <w:r>
              <w:t>API</w:t>
            </w:r>
          </w:p>
        </w:tc>
        <w:tc>
          <w:tcPr>
            <w:tcW w:type="dxa" w:w="2880"/>
          </w:tcPr>
          <w:p>
            <w:r>
              <w:t>Uvicorn workers in backend container</w:t>
            </w:r>
          </w:p>
        </w:tc>
        <w:tc>
          <w:tcPr>
            <w:tcW w:type="dxa" w:w="2880"/>
          </w:tcPr>
          <w:p>
            <w:r>
              <w:t>Horizontally scaled API service behind HTTPS ingress.</w:t>
            </w:r>
          </w:p>
        </w:tc>
      </w:tr>
      <w:tr>
        <w:tc>
          <w:tcPr>
            <w:tcW w:type="dxa" w:w="2880"/>
          </w:tcPr>
          <w:p>
            <w:r>
              <w:t>Worker</w:t>
            </w:r>
          </w:p>
        </w:tc>
        <w:tc>
          <w:tcPr>
            <w:tcW w:type="dxa" w:w="2880"/>
          </w:tcPr>
          <w:p>
            <w:r>
              <w:t>Single worker service</w:t>
            </w:r>
          </w:p>
        </w:tc>
        <w:tc>
          <w:tcPr>
            <w:tcW w:type="dxa" w:w="2880"/>
          </w:tcPr>
          <w:p>
            <w:r>
              <w:t>Dedicated worker pool with autoscaling and queue-depth metrics.</w:t>
            </w:r>
          </w:p>
        </w:tc>
      </w:tr>
      <w:tr>
        <w:tc>
          <w:tcPr>
            <w:tcW w:type="dxa" w:w="2880"/>
          </w:tcPr>
          <w:p>
            <w:r>
              <w:t>Database</w:t>
            </w:r>
          </w:p>
        </w:tc>
        <w:tc>
          <w:tcPr>
            <w:tcW w:type="dxa" w:w="2880"/>
          </w:tcPr>
          <w:p>
            <w:r>
              <w:t>Docker PostgreSQL volume</w:t>
            </w:r>
          </w:p>
        </w:tc>
        <w:tc>
          <w:tcPr>
            <w:tcW w:type="dxa" w:w="2880"/>
          </w:tcPr>
          <w:p>
            <w:r>
              <w:t>Managed PostgreSQL with pgvector, backups, pooling, monitoring.</w:t>
            </w:r>
          </w:p>
        </w:tc>
      </w:tr>
      <w:tr>
        <w:tc>
          <w:tcPr>
            <w:tcW w:type="dxa" w:w="2880"/>
          </w:tcPr>
          <w:p>
            <w:r>
              <w:t>Files</w:t>
            </w:r>
          </w:p>
        </w:tc>
        <w:tc>
          <w:tcPr>
            <w:tcW w:type="dxa" w:w="2880"/>
          </w:tcPr>
          <w:p>
            <w:r>
              <w:t>Repository data/ bind mount</w:t>
            </w:r>
          </w:p>
        </w:tc>
        <w:tc>
          <w:tcPr>
            <w:tcW w:type="dxa" w:w="2880"/>
          </w:tcPr>
          <w:p>
            <w:r>
              <w:t>Object storage provider through storage abstraction.</w:t>
            </w:r>
          </w:p>
        </w:tc>
      </w:tr>
      <w:tr>
        <w:tc>
          <w:tcPr>
            <w:tcW w:type="dxa" w:w="2880"/>
          </w:tcPr>
          <w:p>
            <w:r>
              <w:t>Secrets</w:t>
            </w:r>
          </w:p>
        </w:tc>
        <w:tc>
          <w:tcPr>
            <w:tcW w:type="dxa" w:w="2880"/>
          </w:tcPr>
          <w:p>
            <w:r>
              <w:t>.env</w:t>
            </w:r>
          </w:p>
        </w:tc>
        <w:tc>
          <w:tcPr>
            <w:tcW w:type="dxa" w:w="2880"/>
          </w:tcPr>
          <w:p>
            <w:r>
              <w:t>Cloud secrets manager or platform secret store.</w:t>
            </w:r>
          </w:p>
        </w:tc>
      </w:tr>
      <w:tr>
        <w:tc>
          <w:tcPr>
            <w:tcW w:type="dxa" w:w="2880"/>
          </w:tcPr>
          <w:p>
            <w:r>
              <w:t>Observability</w:t>
            </w:r>
          </w:p>
        </w:tc>
        <w:tc>
          <w:tcPr>
            <w:tcW w:type="dxa" w:w="2880"/>
          </w:tcPr>
          <w:p>
            <w:r>
              <w:t>Container logs</w:t>
            </w:r>
          </w:p>
        </w:tc>
        <w:tc>
          <w:tcPr>
            <w:tcW w:type="dxa" w:w="2880"/>
          </w:tcPr>
          <w:p>
            <w:r>
              <w:t>Structured logs, metrics, traces, alerts, and dashboards.</w:t>
            </w:r>
          </w:p>
        </w:tc>
      </w:tr>
    </w:tbl>
    <w:p/>
    <w:p>
      <w:pPr>
        <w:pStyle w:val="Heading1"/>
      </w:pPr>
      <w:r>
        <w:t>7. Data Architecture</w:t>
      </w:r>
    </w:p>
    <w:tbl>
      <w:tblPr>
        <w:tblStyle w:val="TableGrid"/>
        <w:tblW w:type="auto" w:w="0"/>
        <w:tblLook w:firstColumn="1" w:firstRow="1" w:lastColumn="0" w:lastRow="0" w:noHBand="0" w:noVBand="1" w:val="04A0"/>
      </w:tblPr>
      <w:tblGrid>
        <w:gridCol w:w="4320"/>
        <w:gridCol w:w="4320"/>
      </w:tblGrid>
      <w:tr>
        <w:tc>
          <w:tcPr>
            <w:tcW w:type="dxa" w:w="4320"/>
          </w:tcPr>
          <w:p>
            <w:r>
              <w:rPr>
                <w:b/>
              </w:rPr>
              <w:t>Entity</w:t>
            </w:r>
          </w:p>
        </w:tc>
        <w:tc>
          <w:tcPr>
            <w:tcW w:type="dxa" w:w="4320"/>
          </w:tcPr>
          <w:p>
            <w:r>
              <w:rPr>
                <w:b/>
              </w:rPr>
              <w:t>Purpose</w:t>
            </w:r>
          </w:p>
        </w:tc>
      </w:tr>
      <w:tr>
        <w:tc>
          <w:tcPr>
            <w:tcW w:type="dxa" w:w="4320"/>
          </w:tcPr>
          <w:p>
            <w:r>
              <w:t>User</w:t>
            </w:r>
          </w:p>
        </w:tc>
        <w:tc>
          <w:tcPr>
            <w:tcW w:type="dxa" w:w="4320"/>
          </w:tcPr>
          <w:p>
            <w:r>
              <w:t>Authenticated account created through OAuth and used for ownership scoping.</w:t>
            </w:r>
          </w:p>
        </w:tc>
      </w:tr>
      <w:tr>
        <w:tc>
          <w:tcPr>
            <w:tcW w:type="dxa" w:w="4320"/>
          </w:tcPr>
          <w:p>
            <w:r>
              <w:t>Document</w:t>
            </w:r>
          </w:p>
        </w:tc>
        <w:tc>
          <w:tcPr>
            <w:tcW w:type="dxa" w:w="4320"/>
          </w:tcPr>
          <w:p>
            <w:r>
              <w:t>Uploaded file metadata, processing status, category, storage path, and ownership.</w:t>
            </w:r>
          </w:p>
        </w:tc>
      </w:tr>
      <w:tr>
        <w:tc>
          <w:tcPr>
            <w:tcW w:type="dxa" w:w="4320"/>
          </w:tcPr>
          <w:p>
            <w:r>
              <w:t>DocumentProcessingJob</w:t>
            </w:r>
          </w:p>
        </w:tc>
        <w:tc>
          <w:tcPr>
            <w:tcW w:type="dxa" w:w="4320"/>
          </w:tcPr>
          <w:p>
            <w:r>
              <w:t>Durable state machine for upload processing.</w:t>
            </w:r>
          </w:p>
        </w:tc>
      </w:tr>
      <w:tr>
        <w:tc>
          <w:tcPr>
            <w:tcW w:type="dxa" w:w="4320"/>
          </w:tcPr>
          <w:p>
            <w:r>
              <w:t>DocumentChunk</w:t>
            </w:r>
          </w:p>
        </w:tc>
        <w:tc>
          <w:tcPr>
            <w:tcW w:type="dxa" w:w="4320"/>
          </w:tcPr>
          <w:p>
            <w:r>
              <w:t>Chunk text, metadata, status, and vector embeddings.</w:t>
            </w:r>
          </w:p>
        </w:tc>
      </w:tr>
      <w:tr>
        <w:tc>
          <w:tcPr>
            <w:tcW w:type="dxa" w:w="4320"/>
          </w:tcPr>
          <w:p>
            <w:r>
              <w:t>ChatSession and ChatMessage</w:t>
            </w:r>
          </w:p>
        </w:tc>
        <w:tc>
          <w:tcPr>
            <w:tcW w:type="dxa" w:w="4320"/>
          </w:tcPr>
          <w:p>
            <w:r>
              <w:t>Persistent chat conversations and generated answers with citations.</w:t>
            </w:r>
          </w:p>
        </w:tc>
      </w:tr>
      <w:tr>
        <w:tc>
          <w:tcPr>
            <w:tcW w:type="dxa" w:w="4320"/>
          </w:tcPr>
          <w:p>
            <w:r>
              <w:t>EvaluationDataset</w:t>
            </w:r>
          </w:p>
        </w:tc>
        <w:tc>
          <w:tcPr>
            <w:tcW w:type="dxa" w:w="4320"/>
          </w:tcPr>
          <w:p>
            <w:r>
              <w:t>User-owned golden evaluation cases.</w:t>
            </w:r>
          </w:p>
        </w:tc>
      </w:tr>
      <w:tr>
        <w:tc>
          <w:tcPr>
            <w:tcW w:type="dxa" w:w="4320"/>
          </w:tcPr>
          <w:p>
            <w:r>
              <w:t>EvaluationRun</w:t>
            </w:r>
          </w:p>
        </w:tc>
        <w:tc>
          <w:tcPr>
            <w:tcW w:type="dxa" w:w="4320"/>
          </w:tcPr>
          <w:p>
            <w:r>
              <w:t>Execution status, settings, aggregate scores, and case-level results.</w:t>
            </w:r>
          </w:p>
        </w:tc>
      </w:tr>
    </w:tbl>
    <w:p/>
    <w:p>
      <w:pPr>
        <w:pStyle w:val="Heading1"/>
      </w:pPr>
      <w:r>
        <w:t>8. Document Processing Flow</w:t>
      </w:r>
    </w:p>
    <w:p>
      <w:pPr>
        <w:pStyle w:val="ListNumber"/>
      </w:pPr>
      <w:r>
        <w:t>The frontend or API client sends a multipart upload to POST /documents/upload.</w:t>
      </w:r>
    </w:p>
    <w:p>
      <w:pPr>
        <w:pStyle w:val="ListNumber"/>
      </w:pPr>
      <w:r>
        <w:t>The backend validates file type and size, stores the raw file, creates a Document row, and creates a pending DocumentProcessingJob.</w:t>
      </w:r>
    </w:p>
    <w:p>
      <w:pPr>
        <w:pStyle w:val="ListNumber"/>
      </w:pPr>
      <w:r>
        <w:t>In worker mode, a worker replica claims the pending job with row locking and marks it running.</w:t>
      </w:r>
    </w:p>
    <w:p>
      <w:pPr>
        <w:pStyle w:val="ListNumber"/>
      </w:pPr>
      <w:r>
        <w:t>The worker extracts text using the appropriate loader for PDF, DOCX, TXT, Markdown, or HTML.</w:t>
      </w:r>
    </w:p>
    <w:p>
      <w:pPr>
        <w:pStyle w:val="ListNumber"/>
      </w:pPr>
      <w:r>
        <w:t>The worker cleans and chunks the extracted text, then stores DocumentChunk rows.</w:t>
      </w:r>
    </w:p>
    <w:p>
      <w:pPr>
        <w:pStyle w:val="ListNumber"/>
      </w:pPr>
      <w:r>
        <w:t>The worker creates embeddings with the configured embedding provider and stores vectors in pgvector.</w:t>
      </w:r>
    </w:p>
    <w:p>
      <w:pPr>
        <w:pStyle w:val="ListNumber"/>
      </w:pPr>
      <w:r>
        <w:t>The document status becomes embedded and the processing job becomes completed. Clients poll or subscribe to status changes depending on the host product design.</w:t>
      </w:r>
    </w:p>
    <w:p>
      <w:pPr>
        <w:pStyle w:val="Heading1"/>
      </w:pPr>
      <w:r>
        <w:t>9. Chat RAG Flow</w:t>
      </w:r>
    </w:p>
    <w:p>
      <w:pPr>
        <w:pStyle w:val="ListNumber"/>
      </w:pPr>
      <w:r>
        <w:t>The user or client application sends a question through the chat API.</w:t>
      </w:r>
    </w:p>
    <w:p>
      <w:pPr>
        <w:pStyle w:val="ListNumber"/>
      </w:pPr>
      <w:r>
        <w:t>The backend loads chat context and invokes the LangGraph RAG workflow.</w:t>
      </w:r>
    </w:p>
    <w:p>
      <w:pPr>
        <w:pStyle w:val="ListNumber"/>
      </w:pPr>
      <w:r>
        <w:t>The graph may rewrite the query when chat history benefits retrieval.</w:t>
      </w:r>
    </w:p>
    <w:p>
      <w:pPr>
        <w:pStyle w:val="ListNumber"/>
      </w:pPr>
      <w:r>
        <w:t>Hybrid retrieval combines vector search and BM25 keyword retrieval over the user's ready chunks.</w:t>
      </w:r>
    </w:p>
    <w:p>
      <w:pPr>
        <w:pStyle w:val="ListNumber"/>
      </w:pPr>
      <w:r>
        <w:t>The cross-encoder reranker selects the strongest evidence candidates.</w:t>
      </w:r>
    </w:p>
    <w:p>
      <w:pPr>
        <w:pStyle w:val="ListNumber"/>
      </w:pPr>
      <w:r>
        <w:t>The prompt builder constructs bounded evidence context for the LLM.</w:t>
      </w:r>
    </w:p>
    <w:p>
      <w:pPr>
        <w:pStyle w:val="ListNumber"/>
      </w:pPr>
      <w:r>
        <w:t>The answer generator returns an answer with citations or a refusal.</w:t>
      </w:r>
    </w:p>
    <w:p>
      <w:pPr>
        <w:pStyle w:val="ListNumber"/>
      </w:pPr>
      <w:r>
        <w:t>Citation guard and support checks verify grounding and can trigger bounded retries.</w:t>
      </w:r>
    </w:p>
    <w:p>
      <w:pPr>
        <w:pStyle w:val="ListNumber"/>
      </w:pPr>
      <w:r>
        <w:t>The backend persists chat messages and returns the answer to the client.</w:t>
      </w:r>
    </w:p>
    <w:p>
      <w:pPr>
        <w:pStyle w:val="Heading1"/>
      </w:pPr>
      <w:r>
        <w:t>10. Evaluation Flow</w:t>
      </w:r>
    </w:p>
    <w:p>
      <w:pPr>
        <w:pStyle w:val="ListNumber"/>
      </w:pPr>
      <w:r>
        <w:t>A user uploads a JSON evaluation dataset referencing ready document IDs.</w:t>
      </w:r>
    </w:p>
    <w:p>
      <w:pPr>
        <w:pStyle w:val="ListNumber"/>
      </w:pPr>
      <w:r>
        <w:t>The backend validates case structure, ownership, and document readiness.</w:t>
      </w:r>
    </w:p>
    <w:p>
      <w:pPr>
        <w:pStyle w:val="ListNumber"/>
      </w:pPr>
      <w:r>
        <w:t>Running a dataset creates an EvaluationRun with pending status in worker mode.</w:t>
      </w:r>
    </w:p>
    <w:p>
      <w:pPr>
        <w:pStyle w:val="ListNumber"/>
      </w:pPr>
      <w:r>
        <w:t>A worker claims the pending run, executes each case through the RAG workflow, scores the results, and persists aggregates.</w:t>
      </w:r>
    </w:p>
    <w:p>
      <w:pPr>
        <w:pStyle w:val="ListNumber"/>
      </w:pPr>
      <w:r>
        <w:t>Clients poll active runs until they complete or fail.</w:t>
      </w:r>
    </w:p>
    <w:p>
      <w:pPr>
        <w:pStyle w:val="Heading1"/>
      </w:pPr>
      <w:r>
        <w:t>11. Security Architecture</w:t>
      </w:r>
    </w:p>
    <w:p>
      <w:pPr>
        <w:pStyle w:val="ListBullet"/>
      </w:pPr>
      <w:r>
        <w:t>Authentication uses OAuth and HttpOnly session cookies in the included web experience.</w:t>
      </w:r>
    </w:p>
    <w:p>
      <w:pPr>
        <w:pStyle w:val="ListBullet"/>
      </w:pPr>
      <w:r>
        <w:t>Every protected route resolves the current user and scopes data by user_id.</w:t>
      </w:r>
    </w:p>
    <w:p>
      <w:pPr>
        <w:pStyle w:val="ListBullet"/>
      </w:pPr>
      <w:r>
        <w:t>Production deployments should set AUTH_COOKIE_SECURE=true and terminate TLS at ingress.</w:t>
      </w:r>
    </w:p>
    <w:p>
      <w:pPr>
        <w:pStyle w:val="ListBullet"/>
      </w:pPr>
      <w:r>
        <w:t>Secrets should be stored in a managed secret store, not committed files.</w:t>
      </w:r>
    </w:p>
    <w:p>
      <w:pPr>
        <w:pStyle w:val="ListBullet"/>
      </w:pPr>
      <w:r>
        <w:t>Debug endpoints are disabled by default and should remain disabled outside controlled environments.</w:t>
      </w:r>
    </w:p>
    <w:p>
      <w:pPr>
        <w:pStyle w:val="Heading1"/>
      </w:pPr>
      <w:r>
        <w:t>12. Operational Considerations</w:t>
      </w:r>
    </w:p>
    <w:p>
      <w:pPr>
        <w:pStyle w:val="ListBullet"/>
      </w:pPr>
      <w:r>
        <w:t>At least one worker must be running for worker-mode uploads and evaluations to complete.</w:t>
      </w:r>
    </w:p>
    <w:p>
      <w:pPr>
        <w:pStyle w:val="ListBullet"/>
      </w:pPr>
      <w:r>
        <w:t>First model use can be slow because default models may be downloaded from Hugging Face.</w:t>
      </w:r>
    </w:p>
    <w:p>
      <w:pPr>
        <w:pStyle w:val="ListBullet"/>
      </w:pPr>
      <w:r>
        <w:t>Production deployments should externalize PostgreSQL, file storage, secrets, and observability.</w:t>
      </w:r>
    </w:p>
    <w:p>
      <w:pPr>
        <w:pStyle w:val="ListBullet"/>
      </w:pPr>
      <w:r>
        <w:t>Backend and worker logs are the primary source for diagnosing ingestion and evaluation failures in the reference deployment.</w:t>
      </w:r>
    </w:p>
    <w:p>
      <w:pPr>
        <w:pStyle w:val="ListBullet"/>
      </w:pPr>
      <w:r>
        <w:t>Queue depth, job age, failure counts, LLM latency, retrieval latency, and token usage should be promoted to metrics before production operation.</w:t>
      </w:r>
    </w:p>
    <w:p>
      <w:pPr>
        <w:pStyle w:val="Heading1"/>
      </w:pPr>
      <w:r>
        <w:t>13. Key Risks And Mitigations</w:t>
      </w:r>
    </w:p>
    <w:tbl>
      <w:tblPr>
        <w:tblStyle w:val="TableGrid"/>
        <w:tblW w:type="auto" w:w="0"/>
        <w:tblLook w:firstColumn="1" w:firstRow="1" w:lastColumn="0" w:lastRow="0" w:noHBand="0" w:noVBand="1" w:val="04A0"/>
      </w:tblPr>
      <w:tblGrid>
        <w:gridCol w:w="4320"/>
        <w:gridCol w:w="4320"/>
      </w:tblGrid>
      <w:tr>
        <w:tc>
          <w:tcPr>
            <w:tcW w:type="dxa" w:w="4320"/>
          </w:tcPr>
          <w:p>
            <w:r>
              <w:rPr>
                <w:b/>
              </w:rPr>
              <w:t>Risk</w:t>
            </w:r>
          </w:p>
        </w:tc>
        <w:tc>
          <w:tcPr>
            <w:tcW w:type="dxa" w:w="4320"/>
          </w:tcPr>
          <w:p>
            <w:r>
              <w:rPr>
                <w:b/>
              </w:rPr>
              <w:t>Mitigation</w:t>
            </w:r>
          </w:p>
        </w:tc>
      </w:tr>
      <w:tr>
        <w:tc>
          <w:tcPr>
            <w:tcW w:type="dxa" w:w="4320"/>
          </w:tcPr>
          <w:p>
            <w:r>
              <w:t>Worker crash leaves jobs stuck</w:t>
            </w:r>
          </w:p>
        </w:tc>
        <w:tc>
          <w:tcPr>
            <w:tcW w:type="dxa" w:w="4320"/>
          </w:tcPr>
          <w:p>
            <w:r>
              <w:t>Worker exceptions are logged and job failures are persisted; stale job reclamation is configured.</w:t>
            </w:r>
          </w:p>
        </w:tc>
      </w:tr>
      <w:tr>
        <w:tc>
          <w:tcPr>
            <w:tcW w:type="dxa" w:w="4320"/>
          </w:tcPr>
          <w:p>
            <w:r>
              <w:t>Unsupported answer generation</w:t>
            </w:r>
          </w:p>
        </w:tc>
        <w:tc>
          <w:tcPr>
            <w:tcW w:type="dxa" w:w="4320"/>
          </w:tcPr>
          <w:p>
            <w:r>
              <w:t>Citation guard, evidence sufficiency checks, and bounded retries reduce unsupported output.</w:t>
            </w:r>
          </w:p>
        </w:tc>
      </w:tr>
      <w:tr>
        <w:tc>
          <w:tcPr>
            <w:tcW w:type="dxa" w:w="4320"/>
          </w:tcPr>
          <w:p>
            <w:r>
              <w:t>Large file upload pressure</w:t>
            </w:r>
          </w:p>
        </w:tc>
        <w:tc>
          <w:tcPr>
            <w:tcW w:type="dxa" w:w="4320"/>
          </w:tcPr>
          <w:p>
            <w:r>
              <w:t>Upload size is validated and file copying uses spooled file streams.</w:t>
            </w:r>
          </w:p>
        </w:tc>
      </w:tr>
      <w:tr>
        <w:tc>
          <w:tcPr>
            <w:tcW w:type="dxa" w:w="4320"/>
          </w:tcPr>
          <w:p>
            <w:r>
              <w:t>Model cold start latency</w:t>
            </w:r>
          </w:p>
        </w:tc>
        <w:tc>
          <w:tcPr>
            <w:tcW w:type="dxa" w:w="4320"/>
          </w:tcPr>
          <w:p>
            <w:r>
              <w:t>PRELOAD_LOCAL_MODELS can warm embedding and reranking models.</w:t>
            </w:r>
          </w:p>
        </w:tc>
      </w:tr>
      <w:tr>
        <w:tc>
          <w:tcPr>
            <w:tcW w:type="dxa" w:w="4320"/>
          </w:tcPr>
          <w:p>
            <w:r>
              <w:t>Credential leakage</w:t>
            </w:r>
          </w:p>
        </w:tc>
        <w:tc>
          <w:tcPr>
            <w:tcW w:type="dxa" w:w="4320"/>
          </w:tcPr>
          <w:p>
            <w:r>
              <w:t>Secrets should be supplied by environment or secret manager and excluded from source control.</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