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E2" w:rsidRDefault="00726D0F">
      <w:pPr>
        <w:pStyle w:val="MyCustomStyle"/>
      </w:pPr>
      <w:r>
        <w:t>Иванов Иван</w:t>
      </w:r>
    </w:p>
    <w:p w:rsidR="007E0EE2" w:rsidRDefault="007E0EE2">
      <w:pPr>
        <w:pStyle w:val="MyCustomStyle"/>
      </w:pPr>
    </w:p>
    <w:p w:rsidR="007E0EE2" w:rsidRDefault="00726D0F">
      <w:r>
        <w:rPr>
          <w:noProof/>
          <w:lang w:eastAsia="en-US"/>
        </w:rPr>
        <w:drawing>
          <wp:inline distT="0" distB="0" distL="0" distR="0">
            <wp:extent cx="6604000" cy="27432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0EE2" w:rsidRDefault="007E0EE2"/>
    <w:p w:rsidR="007E0EE2" w:rsidRDefault="007E0EE2"/>
    <w:p w:rsidR="00726D0F" w:rsidRPr="00EF01B6" w:rsidRDefault="00726D0F" w:rsidP="00726D0F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F01B6">
        <w:rPr>
          <w:b/>
          <w:bCs/>
          <w:color w:val="000000"/>
          <w:sz w:val="28"/>
          <w:szCs w:val="28"/>
          <w:shd w:val="clear" w:color="auto" w:fill="FFFFFF"/>
        </w:rPr>
        <w:t xml:space="preserve">ПРОФЕССИИ </w:t>
      </w:r>
      <w:r>
        <w:rPr>
          <w:b/>
          <w:bCs/>
          <w:color w:val="000000"/>
          <w:sz w:val="28"/>
          <w:szCs w:val="28"/>
          <w:shd w:val="clear" w:color="auto" w:fill="FFFFFF"/>
        </w:rPr>
        <w:t>СИСТЕМЫ</w:t>
      </w:r>
      <w:r w:rsidRPr="00EF01B6">
        <w:rPr>
          <w:b/>
          <w:bCs/>
          <w:color w:val="000000"/>
          <w:sz w:val="28"/>
          <w:szCs w:val="28"/>
          <w:shd w:val="clear" w:color="auto" w:fill="FFFFFF"/>
        </w:rPr>
        <w:t xml:space="preserve"> «ЧЕЛОВЕК-ЧЕЛОВЕК»:</w:t>
      </w:r>
    </w:p>
    <w:p w:rsidR="00726D0F" w:rsidRDefault="00726D0F" w:rsidP="00726D0F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Основным объектом профессиональной деятельности являются люди. </w:t>
      </w:r>
      <w:r>
        <w:rPr>
          <w:b/>
          <w:bCs/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Сюда входят любые специальности, связанные с обучением, воспитанием, обслуживанием и руководством, которые предполагают общение и тесное взаимодействие с другими людьми. </w:t>
      </w:r>
    </w:p>
    <w:p w:rsidR="00726D0F" w:rsidRDefault="00726D0F" w:rsidP="00726D0F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Развиваться и совершенствоваться в этой области помогут такие предметы, как история, литература, обществознание и другие, цель которых — изучение общества и людей. </w:t>
      </w:r>
    </w:p>
    <w:p w:rsidR="00726D0F" w:rsidRDefault="00726D0F" w:rsidP="00726D0F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рамках этого типа профессии можно разделить на следующие подтипы видов деятельности: </w:t>
      </w:r>
    </w:p>
    <w:p w:rsidR="00726D0F" w:rsidRDefault="00726D0F" w:rsidP="00726D0F">
      <w:pPr>
        <w:pStyle w:val="a5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связанные с коллективами и людьми, управление производством; связанные с обучением и воспитанием, профподготовкой и организацией детских коллективов; связанные с материально-бытовым и торговым обслуживанием людей; </w:t>
      </w:r>
    </w:p>
    <w:p w:rsidR="00726D0F" w:rsidRDefault="00726D0F" w:rsidP="00726D0F">
      <w:pPr>
        <w:pStyle w:val="a5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связанные с руководством художественных коллективов и их информационным обслуживанием;</w:t>
      </w:r>
    </w:p>
    <w:p w:rsidR="00726D0F" w:rsidRDefault="00726D0F" w:rsidP="00726D0F">
      <w:pPr>
        <w:pStyle w:val="a5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связанные с информационным обслуживанием людей; </w:t>
      </w:r>
    </w:p>
    <w:p w:rsidR="00726D0F" w:rsidRDefault="00726D0F" w:rsidP="00726D0F">
      <w:pPr>
        <w:pStyle w:val="a5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связанные с медицинским и другим типом помощи людям. </w:t>
      </w:r>
    </w:p>
    <w:p w:rsidR="00726D0F" w:rsidRDefault="00726D0F" w:rsidP="00726D0F">
      <w:pPr>
        <w:pStyle w:val="a5"/>
        <w:spacing w:after="0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726D0F" w:rsidRDefault="00726D0F" w:rsidP="00726D0F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Профессиональные и личностные качества профессий категории </w:t>
      </w:r>
    </w:p>
    <w:p w:rsidR="00726D0F" w:rsidRDefault="00726D0F" w:rsidP="00726D0F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«человек-человек»</w:t>
      </w:r>
    </w:p>
    <w:p w:rsidR="00726D0F" w:rsidRDefault="00726D0F" w:rsidP="00726D0F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полноценного и продуктивного общения с разными людьми необходимо огромное количество энергии — порой, намного больше, чем при работе с техникой. Представителям профессий, связанных с общением с людьми, крайне важно обладать следующими качествами:</w:t>
      </w:r>
    </w:p>
    <w:p w:rsidR="00726D0F" w:rsidRDefault="00726D0F" w:rsidP="00726D0F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крепкая эмоциональная устойчивость; </w:t>
      </w:r>
    </w:p>
    <w:p w:rsidR="00726D0F" w:rsidRDefault="00726D0F" w:rsidP="00726D0F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потребность в постоянном общении; </w:t>
      </w:r>
    </w:p>
    <w:p w:rsidR="00726D0F" w:rsidRDefault="00726D0F" w:rsidP="00726D0F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способность улавливать настроение и мысли людей; </w:t>
      </w:r>
    </w:p>
    <w:p w:rsidR="00726D0F" w:rsidRDefault="00726D0F" w:rsidP="00726D0F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умение разбираться в человеческих взаимоотношениях и намерениях; </w:t>
      </w:r>
    </w:p>
    <w:p w:rsidR="00726D0F" w:rsidRDefault="00726D0F" w:rsidP="00726D0F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умение быстро находить общий язык с разными людьми; </w:t>
      </w:r>
    </w:p>
    <w:p w:rsidR="00726D0F" w:rsidRDefault="00726D0F" w:rsidP="00726D0F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хорошая выдержка. </w:t>
      </w:r>
    </w:p>
    <w:p w:rsidR="00726D0F" w:rsidRDefault="00726D0F" w:rsidP="00726D0F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Перечень профессий типа «человек-человек»</w:t>
      </w:r>
    </w:p>
    <w:p w:rsidR="00726D0F" w:rsidRDefault="00726D0F" w:rsidP="00726D0F"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000000"/>
          <w:sz w:val="28"/>
          <w:szCs w:val="28"/>
          <w:shd w:val="clear" w:color="auto" w:fill="FFFFFF"/>
        </w:rPr>
        <w:t>организатор праздников, свадеб, конференций, концертов, событий, специалист по связям с общественностью, специалист по рекламе, адвокат, юрист; няня, воспитатель, учитель, психолог, преподаватель, социальный педагог, социальный работник, аниматор, администратор, актёр, артист, теле- и  радио-ведущий,; бармен, официант, врач, дефектолог, логопед, косметолог, медсестра,   экскурсовод, консультант в различных направлениях, менеджер по туризму, представитель гостиничного сервиса, сотрудник государственного управления, инструктор, тренер, мастер производственного обучения, HR</w:t>
      </w:r>
      <w:r w:rsidRPr="00AD20D2">
        <w:rPr>
          <w:i/>
          <w:iCs/>
          <w:color w:val="000000"/>
          <w:sz w:val="28"/>
          <w:szCs w:val="28"/>
          <w:shd w:val="clear" w:color="auto" w:fill="FFFFFF"/>
        </w:rPr>
        <w:t>-</w:t>
      </w:r>
      <w:r>
        <w:rPr>
          <w:i/>
          <w:iCs/>
          <w:color w:val="000000"/>
          <w:sz w:val="28"/>
          <w:szCs w:val="28"/>
          <w:shd w:val="clear" w:color="auto" w:fill="FFFFFF"/>
        </w:rPr>
        <w:t>менеджер, менеджер (по персоналу, по продажам, по туризму и так далее); продавец, стюардесса.</w:t>
      </w:r>
    </w:p>
    <w:p w:rsidR="00726D0F" w:rsidRDefault="00726D0F"/>
    <w:p w:rsidR="00726D0F" w:rsidRDefault="00726D0F"/>
    <w:p w:rsidR="00726D0F" w:rsidRPr="00BC6416" w:rsidRDefault="00726D0F" w:rsidP="00726D0F">
      <w:pPr>
        <w:spacing w:line="276" w:lineRule="auto"/>
        <w:ind w:firstLine="709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BC6416">
        <w:rPr>
          <w:b/>
          <w:bCs/>
          <w:color w:val="000000"/>
          <w:sz w:val="28"/>
          <w:szCs w:val="28"/>
          <w:shd w:val="clear" w:color="auto" w:fill="FFFFFF"/>
        </w:rPr>
        <w:t>ПРОФЕССИИ СИСТЕМЫ «ЧЕЛОВЕК-ТЕХНИКА»:</w:t>
      </w:r>
    </w:p>
    <w:p w:rsidR="00726D0F" w:rsidRDefault="00726D0F" w:rsidP="00726D0F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726D0F" w:rsidRDefault="00726D0F" w:rsidP="00726D0F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 профессиям типа «</w:t>
      </w:r>
      <w:r>
        <w:rPr>
          <w:b/>
          <w:bCs/>
          <w:color w:val="000000"/>
          <w:sz w:val="28"/>
          <w:szCs w:val="28"/>
          <w:shd w:val="clear" w:color="auto" w:fill="FFFFFF"/>
        </w:rPr>
        <w:t>человек-техника»</w:t>
      </w:r>
      <w:r>
        <w:rPr>
          <w:color w:val="000000"/>
          <w:sz w:val="28"/>
          <w:szCs w:val="28"/>
          <w:shd w:val="clear" w:color="auto" w:fill="FFFFFF"/>
        </w:rPr>
        <w:t xml:space="preserve"> относятся специальности, в которых работники имеют дело с неживыми, техническими объектами труда. Речь идет </w:t>
      </w:r>
      <w:r w:rsidRPr="009C72BF">
        <w:rPr>
          <w:color w:val="000000"/>
          <w:sz w:val="28"/>
          <w:szCs w:val="28"/>
          <w:shd w:val="clear" w:color="auto" w:fill="FFFFFF"/>
        </w:rPr>
        <w:t xml:space="preserve">о работе, ориентированной на создание, использование и обслуживание технических механизмов и конструкций разного типа.  </w:t>
      </w:r>
      <w:r>
        <w:rPr>
          <w:color w:val="000000"/>
          <w:sz w:val="28"/>
          <w:szCs w:val="28"/>
          <w:shd w:val="clear" w:color="auto" w:fill="FFFFFF"/>
        </w:rPr>
        <w:t xml:space="preserve">В этот тип относятся все профессии, в которых работник использует разного рода технику, чтобы ускорить или облегчить собственную трудовую деятельность. </w:t>
      </w:r>
    </w:p>
    <w:p w:rsidR="00726D0F" w:rsidRDefault="00726D0F" w:rsidP="00726D0F">
      <w:pPr>
        <w:spacing w:line="276" w:lineRule="auto"/>
        <w:ind w:firstLine="709"/>
        <w:jc w:val="both"/>
        <w:rPr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Особенность профессий «человек-техника»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726D0F" w:rsidRDefault="00726D0F" w:rsidP="00726D0F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Профессии этого типа отличаются тем, что они направлены на работу с техническими (неживыми) объектами.  </w:t>
      </w:r>
    </w:p>
    <w:p w:rsidR="00726D0F" w:rsidRDefault="00726D0F" w:rsidP="00726D0F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работы с техникой нужно обладать </w:t>
      </w:r>
      <w:r w:rsidRPr="00BC6416">
        <w:rPr>
          <w:color w:val="000000"/>
          <w:sz w:val="28"/>
          <w:szCs w:val="28"/>
          <w:shd w:val="clear" w:color="auto" w:fill="FFFFFF"/>
        </w:rPr>
        <w:t>определенными навыками. Для максимально качественной обработки, преобразования, перемещения или оценки человеку требуется определенность действий и высокая точность</w:t>
      </w:r>
      <w:r>
        <w:rPr>
          <w:color w:val="000000"/>
          <w:sz w:val="28"/>
          <w:szCs w:val="28"/>
          <w:shd w:val="clear" w:color="auto" w:fill="FFFFFF"/>
        </w:rPr>
        <w:t>. Только так получится создать удобную, безопасную и комфортную технику, которая будет помогать человеку.</w:t>
      </w:r>
    </w:p>
    <w:p w:rsidR="00726D0F" w:rsidRDefault="00726D0F" w:rsidP="00726D0F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Профессиональные качества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726D0F" w:rsidRDefault="00726D0F" w:rsidP="00726D0F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Специалист, должен обладать определенными качествами: </w:t>
      </w:r>
    </w:p>
    <w:p w:rsidR="00726D0F" w:rsidRDefault="00726D0F" w:rsidP="00726D0F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конструкторское мышление (умение мысленно соединять и разъединять технические объекты и части объектов); </w:t>
      </w:r>
    </w:p>
    <w:p w:rsidR="00726D0F" w:rsidRDefault="00726D0F" w:rsidP="00726D0F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изобретательность (придумывать как сами продукты, так и способы работы, типы инструментов, приспособлений, технологии обработки изделий и т.д.); </w:t>
      </w:r>
    </w:p>
    <w:p w:rsidR="00726D0F" w:rsidRDefault="00726D0F" w:rsidP="00726D0F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высокая исполнительность и дисциплинированность; </w:t>
      </w:r>
    </w:p>
    <w:p w:rsidR="00726D0F" w:rsidRDefault="00726D0F" w:rsidP="00726D0F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и определенность действий.</w:t>
      </w:r>
    </w:p>
    <w:p w:rsidR="00726D0F" w:rsidRDefault="00726D0F" w:rsidP="00726D0F">
      <w:pPr>
        <w:pStyle w:val="a5"/>
        <w:spacing w:after="0" w:line="276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6D0F" w:rsidRDefault="00726D0F" w:rsidP="00726D0F">
      <w:pPr>
        <w:pStyle w:val="a5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Список профессий типа «человек-техника»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26D0F" w:rsidRDefault="00726D0F" w:rsidP="00726D0F">
      <w:pPr>
        <w:pStyle w:val="a5"/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самая большая группа профессий и специальностей. Сюда относятся:</w:t>
      </w:r>
    </w:p>
    <w:p w:rsidR="00726D0F" w:rsidRPr="00220C7C" w:rsidRDefault="00726D0F" w:rsidP="00726D0F">
      <w:pPr>
        <w:pStyle w:val="a5"/>
        <w:numPr>
          <w:ilvl w:val="0"/>
          <w:numId w:val="4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trike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профессии, связанные с перевозкой грузов и людей, военной техникой и т.д. </w:t>
      </w:r>
    </w:p>
    <w:p w:rsidR="00726D0F" w:rsidRPr="00220C7C" w:rsidRDefault="00726D0F" w:rsidP="00726D0F">
      <w:pPr>
        <w:pStyle w:val="a5"/>
        <w:numPr>
          <w:ilvl w:val="0"/>
          <w:numId w:val="4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профессии, связанные с производством продуктов питания, пошивом одежды и обуви, изготовлением видео- и аудиоматериалов, бытовой техники, компьютеров и всего, что нужно современному человеку </w:t>
      </w:r>
    </w:p>
    <w:p w:rsidR="00726D0F" w:rsidRPr="007118E0" w:rsidRDefault="00726D0F" w:rsidP="00726D0F">
      <w:pPr>
        <w:pStyle w:val="a5"/>
        <w:numPr>
          <w:ilvl w:val="0"/>
          <w:numId w:val="5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профессии, связанные с 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добычей грунтов, горных пород;</w:t>
      </w:r>
    </w:p>
    <w:p w:rsidR="00726D0F" w:rsidRPr="007118E0" w:rsidRDefault="00726D0F" w:rsidP="00726D0F">
      <w:pPr>
        <w:pStyle w:val="a5"/>
        <w:numPr>
          <w:ilvl w:val="0"/>
          <w:numId w:val="5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обработкой и использованием неметаллических промышленных материалов и изделий: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26D0F" w:rsidRPr="007118E0" w:rsidRDefault="00726D0F" w:rsidP="00726D0F">
      <w:pPr>
        <w:pStyle w:val="a5"/>
        <w:numPr>
          <w:ilvl w:val="0"/>
          <w:numId w:val="5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производством и обработкой металла, механической сборкой, монтажом машин/приборов/оборудования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726D0F" w:rsidRPr="007118E0" w:rsidRDefault="00726D0F" w:rsidP="00726D0F">
      <w:pPr>
        <w:pStyle w:val="a5"/>
        <w:numPr>
          <w:ilvl w:val="0"/>
          <w:numId w:val="5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ремонтом, наладкой, обслуживанием механического оборудования, машин, установок, транспортных средств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726D0F" w:rsidRPr="007118E0" w:rsidRDefault="00726D0F" w:rsidP="00726D0F">
      <w:pPr>
        <w:pStyle w:val="a5"/>
        <w:numPr>
          <w:ilvl w:val="0"/>
          <w:numId w:val="5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монтажом, ремонтом зданий/сооружений/конструкций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сборке электрооборудования аппаратов и приборов;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26D0F" w:rsidRPr="007118E0" w:rsidRDefault="00726D0F" w:rsidP="00726D0F">
      <w:pPr>
        <w:pStyle w:val="a5"/>
        <w:numPr>
          <w:ilvl w:val="0"/>
          <w:numId w:val="6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ремонтом, наладкой, обслуживанием электрооборудования, приборов, аппаратов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726D0F" w:rsidRPr="007118E0" w:rsidRDefault="00726D0F" w:rsidP="00726D0F">
      <w:pPr>
        <w:pStyle w:val="a5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работой подъемных и транспортных средств, управлением ими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726D0F" w:rsidRPr="00383788" w:rsidRDefault="00726D0F" w:rsidP="00726D0F">
      <w:pPr>
        <w:pStyle w:val="a5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trike/>
          <w:color w:val="000000"/>
          <w:sz w:val="28"/>
          <w:szCs w:val="28"/>
          <w:shd w:val="clear" w:color="auto" w:fill="FFFFFF"/>
        </w:rPr>
      </w:pPr>
      <w:r w:rsidRPr="00383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38378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переработкой продуктов сельского хозяйства</w:t>
      </w:r>
      <w:r w:rsidRPr="00383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726D0F" w:rsidRDefault="00726D0F" w:rsidP="00726D0F">
      <w:pPr>
        <w:pStyle w:val="a5"/>
        <w:numPr>
          <w:ilvl w:val="0"/>
          <w:numId w:val="6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ремонтом, управлением, заменой, диагностикой, сервисным обслуживанием, настройкой, регулировкой технических средств.</w:t>
      </w:r>
    </w:p>
    <w:p w:rsidR="00726D0F" w:rsidRDefault="00726D0F" w:rsidP="00726D0F">
      <w:pPr>
        <w:pStyle w:val="a5"/>
        <w:spacing w:after="0"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Список профессий:</w:t>
      </w:r>
    </w:p>
    <w:p w:rsidR="00726D0F" w:rsidRDefault="00726D0F" w:rsidP="00726D0F">
      <w:r w:rsidRPr="00FE6CAB">
        <w:rPr>
          <w:i/>
          <w:iCs/>
          <w:sz w:val="28"/>
          <w:szCs w:val="28"/>
        </w:rPr>
        <w:t xml:space="preserve">инженер-конструктор, инженер-строитель, инженер-энергетик, инженер- электромеханик, инженер-инспектор, горный инженер, инженер по интеллектуальным системам, агроном, </w:t>
      </w:r>
      <w:r w:rsidRPr="00383788">
        <w:rPr>
          <w:i/>
          <w:iCs/>
          <w:sz w:val="28"/>
          <w:szCs w:val="28"/>
        </w:rPr>
        <w:t xml:space="preserve">водитель, машинист, летчик, техник водолазного дела, </w:t>
      </w:r>
      <w:r w:rsidRPr="00FE6CAB">
        <w:rPr>
          <w:i/>
          <w:iCs/>
          <w:sz w:val="28"/>
          <w:szCs w:val="28"/>
        </w:rPr>
        <w:t xml:space="preserve">автомеханик, автослесарь, автоэксперт, </w:t>
      </w:r>
      <w:r w:rsidRPr="00383788">
        <w:rPr>
          <w:i/>
          <w:iCs/>
          <w:sz w:val="28"/>
          <w:szCs w:val="28"/>
        </w:rPr>
        <w:t xml:space="preserve">сборщик компьютерной техники, сборщик микросхем, инженер радиосвязи, радиомеханик, </w:t>
      </w:r>
      <w:r w:rsidRPr="00014076">
        <w:rPr>
          <w:i/>
          <w:iCs/>
          <w:sz w:val="28"/>
          <w:szCs w:val="28"/>
        </w:rPr>
        <w:t>строитель</w:t>
      </w:r>
      <w:r w:rsidRPr="00FE6CAB">
        <w:rPr>
          <w:i/>
          <w:iCs/>
          <w:sz w:val="28"/>
          <w:szCs w:val="28"/>
        </w:rPr>
        <w:t xml:space="preserve">, </w:t>
      </w:r>
      <w:r w:rsidRPr="00383788">
        <w:rPr>
          <w:i/>
          <w:iCs/>
          <w:sz w:val="28"/>
          <w:szCs w:val="28"/>
        </w:rPr>
        <w:t xml:space="preserve">архитектор, </w:t>
      </w:r>
      <w:r w:rsidRPr="00FE6CAB">
        <w:rPr>
          <w:i/>
          <w:iCs/>
          <w:sz w:val="28"/>
          <w:szCs w:val="28"/>
        </w:rPr>
        <w:t>ландшафтный дизайнер, эколог, озеленитель,</w:t>
      </w:r>
      <w:r>
        <w:rPr>
          <w:i/>
          <w:iCs/>
          <w:sz w:val="28"/>
          <w:szCs w:val="28"/>
        </w:rPr>
        <w:t xml:space="preserve"> </w:t>
      </w:r>
      <w:r w:rsidRPr="00FE6CAB">
        <w:rPr>
          <w:i/>
          <w:iCs/>
          <w:sz w:val="28"/>
          <w:szCs w:val="28"/>
        </w:rPr>
        <w:t>электромонтер, фермер, егерь</w:t>
      </w:r>
      <w:r>
        <w:rPr>
          <w:i/>
          <w:iCs/>
          <w:sz w:val="28"/>
          <w:szCs w:val="28"/>
        </w:rPr>
        <w:t>,</w:t>
      </w:r>
      <w:r w:rsidRPr="00FE6CAB">
        <w:rPr>
          <w:i/>
          <w:iCs/>
          <w:sz w:val="28"/>
          <w:szCs w:val="28"/>
        </w:rPr>
        <w:t xml:space="preserve"> фрезеровщик, гравер, штукатур, швея, техник-технолог пищевой промышленности</w:t>
      </w:r>
      <w:r>
        <w:rPr>
          <w:i/>
          <w:iCs/>
          <w:sz w:val="28"/>
          <w:szCs w:val="28"/>
        </w:rPr>
        <w:t>,</w:t>
      </w:r>
      <w:r w:rsidRPr="00FE6CAB">
        <w:rPr>
          <w:i/>
          <w:iCs/>
          <w:sz w:val="28"/>
          <w:szCs w:val="28"/>
        </w:rPr>
        <w:t xml:space="preserve"> </w:t>
      </w:r>
      <w:r w:rsidRPr="00383788">
        <w:rPr>
          <w:i/>
          <w:iCs/>
          <w:sz w:val="28"/>
          <w:szCs w:val="28"/>
        </w:rPr>
        <w:t xml:space="preserve">повар, </w:t>
      </w:r>
      <w:r w:rsidRPr="00014076">
        <w:rPr>
          <w:i/>
          <w:iCs/>
          <w:sz w:val="28"/>
          <w:szCs w:val="28"/>
        </w:rPr>
        <w:t>токарь, фрезеровщик, оператор станков, слесарь-ремонтник, электросварщик,</w:t>
      </w:r>
      <w:r w:rsidRPr="00383788">
        <w:rPr>
          <w:i/>
          <w:iCs/>
          <w:sz w:val="28"/>
          <w:szCs w:val="28"/>
        </w:rPr>
        <w:t xml:space="preserve"> электромонтажник</w:t>
      </w:r>
      <w:r>
        <w:rPr>
          <w:i/>
          <w:iCs/>
          <w:sz w:val="28"/>
          <w:szCs w:val="28"/>
        </w:rPr>
        <w:t>.</w:t>
      </w:r>
    </w:p>
    <w:p w:rsidR="00726D0F" w:rsidRDefault="00726D0F"/>
    <w:p w:rsidR="00726D0F" w:rsidRDefault="00726D0F"/>
    <w:p w:rsidR="00726D0F" w:rsidRPr="005E153C" w:rsidRDefault="00726D0F" w:rsidP="00726D0F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t xml:space="preserve">Творческий </w:t>
      </w:r>
      <w:r>
        <w:rPr>
          <w:color w:val="333333"/>
          <w:sz w:val="28"/>
          <w:szCs w:val="28"/>
          <w:shd w:val="clear" w:color="auto" w:fill="FFFFFF"/>
        </w:rPr>
        <w:t>характер деятельности профессии связан с анализом, исследова</w:t>
      </w:r>
      <w:r>
        <w:rPr>
          <w:color w:val="333333"/>
          <w:sz w:val="28"/>
          <w:szCs w:val="28"/>
          <w:shd w:val="clear" w:color="auto" w:fill="FFFFFF"/>
        </w:rPr>
        <w:softHyphen/>
        <w:t>нием, испытанием, контролем, планированием, организацией и управлением, конструированием, проектированием, разработкой новых образцов, принятием нестандартных решений; они требу</w:t>
      </w:r>
      <w:r>
        <w:rPr>
          <w:color w:val="333333"/>
          <w:sz w:val="28"/>
          <w:szCs w:val="28"/>
          <w:shd w:val="clear" w:color="auto" w:fill="FFFFFF"/>
        </w:rPr>
        <w:softHyphen/>
        <w:t>ют независимого и оригинального мышления.</w:t>
      </w:r>
    </w:p>
    <w:p w:rsidR="007E0EE2" w:rsidRDefault="007E0EE2">
      <w:bookmarkStart w:id="0" w:name="_GoBack"/>
      <w:bookmarkEnd w:id="0"/>
    </w:p>
    <w:sectPr w:rsidR="007E0EE2" w:rsidSect="00726D0F">
      <w:headerReference w:type="even" r:id="rId8"/>
      <w:headerReference w:type="first" r:id="rId9"/>
      <w:pgSz w:w="11906" w:h="16838"/>
      <w:pgMar w:top="567" w:right="567" w:bottom="567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26D0F">
      <w:r>
        <w:separator/>
      </w:r>
    </w:p>
  </w:endnote>
  <w:endnote w:type="continuationSeparator" w:id="0">
    <w:p w:rsidR="00000000" w:rsidRDefault="0072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26D0F">
      <w:r>
        <w:separator/>
      </w:r>
    </w:p>
  </w:footnote>
  <w:footnote w:type="continuationSeparator" w:id="0">
    <w:p w:rsidR="00000000" w:rsidRDefault="00726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EE2" w:rsidRDefault="00726D0F"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>
                        <a:noFill/>
                      </a:ln>
                    </wps:spPr>
                    <wps:txbx>
                      <w:txbxContent>
                        <w:p w:rsidR="007E0EE2" w:rsidRDefault="00726D0F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Rectangle" o:spid="_x0000_s1026" style="position:absolute;margin-left:0;margin-top:0;width:585.3pt;height:100pt;rotation:-45;z-index:251658240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" stroked="f" strokeweight="1pt">
              <v:textbox style="mso-fit-shape-to-text:t">
                <w:txbxContent>
                  <w:p w:rsidR="007E0EE2" w:rsidRDefault="00726D0F">
                    <w:pPr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>Created with a trial version of Syncfusion Word library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EE2" w:rsidRDefault="00726D0F"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>
                        <a:noFill/>
                      </a:ln>
                    </wps:spPr>
                    <wps:txbx>
                      <w:txbxContent>
                        <w:p w:rsidR="007E0EE2" w:rsidRDefault="00726D0F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0;margin-top:0;width:585.3pt;height:100pt;rotation:-45;z-index:251660288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" stroked="f" strokeweight="1pt">
              <v:textbox style="mso-fit-shape-to-text:t">
                <w:txbxContent>
                  <w:p w:rsidR="007E0EE2" w:rsidRDefault="00726D0F">
                    <w:pPr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>Created with a trial version of Syncfusion Word library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0583"/>
    <w:multiLevelType w:val="hybridMultilevel"/>
    <w:tmpl w:val="1FC07B1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75898"/>
    <w:multiLevelType w:val="hybridMultilevel"/>
    <w:tmpl w:val="1C7AD20A"/>
    <w:lvl w:ilvl="0" w:tplc="4CFCEA3E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  <w:strike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E40F60"/>
    <w:multiLevelType w:val="hybridMultilevel"/>
    <w:tmpl w:val="1E282F0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EB0E42"/>
    <w:multiLevelType w:val="hybridMultilevel"/>
    <w:tmpl w:val="2D9AC79C"/>
    <w:lvl w:ilvl="0" w:tplc="041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20E3AC4"/>
    <w:multiLevelType w:val="hybridMultilevel"/>
    <w:tmpl w:val="68B0A5F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9590C09"/>
    <w:multiLevelType w:val="hybridMultilevel"/>
    <w:tmpl w:val="EAE4BCCA"/>
    <w:lvl w:ilvl="0" w:tplc="2F7857EA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D7424F7"/>
    <w:multiLevelType w:val="hybridMultilevel"/>
    <w:tmpl w:val="F33CE37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E2"/>
    <w:rsid w:val="00726D0F"/>
    <w:rsid w:val="007E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0711D-3C6E-450F-A6D8-8C6E84AF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CustomStyle">
    <w:name w:val="MyCustomStyle"/>
    <w:basedOn w:val="a"/>
    <w:qFormat/>
    <w:rPr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6D0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400"/>
            </a:pPr>
            <a:r>
              <a:rPr lang="ru-RU" sz="1400" b="1" baseline="0"/>
              <a:t>Ориентация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Хочу</c:v>
          </c:tx>
          <c:spPr>
            <a:pattFill prst="pct5">
              <a:fgClr>
                <a:srgbClr val="000000"/>
              </a:fgClr>
              <a:bgClr>
                <a:srgbClr val="FFFFFF"/>
              </a:bgClr>
            </a:pattFill>
            <a:ln w="25400">
              <a:solidFill>
                <a:srgbClr val="000000"/>
              </a:solidFill>
              <a:round/>
            </a:ln>
          </c:spPr>
          <c:invertIfNegative val="0"/>
          <c:dLbls>
            <c:spPr>
              <a:noFill/>
              <a:ln>
                <a:noFill/>
                <a:round/>
              </a:ln>
            </c:spPr>
            <c:txPr>
              <a:bodyPr/>
              <a:lstStyle/>
              <a:p>
                <a:pPr>
                  <a:defRPr sz="900" baseline="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'Sheet1'!$A$2:$A$8</c:f>
              <c:strCache>
                <c:ptCount val="7"/>
                <c:pt idx="0">
                  <c:v>Человек-
человек</c:v>
                </c:pt>
                <c:pt idx="1">
                  <c:v>Человек-
техника</c:v>
                </c:pt>
                <c:pt idx="2">
                  <c:v>Человек-
информация </c:v>
                </c:pt>
                <c:pt idx="3">
                  <c:v>Человек-
искусство</c:v>
                </c:pt>
                <c:pt idx="4">
                  <c:v>Человек-
природа</c:v>
                </c:pt>
                <c:pt idx="5">
                  <c:v>Исполнительский
характер труда</c:v>
                </c:pt>
                <c:pt idx="6">
                  <c:v>Творческий
характер
труда</c:v>
                </c:pt>
              </c:strCache>
            </c:strRef>
          </c:cat>
          <c:val>
            <c:numRef>
              <c:f>'Sheet1'!$B$2:$B$8</c:f>
              <c:numCache>
                <c:formatCode>General</c:formatCode>
                <c:ptCount val="7"/>
                <c:pt idx="0">
                  <c:v>13</c:v>
                </c:pt>
                <c:pt idx="1">
                  <c:v>8</c:v>
                </c:pt>
                <c:pt idx="2">
                  <c:v>11</c:v>
                </c:pt>
                <c:pt idx="3">
                  <c:v>3</c:v>
                </c:pt>
                <c:pt idx="4">
                  <c:v>9</c:v>
                </c:pt>
                <c:pt idx="5">
                  <c:v>7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71-475B-8E4C-66CAC8C1D4C9}"/>
            </c:ext>
          </c:extLst>
        </c:ser>
        <c:ser>
          <c:idx val="1"/>
          <c:order val="1"/>
          <c:tx>
            <c:v>Могу</c:v>
          </c:tx>
          <c:spPr>
            <a:pattFill prst="wdUpDiag">
              <a:fgClr>
                <a:srgbClr val="000000"/>
              </a:fgClr>
              <a:bgClr>
                <a:srgbClr val="FFFFFF"/>
              </a:bgClr>
            </a:pattFill>
            <a:ln w="25400">
              <a:solidFill>
                <a:srgbClr val="000000"/>
              </a:solidFill>
              <a:round/>
            </a:ln>
          </c:spPr>
          <c:invertIfNegative val="0"/>
          <c:dLbls>
            <c:spPr>
              <a:noFill/>
              <a:ln>
                <a:noFill/>
                <a:round/>
              </a:ln>
            </c:spPr>
            <c:txPr>
              <a:bodyPr/>
              <a:lstStyle/>
              <a:p>
                <a:pPr>
                  <a:defRPr sz="900" baseline="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'Sheet1'!$A$2:$A$8</c:f>
              <c:strCache>
                <c:ptCount val="7"/>
                <c:pt idx="0">
                  <c:v>Человек-
человек</c:v>
                </c:pt>
                <c:pt idx="1">
                  <c:v>Человек-
техника</c:v>
                </c:pt>
                <c:pt idx="2">
                  <c:v>Человек-
информация </c:v>
                </c:pt>
                <c:pt idx="3">
                  <c:v>Человек-
искусство</c:v>
                </c:pt>
                <c:pt idx="4">
                  <c:v>Человек-
природа</c:v>
                </c:pt>
                <c:pt idx="5">
                  <c:v>Исполнительский
характер труда</c:v>
                </c:pt>
                <c:pt idx="6">
                  <c:v>Творческий
характер
труда</c:v>
                </c:pt>
              </c:strCache>
            </c:strRef>
          </c:cat>
          <c:val>
            <c:numRef>
              <c:f>'Sheet1'!$C$2:$C$8</c:f>
              <c:numCache>
                <c:formatCode>General</c:formatCode>
                <c:ptCount val="7"/>
                <c:pt idx="0">
                  <c:v>9</c:v>
                </c:pt>
                <c:pt idx="1">
                  <c:v>11</c:v>
                </c:pt>
                <c:pt idx="2">
                  <c:v>5</c:v>
                </c:pt>
                <c:pt idx="3">
                  <c:v>13</c:v>
                </c:pt>
                <c:pt idx="4">
                  <c:v>2</c:v>
                </c:pt>
                <c:pt idx="5">
                  <c:v>13</c:v>
                </c:pt>
                <c:pt idx="6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71-475B-8E4C-66CAC8C1D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983360"/>
        <c:axId val="57253888"/>
      </c:bar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 algn="ctr">
              <a:defRPr sz="800" baseline="0"/>
            </a:pPr>
            <a:endParaRPr lang="en-US"/>
          </a:p>
        </c:txPr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legend>
      <c:legendPos val="b"/>
      <c:layout/>
      <c:overlay val="0"/>
    </c:legend>
    <c:plotVisOnly val="1"/>
    <c:dispBlanksAs val="gap"/>
    <c:showDLblsOverMax val="0"/>
  </c:chart>
  <c:spPr>
    <a:solidFill>
      <a:srgbClr val="FFFFFF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angelxhranitel _</cp:lastModifiedBy>
  <cp:revision>2</cp:revision>
  <dcterms:created xsi:type="dcterms:W3CDTF">2024-02-29T16:35:00Z</dcterms:created>
  <dcterms:modified xsi:type="dcterms:W3CDTF">2024-02-29T13:35:00Z</dcterms:modified>
</cp:coreProperties>
</file>