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745" w:type="dxa"/>
        <w:jc w:val="left"/>
        <w:tblInd w:w="27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72"/>
        <w:gridCol w:w="7072"/>
      </w:tblGrid>
      <w:tr>
        <w:trPr/>
        <w:tc>
          <w:tcPr>
            <w:tcW w:w="1672" w:type="dxa"/>
            <w:tcBorders>
              <w:top w:val="single" w:sz="18" w:space="0" w:color="233D81"/>
              <w:left w:val="single" w:sz="18" w:space="0" w:color="233D81"/>
              <w:bottom w:val="single" w:sz="18" w:space="0" w:color="233D81"/>
            </w:tcBorders>
          </w:tcPr>
          <w:p>
            <w:pPr>
              <w:pStyle w:val="Normal"/>
              <w:spacing w:before="0" w:after="120"/>
              <w:rPr>
                <w:color w:val="233D81"/>
              </w:rPr>
            </w:pPr>
            <w:r>
              <w:rPr>
                <w:color w:val="233D81"/>
              </w:rPr>
              <w:t>Imię i nazwisko:</w:t>
            </w:r>
          </w:p>
        </w:tc>
        <w:tc>
          <w:tcPr>
            <w:tcW w:w="7072" w:type="dxa"/>
            <w:tcBorders>
              <w:top w:val="single" w:sz="18" w:space="0" w:color="233D81"/>
              <w:bottom w:val="single" w:sz="18" w:space="0" w:color="233D81"/>
              <w:right w:val="single" w:sz="18" w:space="0" w:color="233D81"/>
            </w:tcBorders>
          </w:tcPr>
          <w:p>
            <w:pPr>
              <w:pStyle w:val="Normal"/>
              <w:spacing w:before="0" w:after="120"/>
              <w:rPr>
                <w:color w:val="000000"/>
              </w:rPr>
            </w:pPr>
            <w:r>
              <w:rPr>
                <w:color w:val="000000"/>
              </w:rPr>
              <w:t>Andrzej Nowik</w:t>
            </w:r>
          </w:p>
        </w:tc>
      </w:tr>
      <w:tr>
        <w:trPr/>
        <w:tc>
          <w:tcPr>
            <w:tcW w:w="8744" w:type="dxa"/>
            <w:gridSpan w:val="2"/>
            <w:tcBorders>
              <w:top w:val="single" w:sz="18" w:space="0" w:color="233D81"/>
              <w:left w:val="single" w:sz="18" w:space="0" w:color="233D81"/>
              <w:bottom w:val="single" w:sz="18" w:space="0" w:color="233D81"/>
              <w:right w:val="single" w:sz="18" w:space="0" w:color="233D81"/>
            </w:tcBorders>
          </w:tcPr>
          <w:p>
            <w:pPr>
              <w:pStyle w:val="Normal"/>
              <w:spacing w:before="0" w:after="120"/>
              <w:rPr>
                <w:color w:val="233D81"/>
              </w:rPr>
            </w:pPr>
            <w:r>
              <w:rPr>
                <w:color w:val="233D81"/>
              </w:rPr>
              <w:t>Tytuł naukowy/dziedzina, stopień naukowy/dziedzina oraz dyscyplina, tytuł zawodowy (w przypadku tytułu zawodowego lekarza – specjalizacja), rok uzyskania tytułu/stopnia naukowego/tytułu zawodowego:</w:t>
            </w:r>
          </w:p>
        </w:tc>
      </w:tr>
      <w:tr>
        <w:trPr>
          <w:trHeight w:val="563" w:hRule="atLeast"/>
        </w:trPr>
        <w:tc>
          <w:tcPr>
            <w:tcW w:w="8744" w:type="dxa"/>
            <w:gridSpan w:val="2"/>
            <w:tcBorders>
              <w:top w:val="single" w:sz="18" w:space="0" w:color="233D81"/>
              <w:left w:val="single" w:sz="18" w:space="0" w:color="233D81"/>
              <w:bottom w:val="single" w:sz="18" w:space="0" w:color="233D81"/>
              <w:right w:val="single" w:sz="18" w:space="0" w:color="233D81"/>
            </w:tcBorders>
          </w:tcPr>
          <w:p>
            <w:pPr>
              <w:pStyle w:val="Normal"/>
              <w:jc w:val="left"/>
              <w:rPr>
                <w:rFonts w:ascii="Roboto" w:hAnsi="Roboto"/>
                <w:color w:val="121212"/>
                <w:sz w:val="21"/>
                <w:szCs w:val="21"/>
              </w:rPr>
            </w:pPr>
            <w:r>
              <w:rPr/>
              <w:t>Dr hab./</w:t>
            </w:r>
            <w:r>
              <w:rPr>
                <w:rFonts w:ascii="Roboto" w:hAnsi="Roboto"/>
                <w:color w:val="121212"/>
                <w:sz w:val="21"/>
                <w:szCs w:val="21"/>
                <w:shd w:fill="F4F5FD" w:val="clear"/>
              </w:rPr>
              <w:t xml:space="preserve"> </w:t>
            </w:r>
            <w:r>
              <w:rPr>
                <w:rFonts w:ascii="Roboto" w:hAnsi="Roboto"/>
                <w:color w:val="121212"/>
                <w:sz w:val="21"/>
                <w:szCs w:val="21"/>
              </w:rPr>
              <w:t>dziedzina nauk matematycznych / matematyka, 2007</w:t>
            </w:r>
          </w:p>
          <w:p>
            <w:pPr>
              <w:pStyle w:val="Normal"/>
              <w:spacing w:before="0" w:after="120"/>
              <w:jc w:val="left"/>
              <w:rPr>
                <w:rFonts w:ascii="Roboto" w:hAnsi="Roboto"/>
                <w:color w:val="121212"/>
                <w:sz w:val="21"/>
                <w:szCs w:val="21"/>
              </w:rPr>
            </w:pPr>
            <w:r>
              <w:rPr>
                <w:rFonts w:ascii="Roboto" w:hAnsi="Roboto"/>
                <w:color w:val="121212"/>
                <w:sz w:val="21"/>
                <w:szCs w:val="21"/>
              </w:rPr>
            </w:r>
          </w:p>
        </w:tc>
      </w:tr>
      <w:tr>
        <w:trPr>
          <w:trHeight w:val="435" w:hRule="atLeast"/>
        </w:trPr>
        <w:tc>
          <w:tcPr>
            <w:tcW w:w="8744" w:type="dxa"/>
            <w:gridSpan w:val="2"/>
            <w:tcBorders>
              <w:top w:val="single" w:sz="18" w:space="0" w:color="233D81"/>
              <w:left w:val="single" w:sz="18" w:space="0" w:color="233D81"/>
              <w:bottom w:val="single" w:sz="18" w:space="0" w:color="233D81"/>
              <w:right w:val="single" w:sz="18" w:space="0" w:color="233D81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120"/>
              <w:jc w:val="both"/>
              <w:rPr/>
            </w:pPr>
            <w:r>
              <w:rPr>
                <w:color w:val="233D81"/>
              </w:rPr>
              <w:t>Wykaz zajęć/grup zajęć i godzin zajęć prowadzonych na ocenianym kierunku przez nauczyciela akademickiego lub inną osobę w roku akademickim, w którym przeprowadzana jest ocena.</w:t>
            </w:r>
          </w:p>
        </w:tc>
      </w:tr>
      <w:tr>
        <w:trPr>
          <w:trHeight w:val="563" w:hRule="atLeast"/>
        </w:trPr>
        <w:tc>
          <w:tcPr>
            <w:tcW w:w="8744" w:type="dxa"/>
            <w:gridSpan w:val="2"/>
            <w:tcBorders>
              <w:top w:val="single" w:sz="18" w:space="0" w:color="233D81"/>
              <w:left w:val="single" w:sz="18" w:space="0" w:color="233D81"/>
              <w:bottom w:val="single" w:sz="18" w:space="0" w:color="233D81"/>
              <w:right w:val="single" w:sz="18" w:space="0" w:color="233D81"/>
            </w:tcBorders>
          </w:tcPr>
          <w:tbl>
            <w:tblPr>
              <w:tblW w:w="7920" w:type="dxa"/>
              <w:jc w:val="left"/>
              <w:tblInd w:w="0" w:type="dxa"/>
              <w:tblLayout w:type="fixed"/>
              <w:tblCellMar>
                <w:top w:w="0" w:type="dxa"/>
                <w:left w:w="70" w:type="dxa"/>
                <w:bottom w:w="0" w:type="dxa"/>
                <w:right w:w="70" w:type="dxa"/>
              </w:tblCellMar>
              <w:tblLook w:val="04a0" w:noHBand="0" w:noVBand="1" w:firstColumn="1" w:lastRow="0" w:lastColumn="0" w:firstRow="1"/>
            </w:tblPr>
            <w:tblGrid>
              <w:gridCol w:w="3720"/>
              <w:gridCol w:w="1420"/>
              <w:gridCol w:w="1379"/>
              <w:gridCol w:w="1400"/>
            </w:tblGrid>
            <w:tr>
              <w:trPr>
                <w:trHeight w:val="300" w:hRule="atLeast"/>
              </w:trPr>
              <w:tc>
                <w:tcPr>
                  <w:tcW w:w="3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000000" w:fill="FFFF00" w:val="clear"/>
                  <w:vAlign w:val="bottom"/>
                </w:tcPr>
                <w:p>
                  <w:pPr>
                    <w:pStyle w:val="Normal"/>
                    <w:spacing w:before="0" w:after="0"/>
                    <w:jc w:val="center"/>
                    <w:rPr>
                      <w:rFonts w:cs="Calibri"/>
                      <w:szCs w:val="22"/>
                    </w:rPr>
                  </w:pPr>
                  <w:r>
                    <w:rPr>
                      <w:rFonts w:cs="Calibri"/>
                      <w:szCs w:val="22"/>
                    </w:rPr>
                    <w:t>Przedmiot</w:t>
                  </w:r>
                </w:p>
              </w:tc>
              <w:tc>
                <w:tcPr>
                  <w:tcW w:w="142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000000" w:fill="FFFF00" w:val="clear"/>
                  <w:vAlign w:val="bottom"/>
                </w:tcPr>
                <w:p>
                  <w:pPr>
                    <w:pStyle w:val="Normal"/>
                    <w:spacing w:before="0" w:after="0"/>
                    <w:jc w:val="center"/>
                    <w:rPr>
                      <w:rFonts w:cs="Calibri"/>
                      <w:szCs w:val="22"/>
                    </w:rPr>
                  </w:pPr>
                  <w:r>
                    <w:rPr>
                      <w:rFonts w:cs="Calibri"/>
                      <w:szCs w:val="22"/>
                    </w:rPr>
                    <w:t>Typ zajęć</w:t>
                  </w:r>
                </w:p>
              </w:tc>
              <w:tc>
                <w:tcPr>
                  <w:tcW w:w="1379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000000" w:fill="FFFF00" w:val="clear"/>
                  <w:vAlign w:val="bottom"/>
                </w:tcPr>
                <w:p>
                  <w:pPr>
                    <w:pStyle w:val="Normal"/>
                    <w:spacing w:before="0" w:after="0"/>
                    <w:jc w:val="center"/>
                    <w:rPr>
                      <w:rFonts w:cs="Calibri"/>
                      <w:szCs w:val="22"/>
                    </w:rPr>
                  </w:pPr>
                  <w:r>
                    <w:rPr>
                      <w:rFonts w:cs="Calibri"/>
                      <w:szCs w:val="22"/>
                    </w:rPr>
                    <w:t>Liczba godzin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000000" w:fill="FFFF00" w:val="clear"/>
                  <w:vAlign w:val="bottom"/>
                </w:tcPr>
                <w:p>
                  <w:pPr>
                    <w:pStyle w:val="Normal"/>
                    <w:spacing w:before="0" w:after="0"/>
                    <w:jc w:val="center"/>
                    <w:rPr>
                      <w:rFonts w:cs="Calibri"/>
                      <w:szCs w:val="22"/>
                    </w:rPr>
                  </w:pPr>
                  <w:r>
                    <w:rPr>
                      <w:rFonts w:cs="Calibri"/>
                      <w:szCs w:val="22"/>
                    </w:rPr>
                    <w:t>Semestr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3720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000000" w:fill="FFFFFF" w:val="clear"/>
                  <w:vAlign w:val="bottom"/>
                </w:tcPr>
                <w:p>
                  <w:pPr>
                    <w:pStyle w:val="Normal"/>
                    <w:spacing w:before="0" w:after="0"/>
                    <w:jc w:val="lef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  <w:t>Algorytmy numeryczne</w:t>
                  </w:r>
                </w:p>
              </w:tc>
              <w:tc>
                <w:tcPr>
                  <w:tcW w:w="1420" w:type="dxa"/>
                  <w:tcBorders>
                    <w:bottom w:val="single" w:sz="4" w:space="0" w:color="000000"/>
                    <w:right w:val="single" w:sz="4" w:space="0" w:color="000000"/>
                  </w:tcBorders>
                  <w:shd w:color="000000" w:fill="FFFFFF" w:val="clear"/>
                  <w:vAlign w:val="bottom"/>
                </w:tcPr>
                <w:p>
                  <w:pPr>
                    <w:pStyle w:val="Normal"/>
                    <w:spacing w:before="0" w:after="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  <w:t>w</w:t>
                  </w:r>
                </w:p>
              </w:tc>
              <w:tc>
                <w:tcPr>
                  <w:tcW w:w="1379" w:type="dxa"/>
                  <w:tcBorders>
                    <w:bottom w:val="single" w:sz="4" w:space="0" w:color="000000"/>
                    <w:right w:val="single" w:sz="4" w:space="0" w:color="000000"/>
                  </w:tcBorders>
                  <w:shd w:color="000000" w:fill="FFFFFF" w:val="clear"/>
                  <w:vAlign w:val="bottom"/>
                </w:tcPr>
                <w:p>
                  <w:pPr>
                    <w:pStyle w:val="Normal"/>
                    <w:spacing w:before="0" w:after="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1400" w:type="dxa"/>
                  <w:tcBorders>
                    <w:bottom w:val="single" w:sz="4" w:space="0" w:color="000000"/>
                    <w:right w:val="single" w:sz="4" w:space="0" w:color="000000"/>
                  </w:tcBorders>
                  <w:shd w:color="000000" w:fill="FFFFFF" w:val="clear"/>
                  <w:vAlign w:val="bottom"/>
                </w:tcPr>
                <w:p>
                  <w:pPr>
                    <w:pStyle w:val="Normal"/>
                    <w:spacing w:before="0" w:after="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  <w:t>II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3720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E2EFDA" w:fill="FFFFFF" w:val="clear"/>
                  <w:vAlign w:val="bottom"/>
                </w:tcPr>
                <w:p>
                  <w:pPr>
                    <w:pStyle w:val="Normal"/>
                    <w:spacing w:before="0" w:after="0"/>
                    <w:jc w:val="lef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  <w:t>Algorytmy numeryczne</w:t>
                  </w:r>
                </w:p>
              </w:tc>
              <w:tc>
                <w:tcPr>
                  <w:tcW w:w="1420" w:type="dxa"/>
                  <w:tcBorders>
                    <w:bottom w:val="single" w:sz="4" w:space="0" w:color="000000"/>
                    <w:right w:val="single" w:sz="4" w:space="0" w:color="000000"/>
                  </w:tcBorders>
                  <w:shd w:color="E2EFDA" w:fill="FFFFFF" w:val="clear"/>
                  <w:vAlign w:val="bottom"/>
                </w:tcPr>
                <w:p>
                  <w:pPr>
                    <w:pStyle w:val="Normal"/>
                    <w:spacing w:before="0" w:after="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  <w:t>lab</w:t>
                  </w:r>
                </w:p>
              </w:tc>
              <w:tc>
                <w:tcPr>
                  <w:tcW w:w="1379" w:type="dxa"/>
                  <w:tcBorders>
                    <w:bottom w:val="single" w:sz="4" w:space="0" w:color="000000"/>
                    <w:right w:val="single" w:sz="4" w:space="0" w:color="000000"/>
                  </w:tcBorders>
                  <w:shd w:color="E2EFDA" w:fill="FFFFFF" w:val="clear"/>
                  <w:vAlign w:val="bottom"/>
                </w:tcPr>
                <w:p>
                  <w:pPr>
                    <w:pStyle w:val="Normal"/>
                    <w:spacing w:before="0" w:after="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1400" w:type="dxa"/>
                  <w:tcBorders>
                    <w:bottom w:val="single" w:sz="4" w:space="0" w:color="000000"/>
                    <w:right w:val="single" w:sz="4" w:space="0" w:color="000000"/>
                  </w:tcBorders>
                  <w:shd w:color="E2EFDA" w:fill="FFFFFF" w:val="clear"/>
                  <w:vAlign w:val="bottom"/>
                </w:tcPr>
                <w:p>
                  <w:pPr>
                    <w:pStyle w:val="Normal"/>
                    <w:spacing w:before="0" w:after="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  <w:t>II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3720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color="000000" w:fill="FFFFFF" w:val="clear"/>
                  <w:vAlign w:val="bottom"/>
                </w:tcPr>
                <w:p>
                  <w:pPr>
                    <w:pStyle w:val="Normal"/>
                    <w:spacing w:before="0" w:after="0"/>
                    <w:jc w:val="left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  <w:t>Matematyka dyskretna</w:t>
                  </w:r>
                </w:p>
              </w:tc>
              <w:tc>
                <w:tcPr>
                  <w:tcW w:w="1420" w:type="dxa"/>
                  <w:tcBorders>
                    <w:bottom w:val="single" w:sz="4" w:space="0" w:color="000000"/>
                    <w:right w:val="single" w:sz="4" w:space="0" w:color="000000"/>
                  </w:tcBorders>
                  <w:shd w:color="000000" w:fill="FFFFFF" w:val="clear"/>
                  <w:vAlign w:val="bottom"/>
                </w:tcPr>
                <w:p>
                  <w:pPr>
                    <w:pStyle w:val="Normal"/>
                    <w:spacing w:before="0" w:after="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  <w:t>w</w:t>
                  </w:r>
                </w:p>
              </w:tc>
              <w:tc>
                <w:tcPr>
                  <w:tcW w:w="1379" w:type="dxa"/>
                  <w:tcBorders>
                    <w:bottom w:val="single" w:sz="4" w:space="0" w:color="000000"/>
                    <w:right w:val="single" w:sz="4" w:space="0" w:color="000000"/>
                  </w:tcBorders>
                  <w:shd w:color="000000" w:fill="FFFFFF" w:val="clear"/>
                  <w:vAlign w:val="bottom"/>
                </w:tcPr>
                <w:p>
                  <w:pPr>
                    <w:pStyle w:val="Normal"/>
                    <w:spacing w:before="0" w:after="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  <w:t>30</w:t>
                  </w:r>
                </w:p>
              </w:tc>
              <w:tc>
                <w:tcPr>
                  <w:tcW w:w="1400" w:type="dxa"/>
                  <w:tcBorders>
                    <w:bottom w:val="single" w:sz="4" w:space="0" w:color="000000"/>
                    <w:right w:val="single" w:sz="4" w:space="0" w:color="000000"/>
                  </w:tcBorders>
                  <w:shd w:color="000000" w:fill="FFFFFF" w:val="clear"/>
                  <w:vAlign w:val="bottom"/>
                </w:tcPr>
                <w:p>
                  <w:pPr>
                    <w:pStyle w:val="Normal"/>
                    <w:spacing w:before="0" w:after="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cs="Arial" w:ascii="Arial" w:hAnsi="Arial"/>
                      <w:sz w:val="20"/>
                      <w:szCs w:val="20"/>
                    </w:rPr>
                    <w:t>I</w:t>
                  </w:r>
                </w:p>
              </w:tc>
            </w:tr>
          </w:tbl>
          <w:p>
            <w:pPr>
              <w:pStyle w:val="Normal"/>
              <w:widowControl/>
              <w:bidi w:val="0"/>
              <w:spacing w:lineRule="auto" w:line="240" w:before="0" w:after="12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744" w:type="dxa"/>
            <w:gridSpan w:val="2"/>
            <w:tcBorders>
              <w:top w:val="single" w:sz="18" w:space="0" w:color="233D81"/>
              <w:left w:val="single" w:sz="18" w:space="0" w:color="233D81"/>
              <w:bottom w:val="single" w:sz="18" w:space="0" w:color="233D81"/>
              <w:right w:val="single" w:sz="18" w:space="0" w:color="233D81"/>
            </w:tcBorders>
          </w:tcPr>
          <w:p>
            <w:pPr>
              <w:pStyle w:val="Normal"/>
              <w:spacing w:before="0" w:after="120"/>
              <w:rPr>
                <w:color w:val="233D81"/>
              </w:rPr>
            </w:pPr>
            <w:r>
              <w:rPr>
                <w:color w:val="233D81"/>
              </w:rPr>
              <w:t xml:space="preserve">Charakterystyka dorobku naukowego ze wskazaniem dziedzin nauki/sztuki oraz dyscypliny/dyscyplin naukowych/artystycznych, w której/których dorobek się mieści (do 600 znaków) oraz wykaz </w:t>
            </w:r>
            <w:r>
              <w:rPr>
                <w:b/>
                <w:color w:val="233D81"/>
              </w:rPr>
              <w:t>co najwyżej 10</w:t>
            </w:r>
            <w:r>
              <w:rPr>
                <w:color w:val="233D81"/>
              </w:rPr>
              <w:t xml:space="preserve"> najważniejszych osiągnięć naukowych/artystycznych ze szczególnym uwzględnieniem ostatnich 6 lat, wraz ze wskazaniem dat uzyskania (publikacji naukowych/osiągnięć artystycznych, patentów i praw ochronnych, zrealizowanych projektów badawczych, nagród krajowych/międzynarodowych za osiągnięcia naukowe/artystyczne), ze szczególnym uwzględnieniem osiągnięć odnoszących się do ocenianego kierunku i prowadzonych na nim zajęć.</w:t>
            </w:r>
          </w:p>
        </w:tc>
      </w:tr>
      <w:tr>
        <w:trPr>
          <w:trHeight w:val="500" w:hRule="atLeast"/>
        </w:trPr>
        <w:tc>
          <w:tcPr>
            <w:tcW w:w="8744" w:type="dxa"/>
            <w:gridSpan w:val="2"/>
            <w:tcBorders>
              <w:top w:val="single" w:sz="18" w:space="0" w:color="233D81"/>
              <w:left w:val="single" w:sz="18" w:space="0" w:color="233D81"/>
              <w:bottom w:val="single" w:sz="18" w:space="0" w:color="233D81"/>
              <w:right w:val="single" w:sz="18" w:space="0" w:color="233D81"/>
            </w:tcBorders>
          </w:tcPr>
          <w:p>
            <w:pPr>
              <w:pStyle w:val="Domylnie"/>
              <w:jc w:val="both"/>
              <w:rPr/>
            </w:pPr>
            <w:r>
              <w:rPr/>
              <w:t>Deskryptywna teoria mnogości ze szczególnym uwzględnieniem jej zastosowań do: teorii funkcji rzeczywistych, analizy matematycznej (teoria szeregów), topologii prostej rzeczywistej (topologia gęstości). Własności topologiczne i algebraiczne całkowicie niedoskonałych podzbiorów prostej rzeczywistej i innych grup topologicznych (przestrzeń Cantora), własności ideałów podzbiorów zbioru liczb naturalnych.</w:t>
            </w:r>
          </w:p>
          <w:p>
            <w:pPr>
              <w:pStyle w:val="Domylnie"/>
              <w:jc w:val="both"/>
              <w:rPr/>
            </w:pPr>
            <w:r>
              <w:rPr/>
            </w:r>
          </w:p>
          <w:p>
            <w:pPr>
              <w:pStyle w:val="Domylnie"/>
              <w:jc w:val="both"/>
              <w:rPr/>
            </w:pPr>
            <w:r>
              <w:rPr/>
              <w:t xml:space="preserve">* Zbadanie ogólnych własności </w:t>
            </w:r>
            <w:r>
              <w:rPr/>
              <w:t xml:space="preserve">tak zwanego </w:t>
            </w:r>
            <w:r>
              <w:rPr/>
              <w:t>ideału Sidona (</w:t>
            </w:r>
            <w:r>
              <w:rPr/>
              <w:t>2025)</w:t>
            </w:r>
          </w:p>
          <w:p>
            <w:pPr>
              <w:pStyle w:val="Domylnie"/>
              <w:jc w:val="both"/>
              <w:rPr/>
            </w:pPr>
            <w:r>
              <w:rPr/>
              <w:t>* Sformułowanie warunku równoważnego pewnym opublikowanym w literaturze</w:t>
            </w:r>
          </w:p>
          <w:p>
            <w:pPr>
              <w:pStyle w:val="Domylnie"/>
              <w:jc w:val="both"/>
              <w:rPr/>
            </w:pPr>
            <w:r>
              <w:rPr/>
              <w:t>kombinatorycznym własnościom sigma-ideałów w języku porządku Katětova</w:t>
            </w:r>
          </w:p>
          <w:p>
            <w:pPr>
              <w:pStyle w:val="Domylnie"/>
              <w:jc w:val="both"/>
              <w:rPr/>
            </w:pPr>
            <w:r>
              <w:rPr/>
              <w:t>(ale między sigma-ideałami) i z wykorzystaniem sigma ideału zbiorów</w:t>
            </w:r>
          </w:p>
          <w:p>
            <w:pPr>
              <w:pStyle w:val="Domylnie"/>
              <w:jc w:val="both"/>
              <w:rPr/>
            </w:pPr>
            <w:r>
              <w:rPr/>
              <w:t>Całkowicie Ramseya zero (</w:t>
            </w:r>
            <w:r>
              <w:rPr/>
              <w:t>2026</w:t>
            </w:r>
            <w:r>
              <w:rPr/>
              <w:t>).</w:t>
            </w:r>
          </w:p>
          <w:p>
            <w:pPr>
              <w:pStyle w:val="Domylnie"/>
              <w:jc w:val="both"/>
              <w:rPr/>
            </w:pPr>
            <w:r>
              <w:rPr/>
              <w:t>* Abstrakcyjna ogólna definicja zbiorów ``not Piecewise Syndetic'' - zbadanie</w:t>
            </w:r>
          </w:p>
          <w:p>
            <w:pPr>
              <w:pStyle w:val="Domylnie"/>
              <w:jc w:val="both"/>
              <w:rPr/>
            </w:pPr>
            <w:r>
              <w:rPr/>
              <w:t xml:space="preserve">jej własności i zastosowań </w:t>
            </w:r>
            <w:r>
              <w:rPr/>
              <w:t>(praca wspólna 2025</w:t>
            </w:r>
            <w:r>
              <w:rPr/>
              <w:t>).</w:t>
            </w:r>
          </w:p>
          <w:p>
            <w:pPr>
              <w:pStyle w:val="Domylnie"/>
              <w:jc w:val="both"/>
              <w:rPr/>
            </w:pPr>
            <w:r>
              <w:rPr/>
              <w:t>* Ideał generowany przez ideały: nie Piecewise Syndetic, ideał</w:t>
            </w:r>
          </w:p>
          <w:p>
            <w:pPr>
              <w:pStyle w:val="Domylnie"/>
              <w:jc w:val="both"/>
              <w:rPr/>
            </w:pPr>
            <w:r>
              <w:rPr/>
              <w:t>Hindmana oraz ideał zbiorów o asymptotycznej gęstości zero jest</w:t>
            </w:r>
          </w:p>
          <w:p>
            <w:pPr>
              <w:pStyle w:val="Domylnie"/>
              <w:jc w:val="both"/>
              <w:rPr/>
            </w:pPr>
            <w:r>
              <w:rPr/>
              <w:t>ideałem właściwym (</w:t>
            </w:r>
            <w:r>
              <w:rPr/>
              <w:t>praca wspólna, 2025</w:t>
            </w:r>
            <w:r>
              <w:rPr/>
              <w:t>).</w:t>
            </w:r>
          </w:p>
          <w:p>
            <w:pPr>
              <w:pStyle w:val="Domylnie"/>
              <w:jc w:val="both"/>
              <w:rPr/>
            </w:pPr>
            <w:r>
              <w:rPr/>
              <w:t>* Udowodniono że dla rodziny F podzbiorów zbioru liczb naturalnych zamkniętej ,,w górę'' mamy</w:t>
            </w:r>
          </w:p>
          <w:p>
            <w:pPr>
              <w:pStyle w:val="Domylnie"/>
              <w:jc w:val="both"/>
              <w:rPr/>
            </w:pPr>
            <w:r>
              <w:rPr/>
              <w:t xml:space="preserve">  </w:t>
            </w:r>
            <w:r>
              <w:rPr/>
              <w:t>Perm(F^*) = Perm(F^+) = Perm(F^+ \cap F^*) = Perm(F^+ \cup F^*),</w:t>
            </w:r>
          </w:p>
          <w:p>
            <w:pPr>
              <w:pStyle w:val="Domylnie"/>
              <w:jc w:val="both"/>
              <w:rPr/>
            </w:pPr>
            <w:r>
              <w:rPr/>
              <w:t xml:space="preserve">i że mamy też </w:t>
            </w:r>
          </w:p>
          <w:p>
            <w:pPr>
              <w:pStyle w:val="Domylnie"/>
              <w:jc w:val="both"/>
              <w:rPr/>
            </w:pPr>
            <w:r>
              <w:rPr/>
              <w:t>nPS = Perm(Thick^*) = Perm(Thick^+) = Perm(Thick^+ \cap Thick^*) = Perm(Thick^+ \cup Thick^*),</w:t>
            </w:r>
          </w:p>
          <w:p>
            <w:pPr>
              <w:pStyle w:val="Domylnie"/>
              <w:jc w:val="both"/>
              <w:rPr/>
            </w:pPr>
            <w:r>
              <w:rPr/>
              <w:t>(gdzie nPS to ideał zbiorów non piecewise syndetic; Thick to rodzina zbiorów "thick";</w:t>
            </w:r>
          </w:p>
          <w:p>
            <w:pPr>
              <w:pStyle w:val="Domylnie"/>
              <w:jc w:val="both"/>
              <w:rPr/>
            </w:pPr>
            <w:r>
              <w:rPr/>
              <w:t>Perm(F) to rodzina tych A że dla każdego B z F, A \cup B jest też w F).</w:t>
            </w:r>
          </w:p>
          <w:p>
            <w:pPr>
              <w:pStyle w:val="Domylnie"/>
              <w:jc w:val="both"/>
              <w:rPr/>
            </w:pPr>
            <w:r>
              <w:rPr/>
              <w:t>(</w:t>
            </w:r>
            <w:r>
              <w:rPr/>
              <w:t>praca wspólna, 2026</w:t>
            </w:r>
            <w:r>
              <w:rPr/>
              <w:t>);</w:t>
            </w:r>
          </w:p>
        </w:tc>
      </w:tr>
      <w:tr>
        <w:trPr/>
        <w:tc>
          <w:tcPr>
            <w:tcW w:w="8744" w:type="dxa"/>
            <w:gridSpan w:val="2"/>
            <w:tcBorders>
              <w:top w:val="single" w:sz="18" w:space="0" w:color="233D81"/>
              <w:left w:val="single" w:sz="18" w:space="0" w:color="233D81"/>
              <w:bottom w:val="single" w:sz="18" w:space="0" w:color="233D81"/>
              <w:right w:val="single" w:sz="18" w:space="0" w:color="233D81"/>
            </w:tcBorders>
          </w:tcPr>
          <w:p>
            <w:pPr>
              <w:pStyle w:val="Normal"/>
              <w:spacing w:before="0" w:after="120"/>
              <w:rPr>
                <w:color w:val="233D81"/>
              </w:rPr>
            </w:pPr>
            <w:r>
              <w:rPr>
                <w:color w:val="233D81"/>
              </w:rPr>
              <w:t xml:space="preserve">Charakterystyka doświadczenia i dorobku dydaktycznego (do 600 znaków) oraz wykaz </w:t>
            </w:r>
            <w:r>
              <w:rPr>
                <w:b/>
                <w:color w:val="233D81"/>
              </w:rPr>
              <w:t>co najwyżej 10</w:t>
            </w:r>
            <w:r>
              <w:rPr>
                <w:color w:val="233D81"/>
              </w:rPr>
              <w:t xml:space="preserve"> najważniejszych osiągnięć dydaktycznych ze szczególnym uwzględnieniem ostatnich 6 lat, wraz z wskazaniem dat uzyskania (np. autorstwo podręczników/materiałów dydaktycznych, wdrożone innowacje dydaktyczne, nagrody uzyskane przez studentów, nad którymi nauczyciel akademicki sprawował opiekę naukową/artystyczną, opieka nad beneficjentem Diamentowego Grantu, uruchomienie nowego kierunku studiów/specjalności/ zajęć/grupy zajęć, opieka nad kołem naukowym, prowadzenie zajęć w języku obcym, w tym w uczelni zagranicznej, np. w ramach mobilności nauczycieli akademickich).</w:t>
            </w:r>
          </w:p>
        </w:tc>
      </w:tr>
      <w:tr>
        <w:trPr>
          <w:trHeight w:val="509" w:hRule="atLeast"/>
        </w:trPr>
        <w:tc>
          <w:tcPr>
            <w:tcW w:w="8744" w:type="dxa"/>
            <w:gridSpan w:val="2"/>
            <w:tcBorders>
              <w:top w:val="single" w:sz="18" w:space="0" w:color="233D81"/>
              <w:left w:val="single" w:sz="18" w:space="0" w:color="233D81"/>
              <w:bottom w:val="single" w:sz="18" w:space="0" w:color="233D81"/>
              <w:right w:val="single" w:sz="18" w:space="0" w:color="233D81"/>
            </w:tcBorders>
          </w:tcPr>
          <w:p>
            <w:pPr>
              <w:pStyle w:val="Domylnie"/>
              <w:jc w:val="both"/>
              <w:rPr/>
            </w:pPr>
            <w:r>
              <w:rPr/>
              <w:t>Wieloletnie członkostwo w Pomorskim Komitecie Olimpiady Matematycznej (co najmniej 10 lat) – sprawdzanie prac konkursowych. Prowadzenie na Uniwersytecie Gdańskim wielu wykładów w języku angielskim (kombinatoryka, teoria liczb (zastępstwo)).</w:t>
            </w:r>
          </w:p>
        </w:tc>
      </w:tr>
      <w:tr>
        <w:trPr/>
        <w:tc>
          <w:tcPr>
            <w:tcW w:w="8744" w:type="dxa"/>
            <w:gridSpan w:val="2"/>
            <w:tcBorders>
              <w:top w:val="single" w:sz="18" w:space="0" w:color="233D81"/>
              <w:left w:val="single" w:sz="18" w:space="0" w:color="233D81"/>
              <w:bottom w:val="single" w:sz="18" w:space="0" w:color="233D81"/>
              <w:right w:val="single" w:sz="18" w:space="0" w:color="233D81"/>
            </w:tcBorders>
          </w:tcPr>
          <w:p>
            <w:pPr>
              <w:pStyle w:val="Normal"/>
              <w:spacing w:before="0" w:after="120"/>
              <w:rPr>
                <w:color w:val="233D81"/>
              </w:rPr>
            </w:pPr>
            <w:r>
              <w:rPr>
                <w:color w:val="233D81"/>
              </w:rPr>
              <w:t>Opis doświadczenia zawodowego w powiązaniu z celami kształcenia, efektami uczenia się zakładanymi dla ocenianego kierunku oraz treściami programowymi (jeśli dotyczy).</w:t>
            </w:r>
          </w:p>
        </w:tc>
      </w:tr>
      <w:tr>
        <w:trPr>
          <w:trHeight w:val="509" w:hRule="atLeast"/>
        </w:trPr>
        <w:tc>
          <w:tcPr>
            <w:tcW w:w="8744" w:type="dxa"/>
            <w:gridSpan w:val="2"/>
            <w:tcBorders>
              <w:top w:val="single" w:sz="18" w:space="0" w:color="233D81"/>
              <w:left w:val="single" w:sz="18" w:space="0" w:color="233D81"/>
              <w:bottom w:val="single" w:sz="18" w:space="0" w:color="233D81"/>
              <w:right w:val="single" w:sz="18" w:space="0" w:color="233D81"/>
            </w:tcBorders>
          </w:tcPr>
          <w:p>
            <w:pPr>
              <w:pStyle w:val="Normal"/>
              <w:widowControl/>
              <w:bidi w:val="0"/>
              <w:spacing w:lineRule="auto" w:line="240" w:before="0" w:after="120"/>
              <w:jc w:val="both"/>
              <w:rPr/>
            </w:pPr>
            <w:r>
              <w:rPr/>
            </w:r>
          </w:p>
        </w:tc>
      </w:tr>
    </w:tbl>
    <w:p>
      <w:pPr>
        <w:pStyle w:val="Normal"/>
        <w:widowControl/>
        <w:bidi w:val="0"/>
        <w:spacing w:lineRule="auto" w:line="240" w:before="0" w:after="120"/>
        <w:jc w:val="both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Robot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8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DejaVu Sans" w:asciiTheme="minorHAnsi" w:cstheme="minorBidi" w:eastAsiaTheme="minorHAnsi" w:hAnsiTheme="minorHAns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f4e6d"/>
    <w:pPr>
      <w:widowControl/>
      <w:suppressAutoHyphens w:val="true"/>
      <w:bidi w:val="0"/>
      <w:spacing w:lineRule="auto" w:line="240" w:before="0" w:after="120"/>
      <w:jc w:val="both"/>
    </w:pPr>
    <w:rPr>
      <w:rFonts w:ascii="Calibri" w:hAnsi="Calibri" w:eastAsia="Times New Roman" w:cs="Times New Roman"/>
      <w:color w:val="auto"/>
      <w:kern w:val="0"/>
      <w:sz w:val="22"/>
      <w:szCs w:val="24"/>
      <w:lang w:val="pl-PL" w:eastAsia="pl-PL" w:bidi="ar-SA"/>
      <w14:ligatures w14:val="none"/>
    </w:rPr>
  </w:style>
  <w:style w:type="paragraph" w:styleId="Heading1">
    <w:name w:val="Heading 1"/>
    <w:basedOn w:val="Normal"/>
    <w:next w:val="Normal"/>
    <w:link w:val="Nagwek1Znak"/>
    <w:uiPriority w:val="9"/>
    <w:qFormat/>
    <w:rsid w:val="000c1256"/>
    <w:pPr>
      <w:keepNext w:val="true"/>
      <w:keepLines/>
      <w:spacing w:before="360" w:after="80"/>
      <w:outlineLvl w:val="0"/>
    </w:pPr>
    <w:rPr>
      <w:rFonts w:ascii="Arial" w:hAnsi="Arial" w:eastAsia="DejaVu Sans" w:cs="DejaVu Sans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Nagwek2Znak"/>
    <w:uiPriority w:val="9"/>
    <w:semiHidden/>
    <w:unhideWhenUsed/>
    <w:qFormat/>
    <w:rsid w:val="000c1256"/>
    <w:pPr>
      <w:keepNext w:val="true"/>
      <w:keepLines/>
      <w:spacing w:before="160" w:after="80"/>
      <w:outlineLvl w:val="1"/>
    </w:pPr>
    <w:rPr>
      <w:rFonts w:ascii="Arial" w:hAnsi="Arial" w:eastAsia="DejaVu Sans" w:cs="DejaVu Sans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Nagwek3Znak"/>
    <w:uiPriority w:val="9"/>
    <w:semiHidden/>
    <w:unhideWhenUsed/>
    <w:qFormat/>
    <w:rsid w:val="000c1256"/>
    <w:pPr>
      <w:keepNext w:val="true"/>
      <w:keepLines/>
      <w:spacing w:before="160" w:after="80"/>
      <w:outlineLvl w:val="2"/>
    </w:pPr>
    <w:rPr>
      <w:rFonts w:eastAsia="DejaVu Sans" w:cs="DejaVu Sans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Nagwek4Znak"/>
    <w:uiPriority w:val="9"/>
    <w:semiHidden/>
    <w:unhideWhenUsed/>
    <w:qFormat/>
    <w:rsid w:val="000c1256"/>
    <w:pPr>
      <w:keepNext w:val="true"/>
      <w:keepLines/>
      <w:spacing w:before="80" w:after="40"/>
      <w:outlineLvl w:val="3"/>
    </w:pPr>
    <w:rPr>
      <w:rFonts w:eastAsia="DejaVu Sans" w:cs="DejaVu Sans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Nagwek5Znak"/>
    <w:uiPriority w:val="9"/>
    <w:semiHidden/>
    <w:unhideWhenUsed/>
    <w:qFormat/>
    <w:rsid w:val="000c1256"/>
    <w:pPr>
      <w:keepNext w:val="true"/>
      <w:keepLines/>
      <w:spacing w:before="80" w:after="40"/>
      <w:outlineLvl w:val="4"/>
    </w:pPr>
    <w:rPr>
      <w:rFonts w:eastAsia="DejaVu Sans" w:cs="DejaVu Sans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Nagwek6Znak"/>
    <w:uiPriority w:val="9"/>
    <w:semiHidden/>
    <w:unhideWhenUsed/>
    <w:qFormat/>
    <w:rsid w:val="000c1256"/>
    <w:pPr>
      <w:keepNext w:val="true"/>
      <w:keepLines/>
      <w:spacing w:before="40" w:after="0"/>
      <w:outlineLvl w:val="5"/>
    </w:pPr>
    <w:rPr>
      <w:rFonts w:eastAsia="DejaVu Sans" w:cs="DejaVu Sans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Nagwek7Znak"/>
    <w:uiPriority w:val="9"/>
    <w:semiHidden/>
    <w:unhideWhenUsed/>
    <w:qFormat/>
    <w:rsid w:val="000c1256"/>
    <w:pPr>
      <w:keepNext w:val="true"/>
      <w:keepLines/>
      <w:spacing w:before="40" w:after="0"/>
      <w:outlineLvl w:val="6"/>
    </w:pPr>
    <w:rPr>
      <w:rFonts w:eastAsia="DejaVu Sans" w:cs="DejaVu Sans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Nagwek8Znak"/>
    <w:uiPriority w:val="9"/>
    <w:semiHidden/>
    <w:unhideWhenUsed/>
    <w:qFormat/>
    <w:rsid w:val="000c1256"/>
    <w:pPr>
      <w:keepNext w:val="true"/>
      <w:keepLines/>
      <w:spacing w:before="0" w:after="0"/>
      <w:outlineLvl w:val="7"/>
    </w:pPr>
    <w:rPr>
      <w:rFonts w:eastAsia="DejaVu Sans" w:cs="DejaVu Sans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Nagwek9Znak"/>
    <w:uiPriority w:val="9"/>
    <w:semiHidden/>
    <w:unhideWhenUsed/>
    <w:qFormat/>
    <w:rsid w:val="000c1256"/>
    <w:pPr>
      <w:keepNext w:val="true"/>
      <w:keepLines/>
      <w:spacing w:before="0" w:after="0"/>
      <w:outlineLvl w:val="8"/>
    </w:pPr>
    <w:rPr>
      <w:rFonts w:eastAsia="DejaVu Sans" w:cs="DejaVu Sans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Nagwek1Znak" w:customStyle="1">
    <w:name w:val="Nagłówek 1 Znak"/>
    <w:basedOn w:val="DefaultParagraphFont"/>
    <w:uiPriority w:val="9"/>
    <w:qFormat/>
    <w:rsid w:val="000c1256"/>
    <w:rPr>
      <w:rFonts w:ascii="Arial" w:hAnsi="Arial" w:eastAsia="DejaVu Sans" w:cs="DejaVu Sans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Nagwek2Znak" w:customStyle="1">
    <w:name w:val="Nagłówek 2 Znak"/>
    <w:basedOn w:val="DefaultParagraphFont"/>
    <w:uiPriority w:val="9"/>
    <w:semiHidden/>
    <w:qFormat/>
    <w:rsid w:val="000c1256"/>
    <w:rPr>
      <w:rFonts w:ascii="Arial" w:hAnsi="Arial" w:eastAsia="DejaVu Sans" w:cs="DejaVu Sans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Nagwek3Znak" w:customStyle="1">
    <w:name w:val="Nagłówek 3 Znak"/>
    <w:basedOn w:val="DefaultParagraphFont"/>
    <w:uiPriority w:val="9"/>
    <w:semiHidden/>
    <w:qFormat/>
    <w:rsid w:val="000c1256"/>
    <w:rPr>
      <w:rFonts w:eastAsia="DejaVu Sans" w:cs="DejaVu Sans" w:cstheme="majorBidi" w:eastAsiaTheme="majorEastAsia"/>
      <w:color w:themeColor="accent1" w:themeShade="bf" w:val="0F4761"/>
      <w:sz w:val="28"/>
      <w:szCs w:val="28"/>
    </w:rPr>
  </w:style>
  <w:style w:type="character" w:styleId="Nagwek4Znak" w:customStyle="1">
    <w:name w:val="Nagłówek 4 Znak"/>
    <w:basedOn w:val="DefaultParagraphFont"/>
    <w:uiPriority w:val="9"/>
    <w:semiHidden/>
    <w:qFormat/>
    <w:rsid w:val="000c1256"/>
    <w:rPr>
      <w:rFonts w:eastAsia="DejaVu Sans" w:cs="DejaVu Sans" w:cstheme="majorBidi" w:eastAsiaTheme="majorEastAsia"/>
      <w:i/>
      <w:iCs/>
      <w:color w:themeColor="accent1" w:themeShade="bf" w:val="0F4761"/>
    </w:rPr>
  </w:style>
  <w:style w:type="character" w:styleId="Nagwek5Znak" w:customStyle="1">
    <w:name w:val="Nagłówek 5 Znak"/>
    <w:basedOn w:val="DefaultParagraphFont"/>
    <w:uiPriority w:val="9"/>
    <w:semiHidden/>
    <w:qFormat/>
    <w:rsid w:val="000c1256"/>
    <w:rPr>
      <w:rFonts w:eastAsia="DejaVu Sans" w:cs="DejaVu Sans" w:cstheme="majorBidi" w:eastAsiaTheme="majorEastAsia"/>
      <w:color w:themeColor="accent1" w:themeShade="bf" w:val="0F4761"/>
    </w:rPr>
  </w:style>
  <w:style w:type="character" w:styleId="Nagwek6Znak" w:customStyle="1">
    <w:name w:val="Nagłówek 6 Znak"/>
    <w:basedOn w:val="DefaultParagraphFont"/>
    <w:uiPriority w:val="9"/>
    <w:semiHidden/>
    <w:qFormat/>
    <w:rsid w:val="000c1256"/>
    <w:rPr>
      <w:rFonts w:eastAsia="DejaVu Sans" w:cs="DejaVu Sans" w:cstheme="majorBidi" w:eastAsiaTheme="majorEastAsia"/>
      <w:i/>
      <w:iCs/>
      <w:color w:themeColor="text1" w:themeTint="a6" w:val="595959"/>
    </w:rPr>
  </w:style>
  <w:style w:type="character" w:styleId="Nagwek7Znak" w:customStyle="1">
    <w:name w:val="Nagłówek 7 Znak"/>
    <w:basedOn w:val="DefaultParagraphFont"/>
    <w:uiPriority w:val="9"/>
    <w:semiHidden/>
    <w:qFormat/>
    <w:rsid w:val="000c1256"/>
    <w:rPr>
      <w:rFonts w:eastAsia="DejaVu Sans" w:cs="DejaVu Sans" w:cstheme="majorBidi" w:eastAsiaTheme="majorEastAsia"/>
      <w:color w:themeColor="text1" w:themeTint="a6" w:val="595959"/>
    </w:rPr>
  </w:style>
  <w:style w:type="character" w:styleId="Nagwek8Znak" w:customStyle="1">
    <w:name w:val="Nagłówek 8 Znak"/>
    <w:basedOn w:val="DefaultParagraphFont"/>
    <w:uiPriority w:val="9"/>
    <w:semiHidden/>
    <w:qFormat/>
    <w:rsid w:val="000c1256"/>
    <w:rPr>
      <w:rFonts w:eastAsia="DejaVu Sans" w:cs="DejaVu Sans" w:cstheme="majorBidi" w:eastAsiaTheme="majorEastAsia"/>
      <w:i/>
      <w:iCs/>
      <w:color w:themeColor="text1" w:themeTint="d8" w:val="272727"/>
    </w:rPr>
  </w:style>
  <w:style w:type="character" w:styleId="Nagwek9Znak" w:customStyle="1">
    <w:name w:val="Nagłówek 9 Znak"/>
    <w:basedOn w:val="DefaultParagraphFont"/>
    <w:uiPriority w:val="9"/>
    <w:semiHidden/>
    <w:qFormat/>
    <w:rsid w:val="000c1256"/>
    <w:rPr>
      <w:rFonts w:eastAsia="DejaVu Sans" w:cs="DejaVu Sans" w:cstheme="majorBidi" w:eastAsiaTheme="majorEastAsia"/>
      <w:color w:themeColor="text1" w:themeTint="d8" w:val="272727"/>
    </w:rPr>
  </w:style>
  <w:style w:type="character" w:styleId="TytuZnak" w:customStyle="1">
    <w:name w:val="Tytuł Znak"/>
    <w:basedOn w:val="DefaultParagraphFont"/>
    <w:uiPriority w:val="10"/>
    <w:qFormat/>
    <w:rsid w:val="000c1256"/>
    <w:rPr>
      <w:rFonts w:ascii="Arial" w:hAnsi="Arial" w:eastAsia="DejaVu Sans" w:cs="DejaVu Sans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PodtytuZnak" w:customStyle="1">
    <w:name w:val="Podtytuł Znak"/>
    <w:basedOn w:val="DefaultParagraphFont"/>
    <w:uiPriority w:val="11"/>
    <w:qFormat/>
    <w:rsid w:val="000c1256"/>
    <w:rPr>
      <w:rFonts w:eastAsia="DejaVu Sans" w:cs="DejaVu Sans" w:cstheme="majorBidi" w:eastAsiaTheme="majorEastAsia"/>
      <w:color w:themeColor="text1" w:themeTint="a6" w:val="595959"/>
      <w:spacing w:val="15"/>
      <w:sz w:val="28"/>
      <w:szCs w:val="28"/>
    </w:rPr>
  </w:style>
  <w:style w:type="character" w:styleId="CytatZnak" w:customStyle="1">
    <w:name w:val="Cytat Znak"/>
    <w:basedOn w:val="DefaultParagraphFont"/>
    <w:link w:val="Quote"/>
    <w:uiPriority w:val="29"/>
    <w:qFormat/>
    <w:rsid w:val="000c125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c1256"/>
    <w:rPr>
      <w:i/>
      <w:iCs/>
      <w:color w:themeColor="accent1" w:themeShade="bf" w:val="0F4761"/>
    </w:rPr>
  </w:style>
  <w:style w:type="character" w:styleId="CytatintensywnyZnak" w:customStyle="1">
    <w:name w:val="Cytat intensywny Znak"/>
    <w:basedOn w:val="DefaultParagraphFont"/>
    <w:link w:val="IntenseQuote"/>
    <w:uiPriority w:val="30"/>
    <w:qFormat/>
    <w:rsid w:val="000c1256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c1256"/>
    <w:rPr>
      <w:b/>
      <w:bCs/>
      <w:smallCaps/>
      <w:color w:themeColor="accent1" w:themeShade="bf" w:val="0F4761"/>
      <w:spacing w:val="5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ytuZnak"/>
    <w:uiPriority w:val="10"/>
    <w:qFormat/>
    <w:rsid w:val="000c1256"/>
    <w:pPr>
      <w:spacing w:before="0" w:after="80"/>
      <w:contextualSpacing/>
    </w:pPr>
    <w:rPr>
      <w:rFonts w:ascii="Arial" w:hAnsi="Arial" w:eastAsia="DejaVu Sans" w:cs="DejaVu Sans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PodtytuZnak"/>
    <w:uiPriority w:val="11"/>
    <w:qFormat/>
    <w:rsid w:val="000c1256"/>
    <w:pPr/>
    <w:rPr>
      <w:rFonts w:eastAsia="DejaVu Sans" w:cs="DejaVu Sans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ytatZnak"/>
    <w:uiPriority w:val="29"/>
    <w:qFormat/>
    <w:rsid w:val="000c1256"/>
    <w:pPr>
      <w:spacing w:before="160" w:after="12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c1256"/>
    <w:pPr>
      <w:spacing w:before="0" w:after="120"/>
      <w:ind w:left="720"/>
      <w:contextualSpacing/>
    </w:pPr>
    <w:rPr/>
  </w:style>
  <w:style w:type="paragraph" w:styleId="IntenseQuote">
    <w:name w:val="Intense Quote"/>
    <w:basedOn w:val="Normal"/>
    <w:next w:val="Normal"/>
    <w:link w:val="CytatintensywnyZnak"/>
    <w:uiPriority w:val="30"/>
    <w:qFormat/>
    <w:rsid w:val="000c1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Domylnie">
    <w:name w:val="Domyślnie"/>
    <w:qFormat/>
    <w:pPr>
      <w:widowControl/>
      <w:tabs>
        <w:tab w:val="left" w:pos="708" w:leader="none"/>
      </w:tabs>
      <w:suppressAutoHyphens w:val="true"/>
      <w:bidi w:val="0"/>
      <w:spacing w:lineRule="atLeast" w:line="100" w:before="0" w:after="0"/>
      <w:jc w:val="left"/>
    </w:pPr>
    <w:rPr>
      <w:rFonts w:ascii="Times New Roman" w:hAnsi="Times New Roman" w:eastAsia="Times New Roman" w:cs="Times New Roman"/>
      <w:color w:val="00000A"/>
      <w:kern w:val="2"/>
      <w:sz w:val="24"/>
      <w:szCs w:val="20"/>
      <w:lang w:val="pl-PL" w:eastAsia="pl-PL" w:bidi="ar-SA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LibreOffice/24.2.7.2$Linux_X86_64 LibreOffice_project/420$Build-2</Application>
  <AppVersion>15.0000</AppVersion>
  <Pages>2</Pages>
  <Words>461</Words>
  <Characters>3273</Characters>
  <CharactersWithSpaces>3696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2026-05-19T09:46:00Z</dcterms:created>
  <dc:creator>Sylwia Kurek</dc:creator>
  <dc:description/>
  <dc:language>pl-PL</dc:language>
  <cp:lastModifiedBy/>
  <dcterms:modified xsi:type="dcterms:W3CDTF">2026-06-18T18:08:49Z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