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80"/>
        <w:gridCol w:w="1800"/>
      </w:tblGrid>
      <w:tr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38"/>
                <w:szCs w:val="38"/>
              </w:rPr>
              <w:t xml:space="preserve">Rohit Suryaa Saravanan</w:t>
            </w:r>
          </w:p>
          <w:p>
            <w:pPr>
              <w:spacing w:after="40"/>
            </w:pPr>
            <w:r>
              <w:rPr>
                <w:b/>
                <w:bCs/>
                <w:color w:val="047857"/>
                <w:sz w:val="22"/>
                <w:szCs w:val="22"/>
              </w:rPr>
              <w:t xml:space="preserve">Backend- / Fintech-Engineer</w:t>
            </w:r>
          </w:p>
          <w:p>
            <w:pPr>
              <w:spacing w:after="10"/>
            </w:pPr>
            <w:r>
              <w:rPr>
                <w:color w:val="555555"/>
                <w:sz w:val="18"/>
                <w:szCs w:val="18"/>
              </w:rPr>
              <w:t xml:space="preserve">Fulda, Hessen, Deutschland</w:t>
            </w:r>
            <w:r>
              <w:rPr>
                <w:color w:val="555555"/>
                <w:sz w:val="18"/>
                <w:szCs w:val="18"/>
              </w:rPr>
              <w:t xml:space="preserve">  ·  </w:t>
            </w:r>
            <w:r>
              <w:rPr>
                <w:color w:val="555555"/>
                <w:sz w:val="18"/>
                <w:szCs w:val="18"/>
              </w:rPr>
              <w:t xml:space="preserve">+49 160 96597803</w:t>
            </w:r>
            <w:r>
              <w:rPr>
                <w:color w:val="555555"/>
                <w:sz w:val="18"/>
                <w:szCs w:val="18"/>
              </w:rPr>
              <w:t xml:space="preserve">  ·  </w:t>
            </w:r>
            <w:hyperlink w:history="1" r:id="rIdt3_radtdlrz5ioefws89n">
              <w:r>
                <w:rPr>
                  <w:rStyle w:val="Hyperlink"/>
                  <w:sz w:val="18"/>
                  <w:szCs w:val="18"/>
                </w:rPr>
                <w:t xml:space="preserve">Rohitsuryaas21@gmail.com</w:t>
              </w:r>
            </w:hyperlink>
          </w:p>
          <w:p>
            <w:pPr>
              <w:spacing w:after="10"/>
            </w:pPr>
            <w:hyperlink w:history="1" r:id="rId0d1_fgmqircqz7jvuixiz">
              <w:r>
                <w:rPr>
                  <w:rStyle w:val="Hyperlink"/>
                  <w:sz w:val="18"/>
                  <w:szCs w:val="18"/>
                </w:rPr>
                <w:t xml:space="preserve">linkedin.com/in/rohitsuryaa</w:t>
              </w:r>
            </w:hyperlink>
            <w:r>
              <w:rPr>
                <w:color w:val="555555"/>
                <w:sz w:val="18"/>
                <w:szCs w:val="18"/>
              </w:rPr>
              <w:t xml:space="preserve">  ·  </w:t>
            </w:r>
            <w:hyperlink w:history="1" r:id="rId37xvu9byetmuuznuavbvh">
              <w:r>
                <w:rPr>
                  <w:rStyle w:val="Hyperlink"/>
                  <w:sz w:val="18"/>
                  <w:szCs w:val="18"/>
                </w:rPr>
                <w:t xml:space="preserve">rohitsuryaa.com</w:t>
              </w:r>
            </w:hyperlink>
            <w:r>
              <w:rPr>
                <w:color w:val="555555"/>
                <w:sz w:val="18"/>
                <w:szCs w:val="18"/>
              </w:rPr>
              <w:t xml:space="preserve">  ·  </w:t>
            </w:r>
            <w:hyperlink w:history="1" r:id="rId-ovtdmxz5zq-ao8lex7d4">
              <w:r>
                <w:rPr>
                  <w:rStyle w:val="Hyperlink"/>
                  <w:sz w:val="18"/>
                  <w:szCs w:val="18"/>
                </w:rPr>
                <w:t xml:space="preserve">github.com/srohitsuryaa21</w:t>
              </w:r>
            </w:hyperlink>
          </w:p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Verfügbar ab 15. Juli 2026</w:t>
            </w:r>
            <w:r>
              <w:rPr>
                <w:color w:val="555555"/>
                <w:sz w:val="18"/>
                <w:szCs w:val="18"/>
              </w:rPr>
              <w:t xml:space="preserve">  ·  </w:t>
            </w:r>
            <w:r>
              <w:rPr>
                <w:color w:val="1A1A1A"/>
                <w:sz w:val="18"/>
                <w:szCs w:val="18"/>
              </w:rPr>
              <w:t xml:space="preserve">Umzugsbereit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drawing>
                <wp:inline distT="0" distB="0" distL="0" distR="0">
                  <wp:extent cx="914400" cy="1143000"/>
                  <wp:effectExtent t="0" r="0" b="0" l="0"/>
                  <wp:docPr id="1" name="portrait" descr="Portrait" title="Rohit Suryaa Saravan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pBdr>
          <w:bottom w:val="single" w:color="047857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047857"/>
          <w:spacing w:val="20"/>
          <w:sz w:val="21"/>
          <w:szCs w:val="21"/>
        </w:rPr>
        <w:t xml:space="preserve">PROFIL</w:t>
      </w:r>
    </w:p>
    <w:p>
      <w:pPr>
        <w:spacing w:after="20"/>
      </w:pPr>
      <w:r>
        <w:rPr>
          <w:color w:val="1A1A1A"/>
          <w:sz w:val="19"/>
          <w:szCs w:val="19"/>
        </w:rPr>
        <w:t xml:space="preserve">Backend-Engineer für zuverlässige, auditierbare Zahlungs- und Risikosysteme im Fintech. Ein Jahr professionelle Softwareentwicklung (REST APIs, SQL, CI/CD) sowie FinGuard PayOps — eine SEPA-orientierte Zahlungsplattform mit Betrugs- und Risikobewertung, Compliance-Alerts, Analystenprüfung und vollständigen Audit-Trails. Der M.Sc. Data Science ergänzt datengetriebene Entscheidungen und erklärbares Risiko. Ziel: Fintech, Payments und Regtech in Deutschland und der EU. Englisch verhandlungssicher (C1+); Deutsch A2 und aktiv im Aufbau.</w:t>
      </w:r>
    </w:p>
    <w:p>
      <w:pPr>
        <w:pStyle w:val="Heading2"/>
        <w:pBdr>
          <w:bottom w:val="single" w:color="047857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047857"/>
          <w:spacing w:val="20"/>
          <w:sz w:val="21"/>
          <w:szCs w:val="21"/>
        </w:rPr>
        <w:t xml:space="preserve">BERUFSERFAHRUNG</w:t>
      </w:r>
    </w:p>
    <w:p>
      <w:pPr>
        <w:tabs>
          <w:tab w:val="right" w:pos="10080"/>
        </w:tabs>
        <w:spacing w:after="0" w:before="70"/>
      </w:pPr>
      <w:r>
        <w:rPr>
          <w:b/>
          <w:bCs/>
          <w:color w:val="1A1A1A"/>
          <w:sz w:val="20"/>
          <w:szCs w:val="20"/>
        </w:rPr>
        <w:t xml:space="preserve">Associate Software Developer — EigenSecure (Remote, USA)</w:t>
      </w:r>
      <w:r>
        <w:rPr>
          <w:i/>
          <w:iCs/>
          <w:color w:val="555555"/>
          <w:sz w:val="18"/>
          <w:szCs w:val="18"/>
        </w:rPr>
        <w:t xml:space="preserve">	Mär 2024 – Apr 2025</w:t>
      </w:r>
    </w:p>
    <w:p>
      <w:pPr>
        <w:spacing w:after="10"/>
      </w:pP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Produktions-Backend-Services und RESTful APIs im agilen Team über MySQL, PostgreSQL und MongoDB gebaut — inkl. Zugriffskontrolle, Evidence-Workflows und Compliance-nahen Daten.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SQL-Abfragen, Datenworkflows und CI/CD-Pipelines für zuverlässige Deployments und nachvollziehbare Audit-Trails optimiert — die operative Disziplin, die Fintech-Systeme erfordern.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Sicherheits- und Geschäftsanforderungen in lauffähige Systeme übersetzt und Trade-offs an technische und Produkt-Stakeholder kommuniziert.</w:t>
      </w:r>
    </w:p>
    <w:p>
      <w:pPr>
        <w:pStyle w:val="Heading2"/>
        <w:pBdr>
          <w:bottom w:val="single" w:color="047857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047857"/>
          <w:spacing w:val="20"/>
          <w:sz w:val="21"/>
          <w:szCs w:val="21"/>
        </w:rPr>
        <w:t xml:space="preserve">AUSGEWÄHLTE PROJEKTE</w:t>
      </w:r>
    </w:p>
    <w:p>
      <w:pPr>
        <w:tabs>
          <w:tab w:val="right" w:pos="10080"/>
        </w:tabs>
        <w:spacing w:after="20" w:before="90"/>
      </w:pPr>
      <w:r>
        <w:rPr>
          <w:b/>
          <w:bCs/>
          <w:color w:val="1A1A1A"/>
          <w:sz w:val="20"/>
          <w:szCs w:val="20"/>
        </w:rPr>
        <w:t xml:space="preserve">FinGuard PayOps — Fintech Payment Risk &amp; Compliance</w:t>
      </w:r>
      <w:r>
        <w:rPr>
          <w:i/>
          <w:iCs/>
          <w:color w:val="555555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Eine produktionsnahe deutsche/EU-Payment-Operations-Plattform: SEPA-orientierter Payment-Lifecycle, regelbasierte Betrugs- und Risikobewertung mit High-Risk-Gründen, Compliance-Alert-Fallmanagement und ein Analysten-Freigabe-/Ablehnungs-Workflow.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Vollständiges Audit-Logging für jede Entscheidung sowie ein DORA-orientiertes Resilienz-/Incident-Dashboard und eine saubere, beobachtbare Architektur.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color w:val="1A1A1A"/>
          <w:sz w:val="18"/>
          <w:szCs w:val="18"/>
        </w:rPr>
        <w:t xml:space="preserve">Stack: </w:t>
      </w:r>
      <w:r>
        <w:rPr>
          <w:i/>
          <w:iCs/>
          <w:color w:val="555555"/>
          <w:sz w:val="18"/>
          <w:szCs w:val="18"/>
        </w:rPr>
        <w:t xml:space="preserve">Java 21, Spring Boot 3, PostgreSQL, Redis, Kafka, React, TypeScript, Docker</w:t>
      </w:r>
      <w:r>
        <w:rPr>
          <w:color w:val="555555"/>
          <w:sz w:val="18"/>
          <w:szCs w:val="18"/>
        </w:rPr>
        <w:t xml:space="preserve">  ·  </w:t>
      </w:r>
      <w:hyperlink w:history="1" r:id="rId4gff0lsz4pe013qn4h_6x">
        <w:r>
          <w:rPr>
            <w:rStyle w:val="Hyperlink"/>
            <w:sz w:val="18"/>
            <w:szCs w:val="18"/>
          </w:rPr>
          <w:t xml:space="preserve">github.com/srohitsuryaa21/FinGuard-PayOps</w:t>
        </w:r>
      </w:hyperlink>
    </w:p>
    <w:p>
      <w:pPr>
        <w:tabs>
          <w:tab w:val="right" w:pos="10080"/>
        </w:tabs>
        <w:spacing w:after="20" w:before="90"/>
      </w:pPr>
      <w:r>
        <w:rPr>
          <w:b/>
          <w:bCs/>
          <w:color w:val="1A1A1A"/>
          <w:sz w:val="20"/>
          <w:szCs w:val="20"/>
        </w:rPr>
        <w:t xml:space="preserve">DeFi Farmer Platform — Blockchain-Finanzierung (IEEE)</w:t>
      </w:r>
      <w:r>
        <w:rPr>
          <w:i/>
          <w:iCs/>
          <w:color w:val="555555"/>
          <w:sz w:val="18"/>
          <w:szCs w:val="18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Ein transparentes Agrarfinanzsystem mit Smart Contracts für Kredite, Zahlungen, Versicherungen und Lieferketten-Nachverfolgbarkeit für Kleinbauern.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Ethereum-Contracts mit Web3.py-Backend und lokaler Ganache-Validierung. Begutachtete IEEE-Veröffentlichung.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color w:val="1A1A1A"/>
          <w:sz w:val="18"/>
          <w:szCs w:val="18"/>
        </w:rPr>
        <w:t xml:space="preserve">Stack: </w:t>
      </w:r>
      <w:r>
        <w:rPr>
          <w:i/>
          <w:iCs/>
          <w:color w:val="555555"/>
          <w:sz w:val="18"/>
          <w:szCs w:val="18"/>
        </w:rPr>
        <w:t xml:space="preserve">Ethereum, Solidity, Web3.py, Ganache, Smart Contracts</w:t>
      </w:r>
      <w:r>
        <w:rPr>
          <w:color w:val="555555"/>
          <w:sz w:val="18"/>
          <w:szCs w:val="18"/>
        </w:rPr>
        <w:t xml:space="preserve">  ·  </w:t>
      </w:r>
      <w:hyperlink w:history="1" r:id="rIdzj_7twazkxx_pmpcgpst7">
        <w:r>
          <w:rPr>
            <w:rStyle w:val="Hyperlink"/>
            <w:sz w:val="18"/>
            <w:szCs w:val="18"/>
          </w:rPr>
          <w:t xml:space="preserve">DOI: 10.1109/ICSCSS60660.2024.10625462</w:t>
        </w:r>
      </w:hyperlink>
    </w:p>
    <w:p>
      <w:pPr>
        <w:tabs>
          <w:tab w:val="right" w:pos="10080"/>
        </w:tabs>
        <w:spacing w:after="20" w:before="90"/>
      </w:pPr>
      <w:r>
        <w:rPr>
          <w:b/>
          <w:bCs/>
          <w:color w:val="1A1A1A"/>
          <w:sz w:val="20"/>
          <w:szCs w:val="20"/>
        </w:rPr>
        <w:t xml:space="preserve">Supply Chain Intelligence — Risiko &amp; Forecasting</w:t>
      </w:r>
      <w:r>
        <w:rPr>
          <w:i/>
          <w:iCs/>
          <w:color w:val="555555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End-to-End-Analytics-Pipeline über 110.123 Transaktionen: SARIMA-Prognose mit MAPE unter 20 %, Bestandsoptimierung und Seller-Risk-Scoring für 881 Verkäufer, mit Entscheidungsdashboard.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color w:val="1A1A1A"/>
          <w:sz w:val="18"/>
          <w:szCs w:val="18"/>
        </w:rPr>
        <w:t xml:space="preserve">Stack: </w:t>
      </w:r>
      <w:r>
        <w:rPr>
          <w:i/>
          <w:iCs/>
          <w:color w:val="555555"/>
          <w:sz w:val="18"/>
          <w:szCs w:val="18"/>
        </w:rPr>
        <w:t xml:space="preserve">Python, Pandas, SARIMA, XGBoost, Plotly Dash, SQL</w:t>
      </w:r>
      <w:r>
        <w:rPr>
          <w:color w:val="555555"/>
          <w:sz w:val="18"/>
          <w:szCs w:val="18"/>
        </w:rPr>
        <w:t xml:space="preserve">  ·  </w:t>
      </w:r>
      <w:hyperlink w:history="1" r:id="rIdphnt7fsrnlbnx9ew93gil">
        <w:r>
          <w:rPr>
            <w:rStyle w:val="Hyperlink"/>
            <w:sz w:val="18"/>
            <w:szCs w:val="18"/>
          </w:rPr>
          <w:t xml:space="preserve">github.com/srohitsuryaa21/supply-chain-forecasting</w:t>
        </w:r>
      </w:hyperlink>
    </w:p>
    <w:p>
      <w:pPr>
        <w:tabs>
          <w:tab w:val="right" w:pos="10080"/>
        </w:tabs>
        <w:spacing w:after="20" w:before="90"/>
      </w:pPr>
      <w:r>
        <w:rPr>
          <w:b/>
          <w:bCs/>
          <w:color w:val="1A1A1A"/>
          <w:sz w:val="20"/>
          <w:szCs w:val="20"/>
        </w:rPr>
        <w:t xml:space="preserve">Windmill Pitch Prediction — Applied ML (IEEE)</w:t>
      </w:r>
      <w:r>
        <w:rPr>
          <w:i/>
          <w:iCs/>
          <w:color w:val="555555"/>
          <w:sz w:val="18"/>
          <w:szCs w:val="18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Datengetriebene Entscheidung: XGBoost mit Residual-Korrektur über Turbinendaten, 96 % Genauigkeit, Fehler 8,6 % -&gt; 2,3 %. Begutachtete IEEE-Veröffentlichung.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color w:val="1A1A1A"/>
          <w:sz w:val="18"/>
          <w:szCs w:val="18"/>
        </w:rPr>
        <w:t xml:space="preserve">Stack: </w:t>
      </w:r>
      <w:r>
        <w:rPr>
          <w:i/>
          <w:iCs/>
          <w:color w:val="555555"/>
          <w:sz w:val="18"/>
          <w:szCs w:val="18"/>
        </w:rPr>
        <w:t xml:space="preserve">Python, XGBoost, Zeitreihen, statistische Auswertung</w:t>
      </w:r>
      <w:r>
        <w:rPr>
          <w:color w:val="555555"/>
          <w:sz w:val="18"/>
          <w:szCs w:val="18"/>
        </w:rPr>
        <w:t xml:space="preserve">  ·  </w:t>
      </w:r>
      <w:hyperlink w:history="1" r:id="rIdmobnrngkkogtdbceimdxr">
        <w:r>
          <w:rPr>
            <w:rStyle w:val="Hyperlink"/>
            <w:sz w:val="18"/>
            <w:szCs w:val="18"/>
          </w:rPr>
          <w:t xml:space="preserve">DOI: 10.1109/ICEMCE57940.2023.10433983</w:t>
        </w:r>
      </w:hyperlink>
    </w:p>
    <w:p>
      <w:pPr>
        <w:pStyle w:val="Heading2"/>
        <w:pBdr>
          <w:bottom w:val="single" w:color="047857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047857"/>
          <w:spacing w:val="20"/>
          <w:sz w:val="21"/>
          <w:szCs w:val="21"/>
        </w:rPr>
        <w:t xml:space="preserve">VERÖFFENTLICHUNGEN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color w:val="1A1A1A"/>
          <w:sz w:val="19"/>
          <w:szCs w:val="19"/>
        </w:rPr>
        <w:t xml:space="preserve">DeFi Farmer Platform</w:t>
      </w:r>
      <w:r>
        <w:rPr>
          <w:color w:val="1A1A1A"/>
          <w:sz w:val="19"/>
          <w:szCs w:val="19"/>
        </w:rPr>
        <w:t xml:space="preserve"> — IEEE ICSCSS 2024 — blockchainbasierte Agrarfinanzierung.  </w:t>
      </w:r>
      <w:hyperlink w:history="1" r:id="rIddbzfhpqfsgbvaervbn3uf">
        <w:r>
          <w:rPr>
            <w:rStyle w:val="Hyperlink"/>
            <w:sz w:val="18"/>
            <w:szCs w:val="18"/>
          </w:rPr>
          <w:t xml:space="preserve">DOI: 10.1109/ICSCSS60660.2024.10625462</w:t>
        </w:r>
      </w:hyperlink>
    </w:p>
    <w:p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color w:val="1A1A1A"/>
          <w:sz w:val="19"/>
          <w:szCs w:val="19"/>
        </w:rPr>
        <w:t xml:space="preserve">Windmill Pitch Prediction with Adaptive Control</w:t>
      </w:r>
      <w:r>
        <w:rPr>
          <w:color w:val="1A1A1A"/>
          <w:sz w:val="19"/>
          <w:szCs w:val="19"/>
        </w:rPr>
        <w:t xml:space="preserve"> — IEEE ICEMCE 2023 — angewandtes Machine Learning.  </w:t>
      </w:r>
      <w:hyperlink w:history="1" r:id="rIdcsvb_oy30xnuvfhfbe4fy">
        <w:r>
          <w:rPr>
            <w:rStyle w:val="Hyperlink"/>
            <w:sz w:val="18"/>
            <w:szCs w:val="18"/>
          </w:rPr>
          <w:t xml:space="preserve">DOI: 10.1109/ICEMCE57940.2023.10433983</w:t>
        </w:r>
      </w:hyperlink>
    </w:p>
    <w:p>
      <w:pPr>
        <w:pStyle w:val="Heading2"/>
        <w:pBdr>
          <w:bottom w:val="single" w:color="047857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047857"/>
          <w:spacing w:val="20"/>
          <w:sz w:val="21"/>
          <w:szCs w:val="21"/>
        </w:rPr>
        <w:t xml:space="preserve">AUSBILDUNG</w:t>
      </w:r>
    </w:p>
    <w:p>
      <w:pPr>
        <w:tabs>
          <w:tab w:val="right" w:pos="10080"/>
        </w:tabs>
        <w:spacing w:after="0" w:before="70"/>
      </w:pPr>
      <w:r>
        <w:rPr>
          <w:b/>
          <w:bCs/>
          <w:color w:val="1A1A1A"/>
          <w:sz w:val="20"/>
          <w:szCs w:val="20"/>
        </w:rPr>
        <w:t xml:space="preserve">M.Sc. Data Science — Hochschule Fulda, Deutschland</w:t>
      </w:r>
      <w:r>
        <w:rPr>
          <w:i/>
          <w:iCs/>
          <w:color w:val="555555"/>
          <w:sz w:val="18"/>
          <w:szCs w:val="18"/>
        </w:rPr>
        <w:t xml:space="preserve">	Apr 2025 – heute</w:t>
      </w:r>
    </w:p>
    <w:p>
      <w:pPr>
        <w:spacing w:after="20"/>
      </w:pPr>
      <w:r>
        <w:rPr>
          <w:i/>
          <w:iCs/>
          <w:color w:val="555555"/>
          <w:sz w:val="18"/>
          <w:szCs w:val="18"/>
        </w:rPr>
        <w:t xml:space="preserve">Schwerpunkte: Big Data &amp; verteilte Systeme, Data Mining &amp; Predictive Analytics, Process Mining, Forschungsmethoden, Datenethik &amp; DSGVO.</w:t>
      </w:r>
    </w:p>
    <w:p>
      <w:pPr>
        <w:tabs>
          <w:tab w:val="right" w:pos="10080"/>
        </w:tabs>
        <w:spacing w:after="0" w:before="70"/>
      </w:pPr>
      <w:r>
        <w:rPr>
          <w:b/>
          <w:bCs/>
          <w:color w:val="1A1A1A"/>
          <w:sz w:val="20"/>
          <w:szCs w:val="20"/>
        </w:rPr>
        <w:t xml:space="preserve">B.Tech Big Data Computer Science — SRM University, Chennai, Indien</w:t>
      </w:r>
      <w:r>
        <w:rPr>
          <w:i/>
          <w:iCs/>
          <w:color w:val="555555"/>
          <w:sz w:val="18"/>
          <w:szCs w:val="18"/>
        </w:rPr>
        <w:t xml:space="preserve">	Aug 2020 – Nov 2024</w:t>
      </w:r>
    </w:p>
    <w:p>
      <w:pPr>
        <w:spacing w:after="20"/>
      </w:pPr>
      <w:r>
        <w:rPr>
          <w:i/>
          <w:iCs/>
          <w:color w:val="555555"/>
          <w:sz w:val="18"/>
          <w:szCs w:val="18"/>
        </w:rPr>
        <w:t xml:space="preserve">Schwerpunkte: Big-Data-Systeme, verteilte Systeme, Algorithmen, Datenbanken, Software Engineering.</w:t>
      </w:r>
    </w:p>
    <w:p>
      <w:pPr>
        <w:pStyle w:val="Heading2"/>
        <w:pBdr>
          <w:bottom w:val="single" w:color="047857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047857"/>
          <w:spacing w:val="20"/>
          <w:sz w:val="21"/>
          <w:szCs w:val="21"/>
        </w:rPr>
        <w:t xml:space="preserve">TECHNISCHE KENNTNISSE</w:t>
      </w:r>
    </w:p>
    <w:p>
      <w:pPr>
        <w:spacing w:after="14"/>
      </w:pPr>
      <w:r>
        <w:rPr>
          <w:b/>
          <w:bCs/>
          <w:color w:val="1A1A1A"/>
          <w:sz w:val="18"/>
          <w:szCs w:val="18"/>
        </w:rPr>
        <w:t xml:space="preserve">Backend:  </w:t>
      </w:r>
      <w:r>
        <w:rPr>
          <w:color w:val="1A1A1A"/>
          <w:sz w:val="18"/>
          <w:szCs w:val="18"/>
        </w:rPr>
        <w:t xml:space="preserve">Java 21, Spring Boot, C#, ASP.NET Core, REST APIs, JWT, Service-/Schichtenarchitektur</w:t>
      </w:r>
    </w:p>
    <w:p>
      <w:pPr>
        <w:spacing w:after="14"/>
      </w:pPr>
      <w:r>
        <w:rPr>
          <w:b/>
          <w:bCs/>
          <w:color w:val="1A1A1A"/>
          <w:sz w:val="18"/>
          <w:szCs w:val="18"/>
        </w:rPr>
        <w:t xml:space="preserve">Fintech-Domäne:  </w:t>
      </w:r>
      <w:r>
        <w:rPr>
          <w:color w:val="1A1A1A"/>
          <w:sz w:val="18"/>
          <w:szCs w:val="18"/>
        </w:rPr>
        <w:t xml:space="preserve">SEPA-Zahlungen, Betrugs- &amp; Risikobewertung, Compliance-Alerts, Audit-Logging, KYC-Workflows, Open-Banking-Consent, DORA-Resilienz</w:t>
      </w:r>
    </w:p>
    <w:p>
      <w:pPr>
        <w:spacing w:after="14"/>
      </w:pPr>
      <w:r>
        <w:rPr>
          <w:b/>
          <w:bCs/>
          <w:color w:val="1A1A1A"/>
          <w:sz w:val="18"/>
          <w:szCs w:val="18"/>
        </w:rPr>
        <w:t xml:space="preserve">Daten:  </w:t>
      </w:r>
      <w:r>
        <w:rPr>
          <w:color w:val="1A1A1A"/>
          <w:sz w:val="18"/>
          <w:szCs w:val="18"/>
        </w:rPr>
        <w:t xml:space="preserve">PostgreSQL, MySQL, MongoDB, Redis, komplexes SQL, Flyway, Python, Pandas</w:t>
      </w:r>
    </w:p>
    <w:p>
      <w:pPr>
        <w:spacing w:after="14"/>
      </w:pPr>
      <w:r>
        <w:rPr>
          <w:b/>
          <w:bCs/>
          <w:color w:val="1A1A1A"/>
          <w:sz w:val="18"/>
          <w:szCs w:val="18"/>
        </w:rPr>
        <w:t xml:space="preserve">Platform / DevOps:  </w:t>
      </w:r>
      <w:r>
        <w:rPr>
          <w:color w:val="1A1A1A"/>
          <w:sz w:val="18"/>
          <w:szCs w:val="18"/>
        </w:rPr>
        <w:t xml:space="preserve">Docker, Kafka/Redpanda, CI/CD (GitHub Actions, Jenkins), Azure, Git, Grafana, Observability</w:t>
      </w:r>
    </w:p>
    <w:p>
      <w:pPr>
        <w:spacing w:after="14"/>
      </w:pPr>
      <w:r>
        <w:rPr>
          <w:b/>
          <w:bCs/>
          <w:color w:val="1A1A1A"/>
          <w:sz w:val="18"/>
          <w:szCs w:val="18"/>
        </w:rPr>
        <w:t xml:space="preserve">Frontend:  </w:t>
      </w:r>
      <w:r>
        <w:rPr>
          <w:color w:val="1A1A1A"/>
          <w:sz w:val="18"/>
          <w:szCs w:val="18"/>
        </w:rPr>
        <w:t xml:space="preserve">React, TypeScript, Dashboard-Design</w:t>
      </w:r>
    </w:p>
    <w:p>
      <w:pPr>
        <w:pStyle w:val="Heading2"/>
        <w:pBdr>
          <w:bottom w:val="single" w:color="047857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047857"/>
          <w:spacing w:val="20"/>
          <w:sz w:val="21"/>
          <w:szCs w:val="21"/>
        </w:rPr>
        <w:t xml:space="preserve">ZERTIFIKATE</w:t>
      </w:r>
    </w:p>
    <w:p>
      <w:r>
        <w:rPr>
          <w:color w:val="1A1A1A"/>
          <w:sz w:val="18"/>
          <w:szCs w:val="18"/>
        </w:rPr>
        <w:t xml:space="preserve">IBM Data Science Professional (Coursera)</w:t>
      </w:r>
    </w:p>
    <w:p>
      <w:pPr>
        <w:pStyle w:val="Heading2"/>
        <w:pBdr>
          <w:bottom w:val="single" w:color="047857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047857"/>
          <w:spacing w:val="20"/>
          <w:sz w:val="21"/>
          <w:szCs w:val="21"/>
        </w:rPr>
        <w:t xml:space="preserve">SPRACHEN</w:t>
      </w:r>
    </w:p>
    <w:p>
      <w:r>
        <w:rPr>
          <w:color w:val="1A1A1A"/>
          <w:sz w:val="18"/>
          <w:szCs w:val="18"/>
        </w:rPr>
        <w:t xml:space="preserve">Englisch: Verhandlungssicher (C1+)  ·  Deutsch: A2 (aktiv im Aufbau)  ·  Tamil: Muttersprache</w:t>
      </w:r>
    </w:p>
    <w:sectPr>
      <w:pgSz w:w="12240" w:h="15840" w:orient="portrait"/>
      <w:pgMar w:top="720" w:right="1080" w:bottom="7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30" w:hanging="190"/>
      </w:pPr>
      <w:rPr>
        <w:color w:val="04785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40" w:before="130"/>
      <w:outlineLvl w:val="1"/>
    </w:pPr>
    <w:rPr>
      <w:rFonts w:ascii="Arial" w:cs="Arial" w:eastAsia="Arial" w:hAnsi="Arial"/>
      <w:b/>
      <w:bCs/>
      <w:color w:val="04785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3_radtdlrz5ioefws89n" Type="http://schemas.openxmlformats.org/officeDocument/2006/relationships/hyperlink" Target="mailto:Rohitsuryaas21@gmail.com" TargetMode="External"/><Relationship Id="rId0d1_fgmqircqz7jvuixiz" Type="http://schemas.openxmlformats.org/officeDocument/2006/relationships/hyperlink" Target="https://linkedin.com/in/rohitsuryaa" TargetMode="External"/><Relationship Id="rId37xvu9byetmuuznuavbvh" Type="http://schemas.openxmlformats.org/officeDocument/2006/relationships/hyperlink" Target="https://rohitsuryaa.com" TargetMode="External"/><Relationship Id="rId-ovtdmxz5zq-ao8lex7d4" Type="http://schemas.openxmlformats.org/officeDocument/2006/relationships/hyperlink" Target="https://github.com/srohitsuryaa21" TargetMode="External"/><Relationship Id="rId4gff0lsz4pe013qn4h_6x" Type="http://schemas.openxmlformats.org/officeDocument/2006/relationships/hyperlink" Target="https://github.com/srohitsuryaa21/FinGuard-PayOps" TargetMode="External"/><Relationship Id="rIdzj_7twazkxx_pmpcgpst7" Type="http://schemas.openxmlformats.org/officeDocument/2006/relationships/hyperlink" Target="https://doi.org/10.1109/ICSCSS60660.2024.10625462" TargetMode="External"/><Relationship Id="rIdphnt7fsrnlbnx9ew93gil" Type="http://schemas.openxmlformats.org/officeDocument/2006/relationships/hyperlink" Target="https://github.com/srohitsuryaa21/supply-chain-forecasting" TargetMode="External"/><Relationship Id="rIdmobnrngkkogtdbceimdxr" Type="http://schemas.openxmlformats.org/officeDocument/2006/relationships/hyperlink" Target="https://doi.org/10.1109/ICEMCE57940.2023.10433983" TargetMode="External"/><Relationship Id="rIddbzfhpqfsgbvaervbn3uf" Type="http://schemas.openxmlformats.org/officeDocument/2006/relationships/hyperlink" Target="https://doi.org/10.1109/ICSCSS60660.2024.10625462" TargetMode="External"/><Relationship Id="rIdcsvb_oy30xnuvfhfbe4fy" Type="http://schemas.openxmlformats.org/officeDocument/2006/relationships/hyperlink" Target="https://doi.org/10.1109/ICEMCE57940.2023.10433983" TargetMode="External"/><Relationship Id="rId7" Type="http://schemas.openxmlformats.org/officeDocument/2006/relationships/image" Target="media/44e1235f783757e44dbd3af848323cf8afa2cd6f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Rohit Suryaa Saravanan - Fintech CV</dc:title>
  <dc:creator>Rohit Suryaa Saravanan</dc:creator>
  <cp:lastModifiedBy>Un-named</cp:lastModifiedBy>
  <cp:revision>1</cp:revision>
  <dcterms:created xsi:type="dcterms:W3CDTF">2026-07-04T17:09:02.952Z</dcterms:created>
  <dcterms:modified xsi:type="dcterms:W3CDTF">2026-07-04T17:09:02.952Z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