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280"/>
        <w:gridCol w:w="1800"/>
      </w:tblGrid>
      <w:tr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38"/>
                <w:szCs w:val="38"/>
              </w:rPr>
              <w:t xml:space="preserve">Rohit Suryaa Saravanan</w:t>
            </w:r>
          </w:p>
          <w:p>
            <w:pPr>
              <w:spacing w:after="40"/>
            </w:pPr>
            <w:r>
              <w:rPr>
                <w:b/>
                <w:bCs/>
                <w:color w:val="047857"/>
                <w:sz w:val="22"/>
                <w:szCs w:val="22"/>
              </w:rPr>
              <w:t xml:space="preserve">Backend / Fintech Engineer</w:t>
            </w:r>
          </w:p>
          <w:p>
            <w:pPr>
              <w:spacing w:after="10"/>
            </w:pPr>
            <w:r>
              <w:rPr>
                <w:color w:val="555555"/>
                <w:sz w:val="18"/>
                <w:szCs w:val="18"/>
              </w:rPr>
              <w:t xml:space="preserve">Fulda, Hessen, Germany</w:t>
            </w:r>
            <w:r>
              <w:rPr>
                <w:color w:val="555555"/>
                <w:sz w:val="18"/>
                <w:szCs w:val="18"/>
              </w:rPr>
              <w:t xml:space="preserve">  ·  </w:t>
            </w:r>
            <w:r>
              <w:rPr>
                <w:color w:val="555555"/>
                <w:sz w:val="18"/>
                <w:szCs w:val="18"/>
              </w:rPr>
              <w:t xml:space="preserve">+49 160 96597803</w:t>
            </w:r>
            <w:r>
              <w:rPr>
                <w:color w:val="555555"/>
                <w:sz w:val="18"/>
                <w:szCs w:val="18"/>
              </w:rPr>
              <w:t xml:space="preserve">  ·  </w:t>
            </w:r>
            <w:hyperlink w:history="1" r:id="rIdkiqjycvfvzflescch-hbv">
              <w:r>
                <w:rPr>
                  <w:rStyle w:val="Hyperlink"/>
                  <w:sz w:val="18"/>
                  <w:szCs w:val="18"/>
                </w:rPr>
                <w:t xml:space="preserve">Rohitsuryaas21@gmail.com</w:t>
              </w:r>
            </w:hyperlink>
          </w:p>
          <w:p>
            <w:pPr>
              <w:spacing w:after="10"/>
            </w:pPr>
            <w:hyperlink w:history="1" r:id="rIdxakvm9jjjyox3yhlz9ytn">
              <w:r>
                <w:rPr>
                  <w:rStyle w:val="Hyperlink"/>
                  <w:sz w:val="18"/>
                  <w:szCs w:val="18"/>
                </w:rPr>
                <w:t xml:space="preserve">linkedin.com/in/rohitsuryaa</w:t>
              </w:r>
            </w:hyperlink>
            <w:r>
              <w:rPr>
                <w:color w:val="555555"/>
                <w:sz w:val="18"/>
                <w:szCs w:val="18"/>
              </w:rPr>
              <w:t xml:space="preserve">  ·  </w:t>
            </w:r>
            <w:hyperlink w:history="1" r:id="rId7b4nlbqobe62u1avecfx5">
              <w:r>
                <w:rPr>
                  <w:rStyle w:val="Hyperlink"/>
                  <w:sz w:val="18"/>
                  <w:szCs w:val="18"/>
                </w:rPr>
                <w:t xml:space="preserve">rohitsuryaa.com</w:t>
              </w:r>
            </w:hyperlink>
            <w:r>
              <w:rPr>
                <w:color w:val="555555"/>
                <w:sz w:val="18"/>
                <w:szCs w:val="18"/>
              </w:rPr>
              <w:t xml:space="preserve">  ·  </w:t>
            </w:r>
            <w:hyperlink w:history="1" r:id="rIddnreipdbdkvtfkor1fmgk">
              <w:r>
                <w:rPr>
                  <w:rStyle w:val="Hyperlink"/>
                  <w:sz w:val="18"/>
                  <w:szCs w:val="18"/>
                </w:rPr>
                <w:t xml:space="preserve">github.com/srohitsuryaa21</w:t>
              </w:r>
            </w:hyperlink>
          </w:p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Available from 15 July 2026</w:t>
            </w:r>
            <w:r>
              <w:rPr>
                <w:color w:val="555555"/>
                <w:sz w:val="18"/>
                <w:szCs w:val="18"/>
              </w:rPr>
              <w:t xml:space="preserve">  ·  </w:t>
            </w:r>
            <w:r>
              <w:rPr>
                <w:color w:val="1A1A1A"/>
                <w:sz w:val="18"/>
                <w:szCs w:val="18"/>
              </w:rPr>
              <w:t xml:space="preserve">Open to relocating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jc w:val="right"/>
            </w:pPr>
            <w:r>
              <w:drawing>
                <wp:inline distT="0" distB="0" distL="0" distR="0">
                  <wp:extent cx="914400" cy="1143000"/>
                  <wp:effectExtent t="0" r="0" b="0" l="0"/>
                  <wp:docPr id="1" name="portrait" descr="Portrait" title="Rohit Suryaa Saravan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pBdr>
          <w:bottom w:val="single" w:color="047857" w:sz="6" w:space="2"/>
        </w:pBdr>
        <w:spacing w:after="40" w:before="150"/>
      </w:pPr>
      <w:r>
        <w:rPr>
          <w:rFonts w:ascii="Arial" w:cs="Arial" w:eastAsia="Arial" w:hAnsi="Arial"/>
          <w:b/>
          <w:bCs/>
          <w:color w:val="047857"/>
          <w:spacing w:val="20"/>
          <w:sz w:val="21"/>
          <w:szCs w:val="21"/>
        </w:rPr>
        <w:t xml:space="preserve">SUMMARY</w:t>
      </w:r>
    </w:p>
    <w:p>
      <w:pPr>
        <w:spacing w:after="20"/>
      </w:pPr>
      <w:r>
        <w:rPr>
          <w:color w:val="1A1A1A"/>
          <w:sz w:val="19"/>
          <w:szCs w:val="19"/>
        </w:rPr>
        <w:t xml:space="preserve">Backend engineer building reliable, auditable payment and risk systems for fintech. A year of production software engineering (REST APIs, SQL, CI/CD) plus FinGuard PayOps — a SEPA-style payment platform with fraud and risk scoring, compliance alerts, analyst review, and full audit trails. MSc Data Science adds data-driven decisioning and explainable risk. Targeting German and EU fintech, payments, and regtech. English fluent (C1+); German A2 and actively improving.</w:t>
      </w:r>
    </w:p>
    <w:p>
      <w:pPr>
        <w:pStyle w:val="Heading2"/>
        <w:pBdr>
          <w:bottom w:val="single" w:color="047857" w:sz="6" w:space="2"/>
        </w:pBdr>
        <w:spacing w:after="40" w:before="150"/>
      </w:pPr>
      <w:r>
        <w:rPr>
          <w:rFonts w:ascii="Arial" w:cs="Arial" w:eastAsia="Arial" w:hAnsi="Arial"/>
          <w:b/>
          <w:bCs/>
          <w:color w:val="047857"/>
          <w:spacing w:val="20"/>
          <w:sz w:val="21"/>
          <w:szCs w:val="21"/>
        </w:rPr>
        <w:t xml:space="preserve">EXPERIENCE</w:t>
      </w:r>
    </w:p>
    <w:p>
      <w:pPr>
        <w:tabs>
          <w:tab w:val="right" w:pos="10080"/>
        </w:tabs>
        <w:spacing w:after="0" w:before="70"/>
      </w:pPr>
      <w:r>
        <w:rPr>
          <w:b/>
          <w:bCs/>
          <w:color w:val="1A1A1A"/>
          <w:sz w:val="20"/>
          <w:szCs w:val="20"/>
        </w:rPr>
        <w:t xml:space="preserve">Associate Software Developer — EigenSecure (Remote, USA)</w:t>
      </w:r>
      <w:r>
        <w:rPr>
          <w:i/>
          <w:iCs/>
          <w:color w:val="555555"/>
          <w:sz w:val="18"/>
          <w:szCs w:val="18"/>
        </w:rPr>
        <w:t xml:space="preserve">	Mar 2024 – Apr 2025</w:t>
      </w:r>
    </w:p>
    <w:p>
      <w:pPr>
        <w:spacing w:after="10"/>
      </w:pPr>
    </w:p>
    <w:p>
      <w:pPr>
        <w:pStyle w:val="ListParagraph"/>
        <w:numPr>
          <w:ilvl w:val="0"/>
          <w:numId w:val="2"/>
        </w:numPr>
        <w:spacing w:after="16"/>
      </w:pPr>
      <w:r>
        <w:rPr>
          <w:color w:val="1A1A1A"/>
          <w:sz w:val="19"/>
          <w:szCs w:val="19"/>
        </w:rPr>
        <w:t xml:space="preserve">Built production backend services and RESTful APIs on an Agile team across MySQL, PostgreSQL, and MongoDB — including access control, evidence workflows, and compliance-style data.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color w:val="1A1A1A"/>
          <w:sz w:val="19"/>
          <w:szCs w:val="19"/>
        </w:rPr>
        <w:t xml:space="preserve">Optimised SQL queries, data workflows, and CI/CD pipelines for reliable deployments and traceable audit trails — the operational discipline fintech systems require.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color w:val="1A1A1A"/>
          <w:sz w:val="19"/>
          <w:szCs w:val="19"/>
        </w:rPr>
        <w:t xml:space="preserve">Translated security and business requirements into working systems and communicated trade-offs to technical and product stakeholders.</w:t>
      </w:r>
    </w:p>
    <w:p>
      <w:pPr>
        <w:pStyle w:val="Heading2"/>
        <w:pBdr>
          <w:bottom w:val="single" w:color="047857" w:sz="6" w:space="2"/>
        </w:pBdr>
        <w:spacing w:after="40" w:before="150"/>
      </w:pPr>
      <w:r>
        <w:rPr>
          <w:rFonts w:ascii="Arial" w:cs="Arial" w:eastAsia="Arial" w:hAnsi="Arial"/>
          <w:b/>
          <w:bCs/>
          <w:color w:val="047857"/>
          <w:spacing w:val="20"/>
          <w:sz w:val="21"/>
          <w:szCs w:val="21"/>
        </w:rPr>
        <w:t xml:space="preserve">SELECTED PROJECTS</w:t>
      </w:r>
    </w:p>
    <w:p>
      <w:pPr>
        <w:tabs>
          <w:tab w:val="right" w:pos="10080"/>
        </w:tabs>
        <w:spacing w:after="20" w:before="90"/>
      </w:pPr>
      <w:r>
        <w:rPr>
          <w:b/>
          <w:bCs/>
          <w:color w:val="1A1A1A"/>
          <w:sz w:val="20"/>
          <w:szCs w:val="20"/>
        </w:rPr>
        <w:t xml:space="preserve">FinGuard PayOps — Fintech Payment Risk &amp; Compliance</w:t>
      </w:r>
      <w:r>
        <w:rPr>
          <w:i/>
          <w:iCs/>
          <w:color w:val="555555"/>
          <w:sz w:val="18"/>
          <w:szCs w:val="18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color w:val="1A1A1A"/>
          <w:sz w:val="19"/>
          <w:szCs w:val="19"/>
        </w:rPr>
        <w:t xml:space="preserve">A production-style German/EU payment operations platform: SEPA-style payment lifecycle, rule-based fraud and risk scoring with high-risk reasons, compliance alert case management, and an analyst approve/reject workflow.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color w:val="1A1A1A"/>
          <w:sz w:val="19"/>
          <w:szCs w:val="19"/>
        </w:rPr>
        <w:t xml:space="preserve">Full audit logging for every decision, plus a DORA-style resilience/incident dashboard and clean, observable architecture.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b/>
          <w:bCs/>
          <w:color w:val="1A1A1A"/>
          <w:sz w:val="18"/>
          <w:szCs w:val="18"/>
        </w:rPr>
        <w:t xml:space="preserve">Stack: </w:t>
      </w:r>
      <w:r>
        <w:rPr>
          <w:i/>
          <w:iCs/>
          <w:color w:val="555555"/>
          <w:sz w:val="18"/>
          <w:szCs w:val="18"/>
        </w:rPr>
        <w:t xml:space="preserve">Java 21, Spring Boot 3, PostgreSQL, Redis, Kafka, React, TypeScript, Docker</w:t>
      </w:r>
      <w:r>
        <w:rPr>
          <w:color w:val="555555"/>
          <w:sz w:val="18"/>
          <w:szCs w:val="18"/>
        </w:rPr>
        <w:t xml:space="preserve">  ·  </w:t>
      </w:r>
      <w:hyperlink w:history="1" r:id="rIdvaxwaw6bx7duwpxmdflzg">
        <w:r>
          <w:rPr>
            <w:rStyle w:val="Hyperlink"/>
            <w:sz w:val="18"/>
            <w:szCs w:val="18"/>
          </w:rPr>
          <w:t xml:space="preserve">github.com/srohitsuryaa21/FinGuard-PayOps</w:t>
        </w:r>
      </w:hyperlink>
    </w:p>
    <w:p>
      <w:pPr>
        <w:tabs>
          <w:tab w:val="right" w:pos="10080"/>
        </w:tabs>
        <w:spacing w:after="20" w:before="90"/>
      </w:pPr>
      <w:r>
        <w:rPr>
          <w:b/>
          <w:bCs/>
          <w:color w:val="1A1A1A"/>
          <w:sz w:val="20"/>
          <w:szCs w:val="20"/>
        </w:rPr>
        <w:t xml:space="preserve">DeFi Farmer Platform — Blockchain Finance (IEEE)</w:t>
      </w:r>
      <w:r>
        <w:rPr>
          <w:i/>
          <w:iCs/>
          <w:color w:val="555555"/>
          <w:sz w:val="18"/>
          <w:szCs w:val="18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color w:val="1A1A1A"/>
          <w:sz w:val="19"/>
          <w:szCs w:val="19"/>
        </w:rPr>
        <w:t xml:space="preserve">A transparent agricultural finance system using smart contracts to automate loans, payments, insurance, and supply-chain traceability for smallholder farmers.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color w:val="1A1A1A"/>
          <w:sz w:val="19"/>
          <w:szCs w:val="19"/>
        </w:rPr>
        <w:t xml:space="preserve">Built Ethereum contracts with a Web3.py backend and local Ganache validation. Peer-reviewed IEEE publication.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b/>
          <w:bCs/>
          <w:color w:val="1A1A1A"/>
          <w:sz w:val="18"/>
          <w:szCs w:val="18"/>
        </w:rPr>
        <w:t xml:space="preserve">Stack: </w:t>
      </w:r>
      <w:r>
        <w:rPr>
          <w:i/>
          <w:iCs/>
          <w:color w:val="555555"/>
          <w:sz w:val="18"/>
          <w:szCs w:val="18"/>
        </w:rPr>
        <w:t xml:space="preserve">Ethereum, Solidity, Web3.py, Ganache, smart contracts</w:t>
      </w:r>
      <w:r>
        <w:rPr>
          <w:color w:val="555555"/>
          <w:sz w:val="18"/>
          <w:szCs w:val="18"/>
        </w:rPr>
        <w:t xml:space="preserve">  ·  </w:t>
      </w:r>
      <w:hyperlink w:history="1" r:id="rId9k3wfvoiy_chdsa6hp2ay">
        <w:r>
          <w:rPr>
            <w:rStyle w:val="Hyperlink"/>
            <w:sz w:val="18"/>
            <w:szCs w:val="18"/>
          </w:rPr>
          <w:t xml:space="preserve">DOI: 10.1109/ICSCSS60660.2024.10625462</w:t>
        </w:r>
      </w:hyperlink>
    </w:p>
    <w:p>
      <w:pPr>
        <w:tabs>
          <w:tab w:val="right" w:pos="10080"/>
        </w:tabs>
        <w:spacing w:after="20" w:before="90"/>
      </w:pPr>
      <w:r>
        <w:rPr>
          <w:b/>
          <w:bCs/>
          <w:color w:val="1A1A1A"/>
          <w:sz w:val="20"/>
          <w:szCs w:val="20"/>
        </w:rPr>
        <w:t xml:space="preserve">Supply Chain Intelligence — Risk &amp; Forecasting</w:t>
      </w:r>
      <w:r>
        <w:rPr>
          <w:i/>
          <w:iCs/>
          <w:color w:val="555555"/>
          <w:sz w:val="18"/>
          <w:szCs w:val="18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color w:val="1A1A1A"/>
          <w:sz w:val="19"/>
          <w:szCs w:val="19"/>
        </w:rPr>
        <w:t xml:space="preserve">End-to-end analytics pipeline over 110,123 transactions: SARIMA forecasting at sub-20% MAPE, inventory optimisation, and seller-risk scoring for 881 sellers, with a decision dashboard.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b/>
          <w:bCs/>
          <w:color w:val="1A1A1A"/>
          <w:sz w:val="18"/>
          <w:szCs w:val="18"/>
        </w:rPr>
        <w:t xml:space="preserve">Stack: </w:t>
      </w:r>
      <w:r>
        <w:rPr>
          <w:i/>
          <w:iCs/>
          <w:color w:val="555555"/>
          <w:sz w:val="18"/>
          <w:szCs w:val="18"/>
        </w:rPr>
        <w:t xml:space="preserve">Python, Pandas, SARIMA, XGBoost, Plotly Dash, SQL</w:t>
      </w:r>
      <w:r>
        <w:rPr>
          <w:color w:val="555555"/>
          <w:sz w:val="18"/>
          <w:szCs w:val="18"/>
        </w:rPr>
        <w:t xml:space="preserve">  ·  </w:t>
      </w:r>
      <w:hyperlink w:history="1" r:id="rIdlhi3kkalq0uwzu58vdgbw">
        <w:r>
          <w:rPr>
            <w:rStyle w:val="Hyperlink"/>
            <w:sz w:val="18"/>
            <w:szCs w:val="18"/>
          </w:rPr>
          <w:t xml:space="preserve">github.com/srohitsuryaa21/supply-chain-forecasting</w:t>
        </w:r>
      </w:hyperlink>
    </w:p>
    <w:p>
      <w:pPr>
        <w:tabs>
          <w:tab w:val="right" w:pos="10080"/>
        </w:tabs>
        <w:spacing w:after="20" w:before="90"/>
      </w:pPr>
      <w:r>
        <w:rPr>
          <w:b/>
          <w:bCs/>
          <w:color w:val="1A1A1A"/>
          <w:sz w:val="20"/>
          <w:szCs w:val="20"/>
        </w:rPr>
        <w:t xml:space="preserve">Windmill Pitch Prediction — Applied ML (IEEE)</w:t>
      </w:r>
      <w:r>
        <w:rPr>
          <w:i/>
          <w:iCs/>
          <w:color w:val="555555"/>
          <w:sz w:val="18"/>
          <w:szCs w:val="18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color w:val="1A1A1A"/>
          <w:sz w:val="19"/>
          <w:szCs w:val="19"/>
        </w:rPr>
        <w:t xml:space="preserve">Data-driven decisioning: XGBoost with a residual-correction layer over turbine data, 96% accuracy, error 8.6% -&gt; 2.3%. Peer-reviewed IEEE publication.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b/>
          <w:bCs/>
          <w:color w:val="1A1A1A"/>
          <w:sz w:val="18"/>
          <w:szCs w:val="18"/>
        </w:rPr>
        <w:t xml:space="preserve">Stack: </w:t>
      </w:r>
      <w:r>
        <w:rPr>
          <w:i/>
          <w:iCs/>
          <w:color w:val="555555"/>
          <w:sz w:val="18"/>
          <w:szCs w:val="18"/>
        </w:rPr>
        <w:t xml:space="preserve">Python, XGBoost, time-series, statistical evaluation</w:t>
      </w:r>
      <w:r>
        <w:rPr>
          <w:color w:val="555555"/>
          <w:sz w:val="18"/>
          <w:szCs w:val="18"/>
        </w:rPr>
        <w:t xml:space="preserve">  ·  </w:t>
      </w:r>
      <w:hyperlink w:history="1" r:id="rIdjbvpe6hvxdk9f6dj2d2va">
        <w:r>
          <w:rPr>
            <w:rStyle w:val="Hyperlink"/>
            <w:sz w:val="18"/>
            <w:szCs w:val="18"/>
          </w:rPr>
          <w:t xml:space="preserve">DOI: 10.1109/ICEMCE57940.2023.10433983</w:t>
        </w:r>
      </w:hyperlink>
    </w:p>
    <w:p>
      <w:pPr>
        <w:pStyle w:val="Heading2"/>
        <w:pBdr>
          <w:bottom w:val="single" w:color="047857" w:sz="6" w:space="2"/>
        </w:pBdr>
        <w:spacing w:after="40" w:before="150"/>
      </w:pPr>
      <w:r>
        <w:rPr>
          <w:rFonts w:ascii="Arial" w:cs="Arial" w:eastAsia="Arial" w:hAnsi="Arial"/>
          <w:b/>
          <w:bCs/>
          <w:color w:val="047857"/>
          <w:spacing w:val="20"/>
          <w:sz w:val="21"/>
          <w:szCs w:val="21"/>
        </w:rPr>
        <w:t xml:space="preserve">PUBLICATIONS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b/>
          <w:bCs/>
          <w:color w:val="1A1A1A"/>
          <w:sz w:val="19"/>
          <w:szCs w:val="19"/>
        </w:rPr>
        <w:t xml:space="preserve">DeFi Farmer Platform</w:t>
      </w:r>
      <w:r>
        <w:rPr>
          <w:color w:val="1A1A1A"/>
          <w:sz w:val="19"/>
          <w:szCs w:val="19"/>
        </w:rPr>
        <w:t xml:space="preserve"> — IEEE ICSCSS 2024 — blockchain-based agricultural finance.  </w:t>
      </w:r>
      <w:hyperlink w:history="1" r:id="rId-f5qvjuqlf2ohfydhrxs8">
        <w:r>
          <w:rPr>
            <w:rStyle w:val="Hyperlink"/>
            <w:sz w:val="18"/>
            <w:szCs w:val="18"/>
          </w:rPr>
          <w:t xml:space="preserve">DOI: 10.1109/ICSCSS60660.2024.10625462</w:t>
        </w:r>
      </w:hyperlink>
    </w:p>
    <w:p>
      <w:pPr>
        <w:pStyle w:val="ListParagraph"/>
        <w:numPr>
          <w:ilvl w:val="0"/>
          <w:numId w:val="2"/>
        </w:numPr>
        <w:spacing w:after="16"/>
      </w:pPr>
      <w:r>
        <w:rPr>
          <w:b/>
          <w:bCs/>
          <w:color w:val="1A1A1A"/>
          <w:sz w:val="19"/>
          <w:szCs w:val="19"/>
        </w:rPr>
        <w:t xml:space="preserve">Windmill Pitch Prediction with Adaptive Control</w:t>
      </w:r>
      <w:r>
        <w:rPr>
          <w:color w:val="1A1A1A"/>
          <w:sz w:val="19"/>
          <w:szCs w:val="19"/>
        </w:rPr>
        <w:t xml:space="preserve"> — IEEE ICEMCE 2023 — applied machine learning.  </w:t>
      </w:r>
      <w:hyperlink w:history="1" r:id="rIdqob2_kmeu0shkstqoqeoa">
        <w:r>
          <w:rPr>
            <w:rStyle w:val="Hyperlink"/>
            <w:sz w:val="18"/>
            <w:szCs w:val="18"/>
          </w:rPr>
          <w:t xml:space="preserve">DOI: 10.1109/ICEMCE57940.2023.10433983</w:t>
        </w:r>
      </w:hyperlink>
    </w:p>
    <w:p>
      <w:pPr>
        <w:pStyle w:val="Heading2"/>
        <w:pBdr>
          <w:bottom w:val="single" w:color="047857" w:sz="6" w:space="2"/>
        </w:pBdr>
        <w:spacing w:after="40" w:before="150"/>
      </w:pPr>
      <w:r>
        <w:rPr>
          <w:rFonts w:ascii="Arial" w:cs="Arial" w:eastAsia="Arial" w:hAnsi="Arial"/>
          <w:b/>
          <w:bCs/>
          <w:color w:val="047857"/>
          <w:spacing w:val="20"/>
          <w:sz w:val="21"/>
          <w:szCs w:val="21"/>
        </w:rPr>
        <w:t xml:space="preserve">EDUCATION</w:t>
      </w:r>
    </w:p>
    <w:p>
      <w:pPr>
        <w:tabs>
          <w:tab w:val="right" w:pos="10080"/>
        </w:tabs>
        <w:spacing w:after="0" w:before="70"/>
      </w:pPr>
      <w:r>
        <w:rPr>
          <w:b/>
          <w:bCs/>
          <w:color w:val="1A1A1A"/>
          <w:sz w:val="20"/>
          <w:szCs w:val="20"/>
        </w:rPr>
        <w:t xml:space="preserve">MSc Data Science — Hochschule Fulda, Germany</w:t>
      </w:r>
      <w:r>
        <w:rPr>
          <w:i/>
          <w:iCs/>
          <w:color w:val="555555"/>
          <w:sz w:val="18"/>
          <w:szCs w:val="18"/>
        </w:rPr>
        <w:t xml:space="preserve">	Apr 2025 – Present</w:t>
      </w:r>
    </w:p>
    <w:p>
      <w:pPr>
        <w:spacing w:after="20"/>
      </w:pPr>
      <w:r>
        <w:rPr>
          <w:i/>
          <w:iCs/>
          <w:color w:val="555555"/>
          <w:sz w:val="18"/>
          <w:szCs w:val="18"/>
        </w:rPr>
        <w:t xml:space="preserve">Focus: Big Data &amp; Distributed Systems, Data Mining &amp; Predictive Analytics, Process Mining, Research Methods, Data Ethics &amp; GDPR.</w:t>
      </w:r>
    </w:p>
    <w:p>
      <w:pPr>
        <w:tabs>
          <w:tab w:val="right" w:pos="10080"/>
        </w:tabs>
        <w:spacing w:after="0" w:before="70"/>
      </w:pPr>
      <w:r>
        <w:rPr>
          <w:b/>
          <w:bCs/>
          <w:color w:val="1A1A1A"/>
          <w:sz w:val="20"/>
          <w:szCs w:val="20"/>
        </w:rPr>
        <w:t xml:space="preserve">BTech Big Data Computer Science — SRM University, Chennai, India</w:t>
      </w:r>
      <w:r>
        <w:rPr>
          <w:i/>
          <w:iCs/>
          <w:color w:val="555555"/>
          <w:sz w:val="18"/>
          <w:szCs w:val="18"/>
        </w:rPr>
        <w:t xml:space="preserve">	Aug 2020 – Nov 2024</w:t>
      </w:r>
    </w:p>
    <w:p>
      <w:pPr>
        <w:spacing w:after="20"/>
      </w:pPr>
      <w:r>
        <w:rPr>
          <w:i/>
          <w:iCs/>
          <w:color w:val="555555"/>
          <w:sz w:val="18"/>
          <w:szCs w:val="18"/>
        </w:rPr>
        <w:t xml:space="preserve">Focus: Big Data systems, Distributed Systems, Algorithms, Databases, Software Engineering.</w:t>
      </w:r>
    </w:p>
    <w:p>
      <w:pPr>
        <w:pStyle w:val="Heading2"/>
        <w:pBdr>
          <w:bottom w:val="single" w:color="047857" w:sz="6" w:space="2"/>
        </w:pBdr>
        <w:spacing w:after="40" w:before="150"/>
      </w:pPr>
      <w:r>
        <w:rPr>
          <w:rFonts w:ascii="Arial" w:cs="Arial" w:eastAsia="Arial" w:hAnsi="Arial"/>
          <w:b/>
          <w:bCs/>
          <w:color w:val="047857"/>
          <w:spacing w:val="20"/>
          <w:sz w:val="21"/>
          <w:szCs w:val="21"/>
        </w:rPr>
        <w:t xml:space="preserve">TECHNICAL SKILLS</w:t>
      </w:r>
    </w:p>
    <w:p>
      <w:pPr>
        <w:spacing w:after="14"/>
      </w:pPr>
      <w:r>
        <w:rPr>
          <w:b/>
          <w:bCs/>
          <w:color w:val="1A1A1A"/>
          <w:sz w:val="18"/>
          <w:szCs w:val="18"/>
        </w:rPr>
        <w:t xml:space="preserve">Backend:  </w:t>
      </w:r>
      <w:r>
        <w:rPr>
          <w:color w:val="1A1A1A"/>
          <w:sz w:val="18"/>
          <w:szCs w:val="18"/>
        </w:rPr>
        <w:t xml:space="preserve">Java 21, Spring Boot, C#, ASP.NET Core, REST APIs, JWT, service/layered architecture</w:t>
      </w:r>
    </w:p>
    <w:p>
      <w:pPr>
        <w:spacing w:after="14"/>
      </w:pPr>
      <w:r>
        <w:rPr>
          <w:b/>
          <w:bCs/>
          <w:color w:val="1A1A1A"/>
          <w:sz w:val="18"/>
          <w:szCs w:val="18"/>
        </w:rPr>
        <w:t xml:space="preserve">Fintech Domain:  </w:t>
      </w:r>
      <w:r>
        <w:rPr>
          <w:color w:val="1A1A1A"/>
          <w:sz w:val="18"/>
          <w:szCs w:val="18"/>
        </w:rPr>
        <w:t xml:space="preserve">SEPA-style payments, fraud &amp; risk scoring, compliance alerts, audit logging, KYC-aware workflows, open-banking consent, DORA-style resilience</w:t>
      </w:r>
    </w:p>
    <w:p>
      <w:pPr>
        <w:spacing w:after="14"/>
      </w:pPr>
      <w:r>
        <w:rPr>
          <w:b/>
          <w:bCs/>
          <w:color w:val="1A1A1A"/>
          <w:sz w:val="18"/>
          <w:szCs w:val="18"/>
        </w:rPr>
        <w:t xml:space="preserve">Data:  </w:t>
      </w:r>
      <w:r>
        <w:rPr>
          <w:color w:val="1A1A1A"/>
          <w:sz w:val="18"/>
          <w:szCs w:val="18"/>
        </w:rPr>
        <w:t xml:space="preserve">PostgreSQL, MySQL, MongoDB, Redis, complex SQL, Flyway, Python, Pandas</w:t>
      </w:r>
    </w:p>
    <w:p>
      <w:pPr>
        <w:spacing w:after="14"/>
      </w:pPr>
      <w:r>
        <w:rPr>
          <w:b/>
          <w:bCs/>
          <w:color w:val="1A1A1A"/>
          <w:sz w:val="18"/>
          <w:szCs w:val="18"/>
        </w:rPr>
        <w:t xml:space="preserve">Platform / DevOps:  </w:t>
      </w:r>
      <w:r>
        <w:rPr>
          <w:color w:val="1A1A1A"/>
          <w:sz w:val="18"/>
          <w:szCs w:val="18"/>
        </w:rPr>
        <w:t xml:space="preserve">Docker, Kafka/Redpanda, CI/CD (GitHub Actions, Jenkins), Azure, Git, Grafana, observability</w:t>
      </w:r>
    </w:p>
    <w:p>
      <w:pPr>
        <w:spacing w:after="14"/>
      </w:pPr>
      <w:r>
        <w:rPr>
          <w:b/>
          <w:bCs/>
          <w:color w:val="1A1A1A"/>
          <w:sz w:val="18"/>
          <w:szCs w:val="18"/>
        </w:rPr>
        <w:t xml:space="preserve">Frontend:  </w:t>
      </w:r>
      <w:r>
        <w:rPr>
          <w:color w:val="1A1A1A"/>
          <w:sz w:val="18"/>
          <w:szCs w:val="18"/>
        </w:rPr>
        <w:t xml:space="preserve">React, TypeScript, dashboard design</w:t>
      </w:r>
    </w:p>
    <w:p>
      <w:pPr>
        <w:pStyle w:val="Heading2"/>
        <w:pBdr>
          <w:bottom w:val="single" w:color="047857" w:sz="6" w:space="2"/>
        </w:pBdr>
        <w:spacing w:after="40" w:before="150"/>
      </w:pPr>
      <w:r>
        <w:rPr>
          <w:rFonts w:ascii="Arial" w:cs="Arial" w:eastAsia="Arial" w:hAnsi="Arial"/>
          <w:b/>
          <w:bCs/>
          <w:color w:val="047857"/>
          <w:spacing w:val="20"/>
          <w:sz w:val="21"/>
          <w:szCs w:val="21"/>
        </w:rPr>
        <w:t xml:space="preserve">CERTIFICATIONS</w:t>
      </w:r>
    </w:p>
    <w:p>
      <w:r>
        <w:rPr>
          <w:color w:val="1A1A1A"/>
          <w:sz w:val="18"/>
          <w:szCs w:val="18"/>
        </w:rPr>
        <w:t xml:space="preserve">IBM Data Science Professional (Coursera)</w:t>
      </w:r>
    </w:p>
    <w:p>
      <w:pPr>
        <w:pStyle w:val="Heading2"/>
        <w:pBdr>
          <w:bottom w:val="single" w:color="047857" w:sz="6" w:space="2"/>
        </w:pBdr>
        <w:spacing w:after="40" w:before="150"/>
      </w:pPr>
      <w:r>
        <w:rPr>
          <w:rFonts w:ascii="Arial" w:cs="Arial" w:eastAsia="Arial" w:hAnsi="Arial"/>
          <w:b/>
          <w:bCs/>
          <w:color w:val="047857"/>
          <w:spacing w:val="20"/>
          <w:sz w:val="21"/>
          <w:szCs w:val="21"/>
        </w:rPr>
        <w:t xml:space="preserve">LANGUAGES</w:t>
      </w:r>
    </w:p>
    <w:p>
      <w:r>
        <w:rPr>
          <w:color w:val="1A1A1A"/>
          <w:sz w:val="18"/>
          <w:szCs w:val="18"/>
        </w:rPr>
        <w:t xml:space="preserve">English: Fluent (C1+)  ·  German: A2 (actively improving)  ·  Tamil: Native</w:t>
      </w:r>
    </w:p>
    <w:sectPr>
      <w:pgSz w:w="12240" w:h="15840" w:orient="portrait"/>
      <w:pgMar w:top="720" w:right="1080" w:bottom="7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30" w:hanging="190"/>
      </w:pPr>
      <w:rPr>
        <w:color w:val="04785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40" w:before="130"/>
      <w:outlineLvl w:val="1"/>
    </w:pPr>
    <w:rPr>
      <w:rFonts w:ascii="Arial" w:cs="Arial" w:eastAsia="Arial" w:hAnsi="Arial"/>
      <w:b/>
      <w:bCs/>
      <w:color w:val="047857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iqjycvfvzflescch-hbv" Type="http://schemas.openxmlformats.org/officeDocument/2006/relationships/hyperlink" Target="mailto:Rohitsuryaas21@gmail.com" TargetMode="External"/><Relationship Id="rIdxakvm9jjjyox3yhlz9ytn" Type="http://schemas.openxmlformats.org/officeDocument/2006/relationships/hyperlink" Target="https://linkedin.com/in/rohitsuryaa" TargetMode="External"/><Relationship Id="rId7b4nlbqobe62u1avecfx5" Type="http://schemas.openxmlformats.org/officeDocument/2006/relationships/hyperlink" Target="https://rohitsuryaa.com" TargetMode="External"/><Relationship Id="rIddnreipdbdkvtfkor1fmgk" Type="http://schemas.openxmlformats.org/officeDocument/2006/relationships/hyperlink" Target="https://github.com/srohitsuryaa21" TargetMode="External"/><Relationship Id="rIdvaxwaw6bx7duwpxmdflzg" Type="http://schemas.openxmlformats.org/officeDocument/2006/relationships/hyperlink" Target="https://github.com/srohitsuryaa21/FinGuard-PayOps" TargetMode="External"/><Relationship Id="rId9k3wfvoiy_chdsa6hp2ay" Type="http://schemas.openxmlformats.org/officeDocument/2006/relationships/hyperlink" Target="https://doi.org/10.1109/ICSCSS60660.2024.10625462" TargetMode="External"/><Relationship Id="rIdlhi3kkalq0uwzu58vdgbw" Type="http://schemas.openxmlformats.org/officeDocument/2006/relationships/hyperlink" Target="https://github.com/srohitsuryaa21/supply-chain-forecasting" TargetMode="External"/><Relationship Id="rIdjbvpe6hvxdk9f6dj2d2va" Type="http://schemas.openxmlformats.org/officeDocument/2006/relationships/hyperlink" Target="https://doi.org/10.1109/ICEMCE57940.2023.10433983" TargetMode="External"/><Relationship Id="rId-f5qvjuqlf2ohfydhrxs8" Type="http://schemas.openxmlformats.org/officeDocument/2006/relationships/hyperlink" Target="https://doi.org/10.1109/ICSCSS60660.2024.10625462" TargetMode="External"/><Relationship Id="rIdqob2_kmeu0shkstqoqeoa" Type="http://schemas.openxmlformats.org/officeDocument/2006/relationships/hyperlink" Target="https://doi.org/10.1109/ICEMCE57940.2023.10433983" TargetMode="External"/><Relationship Id="rId7" Type="http://schemas.openxmlformats.org/officeDocument/2006/relationships/image" Target="media/44e1235f783757e44dbd3af848323cf8afa2cd6f.jp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Rohit Suryaa Saravanan - Fintech CV</dc:title>
  <dc:creator>Rohit Suryaa Saravanan</dc:creator>
  <cp:lastModifiedBy>Un-named</cp:lastModifiedBy>
  <cp:revision>1</cp:revision>
  <dcterms:created xsi:type="dcterms:W3CDTF">2026-07-04T17:09:02.891Z</dcterms:created>
  <dcterms:modified xsi:type="dcterms:W3CDTF">2026-07-04T17:09:02.895Z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