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procedimiento reglas</w:t>
      </w:r>
    </w:p>
    <w:p>
      <w:r>
        <w:t>Documento editable de prueba para validar cambios de cargos responsables en tablas y parrafos.</w:t>
      </w:r>
    </w:p>
    <w:p>
      <w:pPr>
        <w:pStyle w:val="Heading2"/>
      </w:pPr>
      <w:r>
        <w:t>1. Control operacional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Instruccion</w:t>
            </w:r>
          </w:p>
        </w:tc>
        <w:tc>
          <w:tcPr>
            <w:tcW w:type="dxa" w:w="2160"/>
          </w:tcPr>
          <w:p>
            <w:r>
              <w:t>Resultado esperado</w:t>
            </w:r>
          </w:p>
        </w:tc>
      </w:tr>
      <w:tr>
        <w:tc>
          <w:tcPr>
            <w:tcW w:type="dxa" w:w="2160"/>
          </w:tcPr>
          <w:p>
            <w:r>
              <w:t>Inspeccion inicial</w:t>
            </w:r>
          </w:p>
        </w:tc>
        <w:tc>
          <w:tcPr>
            <w:tcW w:type="dxa" w:w="2160"/>
          </w:tcPr>
          <w:p>
            <w:r>
              <w:t>operador</w:t>
            </w:r>
          </w:p>
        </w:tc>
        <w:tc>
          <w:tcPr>
            <w:tcW w:type="dxa" w:w="2160"/>
          </w:tcPr>
          <w:p>
            <w:r>
              <w:t>El operador debe verificar el estado de las correas antes del arranque.</w:t>
            </w:r>
          </w:p>
        </w:tc>
        <w:tc>
          <w:tcPr>
            <w:tcW w:type="dxa" w:w="2160"/>
          </w:tcPr>
          <w:p>
            <w:r>
              <w:t>Registro completado.</w:t>
            </w:r>
          </w:p>
        </w:tc>
      </w:tr>
      <w:tr>
        <w:tc>
          <w:tcPr>
            <w:tcW w:type="dxa" w:w="2160"/>
          </w:tcPr>
          <w:p>
            <w:r>
              <w:t>Cambio de turno</w:t>
            </w:r>
          </w:p>
        </w:tc>
        <w:tc>
          <w:tcPr>
            <w:tcW w:type="dxa" w:w="2160"/>
          </w:tcPr>
          <w:p>
            <w:r>
              <w:t>operadora de planta</w:t>
            </w:r>
          </w:p>
        </w:tc>
        <w:tc>
          <w:tcPr>
            <w:tcW w:type="dxa" w:w="2160"/>
          </w:tcPr>
          <w:p>
            <w:r>
              <w:t>La operadora de planta informa desviaciones al jefe de turno.</w:t>
            </w:r>
          </w:p>
        </w:tc>
        <w:tc>
          <w:tcPr>
            <w:tcW w:type="dxa" w:w="2160"/>
          </w:tcPr>
          <w:p>
            <w:r>
              <w:t>Desviaciones comunicadas.</w:t>
            </w:r>
          </w:p>
        </w:tc>
      </w:tr>
      <w:tr>
        <w:tc>
          <w:tcPr>
            <w:tcW w:type="dxa" w:w="2160"/>
          </w:tcPr>
          <w:p>
            <w:r>
              <w:t>Ronda de terreno</w:t>
            </w:r>
          </w:p>
        </w:tc>
        <w:tc>
          <w:tcPr>
            <w:tcW w:type="dxa" w:w="2160"/>
          </w:tcPr>
          <w:p>
            <w:r>
              <w:t>operadores de terreno</w:t>
            </w:r>
          </w:p>
        </w:tc>
        <w:tc>
          <w:tcPr>
            <w:tcW w:type="dxa" w:w="2160"/>
          </w:tcPr>
          <w:p>
            <w:r>
              <w:t>Los operadores de terreno deben aislar el sector y reportar la condicion.</w:t>
            </w:r>
          </w:p>
        </w:tc>
        <w:tc>
          <w:tcPr>
            <w:tcW w:type="dxa" w:w="2160"/>
          </w:tcPr>
          <w:p>
            <w:r>
              <w:t>Sector controlado.</w:t>
            </w:r>
          </w:p>
        </w:tc>
      </w:tr>
      <w:tr>
        <w:tc>
          <w:tcPr>
            <w:tcW w:type="dxa" w:w="2160"/>
          </w:tcPr>
          <w:p>
            <w:r>
              <w:t>Aviso operacional</w:t>
            </w:r>
          </w:p>
        </w:tc>
        <w:tc>
          <w:tcPr>
            <w:tcW w:type="dxa" w:w="2160"/>
          </w:tcPr>
          <w:p>
            <w:r>
              <w:t>supervisor</w:t>
            </w:r>
          </w:p>
        </w:tc>
        <w:tc>
          <w:tcPr>
            <w:tcW w:type="dxa" w:w="2160"/>
          </w:tcPr>
          <w:p>
            <w:r>
              <w:t>Ante alarma critica se debe informar al operador de sala para coordinar acciones.</w:t>
            </w:r>
          </w:p>
        </w:tc>
        <w:tc>
          <w:tcPr>
            <w:tcW w:type="dxa" w:w="2160"/>
          </w:tcPr>
          <w:p>
            <w:r>
              <w:t>Aviso registrado.</w:t>
            </w:r>
          </w:p>
        </w:tc>
      </w:tr>
      <w:tr>
        <w:tc>
          <w:tcPr>
            <w:tcW w:type="dxa" w:w="2160"/>
          </w:tcPr>
          <w:p>
            <w:r>
              <w:t>Coordinacion segura</w:t>
            </w:r>
          </w:p>
        </w:tc>
        <w:tc>
          <w:tcPr>
            <w:tcW w:type="dxa" w:w="2160"/>
          </w:tcPr>
          <w:p>
            <w:r>
              <w:t>supervisor de operaciones</w:t>
            </w:r>
          </w:p>
        </w:tc>
        <w:tc>
          <w:tcPr>
            <w:tcW w:type="dxa" w:w="2160"/>
          </w:tcPr>
          <w:p>
            <w:r>
              <w:t>El supervisor de operaciones debe coordinar el ingreso al area restringida.</w:t>
            </w:r>
          </w:p>
        </w:tc>
        <w:tc>
          <w:tcPr>
            <w:tcW w:type="dxa" w:w="2160"/>
          </w:tcPr>
          <w:p>
            <w:r>
              <w:t>Ingreso controlado.</w:t>
            </w:r>
          </w:p>
        </w:tc>
      </w:tr>
      <w:tr>
        <w:tc>
          <w:tcPr>
            <w:tcW w:type="dxa" w:w="2160"/>
          </w:tcPr>
          <w:p>
            <w:r>
              <w:t>Comunicacion de evento</w:t>
            </w:r>
          </w:p>
        </w:tc>
        <w:tc>
          <w:tcPr>
            <w:tcW w:type="dxa" w:w="2160"/>
          </w:tcPr>
          <w:p>
            <w:r>
              <w:t>operador planta</w:t>
            </w:r>
          </w:p>
        </w:tc>
        <w:tc>
          <w:tcPr>
            <w:tcW w:type="dxa" w:w="2160"/>
          </w:tcPr>
          <w:p>
            <w:r>
              <w:t>El operador planta debe informar al supervisor de turno cualquier desviacion critica.</w:t>
            </w:r>
          </w:p>
        </w:tc>
        <w:tc>
          <w:tcPr>
            <w:tcW w:type="dxa" w:w="2160"/>
          </w:tcPr>
          <w:p>
            <w:r>
              <w:t>Evento comunicado.</w:t>
            </w:r>
          </w:p>
        </w:tc>
      </w:tr>
      <w:tr>
        <w:tc>
          <w:tcPr>
            <w:tcW w:type="dxa" w:w="2160"/>
          </w:tcPr>
          <w:p>
            <w:r>
              <w:t>Caso supervisor ya expandido</w:t>
            </w:r>
          </w:p>
        </w:tc>
        <w:tc>
          <w:tcPr>
            <w:tcW w:type="dxa" w:w="2160"/>
          </w:tcPr>
          <w:p>
            <w:r>
              <w:t>supervisor o Ejecutivos del Área</w:t>
            </w:r>
          </w:p>
        </w:tc>
        <w:tc>
          <w:tcPr>
            <w:tcW w:type="dxa" w:w="2160"/>
          </w:tcPr>
          <w:p>
            <w:r>
              <w:t>El supervisor o Ejecutivos del Área autoriza la continuidad de la tarea.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Supervisor exento</w:t>
            </w:r>
          </w:p>
        </w:tc>
        <w:tc>
          <w:tcPr>
            <w:tcW w:type="dxa" w:w="2160"/>
          </w:tcPr>
          <w:p>
            <w:r>
              <w:t>Supervisor Sala de Control</w:t>
            </w:r>
          </w:p>
        </w:tc>
        <w:tc>
          <w:tcPr>
            <w:tcW w:type="dxa" w:w="2160"/>
          </w:tcPr>
          <w:p>
            <w:r>
              <w:t>El Supervisor Sala de Control monitorea las variables desde CAS.</w:t>
            </w:r>
          </w:p>
        </w:tc>
        <w:tc>
          <w:tcPr>
            <w:tcW w:type="dxa" w:w="2160"/>
          </w:tcPr>
          <w:p>
            <w:r>
              <w:t>Sin cambio por excepcion.</w:t>
            </w:r>
          </w:p>
        </w:tc>
      </w:tr>
      <w:tr>
        <w:tc>
          <w:tcPr>
            <w:tcW w:type="dxa" w:w="2160"/>
          </w:tcPr>
          <w:p>
            <w:r>
              <w:t>Caso ya expandido</w:t>
            </w:r>
          </w:p>
        </w:tc>
        <w:tc>
          <w:tcPr>
            <w:tcW w:type="dxa" w:w="2160"/>
          </w:tcPr>
          <w:p>
            <w:r>
              <w:t>operador o personal designado por minera Spence</w:t>
            </w:r>
          </w:p>
        </w:tc>
        <w:tc>
          <w:tcPr>
            <w:tcW w:type="dxa" w:w="2160"/>
          </w:tcPr>
          <w:p>
            <w:r>
              <w:t>El operador o personal designado por minera Spence confirma la disponibilidad del equipo.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Alternativa existente</w:t>
            </w:r>
          </w:p>
        </w:tc>
        <w:tc>
          <w:tcPr>
            <w:tcW w:type="dxa" w:w="2160"/>
          </w:tcPr>
          <w:p>
            <w:r>
              <w:t>operador o mantenedor</w:t>
            </w:r>
          </w:p>
        </w:tc>
        <w:tc>
          <w:tcPr>
            <w:tcW w:type="dxa" w:w="2160"/>
          </w:tcPr>
          <w:p>
            <w:r>
              <w:t>El operador o mantenedor puede detener el equipo si observa condicion insegura.</w:t>
            </w:r>
          </w:p>
        </w:tc>
        <w:tc>
          <w:tcPr>
            <w:tcW w:type="dxa" w:w="2160"/>
          </w:tcPr>
          <w:p>
            <w:r>
              <w:t>Se envia a revision, sin duplicar.</w:t>
            </w:r>
          </w:p>
        </w:tc>
      </w:tr>
      <w:tr>
        <w:tc>
          <w:tcPr>
            <w:tcW w:type="dxa" w:w="2160"/>
          </w:tcPr>
          <w:p>
            <w:r>
              <w:t>Texto sin accion</w:t>
            </w:r>
          </w:p>
        </w:tc>
        <w:tc>
          <w:tcPr>
            <w:tcW w:type="dxa" w:w="2160"/>
          </w:tcPr>
          <w:p>
            <w:r>
              <w:t>Perfil del operador</w:t>
            </w:r>
          </w:p>
        </w:tc>
        <w:tc>
          <w:tcPr>
            <w:tcW w:type="dxa" w:w="2160"/>
          </w:tcPr>
          <w:p>
            <w:r>
              <w:t>Perfil del operador: competencias generales del cargo.</w:t>
            </w:r>
          </w:p>
        </w:tc>
        <w:tc>
          <w:tcPr>
            <w:tcW w:type="dxa" w:w="2160"/>
          </w:tcPr>
          <w:p>
            <w:r>
              <w:t>Sin cambio automatico.</w:t>
            </w:r>
          </w:p>
        </w:tc>
      </w:tr>
      <w:tr>
        <w:tc>
          <w:tcPr>
            <w:tcW w:type="dxa" w:w="2160"/>
          </w:tcPr>
          <w:p>
            <w:r>
              <w:t>Runs divididos</w:t>
            </w:r>
          </w:p>
        </w:tc>
        <w:tc>
          <w:tcPr>
            <w:tcW w:type="dxa" w:w="2160"/>
          </w:tcPr>
          <w:p>
            <w:r/>
            <w:r>
              <w:t xml:space="preserve">El </w:t>
            </w:r>
            <w:r>
              <w:rPr>
                <w:b/>
              </w:rPr>
              <w:t>Oper</w:t>
            </w:r>
            <w:r>
              <w:t>ador</w:t>
            </w:r>
            <w:r>
              <w:t xml:space="preserve"> de planta valida el bloqueo local.</w:t>
            </w:r>
          </w:p>
        </w:tc>
        <w:tc>
          <w:tcPr>
            <w:tcW w:type="dxa" w:w="2160"/>
          </w:tcPr>
          <w:p>
            <w:r>
              <w:t>Caso para preservar formato de runs.</w:t>
            </w:r>
          </w:p>
        </w:tc>
        <w:tc>
          <w:tcPr>
            <w:tcW w:type="dxa" w:w="2160"/>
          </w:tcPr>
          <w:p>
            <w:r>
              <w:t>Formato conservado.</w:t>
            </w:r>
          </w:p>
        </w:tc>
      </w:tr>
    </w:tbl>
    <w:p>
      <w:pPr>
        <w:pStyle w:val="Heading2"/>
      </w:pPr>
      <w:r>
        <w:t>2. Apariciones fuera de tabla</w:t>
      </w:r>
    </w:p>
    <w:p>
      <w:r>
        <w:t>La operadora debe cerrar la actividad en el sistema de turno.</w:t>
      </w:r>
    </w:p>
    <w:p>
      <w:r>
        <w:t>Los operadores de planta revisan la comunicacion radial antes de iniciar.</w:t>
      </w:r>
    </w:p>
    <w:p>
      <w:r>
        <w:t>La supervisora de turno revisa las condiciones generales antes de liberar el equipo.</w:t>
      </w:r>
    </w:p>
    <w:p>
      <w:r>
        <w:t>El jefe de área debe validar que el permiso de trabajo este vigente.</w:t>
      </w:r>
    </w:p>
    <w:p>
      <w:pPr>
        <w:pStyle w:val="Heading2"/>
      </w:pPr>
      <w:r>
        <w:t>3. Extractos de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Origen</w:t>
            </w:r>
          </w:p>
        </w:tc>
        <w:tc>
          <w:tcPr>
            <w:tcW w:type="dxa" w:w="4320"/>
          </w:tcPr>
          <w:p>
            <w:r>
              <w:t>Texto adaptado</w:t>
            </w:r>
          </w:p>
        </w:tc>
      </w:tr>
      <w:tr>
        <w:tc>
          <w:tcPr>
            <w:tcW w:type="dxa" w:w="4320"/>
          </w:tcPr>
          <w:p>
            <w:r>
              <w:t>referencia.xlsx #1</w:t>
            </w:r>
          </w:p>
        </w:tc>
        <w:tc>
          <w:tcPr>
            <w:tcW w:type="dxa" w:w="4320"/>
          </w:tcPr>
          <w:p>
            <w:r>
              <w:t>P-PRPL-CN-140 | 5 | Personal requerido: Operador Planta | Agregar "o personal designado por Minera Spence" o similar | 1 | Arriba de la tabla de personal requerido, se indica que: el personal indicado es el recomendado en condiciones normales. En el caso excep</w:t>
            </w:r>
          </w:p>
        </w:tc>
      </w:tr>
      <w:tr>
        <w:tc>
          <w:tcPr>
            <w:tcW w:type="dxa" w:w="4320"/>
          </w:tcPr>
          <w:p>
            <w:r>
              <w:t>referencia.xlsx #2</w:t>
            </w:r>
          </w:p>
        </w:tc>
        <w:tc>
          <w:tcPr>
            <w:tcW w:type="dxa" w:w="4320"/>
          </w:tcPr>
          <w:p>
            <w:r>
              <w:t>7 | Programación de la tarea: coordinación:  Operador planta debe comunicar a especialista AS el inicion de la actividad de toma de muestra en overflow de baterías de hidrociclones 1 y/o 2 para determinar % de sólido y mallaje rápido +#100, o el inicio de la a</w:t>
            </w:r>
          </w:p>
        </w:tc>
      </w:tr>
      <w:tr>
        <w:tc>
          <w:tcPr>
            <w:tcW w:type="dxa" w:w="4320"/>
          </w:tcPr>
          <w:p>
            <w:r>
              <w:t>referencia.xlsx #3</w:t>
            </w:r>
          </w:p>
        </w:tc>
        <w:tc>
          <w:tcPr>
            <w:tcW w:type="dxa" w:w="4320"/>
          </w:tcPr>
          <w:p>
            <w:r>
              <w:t xml:space="preserve">7 | Trabajos de preparación: verificación de la condición de las herramientas a utilizar: El operador planta debe verificar que los elementos de </w:t>
              <w:br/>
              <w:t xml:space="preserve">toma de muestras (cortador, balanza y balde) se </w:t>
              <w:br/>
              <w:t xml:space="preserve">encuentren libres de daños mecánicos, desgaste, cortes, </w:t>
              <w:br/>
              <w:t>roturas,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