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Mock procedimiento operador</w:t>
      </w:r>
    </w:p>
    <w:p>
      <w:r>
        <w:t>Documento editable de prueba para validar cambios de cargos responsables en tablas y parrafos.</w:t>
      </w:r>
    </w:p>
    <w:p>
      <w:pPr>
        <w:pStyle w:val="Heading2"/>
      </w:pPr>
      <w:r>
        <w:t>1. Control operacional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Actividad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  <w:tc>
          <w:tcPr>
            <w:tcW w:type="dxa" w:w="2160"/>
          </w:tcPr>
          <w:p>
            <w:r>
              <w:t>Instruccion</w:t>
            </w:r>
          </w:p>
        </w:tc>
        <w:tc>
          <w:tcPr>
            <w:tcW w:type="dxa" w:w="2160"/>
          </w:tcPr>
          <w:p>
            <w:r>
              <w:t>Resultado esperado</w:t>
            </w:r>
          </w:p>
        </w:tc>
      </w:tr>
      <w:tr>
        <w:tc>
          <w:tcPr>
            <w:tcW w:type="dxa" w:w="2160"/>
          </w:tcPr>
          <w:p>
            <w:r>
              <w:t>Inspeccion inicial</w:t>
            </w:r>
          </w:p>
        </w:tc>
        <w:tc>
          <w:tcPr>
            <w:tcW w:type="dxa" w:w="2160"/>
          </w:tcPr>
          <w:p>
            <w:r>
              <w:t>operador</w:t>
            </w:r>
          </w:p>
        </w:tc>
        <w:tc>
          <w:tcPr>
            <w:tcW w:type="dxa" w:w="2160"/>
          </w:tcPr>
          <w:p>
            <w:r>
              <w:t>El operador debe verificar el estado de las correas antes del arranque.</w:t>
            </w:r>
          </w:p>
        </w:tc>
        <w:tc>
          <w:tcPr>
            <w:tcW w:type="dxa" w:w="2160"/>
          </w:tcPr>
          <w:p>
            <w:r>
              <w:t>Registro completado.</w:t>
            </w:r>
          </w:p>
        </w:tc>
      </w:tr>
      <w:tr>
        <w:tc>
          <w:tcPr>
            <w:tcW w:type="dxa" w:w="2160"/>
          </w:tcPr>
          <w:p>
            <w:r>
              <w:t>Cambio de turno</w:t>
            </w:r>
          </w:p>
        </w:tc>
        <w:tc>
          <w:tcPr>
            <w:tcW w:type="dxa" w:w="2160"/>
          </w:tcPr>
          <w:p>
            <w:r>
              <w:t>operadora de planta</w:t>
            </w:r>
          </w:p>
        </w:tc>
        <w:tc>
          <w:tcPr>
            <w:tcW w:type="dxa" w:w="2160"/>
          </w:tcPr>
          <w:p>
            <w:r>
              <w:t>La operadora de planta informa desviaciones al jefe de turno.</w:t>
            </w:r>
          </w:p>
        </w:tc>
        <w:tc>
          <w:tcPr>
            <w:tcW w:type="dxa" w:w="2160"/>
          </w:tcPr>
          <w:p>
            <w:r>
              <w:t>Desviaciones comunicadas.</w:t>
            </w:r>
          </w:p>
        </w:tc>
      </w:tr>
      <w:tr>
        <w:tc>
          <w:tcPr>
            <w:tcW w:type="dxa" w:w="2160"/>
          </w:tcPr>
          <w:p>
            <w:r>
              <w:t>Ronda de terreno</w:t>
            </w:r>
          </w:p>
        </w:tc>
        <w:tc>
          <w:tcPr>
            <w:tcW w:type="dxa" w:w="2160"/>
          </w:tcPr>
          <w:p>
            <w:r>
              <w:t>operadores de terreno</w:t>
            </w:r>
          </w:p>
        </w:tc>
        <w:tc>
          <w:tcPr>
            <w:tcW w:type="dxa" w:w="2160"/>
          </w:tcPr>
          <w:p>
            <w:r>
              <w:t>Los operadores de terreno deben aislar el sector y reportar la condicion.</w:t>
            </w:r>
          </w:p>
        </w:tc>
        <w:tc>
          <w:tcPr>
            <w:tcW w:type="dxa" w:w="2160"/>
          </w:tcPr>
          <w:p>
            <w:r>
              <w:t>Sector controlado.</w:t>
            </w:r>
          </w:p>
        </w:tc>
      </w:tr>
      <w:tr>
        <w:tc>
          <w:tcPr>
            <w:tcW w:type="dxa" w:w="2160"/>
          </w:tcPr>
          <w:p>
            <w:r>
              <w:t>Aviso operacional</w:t>
            </w:r>
          </w:p>
        </w:tc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Ante alarma critica se debe informar al operador de sala para coordinar acciones.</w:t>
            </w:r>
          </w:p>
        </w:tc>
        <w:tc>
          <w:tcPr>
            <w:tcW w:type="dxa" w:w="2160"/>
          </w:tcPr>
          <w:p>
            <w:r>
              <w:t>Aviso registrado.</w:t>
            </w:r>
          </w:p>
        </w:tc>
      </w:tr>
      <w:tr>
        <w:tc>
          <w:tcPr>
            <w:tcW w:type="dxa" w:w="2160"/>
          </w:tcPr>
          <w:p>
            <w:r>
              <w:t>Caso ya expandido</w:t>
            </w:r>
          </w:p>
        </w:tc>
        <w:tc>
          <w:tcPr>
            <w:tcW w:type="dxa" w:w="2160"/>
          </w:tcPr>
          <w:p>
            <w:r>
              <w:t>operador o personal designado por minera Spence</w:t>
            </w:r>
          </w:p>
        </w:tc>
        <w:tc>
          <w:tcPr>
            <w:tcW w:type="dxa" w:w="2160"/>
          </w:tcPr>
          <w:p>
            <w:r>
              <w:t>El operador o personal designado por minera Spence confirma la disponibilidad del equipo.</w:t>
            </w:r>
          </w:p>
        </w:tc>
        <w:tc>
          <w:tcPr>
            <w:tcW w:type="dxa" w:w="2160"/>
          </w:tcPr>
          <w:p>
            <w:r>
              <w:t>Sin duplicados.</w:t>
            </w:r>
          </w:p>
        </w:tc>
      </w:tr>
      <w:tr>
        <w:tc>
          <w:tcPr>
            <w:tcW w:type="dxa" w:w="2160"/>
          </w:tcPr>
          <w:p>
            <w:r>
              <w:t>Alternativa existente</w:t>
            </w:r>
          </w:p>
        </w:tc>
        <w:tc>
          <w:tcPr>
            <w:tcW w:type="dxa" w:w="2160"/>
          </w:tcPr>
          <w:p>
            <w:r>
              <w:t>operador o mantenedor</w:t>
            </w:r>
          </w:p>
        </w:tc>
        <w:tc>
          <w:tcPr>
            <w:tcW w:type="dxa" w:w="2160"/>
          </w:tcPr>
          <w:p>
            <w:r>
              <w:t>El operador o mantenedor puede detener el equipo si observa condicion insegura.</w:t>
            </w:r>
          </w:p>
        </w:tc>
        <w:tc>
          <w:tcPr>
            <w:tcW w:type="dxa" w:w="2160"/>
          </w:tcPr>
          <w:p>
            <w:r>
              <w:t>Se envia a revision, sin duplicar.</w:t>
            </w:r>
          </w:p>
        </w:tc>
      </w:tr>
      <w:tr>
        <w:tc>
          <w:tcPr>
            <w:tcW w:type="dxa" w:w="2160"/>
          </w:tcPr>
          <w:p>
            <w:r>
              <w:t>Texto sin accion</w:t>
            </w:r>
          </w:p>
        </w:tc>
        <w:tc>
          <w:tcPr>
            <w:tcW w:type="dxa" w:w="2160"/>
          </w:tcPr>
          <w:p>
            <w:r>
              <w:t>Perfil del operador</w:t>
            </w:r>
          </w:p>
        </w:tc>
        <w:tc>
          <w:tcPr>
            <w:tcW w:type="dxa" w:w="2160"/>
          </w:tcPr>
          <w:p>
            <w:r>
              <w:t>Perfil del operador: competencias generales del cargo.</w:t>
            </w:r>
          </w:p>
        </w:tc>
        <w:tc>
          <w:tcPr>
            <w:tcW w:type="dxa" w:w="2160"/>
          </w:tcPr>
          <w:p>
            <w:r>
              <w:t>Sin cambio automatico.</w:t>
            </w:r>
          </w:p>
        </w:tc>
      </w:tr>
      <w:tr>
        <w:tc>
          <w:tcPr>
            <w:tcW w:type="dxa" w:w="2160"/>
          </w:tcPr>
          <w:p>
            <w:r>
              <w:t>Runs divididos</w:t>
            </w:r>
          </w:p>
        </w:tc>
        <w:tc>
          <w:tcPr>
            <w:tcW w:type="dxa" w:w="2160"/>
          </w:tcPr>
          <w:p>
            <w:r/>
            <w:r>
              <w:t xml:space="preserve">El </w:t>
            </w:r>
            <w:r>
              <w:rPr>
                <w:b/>
              </w:rPr>
              <w:t>Oper</w:t>
            </w:r>
            <w:r>
              <w:t>ador</w:t>
            </w:r>
            <w:r>
              <w:t xml:space="preserve"> de planta valida el bloqueo local.</w:t>
            </w:r>
          </w:p>
        </w:tc>
        <w:tc>
          <w:tcPr>
            <w:tcW w:type="dxa" w:w="2160"/>
          </w:tcPr>
          <w:p>
            <w:r>
              <w:t>Caso para preservar formato de runs.</w:t>
            </w:r>
          </w:p>
        </w:tc>
        <w:tc>
          <w:tcPr>
            <w:tcW w:type="dxa" w:w="2160"/>
          </w:tcPr>
          <w:p>
            <w:r>
              <w:t>Formato conservado.</w:t>
            </w:r>
          </w:p>
        </w:tc>
      </w:tr>
    </w:tbl>
    <w:p>
      <w:pPr>
        <w:pStyle w:val="Heading2"/>
      </w:pPr>
      <w:r>
        <w:t>2. Apariciones fuera de tabla</w:t>
      </w:r>
    </w:p>
    <w:p>
      <w:r>
        <w:t>La operadora debe cerrar la actividad en el sistema de turno.</w:t>
      </w:r>
    </w:p>
    <w:p>
      <w:r>
        <w:t>Los operadores de planta revisan la comunicacion radial antes de iniciar.</w:t>
      </w:r>
    </w:p>
    <w:p>
      <w:pPr>
        <w:pStyle w:val="Heading2"/>
      </w:pPr>
      <w:r>
        <w:t>3. Extractos de referencia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Origen</w:t>
            </w:r>
          </w:p>
        </w:tc>
        <w:tc>
          <w:tcPr>
            <w:tcW w:type="dxa" w:w="4320"/>
          </w:tcPr>
          <w:p>
            <w:r>
              <w:t>Texto adaptado</w:t>
            </w:r>
          </w:p>
        </w:tc>
      </w:tr>
      <w:tr>
        <w:tc>
          <w:tcPr>
            <w:tcW w:type="dxa" w:w="4320"/>
          </w:tcPr>
          <w:p>
            <w:r>
              <w:t>referencia.xlsx #1</w:t>
            </w:r>
          </w:p>
        </w:tc>
        <w:tc>
          <w:tcPr>
            <w:tcW w:type="dxa" w:w="4320"/>
          </w:tcPr>
          <w:p>
            <w:r>
              <w:t>P-PRPL-CN-140 | 5 | Personal requerido: Operador Planta | Agregar "o personal designado por Minera Spence" o similar | 1 | Arriba de la tabla de personal requerido, se indica que: el personal indicado es el recomendado en condiciones normales. En el caso excep</w:t>
            </w:r>
          </w:p>
        </w:tc>
      </w:tr>
      <w:tr>
        <w:tc>
          <w:tcPr>
            <w:tcW w:type="dxa" w:w="4320"/>
          </w:tcPr>
          <w:p>
            <w:r>
              <w:t>referencia.xlsx #2</w:t>
            </w:r>
          </w:p>
        </w:tc>
        <w:tc>
          <w:tcPr>
            <w:tcW w:type="dxa" w:w="4320"/>
          </w:tcPr>
          <w:p>
            <w:r>
              <w:t>6 | Seccion roles y responsabilidades: supervisor producción concentradora | Duplicar responsabilidades en One-Up (coordinadores de producción concentradora o SI producción concentradora) | 1 | Me hace más sentido duplicarlo en el coordinador de producción con</w:t>
            </w:r>
          </w:p>
        </w:tc>
      </w:tr>
      <w:tr>
        <w:tc>
          <w:tcPr>
            <w:tcW w:type="dxa" w:w="4320"/>
          </w:tcPr>
          <w:p>
            <w:r>
              <w:t>referencia.xlsx #3</w:t>
            </w:r>
          </w:p>
        </w:tc>
        <w:tc>
          <w:tcPr>
            <w:tcW w:type="dxa" w:w="4320"/>
          </w:tcPr>
          <w:p>
            <w:r>
              <w:t>6 | Seccion roles y responsabilidades: operador planta concentradora | Duplicar responsabilidades en One-Up (supervisor) o agregar cargo subrogante | 1 | Opción alternativa: agregar "Operador planta concentradora o personal designado por Minera Spence". Un poc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