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6D28D9"/>
          <w:sz w:val="22"/>
        </w:rPr>
        <w:t>ASHAKids Platform — Mantenimiento y Calidad de Código Frontend</w:t>
      </w:r>
    </w:p>
    <w:p>
      <w:pPr>
        <w:spacing w:before="80" w:after="160"/>
      </w:pPr>
      <w:r>
        <w:rPr>
          <w:rFonts w:ascii="Calibri" w:hAnsi="Calibri"/>
          <w:b/>
          <w:color w:val="3B1E7A"/>
          <w:sz w:val="40"/>
        </w:rPr>
        <w:t>Reporte Técnico: Descomposición de Vistas Monolíticas Grandes</w:t>
        <w:br/>
        <w:t>Fase 4: Modularización y Orquestación de Vistas Principales</w:t>
      </w:r>
    </w:p>
    <w:p>
      <w:pPr>
        <w:spacing w:after="360"/>
      </w:pPr>
      <w:r>
        <w:rPr>
          <w:rFonts w:ascii="Calibri" w:hAnsi="Calibri"/>
          <w:i/>
          <w:color w:val="4B5563"/>
          <w:sz w:val="20"/>
        </w:rPr>
        <w:t>Rama: feat/nlavadom  |  Fecha: 06 de Octubre, 2026  |  Plataforma: ASHAKids (React + TypeScript + Vite)</w:t>
      </w:r>
    </w:p>
    <w:p>
      <w:pPr>
        <w:spacing w:before="280" w:after="120"/>
      </w:pPr>
      <w:r>
        <w:rPr>
          <w:rFonts w:ascii="Calibri" w:hAnsi="Calibri"/>
          <w:b/>
          <w:color w:val="3B1E7A"/>
          <w:sz w:val="30"/>
        </w:rPr>
        <w:t>1. Resumen Ejecutivo</w:t>
      </w:r>
    </w:p>
    <w:p>
      <w:pPr>
        <w:spacing w:after="120" w:line="276" w:lineRule="auto"/>
      </w:pPr>
      <w:r>
        <w:rPr>
          <w:rFonts w:ascii="Calibri" w:hAnsi="Calibri"/>
          <w:color w:val="1F2937"/>
          <w:sz w:val="21"/>
        </w:rPr>
        <w:t>En esta fase se ejecutó la descomposición arquitectónica de las tres vistas monolíticas más extensas de la plataforma ASHAKids: Admin.tsx (~2,446 líneas), Terapeuta.tsx (~2,960 líneas) y SessionsGames.tsx (~3,134 líneas). El objetivo exclusivo fue reducir drásticamente el tamaño y la concentración de responsabilidades de cada archivo, convirtiéndolos en orquestadores delgados que re-exportan sus submódulos de dominio sin alterar la lógica de negocio, endpoints de FastAPI, sistema de autenticación ni apariencia visual.</w:t>
      </w:r>
    </w:p>
    <w:tbl>
      <w:tblPr>
        <w:tblW w:type="auto" w:w="0"/>
        <w:jc w:val="center"/>
        <w:tblLayout w:type="fixed"/>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Pr>
          <w:p>
            <w:pPr>
              <w:spacing w:after="40"/>
            </w:pPr>
            <w:r>
              <w:rPr>
                <w:rFonts w:ascii="Calibri" w:hAnsi="Calibri"/>
                <w:b/>
                <w:color w:val="3B1E7A"/>
                <w:sz w:val="22"/>
              </w:rPr>
              <w:t>Resultado Global de la Fase</w:t>
            </w:r>
          </w:p>
          <w:p>
            <w:pPr>
              <w:spacing w:after="0"/>
            </w:pPr>
            <w:r>
              <w:rPr>
                <w:rFonts w:ascii="Calibri" w:hAnsi="Calibri"/>
                <w:color w:val="1F2937"/>
                <w:sz w:val="20"/>
              </w:rPr>
              <w:t>• Reducción de Admin.tsx de 2,446 líneas a 34 líneas (-98.6%).</w:t>
              <w:br/>
              <w:t>• Reducción de Terapeuta.tsx de 2,960 líneas a 15 líneas (-99.5%).</w:t>
              <w:br/>
              <w:t>• Reducción de SessionsGames.tsx de 3,134 líneas a 25 líneas (-99.2%).</w:t>
              <w:br/>
              <w:t>• Extracción de 29 archivos modulares limpios distribuidos estrictamente en sus carpetas de dominio.</w:t>
              <w:br/>
              <w:t>• Compilación de producción (npm run build) exitosa con 0 errores y 2,274 módulos procesados.</w:t>
            </w:r>
          </w:p>
        </w:tc>
      </w:tr>
    </w:tbl>
    <w:p>
      <w:pPr>
        <w:spacing w:after="120"/>
      </w:pPr>
    </w:p>
    <w:p>
      <w:pPr>
        <w:spacing w:before="280" w:after="120"/>
      </w:pPr>
      <w:r>
        <w:rPr>
          <w:rFonts w:ascii="Calibri" w:hAnsi="Calibri"/>
          <w:b/>
          <w:color w:val="3B1E7A"/>
          <w:sz w:val="30"/>
        </w:rPr>
        <w:t>2. Comparativa de Líneas: Antes vs. Después</w:t>
      </w:r>
    </w:p>
    <w:p>
      <w:pPr>
        <w:spacing w:after="120" w:line="276" w:lineRule="auto"/>
      </w:pPr>
      <w:r>
        <w:rPr>
          <w:rFonts w:ascii="Calibri" w:hAnsi="Calibri"/>
          <w:color w:val="1F2937"/>
          <w:sz w:val="21"/>
        </w:rPr>
        <w:t>A continuación se presenta el balance volumétrico de las vistas principales orquestadoras: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3B1E7A"/>
            <w:tcMar>
              <w:top w:w="100" w:type="dxa"/>
              <w:bottom w:w="100" w:type="dxa"/>
              <w:left w:w="120" w:type="dxa"/>
              <w:right w:w="120" w:type="dxa"/>
            </w:tcMar>
          </w:tcPr>
          <w:p>
            <w:pPr>
              <w:jc w:val="center"/>
            </w:pPr>
            <w:r>
              <w:rPr>
                <w:rFonts w:ascii="Calibri" w:hAnsi="Calibri"/>
                <w:b/>
                <w:color w:val="FFFFFF"/>
                <w:sz w:val="20"/>
              </w:rPr>
              <w:t>Archivo Orquestador</w:t>
            </w:r>
          </w:p>
        </w:tc>
        <w:tc>
          <w:tcPr>
            <w:tcW w:type="dxa" w:w="2016"/>
            <w:shd w:fill="3B1E7A"/>
            <w:tcMar>
              <w:top w:w="100" w:type="dxa"/>
              <w:bottom w:w="100" w:type="dxa"/>
              <w:left w:w="120" w:type="dxa"/>
              <w:right w:w="120" w:type="dxa"/>
            </w:tcMar>
          </w:tcPr>
          <w:p>
            <w:pPr>
              <w:jc w:val="center"/>
            </w:pPr>
            <w:r>
              <w:rPr>
                <w:rFonts w:ascii="Calibri" w:hAnsi="Calibri"/>
                <w:b/>
                <w:color w:val="FFFFFF"/>
                <w:sz w:val="20"/>
              </w:rPr>
              <w:t>Dominio</w:t>
            </w:r>
          </w:p>
        </w:tc>
        <w:tc>
          <w:tcPr>
            <w:tcW w:type="dxa" w:w="1584"/>
            <w:shd w:fill="3B1E7A"/>
            <w:tcMar>
              <w:top w:w="100" w:type="dxa"/>
              <w:bottom w:w="100" w:type="dxa"/>
              <w:left w:w="120" w:type="dxa"/>
              <w:right w:w="120" w:type="dxa"/>
            </w:tcMar>
          </w:tcPr>
          <w:p>
            <w:pPr>
              <w:jc w:val="center"/>
            </w:pPr>
            <w:r>
              <w:rPr>
                <w:rFonts w:ascii="Calibri" w:hAnsi="Calibri"/>
                <w:b/>
                <w:color w:val="FFFFFF"/>
                <w:sz w:val="20"/>
              </w:rPr>
              <w:t>Líneas Antes</w:t>
            </w:r>
          </w:p>
        </w:tc>
        <w:tc>
          <w:tcPr>
            <w:tcW w:type="dxa" w:w="1584"/>
            <w:shd w:fill="3B1E7A"/>
            <w:tcMar>
              <w:top w:w="100" w:type="dxa"/>
              <w:bottom w:w="100" w:type="dxa"/>
              <w:left w:w="120" w:type="dxa"/>
              <w:right w:w="120" w:type="dxa"/>
            </w:tcMar>
          </w:tcPr>
          <w:p>
            <w:pPr>
              <w:jc w:val="center"/>
            </w:pPr>
            <w:r>
              <w:rPr>
                <w:rFonts w:ascii="Calibri" w:hAnsi="Calibri"/>
                <w:b/>
                <w:color w:val="FFFFFF"/>
                <w:sz w:val="20"/>
              </w:rPr>
              <w:t>Líneas Después</w:t>
            </w:r>
          </w:p>
        </w:tc>
        <w:tc>
          <w:tcPr>
            <w:tcW w:type="dxa" w:w="1584"/>
            <w:shd w:fill="3B1E7A"/>
            <w:tcMar>
              <w:top w:w="100" w:type="dxa"/>
              <w:bottom w:w="100" w:type="dxa"/>
              <w:left w:w="120" w:type="dxa"/>
              <w:right w:w="120" w:type="dxa"/>
            </w:tcMar>
          </w:tcPr>
          <w:p>
            <w:pPr>
              <w:jc w:val="center"/>
            </w:pPr>
            <w:r>
              <w:rPr>
                <w:rFonts w:ascii="Calibri" w:hAnsi="Calibri"/>
                <w:b/>
                <w:color w:val="FFFFFF"/>
                <w:sz w:val="20"/>
              </w:rPr>
              <w:t>Reducción (%)</w:t>
            </w:r>
          </w:p>
        </w:tc>
      </w:tr>
      <w:tr>
        <w:tc>
          <w:tcPr>
            <w:tcW w:type="dxa" w:w="2592"/>
            <w:shd w:fill="FFFFFF"/>
            <w:tcMar>
              <w:top w:w="80" w:type="dxa"/>
              <w:bottom w:w="80" w:type="dxa"/>
              <w:left w:w="120" w:type="dxa"/>
              <w:right w:w="120" w:type="dxa"/>
            </w:tcMar>
          </w:tcPr>
          <w:p>
            <w:r>
              <w:rPr>
                <w:rFonts w:ascii="Calibri" w:hAnsi="Calibri"/>
                <w:color w:val="1F2937"/>
                <w:sz w:val="19"/>
              </w:rPr>
              <w:t>Admin.tsx</w:t>
            </w:r>
          </w:p>
        </w:tc>
        <w:tc>
          <w:tcPr>
            <w:tcW w:type="dxa" w:w="2016"/>
            <w:shd w:fill="FFFFFF"/>
            <w:tcMar>
              <w:top w:w="80" w:type="dxa"/>
              <w:bottom w:w="80" w:type="dxa"/>
              <w:left w:w="120" w:type="dxa"/>
              <w:right w:w="120" w:type="dxa"/>
            </w:tcMar>
          </w:tcPr>
          <w:p>
            <w:r>
              <w:rPr>
                <w:rFonts w:ascii="Calibri" w:hAnsi="Calibri"/>
                <w:color w:val="1F2937"/>
                <w:sz w:val="19"/>
              </w:rPr>
              <w:t>pages/admin/</w:t>
            </w:r>
          </w:p>
        </w:tc>
        <w:tc>
          <w:tcPr>
            <w:tcW w:type="dxa" w:w="1584"/>
            <w:shd w:fill="FFFFFF"/>
            <w:tcMar>
              <w:top w:w="80" w:type="dxa"/>
              <w:bottom w:w="80" w:type="dxa"/>
              <w:left w:w="120" w:type="dxa"/>
              <w:right w:w="120" w:type="dxa"/>
            </w:tcMar>
          </w:tcPr>
          <w:p>
            <w:pPr>
              <w:jc w:val="right"/>
            </w:pPr>
            <w:r>
              <w:rPr>
                <w:rFonts w:ascii="Calibri" w:hAnsi="Calibri"/>
                <w:color w:val="1F2937"/>
                <w:sz w:val="19"/>
              </w:rPr>
              <w:t>2,446</w:t>
            </w:r>
          </w:p>
        </w:tc>
        <w:tc>
          <w:tcPr>
            <w:tcW w:type="dxa" w:w="1584"/>
            <w:shd w:fill="FFFFFF"/>
            <w:tcMar>
              <w:top w:w="80" w:type="dxa"/>
              <w:bottom w:w="80" w:type="dxa"/>
              <w:left w:w="120" w:type="dxa"/>
              <w:right w:w="120" w:type="dxa"/>
            </w:tcMar>
          </w:tcPr>
          <w:p>
            <w:pPr>
              <w:jc w:val="right"/>
            </w:pPr>
            <w:r>
              <w:rPr>
                <w:rFonts w:ascii="Calibri" w:hAnsi="Calibri"/>
                <w:color w:val="1F2937"/>
                <w:sz w:val="19"/>
              </w:rPr>
              <w:t>34</w:t>
            </w:r>
          </w:p>
        </w:tc>
        <w:tc>
          <w:tcPr>
            <w:tcW w:type="dxa" w:w="1584"/>
            <w:shd w:fill="FFFFFF"/>
            <w:tcMar>
              <w:top w:w="80" w:type="dxa"/>
              <w:bottom w:w="80" w:type="dxa"/>
              <w:left w:w="120" w:type="dxa"/>
              <w:right w:w="120" w:type="dxa"/>
            </w:tcMar>
          </w:tcPr>
          <w:p>
            <w:pPr>
              <w:jc w:val="right"/>
            </w:pPr>
            <w:r>
              <w:rPr>
                <w:rFonts w:ascii="Calibri" w:hAnsi="Calibri"/>
                <w:b/>
                <w:color w:val="059669"/>
                <w:sz w:val="19"/>
              </w:rPr>
              <w:t>-98.6%</w:t>
            </w:r>
          </w:p>
        </w:tc>
      </w:tr>
      <w:tr>
        <w:tc>
          <w:tcPr>
            <w:tcW w:type="dxa" w:w="2592"/>
            <w:shd w:fill="F9FAFB"/>
            <w:tcMar>
              <w:top w:w="80" w:type="dxa"/>
              <w:bottom w:w="80" w:type="dxa"/>
              <w:left w:w="120" w:type="dxa"/>
              <w:right w:w="120" w:type="dxa"/>
            </w:tcMar>
          </w:tcPr>
          <w:p>
            <w:r>
              <w:rPr>
                <w:rFonts w:ascii="Calibri" w:hAnsi="Calibri"/>
                <w:color w:val="1F2937"/>
                <w:sz w:val="19"/>
              </w:rPr>
              <w:t>Terapeuta.tsx</w:t>
            </w:r>
          </w:p>
        </w:tc>
        <w:tc>
          <w:tcPr>
            <w:tcW w:type="dxa" w:w="2016"/>
            <w:shd w:fill="F9FAFB"/>
            <w:tcMar>
              <w:top w:w="80" w:type="dxa"/>
              <w:bottom w:w="80" w:type="dxa"/>
              <w:left w:w="120" w:type="dxa"/>
              <w:right w:w="120" w:type="dxa"/>
            </w:tcMar>
          </w:tcPr>
          <w:p>
            <w:r>
              <w:rPr>
                <w:rFonts w:ascii="Calibri" w:hAnsi="Calibri"/>
                <w:color w:val="1F2937"/>
                <w:sz w:val="19"/>
              </w:rPr>
              <w:t>pages/terapeuta/</w:t>
            </w:r>
          </w:p>
        </w:tc>
        <w:tc>
          <w:tcPr>
            <w:tcW w:type="dxa" w:w="1584"/>
            <w:shd w:fill="F9FAFB"/>
            <w:tcMar>
              <w:top w:w="80" w:type="dxa"/>
              <w:bottom w:w="80" w:type="dxa"/>
              <w:left w:w="120" w:type="dxa"/>
              <w:right w:w="120" w:type="dxa"/>
            </w:tcMar>
          </w:tcPr>
          <w:p>
            <w:pPr>
              <w:jc w:val="right"/>
            </w:pPr>
            <w:r>
              <w:rPr>
                <w:rFonts w:ascii="Calibri" w:hAnsi="Calibri"/>
                <w:color w:val="1F2937"/>
                <w:sz w:val="19"/>
              </w:rPr>
              <w:t>2,960</w:t>
            </w:r>
          </w:p>
        </w:tc>
        <w:tc>
          <w:tcPr>
            <w:tcW w:type="dxa" w:w="1584"/>
            <w:shd w:fill="F9FAFB"/>
            <w:tcMar>
              <w:top w:w="80" w:type="dxa"/>
              <w:bottom w:w="80" w:type="dxa"/>
              <w:left w:w="120" w:type="dxa"/>
              <w:right w:w="120" w:type="dxa"/>
            </w:tcMar>
          </w:tcPr>
          <w:p>
            <w:pPr>
              <w:jc w:val="right"/>
            </w:pPr>
            <w:r>
              <w:rPr>
                <w:rFonts w:ascii="Calibri" w:hAnsi="Calibri"/>
                <w:color w:val="1F2937"/>
                <w:sz w:val="19"/>
              </w:rPr>
              <w:t>15</w:t>
            </w:r>
          </w:p>
        </w:tc>
        <w:tc>
          <w:tcPr>
            <w:tcW w:type="dxa" w:w="1584"/>
            <w:shd w:fill="F9FAFB"/>
            <w:tcMar>
              <w:top w:w="80" w:type="dxa"/>
              <w:bottom w:w="80" w:type="dxa"/>
              <w:left w:w="120" w:type="dxa"/>
              <w:right w:w="120" w:type="dxa"/>
            </w:tcMar>
          </w:tcPr>
          <w:p>
            <w:pPr>
              <w:jc w:val="right"/>
            </w:pPr>
            <w:r>
              <w:rPr>
                <w:rFonts w:ascii="Calibri" w:hAnsi="Calibri"/>
                <w:b/>
                <w:color w:val="059669"/>
                <w:sz w:val="19"/>
              </w:rPr>
              <w:t>-99.5%</w:t>
            </w:r>
          </w:p>
        </w:tc>
      </w:tr>
      <w:tr>
        <w:tc>
          <w:tcPr>
            <w:tcW w:type="dxa" w:w="2592"/>
            <w:shd w:fill="FFFFFF"/>
            <w:tcMar>
              <w:top w:w="80" w:type="dxa"/>
              <w:bottom w:w="80" w:type="dxa"/>
              <w:left w:w="120" w:type="dxa"/>
              <w:right w:w="120" w:type="dxa"/>
            </w:tcMar>
          </w:tcPr>
          <w:p>
            <w:r>
              <w:rPr>
                <w:rFonts w:ascii="Calibri" w:hAnsi="Calibri"/>
                <w:color w:val="1F2937"/>
                <w:sz w:val="19"/>
              </w:rPr>
              <w:t>SessionsGames.tsx</w:t>
            </w:r>
          </w:p>
        </w:tc>
        <w:tc>
          <w:tcPr>
            <w:tcW w:type="dxa" w:w="2016"/>
            <w:shd w:fill="FFFFFF"/>
            <w:tcMar>
              <w:top w:w="80" w:type="dxa"/>
              <w:bottom w:w="80" w:type="dxa"/>
              <w:left w:w="120" w:type="dxa"/>
              <w:right w:w="120" w:type="dxa"/>
            </w:tcMar>
          </w:tcPr>
          <w:p>
            <w:r>
              <w:rPr>
                <w:rFonts w:ascii="Calibri" w:hAnsi="Calibri"/>
                <w:color w:val="1F2937"/>
                <w:sz w:val="19"/>
              </w:rPr>
              <w:t>pages/padre/</w:t>
            </w:r>
          </w:p>
        </w:tc>
        <w:tc>
          <w:tcPr>
            <w:tcW w:type="dxa" w:w="1584"/>
            <w:shd w:fill="FFFFFF"/>
            <w:tcMar>
              <w:top w:w="80" w:type="dxa"/>
              <w:bottom w:w="80" w:type="dxa"/>
              <w:left w:w="120" w:type="dxa"/>
              <w:right w:w="120" w:type="dxa"/>
            </w:tcMar>
          </w:tcPr>
          <w:p>
            <w:pPr>
              <w:jc w:val="right"/>
            </w:pPr>
            <w:r>
              <w:rPr>
                <w:rFonts w:ascii="Calibri" w:hAnsi="Calibri"/>
                <w:color w:val="1F2937"/>
                <w:sz w:val="19"/>
              </w:rPr>
              <w:t>3,134</w:t>
            </w:r>
          </w:p>
        </w:tc>
        <w:tc>
          <w:tcPr>
            <w:tcW w:type="dxa" w:w="1584"/>
            <w:shd w:fill="FFFFFF"/>
            <w:tcMar>
              <w:top w:w="80" w:type="dxa"/>
              <w:bottom w:w="80" w:type="dxa"/>
              <w:left w:w="120" w:type="dxa"/>
              <w:right w:w="120" w:type="dxa"/>
            </w:tcMar>
          </w:tcPr>
          <w:p>
            <w:pPr>
              <w:jc w:val="right"/>
            </w:pPr>
            <w:r>
              <w:rPr>
                <w:rFonts w:ascii="Calibri" w:hAnsi="Calibri"/>
                <w:color w:val="1F2937"/>
                <w:sz w:val="19"/>
              </w:rPr>
              <w:t>25</w:t>
            </w:r>
          </w:p>
        </w:tc>
        <w:tc>
          <w:tcPr>
            <w:tcW w:type="dxa" w:w="1584"/>
            <w:shd w:fill="FFFFFF"/>
            <w:tcMar>
              <w:top w:w="80" w:type="dxa"/>
              <w:bottom w:w="80" w:type="dxa"/>
              <w:left w:w="120" w:type="dxa"/>
              <w:right w:w="120" w:type="dxa"/>
            </w:tcMar>
          </w:tcPr>
          <w:p>
            <w:pPr>
              <w:jc w:val="right"/>
            </w:pPr>
            <w:r>
              <w:rPr>
                <w:rFonts w:ascii="Calibri" w:hAnsi="Calibri"/>
                <w:b/>
                <w:color w:val="059669"/>
                <w:sz w:val="19"/>
              </w:rPr>
              <w:t>-99.2%</w:t>
            </w:r>
          </w:p>
        </w:tc>
      </w:tr>
    </w:tbl>
    <w:p>
      <w:pPr>
        <w:spacing w:after="200"/>
      </w:pPr>
    </w:p>
    <w:p>
      <w:pPr>
        <w:spacing w:before="280" w:after="120"/>
      </w:pPr>
      <w:r>
        <w:rPr>
          <w:rFonts w:ascii="Calibri" w:hAnsi="Calibri"/>
          <w:b/>
          <w:color w:val="3B1E7A"/>
          <w:sz w:val="30"/>
        </w:rPr>
        <w:t>3. Detalle de Archivos Extraídos por Dominio</w:t>
      </w:r>
    </w:p>
    <w:p>
      <w:pPr>
        <w:spacing w:before="200" w:after="120"/>
      </w:pPr>
      <w:r>
        <w:rPr>
          <w:rFonts w:ascii="Calibri" w:hAnsi="Calibri"/>
          <w:b/>
          <w:color w:val="6D28D9"/>
          <w:sz w:val="25"/>
        </w:rPr>
        <w:t>3.1 Dominio Administrador (pages/admin/)</w:t>
      </w:r>
    </w:p>
    <w:p>
      <w:pPr>
        <w:spacing w:after="120" w:line="276" w:lineRule="auto"/>
      </w:pPr>
      <w:r>
        <w:rPr>
          <w:rFonts w:ascii="Calibri" w:hAnsi="Calibri"/>
          <w:color w:val="1F2937"/>
          <w:sz w:val="21"/>
        </w:rPr>
        <w:t>Admin.tsx centralizaba la supervisión clínica, soporte, analíticas y gestión técnica. Se extrajeron 11 módulos especializados:</w:t>
      </w:r>
    </w:p>
    <w:p>
      <w:pPr>
        <w:spacing w:after="120" w:line="276" w:lineRule="auto"/>
      </w:pPr>
      <w:r>
        <w:rPr>
          <w:rFonts w:ascii="Calibri" w:hAnsi="Calibri"/>
          <w:b/>
          <w:color w:val="1F2937"/>
          <w:sz w:val="21"/>
        </w:rPr>
        <w:t>• AdminPanel.tsx</w:t>
      </w:r>
      <w:r>
        <w:rPr>
          <w:rFonts w:ascii="Calibri" w:hAnsi="Calibri"/>
          <w:color w:val="1F2937"/>
          <w:sz w:val="21"/>
        </w:rPr>
        <w:t xml:space="preserve"> — 132 líneas. Dashboard principal, KPIs generales del sistema, alarmas y accesos directos.</w:t>
      </w:r>
    </w:p>
    <w:p>
      <w:pPr>
        <w:spacing w:after="120" w:line="276" w:lineRule="auto"/>
      </w:pPr>
      <w:r>
        <w:rPr>
          <w:rFonts w:ascii="Calibri" w:hAnsi="Calibri"/>
          <w:b/>
          <w:color w:val="1F2937"/>
          <w:sz w:val="21"/>
        </w:rPr>
        <w:t>• AdminOperacion.tsx</w:t>
      </w:r>
      <w:r>
        <w:rPr>
          <w:rFonts w:ascii="Calibri" w:hAnsi="Calibri"/>
          <w:color w:val="1F2937"/>
          <w:sz w:val="21"/>
        </w:rPr>
        <w:t xml:space="preserve"> — 169 líneas. Supervisión de sesiones activas, incidentes en vivo y soporte operativo.</w:t>
      </w:r>
    </w:p>
    <w:p>
      <w:pPr>
        <w:spacing w:after="120" w:line="276" w:lineRule="auto"/>
      </w:pPr>
      <w:r>
        <w:rPr>
          <w:rFonts w:ascii="Calibri" w:hAnsi="Calibri"/>
          <w:b/>
          <w:color w:val="1F2937"/>
          <w:sz w:val="21"/>
        </w:rPr>
        <w:t>• AdminML.tsx</w:t>
      </w:r>
      <w:r>
        <w:rPr>
          <w:rFonts w:ascii="Calibri" w:hAnsi="Calibri"/>
          <w:color w:val="1F2937"/>
          <w:sz w:val="21"/>
        </w:rPr>
        <w:t xml:space="preserve"> — 283 líneas. Gobernanza de IA/ML, métricas de calibración/sensibilidad y registro de decisiones.</w:t>
      </w:r>
    </w:p>
    <w:p>
      <w:pPr>
        <w:spacing w:after="120" w:line="276" w:lineRule="auto"/>
      </w:pPr>
      <w:r>
        <w:rPr>
          <w:rFonts w:ascii="Calibri" w:hAnsi="Calibri"/>
          <w:b/>
          <w:color w:val="1F2937"/>
          <w:sz w:val="21"/>
        </w:rPr>
        <w:t>• AdminCuentas.tsx</w:t>
      </w:r>
      <w:r>
        <w:rPr>
          <w:rFonts w:ascii="Calibri" w:hAnsi="Calibri"/>
          <w:color w:val="1F2937"/>
          <w:sz w:val="21"/>
        </w:rPr>
        <w:t xml:space="preserve"> — 370 líneas. Gestión de cuentas cerradas, invitaciones, roles de familias y terapeutas.</w:t>
      </w:r>
    </w:p>
    <w:p>
      <w:pPr>
        <w:spacing w:after="120" w:line="276" w:lineRule="auto"/>
      </w:pPr>
      <w:r>
        <w:rPr>
          <w:rFonts w:ascii="Calibri" w:hAnsi="Calibri"/>
          <w:b/>
          <w:color w:val="1F2937"/>
          <w:sz w:val="21"/>
        </w:rPr>
        <w:t>• AdminAuditoria.tsx</w:t>
      </w:r>
      <w:r>
        <w:rPr>
          <w:rFonts w:ascii="Calibri" w:hAnsi="Calibri"/>
          <w:color w:val="1F2937"/>
          <w:sz w:val="21"/>
        </w:rPr>
        <w:t xml:space="preserve"> — 99 líneas. Logs de auditoría operativa con trazabilidad de accesos (sin contenido clínico).</w:t>
      </w:r>
    </w:p>
    <w:p>
      <w:pPr>
        <w:spacing w:after="120" w:line="276" w:lineRule="auto"/>
      </w:pPr>
      <w:r>
        <w:rPr>
          <w:rFonts w:ascii="Calibri" w:hAnsi="Calibri"/>
          <w:b/>
          <w:color w:val="1F2937"/>
          <w:sz w:val="21"/>
        </w:rPr>
        <w:t>• AdminTerapeutas.tsx</w:t>
      </w:r>
      <w:r>
        <w:rPr>
          <w:rFonts w:ascii="Calibri" w:hAnsi="Calibri"/>
          <w:color w:val="1F2937"/>
          <w:sz w:val="21"/>
        </w:rPr>
        <w:t xml:space="preserve"> — 129 líneas. Directorio, validación de credenciales colegiadas y alias AdminTerapias.</w:t>
      </w:r>
    </w:p>
    <w:p>
      <w:pPr>
        <w:spacing w:after="120" w:line="276" w:lineRule="auto"/>
      </w:pPr>
      <w:r>
        <w:rPr>
          <w:rFonts w:ascii="Calibri" w:hAnsi="Calibri"/>
          <w:b/>
          <w:color w:val="1F2937"/>
          <w:sz w:val="21"/>
        </w:rPr>
        <w:t>• AdminFinanzas.tsx</w:t>
      </w:r>
      <w:r>
        <w:rPr>
          <w:rFonts w:ascii="Calibri" w:hAnsi="Calibri"/>
          <w:color w:val="1F2937"/>
          <w:sz w:val="21"/>
        </w:rPr>
        <w:t xml:space="preserve"> — 110 líneas. Monitoreo de ingresos mensuales, transacciones y alias AdminPagos.</w:t>
      </w:r>
    </w:p>
    <w:p>
      <w:pPr>
        <w:spacing w:after="120" w:line="276" w:lineRule="auto"/>
      </w:pPr>
      <w:r>
        <w:rPr>
          <w:rFonts w:ascii="Calibri" w:hAnsi="Calibri"/>
          <w:b/>
          <w:color w:val="1F2937"/>
          <w:sz w:val="21"/>
        </w:rPr>
        <w:t>• AdminContenido.tsx</w:t>
      </w:r>
      <w:r>
        <w:rPr>
          <w:rFonts w:ascii="Calibri" w:hAnsi="Calibri"/>
          <w:color w:val="1F2937"/>
          <w:sz w:val="21"/>
        </w:rPr>
        <w:t xml:space="preserve"> — 60 líneas. Gestión de contenido de Mundo ASHA (cuentos, canciones, adivinanzas).</w:t>
      </w:r>
    </w:p>
    <w:p>
      <w:pPr>
        <w:spacing w:after="120" w:line="276" w:lineRule="auto"/>
      </w:pPr>
      <w:r>
        <w:rPr>
          <w:rFonts w:ascii="Calibri" w:hAnsi="Calibri"/>
          <w:b/>
          <w:color w:val="1F2937"/>
          <w:sz w:val="21"/>
        </w:rPr>
        <w:t>• AdminConfig.tsx</w:t>
      </w:r>
      <w:r>
        <w:rPr>
          <w:rFonts w:ascii="Calibri" w:hAnsi="Calibri"/>
          <w:color w:val="1F2937"/>
          <w:sz w:val="21"/>
        </w:rPr>
        <w:t xml:space="preserve"> — 39 líneas. Configuraciones globales del sistema (parámetros, integraciones, seguridad).</w:t>
      </w:r>
    </w:p>
    <w:p>
      <w:pPr>
        <w:spacing w:after="120" w:line="276" w:lineRule="auto"/>
      </w:pPr>
      <w:r>
        <w:rPr>
          <w:rFonts w:ascii="Calibri" w:hAnsi="Calibri"/>
          <w:b/>
          <w:color w:val="1F2937"/>
          <w:sz w:val="21"/>
        </w:rPr>
        <w:t>• AshaCore.tsx</w:t>
      </w:r>
      <w:r>
        <w:rPr>
          <w:rFonts w:ascii="Calibri" w:hAnsi="Calibri"/>
          <w:color w:val="1F2937"/>
          <w:sz w:val="21"/>
        </w:rPr>
        <w:t xml:space="preserve"> — 390 líneas. Monitoreo técnico de microservicios, latencia, CPU/RAM y diagrama de arquitectura.</w:t>
      </w:r>
    </w:p>
    <w:p>
      <w:pPr>
        <w:spacing w:after="120" w:line="276" w:lineRule="auto"/>
      </w:pPr>
      <w:r>
        <w:rPr>
          <w:rFonts w:ascii="Calibri" w:hAnsi="Calibri"/>
          <w:b/>
          <w:color w:val="1F2937"/>
          <w:sz w:val="21"/>
        </w:rPr>
        <w:t>• AdminModulosGenerales.tsx</w:t>
      </w:r>
      <w:r>
        <w:rPr>
          <w:rFonts w:ascii="Calibri" w:hAnsi="Calibri"/>
          <w:color w:val="1F2937"/>
          <w:sz w:val="21"/>
        </w:rPr>
        <w:t xml:space="preserve"> — 721 líneas. Reportes, Usuarios, Pacientes vinculados, Citas, Sesiones, Analíticas y Moderación.</w:t>
      </w:r>
    </w:p>
    <w:p>
      <w:pPr>
        <w:spacing w:before="200" w:after="120"/>
      </w:pPr>
      <w:r>
        <w:rPr>
          <w:rFonts w:ascii="Calibri" w:hAnsi="Calibri"/>
          <w:b/>
          <w:color w:val="6D28D9"/>
          <w:sz w:val="25"/>
        </w:rPr>
        <w:t>3.2 Dominio Terapeuta (pages/terapeuta/)</w:t>
      </w:r>
    </w:p>
    <w:p>
      <w:pPr>
        <w:spacing w:after="120" w:line="276" w:lineRule="auto"/>
      </w:pPr>
      <w:r>
        <w:rPr>
          <w:rFonts w:ascii="Calibri" w:hAnsi="Calibri"/>
          <w:color w:val="1F2937"/>
          <w:sz w:val="21"/>
        </w:rPr>
        <w:t>Terapeuta.tsx integraba la agenda clínica, el portal de familias 'Mi Camino ASHA', expedientes y analíticas. Se extrajeron 10 módulos:</w:t>
      </w:r>
    </w:p>
    <w:p>
      <w:pPr>
        <w:spacing w:after="120" w:line="276" w:lineRule="auto"/>
      </w:pPr>
      <w:r>
        <w:rPr>
          <w:rFonts w:ascii="Calibri" w:hAnsi="Calibri"/>
          <w:b/>
          <w:color w:val="1F2937"/>
          <w:sz w:val="21"/>
        </w:rPr>
        <w:t>• downloadPdf.ts</w:t>
      </w:r>
      <w:r>
        <w:rPr>
          <w:rFonts w:ascii="Calibri" w:hAnsi="Calibri"/>
          <w:color w:val="1F2937"/>
          <w:sz w:val="21"/>
        </w:rPr>
        <w:t xml:space="preserve"> — 34 líneas. Utilidad nativa para generación ligera de PDFs sin dependencias externas.</w:t>
      </w:r>
    </w:p>
    <w:p>
      <w:pPr>
        <w:spacing w:after="120" w:line="276" w:lineRule="auto"/>
      </w:pPr>
      <w:r>
        <w:rPr>
          <w:rFonts w:ascii="Calibri" w:hAnsi="Calibri"/>
          <w:b/>
          <w:color w:val="1F2937"/>
          <w:sz w:val="21"/>
        </w:rPr>
        <w:t>• MiCaminoAsha.tsx</w:t>
      </w:r>
      <w:r>
        <w:rPr>
          <w:rFonts w:ascii="Calibri" w:hAnsi="Calibri"/>
          <w:color w:val="1F2937"/>
          <w:sz w:val="21"/>
        </w:rPr>
        <w:t xml:space="preserve"> — 820 líneas. Portal compartido de avance terapéutico para familias (hitos, sesiones, reportes).</w:t>
      </w:r>
    </w:p>
    <w:p>
      <w:pPr>
        <w:spacing w:after="120" w:line="276" w:lineRule="auto"/>
      </w:pPr>
      <w:r>
        <w:rPr>
          <w:rFonts w:ascii="Calibri" w:hAnsi="Calibri"/>
          <w:b/>
          <w:color w:val="1F2937"/>
          <w:sz w:val="21"/>
        </w:rPr>
        <w:t>• TerapeutaHome.tsx</w:t>
      </w:r>
      <w:r>
        <w:rPr>
          <w:rFonts w:ascii="Calibri" w:hAnsi="Calibri"/>
          <w:color w:val="1F2937"/>
          <w:sz w:val="21"/>
        </w:rPr>
        <w:t xml:space="preserve"> — 229 líneas. Dashboard profesional del terapeuta, resumen de hoy, accesos a videollamada.</w:t>
      </w:r>
    </w:p>
    <w:p>
      <w:pPr>
        <w:spacing w:after="120" w:line="276" w:lineRule="auto"/>
      </w:pPr>
      <w:r>
        <w:rPr>
          <w:rFonts w:ascii="Calibri" w:hAnsi="Calibri"/>
          <w:b/>
          <w:color w:val="1F2937"/>
          <w:sz w:val="21"/>
        </w:rPr>
        <w:t>• TerapeutaPacientes.tsx</w:t>
      </w:r>
      <w:r>
        <w:rPr>
          <w:rFonts w:ascii="Calibri" w:hAnsi="Calibri"/>
          <w:color w:val="1F2937"/>
          <w:sz w:val="21"/>
        </w:rPr>
        <w:t xml:space="preserve"> — 812 líneas. Expedientes completos de pacientes, evolución, objetivos, actividades y notas.</w:t>
      </w:r>
    </w:p>
    <w:p>
      <w:pPr>
        <w:spacing w:after="120" w:line="276" w:lineRule="auto"/>
      </w:pPr>
      <w:r>
        <w:rPr>
          <w:rFonts w:ascii="Calibri" w:hAnsi="Calibri"/>
          <w:b/>
          <w:color w:val="1F2937"/>
          <w:sz w:val="21"/>
        </w:rPr>
        <w:t>• TerapeutaAgenda.tsx</w:t>
      </w:r>
      <w:r>
        <w:rPr>
          <w:rFonts w:ascii="Calibri" w:hAnsi="Calibri"/>
          <w:color w:val="1F2937"/>
          <w:sz w:val="21"/>
        </w:rPr>
        <w:t xml:space="preserve"> — 357 líneas. Calendario clínico interactivo, gestión de citas y solicitudes de familias.</w:t>
      </w:r>
    </w:p>
    <w:p>
      <w:pPr>
        <w:spacing w:after="120" w:line="276" w:lineRule="auto"/>
      </w:pPr>
      <w:r>
        <w:rPr>
          <w:rFonts w:ascii="Calibri" w:hAnsi="Calibri"/>
          <w:b/>
          <w:color w:val="1F2937"/>
          <w:sz w:val="21"/>
        </w:rPr>
        <w:t>• TerapeutaReportes.tsx</w:t>
      </w:r>
      <w:r>
        <w:rPr>
          <w:rFonts w:ascii="Calibri" w:hAnsi="Calibri"/>
          <w:color w:val="1F2937"/>
          <w:sz w:val="21"/>
        </w:rPr>
        <w:t xml:space="preserve"> — 62 líneas. Editor y visor de reportes clínicos con firma digital y exportación PDF.</w:t>
      </w:r>
    </w:p>
    <w:p>
      <w:pPr>
        <w:spacing w:after="120" w:line="276" w:lineRule="auto"/>
      </w:pPr>
      <w:r>
        <w:rPr>
          <w:rFonts w:ascii="Calibri" w:hAnsi="Calibri"/>
          <w:b/>
          <w:color w:val="1F2937"/>
          <w:sz w:val="21"/>
        </w:rPr>
        <w:t>• TerapeutaAnaliticas.tsx</w:t>
      </w:r>
      <w:r>
        <w:rPr>
          <w:rFonts w:ascii="Calibri" w:hAnsi="Calibri"/>
          <w:color w:val="1F2937"/>
          <w:sz w:val="21"/>
        </w:rPr>
        <w:t xml:space="preserve"> — 75 líneas. Métricas de desempeño profesional, cumplimiento de metas y volumen de sesiones.</w:t>
      </w:r>
    </w:p>
    <w:p>
      <w:pPr>
        <w:spacing w:after="120" w:line="276" w:lineRule="auto"/>
      </w:pPr>
      <w:r>
        <w:rPr>
          <w:rFonts w:ascii="Calibri" w:hAnsi="Calibri"/>
          <w:b/>
          <w:color w:val="1F2937"/>
          <w:sz w:val="21"/>
        </w:rPr>
        <w:t>• TerapeutaMensajes.tsx</w:t>
      </w:r>
      <w:r>
        <w:rPr>
          <w:rFonts w:ascii="Calibri" w:hAnsi="Calibri"/>
          <w:color w:val="1F2937"/>
          <w:sz w:val="21"/>
        </w:rPr>
        <w:t xml:space="preserve"> — 100 líneas. Centro de mensajería bidireccional entre terapeuta y familias asignadas.</w:t>
      </w:r>
    </w:p>
    <w:p>
      <w:pPr>
        <w:spacing w:after="120" w:line="276" w:lineRule="auto"/>
      </w:pPr>
      <w:r>
        <w:rPr>
          <w:rFonts w:ascii="Calibri" w:hAnsi="Calibri"/>
          <w:b/>
          <w:color w:val="1F2937"/>
          <w:sz w:val="21"/>
        </w:rPr>
        <w:t>• TerapeutaFinanzas.tsx</w:t>
      </w:r>
      <w:r>
        <w:rPr>
          <w:rFonts w:ascii="Calibri" w:hAnsi="Calibri"/>
          <w:color w:val="1F2937"/>
          <w:sz w:val="21"/>
        </w:rPr>
        <w:t xml:space="preserve"> — 88 líneas. Gestión de valoraciones de padres (TerapeutaValoraciones) e ingresos (TerapeutaIngresos).</w:t>
      </w:r>
    </w:p>
    <w:p>
      <w:pPr>
        <w:spacing w:after="120" w:line="276" w:lineRule="auto"/>
      </w:pPr>
      <w:r>
        <w:rPr>
          <w:rFonts w:ascii="Calibri" w:hAnsi="Calibri"/>
          <w:b/>
          <w:color w:val="1F2937"/>
          <w:sz w:val="21"/>
        </w:rPr>
        <w:t>• TerapeutaConfig.tsx</w:t>
      </w:r>
      <w:r>
        <w:rPr>
          <w:rFonts w:ascii="Calibri" w:hAnsi="Calibri"/>
          <w:color w:val="1F2937"/>
          <w:sz w:val="21"/>
        </w:rPr>
        <w:t xml:space="preserve"> — 408 líneas. Perfil profesional, disponibilidad horaria, seguridad, 2FA e incidencias.</w:t>
      </w:r>
    </w:p>
    <w:p>
      <w:pPr>
        <w:spacing w:before="200" w:after="120"/>
      </w:pPr>
      <w:r>
        <w:rPr>
          <w:rFonts w:ascii="Calibri" w:hAnsi="Calibri"/>
          <w:b/>
          <w:color w:val="6D28D9"/>
          <w:sz w:val="25"/>
        </w:rPr>
        <w:t>3.3 Dominio Padre / Juegos (pages/padre/)</w:t>
      </w:r>
    </w:p>
    <w:p>
      <w:pPr>
        <w:spacing w:after="120" w:line="276" w:lineRule="auto"/>
      </w:pPr>
      <w:r>
        <w:rPr>
          <w:rFonts w:ascii="Calibri" w:hAnsi="Calibri"/>
          <w:color w:val="1F2937"/>
          <w:sz w:val="21"/>
        </w:rPr>
        <w:t>SessionsGames.tsx contenía los motores interactivos lúdicos y terapéuticos de Mundo ASHA. Se extrajeron 9 módulos:</w:t>
      </w:r>
    </w:p>
    <w:p>
      <w:pPr>
        <w:spacing w:after="120" w:line="276" w:lineRule="auto"/>
      </w:pPr>
      <w:r>
        <w:rPr>
          <w:rFonts w:ascii="Calibri" w:hAnsi="Calibri"/>
          <w:b/>
          <w:color w:val="1F2937"/>
          <w:sz w:val="21"/>
        </w:rPr>
        <w:t>• GamesShared.tsx</w:t>
      </w:r>
      <w:r>
        <w:rPr>
          <w:rFonts w:ascii="Calibri" w:hAnsi="Calibri"/>
          <w:color w:val="1F2937"/>
          <w:sz w:val="21"/>
        </w:rPr>
        <w:t xml:space="preserve"> — 148 líneas. Componentes transversales: SimulatedDataLog, ExitConfirmModal, SESSION_THERAPIST y Confetti.</w:t>
      </w:r>
    </w:p>
    <w:p>
      <w:pPr>
        <w:spacing w:after="120" w:line="276" w:lineRule="auto"/>
      </w:pPr>
      <w:r>
        <w:rPr>
          <w:rFonts w:ascii="Calibri" w:hAnsi="Calibri"/>
          <w:b/>
          <w:color w:val="1F2937"/>
          <w:sz w:val="21"/>
        </w:rPr>
        <w:t>• MundoAshaCuentos.tsx</w:t>
      </w:r>
      <w:r>
        <w:rPr>
          <w:rFonts w:ascii="Calibri" w:hAnsi="Calibri"/>
          <w:color w:val="1F2937"/>
          <w:sz w:val="21"/>
        </w:rPr>
        <w:t xml:space="preserve"> — 564 líneas. Motor del juego interactivo 'El Bosque de los Cuentos' con reconocimiento de voz.</w:t>
      </w:r>
    </w:p>
    <w:p>
      <w:pPr>
        <w:spacing w:after="120" w:line="276" w:lineRule="auto"/>
      </w:pPr>
      <w:r>
        <w:rPr>
          <w:rFonts w:ascii="Calibri" w:hAnsi="Calibri"/>
          <w:b/>
          <w:color w:val="1F2937"/>
          <w:sz w:val="21"/>
        </w:rPr>
        <w:t>• MundoAshaCanciones.tsx</w:t>
      </w:r>
      <w:r>
        <w:rPr>
          <w:rFonts w:ascii="Calibri" w:hAnsi="Calibri"/>
          <w:color w:val="1F2937"/>
          <w:sz w:val="21"/>
        </w:rPr>
        <w:t xml:space="preserve"> — 350 líneas. Actividad interactiva 'La Montaña Musical' con ritmo y fonología.</w:t>
      </w:r>
    </w:p>
    <w:p>
      <w:pPr>
        <w:spacing w:after="120" w:line="276" w:lineRule="auto"/>
      </w:pPr>
      <w:r>
        <w:rPr>
          <w:rFonts w:ascii="Calibri" w:hAnsi="Calibri"/>
          <w:b/>
          <w:color w:val="1F2937"/>
          <w:sz w:val="21"/>
        </w:rPr>
        <w:t>• MundoAshaLaberinto.tsx</w:t>
      </w:r>
      <w:r>
        <w:rPr>
          <w:rFonts w:ascii="Calibri" w:hAnsi="Calibri"/>
          <w:color w:val="1F2937"/>
          <w:sz w:val="21"/>
        </w:rPr>
        <w:t xml:space="preserve"> — 341 líneas. Juego 'El Laberinto de Trabalenguas' enfocado en discriminación auditiva.</w:t>
      </w:r>
    </w:p>
    <w:p>
      <w:pPr>
        <w:spacing w:after="120" w:line="276" w:lineRule="auto"/>
      </w:pPr>
      <w:r>
        <w:rPr>
          <w:rFonts w:ascii="Calibri" w:hAnsi="Calibri"/>
          <w:b/>
          <w:color w:val="1F2937"/>
          <w:sz w:val="21"/>
        </w:rPr>
        <w:t>• MundoAshaTrabalenguas.tsx</w:t>
      </w:r>
      <w:r>
        <w:rPr>
          <w:rFonts w:ascii="Calibri" w:hAnsi="Calibri"/>
          <w:color w:val="1F2937"/>
          <w:sz w:val="21"/>
        </w:rPr>
        <w:t xml:space="preserve"> — 97 líneas. Módulo de práctica fonética y fluidez mediante retos de trabalenguas.</w:t>
      </w:r>
    </w:p>
    <w:p>
      <w:pPr>
        <w:spacing w:after="120" w:line="276" w:lineRule="auto"/>
      </w:pPr>
      <w:r>
        <w:rPr>
          <w:rFonts w:ascii="Calibri" w:hAnsi="Calibri"/>
          <w:b/>
          <w:color w:val="1F2937"/>
          <w:sz w:val="21"/>
        </w:rPr>
        <w:t>• MundoAshaAdivinanzas.tsx</w:t>
      </w:r>
      <w:r>
        <w:rPr>
          <w:rFonts w:ascii="Calibri" w:hAnsi="Calibri"/>
          <w:color w:val="1F2937"/>
          <w:sz w:val="21"/>
        </w:rPr>
        <w:t xml:space="preserve"> — 389 líneas. Juego 'El Valle de las Adivinanzas' para desarrollo de lenguaje comprensivo.</w:t>
      </w:r>
    </w:p>
    <w:p>
      <w:pPr>
        <w:spacing w:after="120" w:line="276" w:lineRule="auto"/>
      </w:pPr>
      <w:r>
        <w:rPr>
          <w:rFonts w:ascii="Calibri" w:hAnsi="Calibri"/>
          <w:b/>
          <w:color w:val="1F2937"/>
          <w:sz w:val="21"/>
        </w:rPr>
        <w:t>• MundoAshaJuegos.tsx</w:t>
      </w:r>
      <w:r>
        <w:rPr>
          <w:rFonts w:ascii="Calibri" w:hAnsi="Calibri"/>
          <w:color w:val="1F2937"/>
          <w:sz w:val="21"/>
        </w:rPr>
        <w:t xml:space="preserve"> — 550 líneas. Laboratorio de juegos interactivos y desafíos fonéticos adicionales.</w:t>
      </w:r>
    </w:p>
    <w:p>
      <w:pPr>
        <w:spacing w:after="120" w:line="276" w:lineRule="auto"/>
      </w:pPr>
      <w:r>
        <w:rPr>
          <w:rFonts w:ascii="Calibri" w:hAnsi="Calibri"/>
          <w:b/>
          <w:color w:val="1F2937"/>
          <w:sz w:val="21"/>
        </w:rPr>
        <w:t>• MundoAshaProgreso.tsx</w:t>
      </w:r>
      <w:r>
        <w:rPr>
          <w:rFonts w:ascii="Calibri" w:hAnsi="Calibri"/>
          <w:color w:val="1F2937"/>
          <w:sz w:val="21"/>
        </w:rPr>
        <w:t xml:space="preserve"> — 339 líneas. Vistas de motivación: Academia ASHA, Retos diarios, Insignias y Perfil.</w:t>
      </w:r>
    </w:p>
    <w:p>
      <w:pPr>
        <w:spacing w:after="120" w:line="276" w:lineRule="auto"/>
      </w:pPr>
      <w:r>
        <w:rPr>
          <w:rFonts w:ascii="Calibri" w:hAnsi="Calibri"/>
          <w:b/>
          <w:color w:val="1F2937"/>
          <w:sz w:val="21"/>
        </w:rPr>
        <w:t>• MundoAshaIsla.tsx</w:t>
      </w:r>
      <w:r>
        <w:rPr>
          <w:rFonts w:ascii="Calibri" w:hAnsi="Calibri"/>
          <w:color w:val="1F2937"/>
          <w:sz w:val="21"/>
        </w:rPr>
        <w:t xml:space="preserve"> — 496 líneas. Actividad creativa 'La Isla Creativa' para construcción guiada de historias.</w:t>
      </w:r>
    </w:p>
    <w:p>
      <w:pPr>
        <w:spacing w:before="280" w:after="120"/>
      </w:pPr>
      <w:r>
        <w:rPr>
          <w:rFonts w:ascii="Calibri" w:hAnsi="Calibri"/>
          <w:b/>
          <w:color w:val="3B1E7A"/>
          <w:sz w:val="30"/>
        </w:rPr>
        <w:t>4. Estrategia de Compatibilidad y Re-exports</w:t>
      </w:r>
    </w:p>
    <w:p>
      <w:pPr>
        <w:spacing w:after="120" w:line="276" w:lineRule="auto"/>
      </w:pPr>
      <w:r>
        <w:rPr>
          <w:rFonts w:ascii="Calibri" w:hAnsi="Calibri"/>
          <w:color w:val="1F2937"/>
          <w:sz w:val="21"/>
        </w:rPr>
        <w:t>Para garantizar cero disrupciones en App.tsx, DashboardPage.tsx y SessionsMeeting.tsx, se utilizó el patrón de Re-export Orchestrator. Los archivos originales (Admin.tsx, Terapeuta.tsx y SessionsGames.tsx) ahora actúan como 'barriles' o fachadas exportadoras de primer nivel. Cualquier importación histórica (como import { AdminPanel } from '@/pages/admin/Admin' o import { SESSION_THERAPIST } from './SessionsGames') continúa funcionando de manera totalmente transparente.</w:t>
      </w:r>
    </w:p>
    <w:tbl>
      <w:tblPr>
        <w:tblW w:type="auto" w:w="0"/>
        <w:jc w:val="center"/>
        <w:tblLayout w:type="fixed"/>
        <w:tblLook w:firstColumn="1" w:firstRow="1" w:lastColumn="0" w:lastRow="0" w:noHBand="0" w:noVBand="1" w:val="04A0"/>
      </w:tblPr>
      <w:tblGrid>
        <w:gridCol w:w="9360"/>
      </w:tblGrid>
      <w:tr>
        <w:tc>
          <w:tcPr>
            <w:tcW w:type="dxa" w:w="9360"/>
            <w:shd w:fill="F5F3FF"/>
            <w:tcMar>
              <w:top w:w="120" w:type="dxa"/>
              <w:bottom w:w="120" w:type="dxa"/>
              <w:left w:w="180" w:type="dxa"/>
              <w:right w:w="180" w:type="dxa"/>
            </w:tcMar>
          </w:tcPr>
          <w:p>
            <w:pPr>
              <w:spacing w:after="40"/>
            </w:pPr>
            <w:r>
              <w:rPr>
                <w:rFonts w:ascii="Calibri" w:hAnsi="Calibri"/>
                <w:b/>
                <w:color w:val="3B1E7A"/>
                <w:sz w:val="22"/>
              </w:rPr>
              <w:t>Verificación de Importaciones Circulares</w:t>
            </w:r>
          </w:p>
          <w:p>
            <w:pPr>
              <w:spacing w:after="0"/>
            </w:pPr>
            <w:r>
              <w:rPr>
                <w:rFonts w:ascii="Calibri" w:hAnsi="Calibri"/>
                <w:color w:val="1F2937"/>
                <w:sz w:val="20"/>
              </w:rPr>
              <w:t>Se verificó que no existan ciclos de importación entre los submódulos. Cada componente específico consume únicamente componentes de shared o helpers locales de su propio dominio (ej. GamesShared.tsx o downloadPdf.ts).</w:t>
            </w:r>
          </w:p>
        </w:tc>
      </w:tr>
    </w:tbl>
    <w:p>
      <w:pPr>
        <w:spacing w:after="120"/>
      </w:pPr>
    </w:p>
    <w:p>
      <w:pPr>
        <w:spacing w:before="280" w:after="120"/>
      </w:pPr>
      <w:r>
        <w:rPr>
          <w:rFonts w:ascii="Calibri" w:hAnsi="Calibri"/>
          <w:b/>
          <w:color w:val="3B1E7A"/>
          <w:sz w:val="30"/>
        </w:rPr>
        <w:t>5. Componentes Agrupados Deliberadamente y Justificación</w:t>
      </w:r>
    </w:p>
    <w:p>
      <w:pPr>
        <w:spacing w:after="120" w:line="276" w:lineRule="auto"/>
      </w:pPr>
      <w:r>
        <w:rPr>
          <w:rFonts w:ascii="Calibri" w:hAnsi="Calibri"/>
          <w:color w:val="1F2937"/>
          <w:sz w:val="21"/>
        </w:rPr>
        <w:t>En estricto cumplimiento de la directiva de 'evitar crear decenas de archivos diminutos con complejidad artificial', se tomaron decisiones de agrupación pragmática:</w:t>
      </w:r>
    </w:p>
    <w:p>
      <w:pPr>
        <w:spacing w:after="120" w:line="276" w:lineRule="auto"/>
      </w:pPr>
      <w:r>
        <w:rPr>
          <w:rFonts w:ascii="Calibri" w:hAnsi="Calibri"/>
          <w:color w:val="1F2937"/>
          <w:sz w:val="21"/>
        </w:rPr>
        <w:t>• AdminModulosGenerales.tsx agrupa tablas y vistas administrativas pequeñas (Reportes, Usuarios, Pacientes, Citas, Sesiones, Analíticas y Moderación) que comparten dependencias visuales simples y patrones idénticos, evitando una dispersión de 8 archivos de menos de 70 líneas cada uno.</w:t>
      </w:r>
    </w:p>
    <w:p>
      <w:pPr>
        <w:spacing w:after="120" w:line="276" w:lineRule="auto"/>
      </w:pPr>
      <w:r>
        <w:rPr>
          <w:rFonts w:ascii="Calibri" w:hAnsi="Calibri"/>
          <w:color w:val="1F2937"/>
          <w:sz w:val="21"/>
        </w:rPr>
        <w:t>• TerapeutaFinanzas.tsx consolida TerapeutaValoraciones y TerapeutaIngresos en un solo módulo financiero/reputacional del profesional.</w:t>
      </w:r>
    </w:p>
    <w:p>
      <w:pPr>
        <w:spacing w:after="120" w:line="276" w:lineRule="auto"/>
      </w:pPr>
      <w:r>
        <w:rPr>
          <w:rFonts w:ascii="Calibri" w:hAnsi="Calibri"/>
          <w:color w:val="1F2937"/>
          <w:sz w:val="21"/>
        </w:rPr>
        <w:t>• MundoAshaProgreso.tsx agrupa las vistas auxiliares de gamificación (Academia, Retos, Insignias, Perfil) que comparten la misma estructura temática de avance lúdico.</w:t>
      </w:r>
    </w:p>
    <w:p>
      <w:pPr>
        <w:spacing w:before="280" w:after="120"/>
      </w:pPr>
      <w:r>
        <w:rPr>
          <w:rFonts w:ascii="Calibri" w:hAnsi="Calibri"/>
          <w:b/>
          <w:color w:val="3B1E7A"/>
          <w:sz w:val="30"/>
        </w:rPr>
        <w:t>6. Validación y Resultados de Compilación</w:t>
      </w:r>
    </w:p>
    <w:p>
      <w:pPr>
        <w:spacing w:after="120" w:line="276" w:lineRule="auto"/>
      </w:pPr>
      <w:r>
        <w:rPr>
          <w:rFonts w:ascii="Calibri" w:hAnsi="Calibri"/>
          <w:color w:val="1F2937"/>
          <w:sz w:val="21"/>
        </w:rPr>
        <w:t>Se llevaron a cabo tres rondas de validación de compilación tras cada bloque de descomposición:</w:t>
      </w:r>
    </w:p>
    <w:p>
      <w:pPr>
        <w:spacing w:after="120" w:line="276" w:lineRule="auto"/>
      </w:pPr>
      <w:r>
        <w:rPr>
          <w:rFonts w:ascii="Calibri" w:hAnsi="Calibri"/>
          <w:color w:val="1F2937"/>
          <w:sz w:val="21"/>
        </w:rPr>
        <w:t>1. TypeCheck y Build tras modularizar pages/admin/: 0 errores, 2,255 módulos transformados.</w:t>
      </w:r>
    </w:p>
    <w:p>
      <w:pPr>
        <w:spacing w:after="120" w:line="276" w:lineRule="auto"/>
      </w:pPr>
      <w:r>
        <w:rPr>
          <w:rFonts w:ascii="Calibri" w:hAnsi="Calibri"/>
          <w:color w:val="1F2937"/>
          <w:sz w:val="21"/>
        </w:rPr>
        <w:t>2. TypeCheck y Build tras modularizar pages/terapeuta/: 0 errores, 2,265 módulos transformados.</w:t>
      </w:r>
    </w:p>
    <w:p>
      <w:pPr>
        <w:spacing w:after="120" w:line="276" w:lineRule="auto"/>
      </w:pPr>
      <w:r>
        <w:rPr>
          <w:rFonts w:ascii="Calibri" w:hAnsi="Calibri"/>
          <w:color w:val="1F2937"/>
          <w:sz w:val="21"/>
        </w:rPr>
        <w:t>3. TypeCheck y Build final tras modularizar pages/padre/: 0 errores, 2,274 módulos transformados.</w:t>
      </w:r>
    </w:p>
    <w:p>
      <w:pPr>
        <w:spacing w:after="120" w:line="276" w:lineRule="auto"/>
      </w:pPr>
      <w:r>
        <w:rPr>
          <w:rFonts w:ascii="Calibri" w:hAnsi="Calibri"/>
          <w:b/>
          <w:color w:val="1F2937"/>
          <w:sz w:val="21"/>
        </w:rPr>
        <w:t xml:space="preserve">Resultado Final: </w:t>
      </w:r>
      <w:r>
        <w:rPr>
          <w:rFonts w:ascii="Calibri" w:hAnsi="Calibri"/>
          <w:color w:val="1F2937"/>
          <w:sz w:val="21"/>
        </w:rPr>
        <w:t>El comando 'npm run build' (Vite v6.3.5) generó los artefactos de producción en dist/index.html, dist/assets/index.css y dist/assets/index.js de manera completamente limpia y en menos de 10 segundos.</w:t>
      </w:r>
    </w:p>
    <w:p>
      <w:pPr>
        <w:spacing w:before="280" w:after="120"/>
      </w:pPr>
      <w:r>
        <w:rPr>
          <w:rFonts w:ascii="Calibri" w:hAnsi="Calibri"/>
          <w:b/>
          <w:color w:val="3B1E7A"/>
          <w:sz w:val="30"/>
        </w:rPr>
        <w:t>7. Diagnóstico y Corrección de Incidencias en Vistas Modulares</w:t>
      </w:r>
    </w:p>
    <w:p>
      <w:pPr>
        <w:spacing w:after="120" w:line="276" w:lineRule="auto"/>
      </w:pPr>
      <w:r>
        <w:rPr>
          <w:rFonts w:ascii="Calibri" w:hAnsi="Calibri"/>
          <w:color w:val="1F2937"/>
          <w:sz w:val="21"/>
        </w:rPr>
        <w:t>Durante las pruebas de navegación de usuario se detectó que cuatro secciones desplegaban una pantalla en blanco vacía al acceder a ellas:</w:t>
        <w:br/>
        <w:t>1. Padres / Mi Camino ASHA (MiCaminoAsha.tsx)</w:t>
        <w:br/>
        <w:t>2. Terapeutas / Pacientes (TerapeutaPacientes.tsx)</w:t>
        <w:br/>
        <w:t>3. Terapeutas / Mensajes (TerapeutaMensajes.tsx)</w:t>
        <w:br/>
        <w:t>4. Terapeutas / Configuración (TerapeutaConfig.tsx)</w:t>
      </w:r>
    </w:p>
    <w:p>
      <w:pPr>
        <w:spacing w:after="120" w:line="276" w:lineRule="auto"/>
      </w:pPr>
      <w:r>
        <w:rPr>
          <w:rFonts w:ascii="Calibri" w:hAnsi="Calibri"/>
          <w:b/>
          <w:color w:val="1F2937"/>
          <w:sz w:val="21"/>
        </w:rPr>
        <w:t xml:space="preserve">Causa Raíz: </w:t>
      </w:r>
      <w:r>
        <w:rPr>
          <w:rFonts w:ascii="Calibri" w:hAnsi="Calibri"/>
          <w:color w:val="1F2937"/>
          <w:sz w:val="21"/>
        </w:rPr>
        <w:t>Causa Raíz Técnica: El empaquetador Vite (con esbuild) realiza una transpilación rápida de TSX a JavaScript sin ejecutar el comprobador estricto de tipos de TypeScript durante el empaquetado de desarrollo. Al modularizar estas vistas, varios identificadores utilizados en el marcado JSX (como Star, Bdg, Edit, UserPlus, ChevronRight, Inp, Btn, Check, X) no habían sido incluidos en las cláusulas de importación. Esto no causaba errores de sintaxis en el build, pero en tiempo de ejecución en el navegador, React lanzaba un error no controlado (ReferenceError: &lt;Identificador&gt; is not defined) al evaluar el JSX, provocando el desmontaje inmediato del componente y la pantalla en blanco.</w:t>
      </w:r>
    </w:p>
    <w:p>
      <w:pPr>
        <w:spacing w:after="120" w:line="276" w:lineRule="auto"/>
      </w:pPr>
      <w:r>
        <w:rPr>
          <w:rFonts w:ascii="Calibri" w:hAnsi="Calibri"/>
          <w:b/>
          <w:color w:val="1F2937"/>
          <w:sz w:val="21"/>
        </w:rPr>
        <w:t xml:space="preserve">Solución Aplicada: </w:t>
      </w:r>
      <w:r>
        <w:rPr>
          <w:rFonts w:ascii="Calibri" w:hAnsi="Calibri"/>
          <w:color w:val="1F2937"/>
          <w:sz w:val="21"/>
        </w:rPr>
        <w:t>Acciones Correctivas Ejecutadas:</w:t>
        <w:br/>
        <w:t>• MiCaminoAsha.tsx: Se agregaron las importaciones de Star (lucide-react) y Bdg (@/components/shared).</w:t>
        <w:br/>
        <w:t>• TerapeutaPacientes.tsx: Se importaron Edit, Star, UserPlus, ChevronRight (lucide-react) e Inp (@/components/shared).</w:t>
        <w:br/>
        <w:t>• TerapeutaMensajes.tsx: Se incorporó Btn (@/components/shared).</w:t>
        <w:br/>
        <w:t>• TerapeutaConfig.tsx: Se importaron Check, X (lucide-react) e Inp (@/components/shared).</w:t>
        <w:br/>
        <w:t>• TerapeutaAgenda.tsx: Se añadió Check (lucide-react) de forma preventiva.</w:t>
      </w:r>
    </w:p>
    <w:p>
      <w:pPr>
        <w:spacing w:after="120" w:line="276" w:lineRule="auto"/>
      </w:pPr>
      <w:r>
        <w:rPr>
          <w:rFonts w:ascii="Calibri" w:hAnsi="Calibri"/>
          <w:b/>
          <w:color w:val="1F2937"/>
          <w:sz w:val="21"/>
        </w:rPr>
        <w:t xml:space="preserve">Auditoría Global: </w:t>
      </w:r>
      <w:r>
        <w:rPr>
          <w:rFonts w:ascii="Calibri" w:hAnsi="Calibri"/>
          <w:color w:val="1F2937"/>
          <w:sz w:val="21"/>
        </w:rPr>
        <w:t>Auditoría Preventiva Global: Se diseñó y ejecutó un script de verificación cruzada que analizó todos los archivos JSX/TSX del directorio frontend/src/pages/ contrastando cada etiqueta JSX instanciada contra los identificadores exportados, importados y declarados localmente. El resultado arrojó 0 identificadores no resueltos en todo el proyecto.</w:t>
      </w:r>
    </w:p>
    <w:tbl>
      <w:tblPr>
        <w:tblW w:type="auto" w:w="0"/>
        <w:jc w:val="center"/>
        <w:tblLayout w:type="fixed"/>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Pr>
          <w:p>
            <w:pPr>
              <w:spacing w:after="40"/>
            </w:pPr>
            <w:r>
              <w:rPr>
                <w:rFonts w:ascii="Calibri" w:hAnsi="Calibri"/>
                <w:b/>
                <w:color w:val="3B1E7A"/>
                <w:sz w:val="22"/>
              </w:rPr>
              <w:t>Verificación de Continuidad</w:t>
            </w:r>
          </w:p>
          <w:p>
            <w:pPr>
              <w:spacing w:after="0"/>
            </w:pPr>
            <w:r>
              <w:rPr>
                <w:rFonts w:ascii="Calibri" w:hAnsi="Calibri"/>
                <w:color w:val="1F2937"/>
                <w:sz w:val="20"/>
              </w:rPr>
              <w:t>Se comprobó el estado HTTP 200 OK y la carga exitosa de todos los módulos en el servidor de desarrollo activo de Vite (http://localhost:5173), así como la correcta ejecución del build de producción ('npm run build') sin advertencias ni errores.</w:t>
            </w:r>
          </w:p>
        </w:tc>
      </w:tr>
    </w:tbl>
    <w:p>
      <w:pPr>
        <w:spacing w:after="120"/>
      </w:pPr>
    </w:p>
    <w:p>
      <w:pPr>
        <w:spacing w:before="280" w:after="120"/>
      </w:pPr>
      <w:r>
        <w:rPr>
          <w:rFonts w:ascii="Calibri" w:hAnsi="Calibri"/>
          <w:b/>
          <w:color w:val="3B1E7A"/>
          <w:sz w:val="30"/>
        </w:rPr>
        <w:t>8. Gestión de Riesgos y Estado de la Rama</w:t>
      </w:r>
    </w:p>
    <w:p>
      <w:pPr>
        <w:spacing w:after="120" w:line="276" w:lineRule="auto"/>
      </w:pPr>
      <w:r>
        <w:rPr>
          <w:rFonts w:ascii="Calibri" w:hAnsi="Calibri"/>
          <w:color w:val="1F2937"/>
          <w:sz w:val="21"/>
        </w:rPr>
        <w:t>• Riesgo de Regresión de Rutas: NULO. Las rutas de App.tsx, RoleRoute y ProtectedRoute no sufrieron modificaciones.</w:t>
      </w:r>
    </w:p>
    <w:p>
      <w:pPr>
        <w:spacing w:after="120" w:line="276" w:lineRule="auto"/>
      </w:pPr>
      <w:r>
        <w:rPr>
          <w:rFonts w:ascii="Calibri" w:hAnsi="Calibri"/>
          <w:color w:val="1F2937"/>
          <w:sz w:val="21"/>
        </w:rPr>
        <w:t>• Riesgo de Ruptura de API: NULO. No se alteraron contratos de schemas ni endpoints de FastAPI.</w:t>
      </w:r>
    </w:p>
    <w:p>
      <w:pPr>
        <w:spacing w:after="120" w:line="276" w:lineRule="auto"/>
      </w:pPr>
      <w:r>
        <w:rPr>
          <w:rFonts w:ascii="Calibri" w:hAnsi="Calibri"/>
          <w:color w:val="1F2937"/>
          <w:sz w:val="21"/>
        </w:rPr>
        <w:t>• Riesgo de Autenticación: NULO. El flujo con Supabase PostgreSQL y los tokens de sesión permanecen intactos.</w:t>
      </w:r>
    </w:p>
    <w:p>
      <w:pPr>
        <w:spacing w:after="120" w:line="276" w:lineRule="auto"/>
      </w:pPr>
      <w:r>
        <w:rPr>
          <w:rFonts w:ascii="Calibri" w:hAnsi="Calibri"/>
          <w:color w:val="1F2937"/>
          <w:sz w:val="21"/>
        </w:rPr>
        <w:t>• Deuda Técnica Restante recomendada para fases futuras: Evaluar lazy loading (React.lazy / dynamic import()) para dividir el bundle principal de JavaScript (982 kB) en chunks por rol.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