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andard-operating-procedure-sop"/>
      <w:r>
        <w:t xml:space="preserve">Standard Operating Procedure (SOP)</w:t>
      </w:r>
      <w:bookmarkEnd w:id="20"/>
    </w:p>
    <w:p>
      <w:pPr>
        <w:pStyle w:val="Heading1"/>
      </w:pPr>
      <w:bookmarkStart w:id="21" w:name="X69ca32942d43dc7aa9d2ca4f1b354e3975d2ffe"/>
      <w:r>
        <w:t xml:space="preserve">A Four-Script scRNA-Seq Analysis Pipeline</w:t>
      </w:r>
      <w:bookmarkEnd w:id="21"/>
    </w:p>
    <w:p>
      <w:pPr>
        <w:pStyle w:val="FirstParagraph"/>
      </w:pPr>
      <w:r>
        <w:rPr>
          <w:b/>
        </w:rPr>
        <w:t xml:space="preserve">Version:</w:t>
      </w:r>
      <w:r>
        <w:t xml:space="preserve"> 5.0 </w:t>
      </w:r>
      <w:r>
        <w:rPr>
          <w:b/>
        </w:rPr>
        <w:t xml:space="preserve">Date:</w:t>
      </w:r>
      <w:r>
        <w:t xml:space="preserve"> April 2026 </w:t>
      </w:r>
      <w:r>
        <w:rPr>
          <w:b/>
        </w:rPr>
        <w:t xml:space="preserve">Authors:</w:t>
      </w:r>
      <w:r>
        <w:t xml:space="preserve"> CaiLab &amp; ChapkinLab </w:t>
      </w:r>
      <w:r>
        <w:rPr>
          <w:b/>
        </w:rPr>
        <w:t xml:space="preserve">Repository:</w:t>
      </w:r>
      <w:r>
        <w:t xml:space="preserve"> https://github.com/sromero1992/single_cell_projects/tree/main/single_cell_standard_pipeline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troduction-purpose"/>
      <w:r>
        <w:t xml:space="preserve">1. Introduction &amp; Purpose</w:t>
      </w:r>
      <w:bookmarkEnd w:id="22"/>
    </w:p>
    <w:p>
      <w:pPr>
        <w:pStyle w:val="FirstParagraph"/>
      </w:pPr>
      <w:r>
        <w:t xml:space="preserve">This document describes a fully standardized, reproducible pipeline for single-cell RNA sequencing (scRNA-seq) analysis built in R with Seurat. The pipeline is designed for collaborative use between computational bioinformaticians and bench biologists, separating heavy computation from interactive biological interpretation. The workflow is organized into four sequential scripts.</w:t>
      </w:r>
    </w:p>
    <w:p>
      <w:pPr>
        <w:pStyle w:val="BodyText"/>
      </w:pPr>
      <w:r>
        <w:rPr>
          <w:b/>
        </w:rPr>
        <w:t xml:space="preserve">Script 00 — Environment Setup</w:t>
      </w:r>
      <w:r>
        <w:t xml:space="preserve"> (</w:t>
      </w:r>
      <w:r>
        <w:rPr>
          <w:rStyle w:val="VerbatimChar"/>
        </w:rPr>
        <w:t xml:space="preserve">00_rlibs_installation.R</w:t>
      </w:r>
      <w:r>
        <w:t xml:space="preserve">): Installs all required R packages from CRAN, Bioconductor, and GitHub into an isolated personal library. Run once before anything else.</w:t>
      </w:r>
    </w:p>
    <w:p>
      <w:pPr>
        <w:pStyle w:val="BodyText"/>
      </w:pPr>
      <w:r>
        <w:rPr>
          <w:b/>
        </w:rPr>
        <w:t xml:space="preserve">Script 01 — Data Processing Engine</w:t>
      </w:r>
      <w:r>
        <w:t xml:space="preserve"> (</w:t>
      </w:r>
      <w:r>
        <w:rPr>
          <w:rStyle w:val="VerbatimChar"/>
        </w:rPr>
        <w:t xml:space="preserve">01_process_data.R</w:t>
      </w:r>
      <w:r>
        <w:t xml:space="preserve">): Handles all automated computational steps including data loading, quality control, doublet detection with a rollback safeguard, ambient RNA correction, dimensionality reduction, and batch integration. Typically run once by a computational user. Outputs a fully processed but unannotated Seurat object.</w:t>
      </w:r>
    </w:p>
    <w:p>
      <w:pPr>
        <w:pStyle w:val="BodyText"/>
      </w:pPr>
      <w:r>
        <w:rPr>
          <w:b/>
        </w:rPr>
        <w:t xml:space="preserve">Script 02 — Annotation Studio</w:t>
      </w:r>
      <w:r>
        <w:t xml:space="preserve"> (</w:t>
      </w:r>
      <w:r>
        <w:rPr>
          <w:rStyle w:val="VerbatimChar"/>
        </w:rPr>
        <w:t xml:space="preserve">02_annotate_data.R</w:t>
      </w:r>
      <w:r>
        <w:t xml:space="preserve">): An interactive annotation environment for biologists. Loads the processed object, performs marker-driven weighted pre-scoring to generate automatic best-guess annotations, then supports manual cluster annotation, sub-clustering of any cell type, and compositional analysis. Marker genes are entirely driven by an external CSV file.</w:t>
      </w:r>
    </w:p>
    <w:p>
      <w:pPr>
        <w:pStyle w:val="BodyText"/>
      </w:pPr>
      <w:r>
        <w:rPr>
          <w:b/>
        </w:rPr>
        <w:t xml:space="preserve">Script 03 — Differential Expression</w:t>
      </w:r>
      <w:r>
        <w:t xml:space="preserve"> (</w:t>
      </w:r>
      <w:r>
        <w:rPr>
          <w:rStyle w:val="VerbatimChar"/>
        </w:rPr>
        <w:t xml:space="preserve">03_differential_expression.R</w:t>
      </w:r>
      <w:r>
        <w:t xml:space="preserve">): Performs between-group and between-cell-type differential gene expression analysis with volcano plot outputs, designed for any combination of cell type and experimental group.</w:t>
      </w:r>
    </w:p>
    <w:p>
      <w:pPr>
        <w:pStyle w:val="BodyText"/>
      </w:pPr>
      <w:r>
        <w:rPr>
          <w:b/>
        </w:rPr>
        <w:t xml:space="preserve">Script 04 — Cell Scoring &amp; Pathway Enrichment</w:t>
      </w:r>
      <w:r>
        <w:t xml:space="preserve"> (</w:t>
      </w:r>
      <w:r>
        <w:rPr>
          <w:rStyle w:val="VerbatimChar"/>
        </w:rPr>
        <w:t xml:space="preserve">04_cell_scoring.R</w:t>
      </w:r>
      <w:r>
        <w:t xml:space="preserve">): Performs AUCell-based pathway scoring from MSigDB gene set collections, per-gene expression comparison plots, and pseudo-bulk statistics for publication-ready significance testing.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required-software-and-packages"/>
      <w:r>
        <w:t xml:space="preserve">2. Required Software and Packages</w:t>
      </w:r>
      <w:bookmarkEnd w:id="23"/>
    </w:p>
    <w:p>
      <w:pPr>
        <w:pStyle w:val="Heading3"/>
      </w:pPr>
      <w:bookmarkStart w:id="24" w:name="software"/>
      <w:r>
        <w:t xml:space="preserve">2.1 Software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R:</w:t>
      </w:r>
      <w:r>
        <w:t xml:space="preserve"> Version 4.0 or newer.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RStudio:</w:t>
      </w:r>
      <w:r>
        <w:t xml:space="preserve"> Strongly recommended for interactive execution of Scripts 02 through 04.</w:t>
      </w:r>
    </w:p>
    <w:p>
      <w:pPr>
        <w:pStyle w:val="Heading3"/>
      </w:pPr>
      <w:bookmarkStart w:id="25" w:name="r-packages"/>
      <w:r>
        <w:t xml:space="preserve">2.2 R Packages</w:t>
      </w:r>
      <w:bookmarkEnd w:id="25"/>
    </w:p>
    <w:p>
      <w:pPr>
        <w:pStyle w:val="FirstParagraph"/>
      </w:pPr>
      <w:r>
        <w:t xml:space="preserve">All packages are installed automatically by Script 00. Key packages are: Seurat, harmony, celda, DoubletFinder, SCEVAN, AUCell, msigdbr, dplyr, ggplot2, ggpubr, patchwork, writexl, openxlsx, ggrepel, Matrix.</w:t>
      </w:r>
    </w:p>
    <w:p>
      <w:pPr>
        <w:pStyle w:val="BodyText"/>
      </w:pPr>
      <w:r>
        <w:t xml:space="preserve">Run </w:t>
      </w:r>
      <w:r>
        <w:rPr>
          <w:rStyle w:val="VerbatimChar"/>
        </w:rPr>
        <w:t xml:space="preserve">00_rlibs_installation.R</w:t>
      </w:r>
      <w:r>
        <w:t xml:space="preserve"> before starting. It installs to an isolated personal library (</w:t>
      </w:r>
      <w:r>
        <w:rPr>
          <w:rStyle w:val="VerbatimChar"/>
        </w:rPr>
        <w:t xml:space="preserve">~/Documents/R_libs_scRNA</w:t>
      </w:r>
      <w:r>
        <w:t xml:space="preserve">) to avoid conflicts with system packages.</w:t>
      </w:r>
    </w:p>
    <w:p>
      <w:pPr>
        <w:pStyle w:val="Heading3"/>
      </w:pPr>
      <w:bookmarkStart w:id="26" w:name="marker-gene-csv"/>
      <w:r>
        <w:t xml:space="preserve">2.3 Marker Gene CSV</w:t>
      </w:r>
      <w:bookmarkEnd w:id="26"/>
    </w:p>
    <w:p>
      <w:pPr>
        <w:pStyle w:val="FirstParagraph"/>
      </w:pPr>
      <w:r>
        <w:t xml:space="preserve">The file </w:t>
      </w:r>
      <w:r>
        <w:rPr>
          <w:rStyle w:val="VerbatimChar"/>
        </w:rPr>
        <w:t xml:space="preserve">cell_type_markers.csv</w:t>
      </w:r>
      <w:r>
        <w:t xml:space="preserve"> must be placed in your </w:t>
      </w:r>
      <w:r>
        <w:rPr>
          <w:rStyle w:val="VerbatimChar"/>
        </w:rPr>
        <w:t xml:space="preserve">ROOT_PATH</w:t>
      </w:r>
      <w:r>
        <w:t xml:space="preserve"> directory (alongside the R scripts). It defines all broad and sub-type marker gene sets used by Scripts 02, 03, and 04. See Section 6 for the full marker reference and CSV format.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pipeline-architecture-overview"/>
      <w:r>
        <w:t xml:space="preserve">3. Pipeline Architecture Overview</w:t>
      </w:r>
      <w:bookmarkEnd w:id="27"/>
    </w:p>
    <w:p>
      <w:pPr>
        <w:pStyle w:val="FirstParagraph"/>
      </w:pPr>
      <w:r>
        <w:t xml:space="preserve">The pipeline follows a strict sequential order. Each script saves its outputs and the next script loads them:</w:t>
      </w:r>
    </w:p>
    <w:p>
      <w:pPr>
        <w:pStyle w:val="SourceCode"/>
      </w:pPr>
      <w:r>
        <w:rPr>
          <w:rStyle w:val="VerbatimChar"/>
        </w:rPr>
        <w:t xml:space="preserve">00_rlibs_installation.R     →  R environment ready</w:t>
      </w:r>
      <w:r>
        <w:br/>
      </w:r>
      <w:r>
        <w:rPr>
          <w:rStyle w:val="VerbatimChar"/>
        </w:rPr>
        <w:t xml:space="preserve">01_process_data.R           →  &lt;PROJECT&gt;_processed_for_annotation.rds</w:t>
      </w:r>
      <w:r>
        <w:br/>
      </w:r>
      <w:r>
        <w:rPr>
          <w:rStyle w:val="VerbatimChar"/>
        </w:rPr>
        <w:t xml:space="preserve">02_annotate_data.R          →  &lt;PROJECT&gt;_final_annotated.rds</w:t>
      </w:r>
      <w:r>
        <w:br/>
      </w:r>
      <w:r>
        <w:rPr>
          <w:rStyle w:val="VerbatimChar"/>
        </w:rPr>
        <w:t xml:space="preserve">                               &lt;PROJECT&gt;_&lt;CellType&gt;_subclustered.rds</w:t>
      </w:r>
      <w:r>
        <w:br/>
      </w:r>
      <w:r>
        <w:rPr>
          <w:rStyle w:val="VerbatimChar"/>
        </w:rPr>
        <w:t xml:space="preserve">03_differential_expression.R → seurat_output/differential_expression/</w:t>
      </w:r>
      <w:r>
        <w:br/>
      </w:r>
      <w:r>
        <w:rPr>
          <w:rStyle w:val="VerbatimChar"/>
        </w:rPr>
        <w:t xml:space="preserve">04_cell_scoring.R           →  seurat_output/cell_scoring/</w:t>
      </w:r>
    </w:p>
    <w:p>
      <w:pPr>
        <w:pStyle w:val="FirstParagraph"/>
      </w:pPr>
      <w:r>
        <w:t xml:space="preserve">The output directory (</w:t>
      </w:r>
      <w:r>
        <w:rPr>
          <w:rStyle w:val="VerbatimChar"/>
        </w:rPr>
        <w:t xml:space="preserve">seurat_output/</w:t>
      </w:r>
      <w:r>
        <w:t xml:space="preserve">) is created automatically under </w:t>
      </w:r>
      <w:r>
        <w:rPr>
          <w:rStyle w:val="VerbatimChar"/>
        </w:rPr>
        <w:t xml:space="preserve">ROOT_PATH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a8dd45dd8ed775b312ee093c8a720b0da675acd"/>
      <w:r>
        <w:t xml:space="preserve">4. Script 00: Environment Setup (</w:t>
      </w:r>
      <w:r>
        <w:rPr>
          <w:rStyle w:val="VerbatimChar"/>
        </w:rPr>
        <w:t xml:space="preserve">00_rlibs_installation.R</w:t>
      </w:r>
      <w:r>
        <w:t xml:space="preserve">)</w:t>
      </w:r>
      <w:bookmarkEnd w:id="28"/>
    </w:p>
    <w:p>
      <w:pPr>
        <w:pStyle w:val="FirstParagraph"/>
      </w:pPr>
      <w:r>
        <w:t xml:space="preserve">This script installs all dependencies into a personal R library and produces a final status report showing which packages are installed and which failed.</w:t>
      </w:r>
    </w:p>
    <w:p>
      <w:pPr>
        <w:pStyle w:val="BodyText"/>
      </w:pPr>
      <w:r>
        <w:rPr>
          <w:b/>
        </w:rPr>
        <w:t xml:space="preserve">Key parameters:</w:t>
      </w:r>
    </w:p>
    <w:p>
      <w:pPr>
        <w:pStyle w:val="BodyText"/>
      </w:pPr>
      <w:r>
        <w:rPr>
          <w:rStyle w:val="VerbatimChar"/>
        </w:rPr>
        <w:t xml:space="preserve">personal_lib</w:t>
      </w:r>
      <w:r>
        <w:t xml:space="preserve">: The target installation directory. Defaults to </w:t>
      </w:r>
      <w:r>
        <w:rPr>
          <w:rStyle w:val="VerbatimChar"/>
        </w:rPr>
        <w:t xml:space="preserve">~/Documents/R_libs_scRNA</w:t>
      </w:r>
      <w:r>
        <w:t xml:space="preserve">. Can be changed to any writable path.</w:t>
      </w:r>
    </w:p>
    <w:p>
      <w:pPr>
        <w:pStyle w:val="BodyText"/>
      </w:pPr>
      <w:r>
        <w:t xml:space="preserve">The script checks which packages are already installed before attempting installation, so it is safe to re-run. After installation, it prints a table showing each package’s install status.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6538fb676f7293bc3e150251f156f4ee5e807f7"/>
      <w:r>
        <w:t xml:space="preserve">5. Script 01: Data Processing Engine (</w:t>
      </w:r>
      <w:r>
        <w:rPr>
          <w:rStyle w:val="VerbatimChar"/>
        </w:rPr>
        <w:t xml:space="preserve">01_process_data.R</w:t>
      </w:r>
      <w:r>
        <w:t xml:space="preserve">)</w:t>
      </w:r>
      <w:bookmarkEnd w:id="29"/>
    </w:p>
    <w:p>
      <w:pPr>
        <w:pStyle w:val="Heading3"/>
      </w:pPr>
      <w:bookmarkStart w:id="30" w:name="purpose"/>
      <w:r>
        <w:t xml:space="preserve">5.1 Purpose</w:t>
      </w:r>
      <w:bookmarkEnd w:id="30"/>
    </w:p>
    <w:p>
      <w:pPr>
        <w:pStyle w:val="FirstParagraph"/>
      </w:pPr>
      <w:r>
        <w:t xml:space="preserve">This script processes raw 10x Genomics H5 files through a seven-step pipeline, applying per-sample checkpointing to allow safe restarts without reprocessing completed samples.</w:t>
      </w:r>
    </w:p>
    <w:p>
      <w:pPr>
        <w:pStyle w:val="Heading3"/>
      </w:pPr>
      <w:bookmarkStart w:id="31" w:name="configuration-parameters"/>
      <w:r>
        <w:t xml:space="preserve">5.2 Configuration Parameters</w:t>
      </w:r>
      <w:bookmarkEnd w:id="31"/>
    </w:p>
    <w:p>
      <w:pPr>
        <w:pStyle w:val="FirstParagraph"/>
      </w:pPr>
      <w:r>
        <w:t xml:space="preserve">All parameters are defined at the top of the script in the USER CONFIGURATION section.</w:t>
      </w:r>
    </w:p>
    <w:p>
      <w:pPr>
        <w:pStyle w:val="BodyText"/>
      </w:pPr>
      <w:r>
        <w:rPr>
          <w:b/>
        </w:rPr>
        <w:t xml:space="preserve">File Paths:</w:t>
      </w:r>
    </w:p>
    <w:p>
      <w:pPr>
        <w:pStyle w:val="BodyText"/>
      </w:pPr>
      <w:r>
        <w:rPr>
          <w:rStyle w:val="VerbatimChar"/>
        </w:rPr>
        <w:t xml:space="preserve">PROJECT_NAME</w:t>
      </w:r>
      <w:r>
        <w:t xml:space="preserve"> — A short label for this study. Used to name all output files. Example: </w:t>
      </w:r>
      <w:r>
        <w:rPr>
          <w:rStyle w:val="VerbatimChar"/>
        </w:rPr>
        <w:t xml:space="preserve">"Nr4a1_Study17_Project"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ROOT_PATH</w:t>
      </w:r>
      <w:r>
        <w:t xml:space="preserve"> — The top-level project directory. All other paths are derived from it. Use the Linux path on HPC or the Windows path locally.</w:t>
      </w:r>
    </w:p>
    <w:p>
      <w:pPr>
        <w:pStyle w:val="BodyText"/>
      </w:pPr>
      <w:r>
        <w:rPr>
          <w:rStyle w:val="VerbatimChar"/>
        </w:rPr>
        <w:t xml:space="preserve">METADATA_FILE</w:t>
      </w:r>
      <w:r>
        <w:t xml:space="preserve"> — Path to an Excel file describing samples. Must contain a </w:t>
      </w:r>
      <w:r>
        <w:rPr>
          <w:rStyle w:val="VerbatimChar"/>
        </w:rPr>
        <w:t xml:space="preserve">SampleID</w:t>
      </w:r>
      <w:r>
        <w:t xml:space="preserve"> column matching the H5 subfolder names. Any additional columns (Condition, Sex, Genotype, Diet, etc.) are automatically added to Seurat metadata.</w:t>
      </w:r>
    </w:p>
    <w:p>
      <w:pPr>
        <w:pStyle w:val="BodyText"/>
      </w:pPr>
      <w:r>
        <w:rPr>
          <w:rStyle w:val="VerbatimChar"/>
        </w:rPr>
        <w:t xml:space="preserve">H5_DIR</w:t>
      </w:r>
      <w:r>
        <w:t xml:space="preserve"> — Directory containing one subfolder per sample with the 10x output files.</w:t>
      </w:r>
    </w:p>
    <w:p>
      <w:pPr>
        <w:pStyle w:val="BodyText"/>
      </w:pPr>
      <w:r>
        <w:rPr>
          <w:rStyle w:val="VerbatimChar"/>
        </w:rPr>
        <w:t xml:space="preserve">OUTPUT_DIR</w:t>
      </w:r>
      <w:r>
        <w:t xml:space="preserve"> — All processed objects and plots are saved here.</w:t>
      </w:r>
    </w:p>
    <w:p>
      <w:pPr>
        <w:pStyle w:val="BodyText"/>
      </w:pPr>
      <w:r>
        <w:rPr>
          <w:rStyle w:val="VerbatimChar"/>
        </w:rPr>
        <w:t xml:space="preserve">SCEVAN_DIR</w:t>
      </w:r>
      <w:r>
        <w:t xml:space="preserve"> — Subdirectory for SCEVAN outputs and per-sample checkpoints.</w:t>
      </w:r>
    </w:p>
    <w:p>
      <w:pPr>
        <w:pStyle w:val="BodyText"/>
      </w:pPr>
      <w:r>
        <w:rPr>
          <w:b/>
        </w:rPr>
        <w:t xml:space="preserve">Pre-Merge QC Parameters (Applied Per-Sample):</w:t>
      </w:r>
    </w:p>
    <w:p>
      <w:pPr>
        <w:pStyle w:val="BodyText"/>
      </w:pPr>
      <w:r>
        <w:rPr>
          <w:rStyle w:val="VerbatimChar"/>
        </w:rPr>
        <w:t xml:space="preserve">PRE_MIN_GENES_PER_CELL</w:t>
      </w:r>
      <w:r>
        <w:t xml:space="preserve"> (default: 500) — Minimum genes per cell. Removes empty droplets.</w:t>
      </w:r>
    </w:p>
    <w:p>
      <w:pPr>
        <w:pStyle w:val="BodyText"/>
      </w:pPr>
      <w:r>
        <w:rPr>
          <w:rStyle w:val="VerbatimChar"/>
        </w:rPr>
        <w:t xml:space="preserve">PRE_MAX_MT_PERCENT</w:t>
      </w:r>
      <w:r>
        <w:t xml:space="preserve"> (default: 30.0) — Maximum mitochondrial percentage. A loose initial filter.</w:t>
      </w:r>
    </w:p>
    <w:p>
      <w:pPr>
        <w:pStyle w:val="BodyText"/>
      </w:pPr>
      <w:r>
        <w:rPr>
          <w:b/>
        </w:rPr>
        <w:t xml:space="preserve">Post-Merge QC Parameters (Applied After Merging):</w:t>
      </w:r>
    </w:p>
    <w:p>
      <w:pPr>
        <w:pStyle w:val="BodyText"/>
      </w:pPr>
      <w:r>
        <w:rPr>
          <w:rStyle w:val="VerbatimChar"/>
        </w:rPr>
        <w:t xml:space="preserve">POST_MIN_GENES</w:t>
      </w:r>
      <w:r>
        <w:t xml:space="preserve"> (default: 500) — Minimum genes per cell after merging.</w:t>
      </w:r>
    </w:p>
    <w:p>
      <w:pPr>
        <w:pStyle w:val="BodyText"/>
      </w:pPr>
      <w:r>
        <w:rPr>
          <w:rStyle w:val="VerbatimChar"/>
        </w:rPr>
        <w:t xml:space="preserve">POST_MAX_GENES</w:t>
      </w:r>
      <w:r>
        <w:t xml:space="preserve"> (default: 14000) — Maximum genes per cell. High values may indicate multiplets.</w:t>
      </w:r>
    </w:p>
    <w:p>
      <w:pPr>
        <w:pStyle w:val="BodyText"/>
      </w:pPr>
      <w:r>
        <w:rPr>
          <w:rStyle w:val="VerbatimChar"/>
        </w:rPr>
        <w:t xml:space="preserve">POST_MIN_UMIS</w:t>
      </w:r>
      <w:r>
        <w:t xml:space="preserve"> (default: 1500) — Minimum UMI count. Examine the QC violin plots (01a, 01b) to tune this. Common values: 500, 1000, 1500.</w:t>
      </w:r>
    </w:p>
    <w:p>
      <w:pPr>
        <w:pStyle w:val="BodyText"/>
      </w:pPr>
      <w:r>
        <w:rPr>
          <w:rStyle w:val="VerbatimChar"/>
        </w:rPr>
        <w:t xml:space="preserve">POST_MAX_UMIS</w:t>
      </w:r>
      <w:r>
        <w:t xml:space="preserve"> (default: 100000) — Maximum UMI count.</w:t>
      </w:r>
    </w:p>
    <w:p>
      <w:pPr>
        <w:pStyle w:val="BodyText"/>
      </w:pPr>
      <w:r>
        <w:rPr>
          <w:rStyle w:val="VerbatimChar"/>
        </w:rPr>
        <w:t xml:space="preserve">POST_MAX_MT</w:t>
      </w:r>
      <w:r>
        <w:t xml:space="preserve"> (default: 20.0) — Maximum mitochondrial percentage. Standard range: 15–25%.</w:t>
      </w:r>
    </w:p>
    <w:p>
      <w:pPr>
        <w:pStyle w:val="BodyText"/>
      </w:pPr>
      <w:r>
        <w:rPr>
          <w:rStyle w:val="VerbatimChar"/>
        </w:rPr>
        <w:t xml:space="preserve">POST_MIN_CELLS_PER_GENE</w:t>
      </w:r>
      <w:r>
        <w:t xml:space="preserve"> (default: 15) — Genes expressed in fewer cells are removed. Reduces noise and memory.</w:t>
      </w:r>
    </w:p>
    <w:p>
      <w:pPr>
        <w:pStyle w:val="BodyText"/>
      </w:pPr>
      <w:r>
        <w:rPr>
          <w:b/>
        </w:rPr>
        <w:t xml:space="preserve">Doublet Detection Parameters:</w:t>
      </w:r>
    </w:p>
    <w:p>
      <w:pPr>
        <w:pStyle w:val="BodyText"/>
      </w:pPr>
      <w:r>
        <w:rPr>
          <w:rStyle w:val="VerbatimChar"/>
        </w:rPr>
        <w:t xml:space="preserve">DOUBLET_RATE</w:t>
      </w:r>
      <w:r>
        <w:t xml:space="preserve"> (default: 0.08) — Expected doublet fraction. Use the 10x rule: ~0.8% per 1,000 cells loaded (e.g., 10,000 cells loaded → 0.08).</w:t>
      </w:r>
    </w:p>
    <w:p>
      <w:pPr>
        <w:pStyle w:val="BodyText"/>
      </w:pPr>
      <w:r>
        <w:rPr>
          <w:rStyle w:val="VerbatimChar"/>
        </w:rPr>
        <w:t xml:space="preserve">DF_PK_RANGE_MIN</w:t>
      </w:r>
      <w:r>
        <w:t xml:space="preserve"> (default: 0.01) — Minimum of the valid pK range for BCmetric optimization.</w:t>
      </w:r>
    </w:p>
    <w:p>
      <w:pPr>
        <w:pStyle w:val="BodyText"/>
      </w:pPr>
      <w:r>
        <w:rPr>
          <w:rStyle w:val="VerbatimChar"/>
        </w:rPr>
        <w:t xml:space="preserve">DF_PK_RANGE_MAX</w:t>
      </w:r>
      <w:r>
        <w:t xml:space="preserve"> (default: 0.15) — Maximum of the valid pK range.</w:t>
      </w:r>
    </w:p>
    <w:p>
      <w:pPr>
        <w:pStyle w:val="BodyText"/>
      </w:pPr>
      <w:r>
        <w:rPr>
          <w:rStyle w:val="VerbatimChar"/>
        </w:rPr>
        <w:t xml:space="preserve">DF_PK_FALLBACK</w:t>
      </w:r>
      <w:r>
        <w:t xml:space="preserve"> (default: 0.09) — pK value used if no valid optimum is found within range.</w:t>
      </w:r>
    </w:p>
    <w:p>
      <w:pPr>
        <w:pStyle w:val="BodyText"/>
      </w:pPr>
      <w:r>
        <w:rPr>
          <w:rStyle w:val="VerbatimChar"/>
        </w:rPr>
        <w:t xml:space="preserve">DOUBLET_ROLLBACK_THRESHOLD</w:t>
      </w:r>
      <w:r>
        <w:t xml:space="preserve"> (default: 0.14) — </w:t>
      </w:r>
      <w:r>
        <w:rPr>
          <w:b/>
        </w:rPr>
        <w:t xml:space="preserve">Key safety parameter.</w:t>
      </w:r>
      <w:r>
        <w:t xml:space="preserve"> If DoubletFinder classifies more than this fraction of cells as doublets for a given sample, the classification is considered unreliable (likely a bad pK selection or unusual data). In this case, doublet removal is </w:t>
      </w:r>
      <w:r>
        <w:rPr>
          <w:b/>
        </w:rPr>
        <w:t xml:space="preserve">rolled back</w:t>
      </w:r>
      <w:r>
        <w:t xml:space="preserve"> for that sample — all cells are kept and treated as singlets. A warning is issued and the event is recorded in </w:t>
      </w:r>
      <w:r>
        <w:rPr>
          <w:rStyle w:val="VerbatimChar"/>
        </w:rPr>
        <w:t xml:space="preserve">doublet_finder_rollback_log.xlsx</w:t>
      </w:r>
      <w:r>
        <w:t xml:space="preserve">. A &gt;14% doublet rate is biologically implausible for standard 10x runs.</w:t>
      </w:r>
    </w:p>
    <w:p>
      <w:pPr>
        <w:pStyle w:val="BodyText"/>
      </w:pPr>
      <w:r>
        <w:rPr>
          <w:b/>
        </w:rPr>
        <w:t xml:space="preserve">Core Dimensionality Reduction Parameters:</w:t>
      </w:r>
    </w:p>
    <w:p>
      <w:pPr>
        <w:pStyle w:val="BodyText"/>
      </w:pPr>
      <w:r>
        <w:rPr>
          <w:rStyle w:val="VerbatimChar"/>
        </w:rPr>
        <w:t xml:space="preserve">N_VARIABLE_FEATURES</w:t>
      </w:r>
      <w:r>
        <w:t xml:space="preserve"> (default: 5000) — Highly variable genes for PCA. Range 2000–5000. Fewer HVGs can sometimes improve UMAP cluster separation.</w:t>
      </w:r>
    </w:p>
    <w:p>
      <w:pPr>
        <w:pStyle w:val="BodyText"/>
      </w:pPr>
      <w:r>
        <w:rPr>
          <w:rStyle w:val="VerbatimChar"/>
        </w:rPr>
        <w:t xml:space="preserve">N_PCS_TO_USE</w:t>
      </w:r>
      <w:r>
        <w:t xml:space="preserve"> (default: 50) — PCs used for graph construction and UMAP.</w:t>
      </w:r>
    </w:p>
    <w:p>
      <w:pPr>
        <w:pStyle w:val="BodyText"/>
      </w:pPr>
      <w:r>
        <w:rPr>
          <w:rStyle w:val="VerbatimChar"/>
        </w:rPr>
        <w:t xml:space="preserve">CLUSTER_RESOLUTION</w:t>
      </w:r>
      <w:r>
        <w:t xml:space="preserve"> (default: 1.0) — Leiden/Louvain resolution. Higher = more clusters. Tune after viewing the UMAP in Script 02.</w:t>
      </w:r>
    </w:p>
    <w:p>
      <w:pPr>
        <w:pStyle w:val="BodyText"/>
      </w:pPr>
      <w:r>
        <w:rPr>
          <w:rStyle w:val="VerbatimChar"/>
        </w:rPr>
        <w:t xml:space="preserve">UMAP_N_NEIGHBORS</w:t>
      </w:r>
      <w:r>
        <w:t xml:space="preserve"> (default: 15) — UMAP local neighborhood size.</w:t>
      </w:r>
    </w:p>
    <w:p>
      <w:pPr>
        <w:pStyle w:val="BodyText"/>
      </w:pPr>
      <w:r>
        <w:rPr>
          <w:rStyle w:val="VerbatimChar"/>
        </w:rPr>
        <w:t xml:space="preserve">UMAP_MIN_DIST</w:t>
      </w:r>
      <w:r>
        <w:t xml:space="preserve"> (default: 0.3) — UMAP minimum point distance. Lower = tighter clusters.</w:t>
      </w:r>
    </w:p>
    <w:p>
      <w:pPr>
        <w:pStyle w:val="BodyText"/>
      </w:pPr>
      <w:r>
        <w:rPr>
          <w:b/>
        </w:rPr>
        <w:t xml:space="preserve">Workflow Toggles:</w:t>
      </w:r>
    </w:p>
    <w:p>
      <w:pPr>
        <w:pStyle w:val="BodyText"/>
      </w:pPr>
      <w:r>
        <w:rPr>
          <w:rStyle w:val="VerbatimChar"/>
        </w:rPr>
        <w:t xml:space="preserve">RUN_DECONTX</w:t>
      </w:r>
      <w:r>
        <w:t xml:space="preserve"> (default: TRUE) — Run DecontX ambient RNA correction. Recommended for all experiments.</w:t>
      </w:r>
    </w:p>
    <w:p>
      <w:pPr>
        <w:pStyle w:val="BodyText"/>
      </w:pPr>
      <w:r>
        <w:rPr>
          <w:rStyle w:val="VerbatimChar"/>
        </w:rPr>
        <w:t xml:space="preserve">RUN_SCEVAN</w:t>
      </w:r>
      <w:r>
        <w:t xml:space="preserve"> (default: TRUE) — Run SCEVAN copy-number variation analysis per sample.</w:t>
      </w:r>
    </w:p>
    <w:p>
      <w:pPr>
        <w:pStyle w:val="BodyText"/>
      </w:pPr>
      <w:r>
        <w:rPr>
          <w:rStyle w:val="VerbatimChar"/>
        </w:rPr>
        <w:t xml:space="preserve">ADD_PROBE_DATA</w:t>
      </w:r>
      <w:r>
        <w:t xml:space="preserve"> (default: TRUE) — Read and integrate probe capture data (KO-target probes).</w:t>
      </w:r>
    </w:p>
    <w:p>
      <w:pPr>
        <w:pStyle w:val="Heading3"/>
      </w:pPr>
      <w:bookmarkStart w:id="32" w:name="pipeline-steps"/>
      <w:r>
        <w:t xml:space="preserve">5.3 Pipeline Steps</w:t>
      </w:r>
      <w:bookmarkEnd w:id="32"/>
    </w:p>
    <w:p>
      <w:pPr>
        <w:pStyle w:val="FirstParagraph"/>
      </w:pPr>
      <w:r>
        <w:rPr>
          <w:b/>
        </w:rPr>
        <w:t xml:space="preserve">Step 2.1 — Per-Sample Processing with Checkpoints:</w:t>
      </w:r>
      <w:r>
        <w:t xml:space="preserve"> Each sample is loaded from its H5 file, optionally enriched with probe data, passed through SCEVAN, filtered with pre-merge QC, and saved as a </w:t>
      </w:r>
      <w:r>
        <w:rPr>
          <w:rStyle w:val="VerbatimChar"/>
        </w:rPr>
        <w:t xml:space="preserve">.rds</w:t>
      </w:r>
      <w:r>
        <w:t xml:space="preserve"> checkpoint. On re-run, existing checkpoints are loaded directly.</w:t>
      </w:r>
    </w:p>
    <w:p>
      <w:pPr>
        <w:pStyle w:val="BodyText"/>
      </w:pPr>
      <w:r>
        <w:rPr>
          <w:b/>
        </w:rPr>
        <w:t xml:space="preserve">Step 2.2 — Merge:</w:t>
      </w:r>
      <w:r>
        <w:t xml:space="preserve"> All per-sample objects are merged and layers joined.</w:t>
      </w:r>
    </w:p>
    <w:p>
      <w:pPr>
        <w:pStyle w:val="BodyText"/>
      </w:pPr>
      <w:r>
        <w:rPr>
          <w:b/>
        </w:rPr>
        <w:t xml:space="preserve">Step 2.3 — Post-Merge QC:</w:t>
      </w:r>
      <w:r>
        <w:t xml:space="preserve"> Stringent filters applied after merging. QC violin plots saved before and after filtering.</w:t>
      </w:r>
    </w:p>
    <w:p>
      <w:pPr>
        <w:pStyle w:val="BodyText"/>
      </w:pPr>
      <w:r>
        <w:rPr>
          <w:b/>
        </w:rPr>
        <w:t xml:space="preserve">Step 2.4 — Doublet Detection:</w:t>
      </w:r>
      <w:r>
        <w:t xml:space="preserve"> DoubletFinder runs per-sample. Includes the pK selection diagnostic plots and the rollback safeguard. A rollback log Excel file is saved.</w:t>
      </w:r>
    </w:p>
    <w:p>
      <w:pPr>
        <w:pStyle w:val="BodyText"/>
      </w:pPr>
      <w:r>
        <w:rPr>
          <w:b/>
        </w:rPr>
        <w:t xml:space="preserve">Step 2.5 — DecontX Ambient RNA Correction (Optional):</w:t>
      </w:r>
      <w:r>
        <w:t xml:space="preserve"> Replaces raw counts with decontaminated counts. QC metrics are recalculated and filters re-applied.</w:t>
      </w:r>
    </w:p>
    <w:p>
      <w:pPr>
        <w:pStyle w:val="BodyText"/>
      </w:pPr>
      <w:r>
        <w:rPr>
          <w:b/>
        </w:rPr>
        <w:t xml:space="preserve">Step 2.6 — Normalization, Integration, and Clustering:</w:t>
      </w:r>
      <w:r>
        <w:t xml:space="preserve"> Two parallel tracks are produced: standard PCA (no batch correction) and Harmony-corrected. Both UMAPs and cluster assignments are saved in the object.</w:t>
      </w:r>
    </w:p>
    <w:p>
      <w:pPr>
        <w:pStyle w:val="BodyText"/>
      </w:pPr>
      <w:r>
        <w:rPr>
          <w:b/>
        </w:rPr>
        <w:t xml:space="preserve">Step 2.7 — Save Processed Object:</w:t>
      </w:r>
      <w:r>
        <w:t xml:space="preserve"> Saves </w:t>
      </w:r>
      <w:r>
        <w:rPr>
          <w:rStyle w:val="VerbatimChar"/>
        </w:rPr>
        <w:t xml:space="preserve">&lt;PROJECT&gt;_processed_for_annotation.rds</w:t>
      </w:r>
      <w:r>
        <w:t xml:space="preserve"> for Script 02.</w:t>
      </w:r>
    </w:p>
    <w:p>
      <w:pPr>
        <w:pStyle w:val="Heading3"/>
      </w:pPr>
      <w:bookmarkStart w:id="33" w:name="output-files"/>
      <w:r>
        <w:t xml:space="preserve">5.4 Output Files</w:t>
      </w:r>
      <w:bookmarkEnd w:id="33"/>
    </w:p>
    <w:p>
      <w:pPr>
        <w:pStyle w:val="FirstParagraph"/>
      </w:pPr>
      <w:r>
        <w:rPr>
          <w:rStyle w:val="VerbatimChar"/>
        </w:rPr>
        <w:t xml:space="preserve">01a_qc_violin_before_filtering.png</w:t>
      </w:r>
      <w:r>
        <w:t xml:space="preserve"> — QC distributions before any post-merge filtering.</w:t>
      </w:r>
    </w:p>
    <w:p>
      <w:pPr>
        <w:pStyle w:val="BodyText"/>
      </w:pPr>
      <w:r>
        <w:rPr>
          <w:rStyle w:val="VerbatimChar"/>
        </w:rPr>
        <w:t xml:space="preserve">01b_qc_violin_after_filtering.png</w:t>
      </w:r>
      <w:r>
        <w:t xml:space="preserve"> — QC distributions after post-merge filtering.</w:t>
      </w:r>
    </w:p>
    <w:p>
      <w:pPr>
        <w:pStyle w:val="BodyText"/>
      </w:pPr>
      <w:r>
        <w:rPr>
          <w:rStyle w:val="VerbatimChar"/>
        </w:rPr>
        <w:t xml:space="preserve">01c_DIAGNOSTIC_doublet_visualization.png</w:t>
      </w:r>
      <w:r>
        <w:t xml:space="preserve"> — UMAP showing doublets before removal.</w:t>
      </w:r>
    </w:p>
    <w:p>
      <w:pPr>
        <w:pStyle w:val="BodyText"/>
      </w:pPr>
      <w:r>
        <w:rPr>
          <w:rStyle w:val="VerbatimChar"/>
        </w:rPr>
        <w:t xml:space="preserve">doublet_finder_rollback_log.xlsx</w:t>
      </w:r>
      <w:r>
        <w:t xml:space="preserve"> — Per-sample doublet fractions and rollback events.</w:t>
      </w:r>
    </w:p>
    <w:p>
      <w:pPr>
        <w:pStyle w:val="BodyText"/>
      </w:pPr>
      <w:r>
        <w:rPr>
          <w:rStyle w:val="VerbatimChar"/>
        </w:rPr>
        <w:t xml:space="preserve">doublet_finder_plots/&lt;sample&gt;_pk_plot.png</w:t>
      </w:r>
      <w:r>
        <w:t xml:space="preserve"> — pK selection diagnostic plots per sample.</w:t>
      </w:r>
    </w:p>
    <w:p>
      <w:pPr>
        <w:pStyle w:val="BodyText"/>
      </w:pPr>
      <w:r>
        <w:rPr>
          <w:rStyle w:val="VerbatimChar"/>
        </w:rPr>
        <w:t xml:space="preserve">02_DIAGNOSTIC_UMAP_Harmony_vs_NoHarmony.png</w:t>
      </w:r>
      <w:r>
        <w:t xml:space="preserve"> — Side-by-side UMAP by SampleID.</w:t>
      </w:r>
    </w:p>
    <w:p>
      <w:pPr>
        <w:pStyle w:val="BodyText"/>
      </w:pPr>
      <w:r>
        <w:rPr>
          <w:rStyle w:val="VerbatimChar"/>
        </w:rPr>
        <w:t xml:space="preserve">03_DIAGNOSTIC_UMAP_Cluster_Comparison.png</w:t>
      </w:r>
      <w:r>
        <w:t xml:space="preserve"> — Side-by-side cluster UMAP (PCA vs. Harmony).</w:t>
      </w:r>
    </w:p>
    <w:p>
      <w:pPr>
        <w:pStyle w:val="BodyText"/>
      </w:pPr>
      <w:r>
        <w:rPr>
          <w:rStyle w:val="VerbatimChar"/>
        </w:rPr>
        <w:t xml:space="preserve">&lt;PROJECT&gt;_processed_for_annotation.rds</w:t>
      </w:r>
      <w:r>
        <w:t xml:space="preserve"> — Main output for Script 02.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73870fc1beeca3ba7388eb9eca254fac484d354"/>
      <w:r>
        <w:t xml:space="preserve">6. Script 02: Annotation Studio (</w:t>
      </w:r>
      <w:r>
        <w:rPr>
          <w:rStyle w:val="VerbatimChar"/>
        </w:rPr>
        <w:t xml:space="preserve">02_annotate_data.R</w:t>
      </w:r>
      <w:r>
        <w:t xml:space="preserve">)</w:t>
      </w:r>
      <w:bookmarkEnd w:id="34"/>
    </w:p>
    <w:p>
      <w:pPr>
        <w:pStyle w:val="Heading3"/>
      </w:pPr>
      <w:bookmarkStart w:id="35" w:name="purpose-1"/>
      <w:r>
        <w:t xml:space="preserve">6.1 Purpose</w:t>
      </w:r>
      <w:bookmarkEnd w:id="35"/>
    </w:p>
    <w:p>
      <w:pPr>
        <w:pStyle w:val="FirstParagraph"/>
      </w:pPr>
      <w:r>
        <w:t xml:space="preserve">This is the interactive analysis hub. It provides a guided workflow from raw clusters to fully annotated cell types, combining a quantitative weighted pre-scoring algorithm with manual expert annotation.</w:t>
      </w:r>
    </w:p>
    <w:p>
      <w:pPr>
        <w:pStyle w:val="Heading3"/>
      </w:pPr>
      <w:bookmarkStart w:id="36" w:name="the-weighted-pre-scoring-algorithm"/>
      <w:r>
        <w:t xml:space="preserve">6.2 The Weighted Pre-Scoring Algorithm</w:t>
      </w:r>
      <w:bookmarkEnd w:id="36"/>
    </w:p>
    <w:p>
      <w:pPr>
        <w:pStyle w:val="FirstParagraph"/>
      </w:pPr>
      <w:r>
        <w:t xml:space="preserve">The pipeline includes a specificity-weighted gene expression scoring algorithm (</w:t>
      </w:r>
      <w:r>
        <w:rPr>
          <w:rStyle w:val="VerbatimChar"/>
        </w:rPr>
        <w:t xml:space="preserve">get_weighted_annotation</w:t>
      </w:r>
      <w:r>
        <w:t>) that produces an automatic “best guess” annotation before any manual input. This is the core pre-scoring approach.</w:t>
      </w:r>
    </w:p>
    <w:p>
      <w:pPr>
        <w:pStyle w:val="BodyText"/>
      </w:pPr>
      <w:r>
        <w:rPr>
          <w:b/>
        </w:rPr>
        <w:t xml:space="preserve">Algorithm steps:</w:t>
      </w:r>
    </w:p>
    <w:p>
      <w:pPr>
        <w:numPr>
          <w:ilvl w:val="0"/>
          <w:numId w:val="1002"/>
        </w:numPr>
        <w:pStyle w:val="Compact"/>
      </w:pPr>
      <w:r>
        <w:t xml:space="preserve">Build a binary gene × cell-type presence matrix from the marker list.</w:t>
      </w:r>
    </w:p>
    <w:p>
      <w:pPr>
        <w:numPr>
          <w:ilvl w:val="0"/>
          <w:numId w:val="1002"/>
        </w:numPr>
        <w:pStyle w:val="Compact"/>
      </w:pPr>
      <w:r>
        <w:t xml:space="preserve">Weight each gene by 1 / (number of cell types it appears in), penalizing non-specific markers shared across many types.</w:t>
      </w:r>
    </w:p>
    <w:p>
      <w:pPr>
        <w:numPr>
          <w:ilvl w:val="0"/>
          <w:numId w:val="1002"/>
        </w:numPr>
        <w:pStyle w:val="Compact"/>
      </w:pPr>
      <w:r>
        <w:t xml:space="preserve">Normalize each cell type’s weight column to sum to 1.</w:t>
      </w:r>
    </w:p>
    <w:p>
      <w:pPr>
        <w:numPr>
          <w:ilvl w:val="0"/>
          <w:numId w:val="1002"/>
        </w:numPr>
        <w:pStyle w:val="Compact"/>
      </w:pPr>
      <w:r>
        <w:t xml:space="preserve">Optionally z-score gene expression per gene across all cells (standardized mode).</w:t>
      </w:r>
    </w:p>
    <w:p>
      <w:pPr>
        <w:numPr>
          <w:ilvl w:val="0"/>
          <w:numId w:val="1002"/>
        </w:numPr>
        <w:pStyle w:val="Compact"/>
      </w:pPr>
      <w:r>
        <w:t xml:space="preserve">Multiply the weight matrix by the expression matrix and compute per-cluster means.</w:t>
      </w:r>
    </w:p>
    <w:p>
      <w:pPr>
        <w:numPr>
          <w:ilvl w:val="0"/>
          <w:numId w:val="1002"/>
        </w:numPr>
        <w:pStyle w:val="Compact"/>
      </w:pPr>
      <w:r>
        <w:t xml:space="preserve">Assign the top-scoring cell type to all cells in each cluster.</w:t>
      </w:r>
    </w:p>
    <w:p>
      <w:pPr>
        <w:numPr>
          <w:ilvl w:val="0"/>
          <w:numId w:val="1002"/>
        </w:numPr>
        <w:pStyle w:val="Compact"/>
      </w:pPr>
      <w:r>
        <w:t xml:space="preserve">Return the per-cell annotation vector and a Top-5 ranked score table per cluster.</w:t>
      </w:r>
    </w:p>
    <w:p>
      <w:pPr>
        <w:pStyle w:val="FirstParagraph"/>
      </w:pPr>
      <w:r>
        <w:rPr>
          <w:b/>
        </w:rPr>
        <w:t xml:space="preserve">Two scoring modes are run in parallel:</w:t>
      </w:r>
    </w:p>
    <w:p>
      <w:pPr>
        <w:pStyle w:val="BodyText"/>
      </w:pPr>
      <w:r>
        <w:t xml:space="preserve">Standardized (z-scored): Emphasizes relative expression patterns and is more robust to high-expression outliers. Better for heterogeneous datasets.</w:t>
      </w:r>
    </w:p>
    <w:p>
      <w:pPr>
        <w:pStyle w:val="BodyText"/>
      </w:pPr>
      <w:r>
        <w:t xml:space="preserve">Non-standardized (raw): Uses raw normalized counts proportional to absolute expression. Better when cell types have dramatically different expression magnitudes.</w:t>
      </w:r>
    </w:p>
    <w:p>
      <w:pPr>
        <w:pStyle w:val="BodyText"/>
      </w:pPr>
      <w:r>
        <w:t xml:space="preserve">Both results are saved to Excel reports and displayed on UMAP for side-by-side review before manual annotation.</w:t>
      </w:r>
    </w:p>
    <w:p>
      <w:pPr>
        <w:pStyle w:val="Heading3"/>
      </w:pPr>
      <w:bookmarkStart w:id="37" w:name="configuration-parameters-1"/>
      <w:r>
        <w:t xml:space="preserve">6.3 Configuration Parameters</w:t>
      </w:r>
      <w:bookmarkEnd w:id="37"/>
    </w:p>
    <w:p>
      <w:pPr>
        <w:pStyle w:val="FirstParagraph"/>
      </w:pPr>
      <w:r>
        <w:rPr>
          <w:rStyle w:val="VerbatimChar"/>
        </w:rPr>
        <w:t xml:space="preserve">PROJECT_NAME</w:t>
      </w:r>
      <w:r>
        <w:t xml:space="preserve"> and </w:t>
      </w:r>
      <w:r>
        <w:rPr>
          <w:rStyle w:val="VerbatimChar"/>
        </w:rPr>
        <w:t xml:space="preserve">ROOT_PATH</w:t>
      </w:r>
      <w:r>
        <w:t xml:space="preserve"> — Must match Script 01.</w:t>
      </w:r>
    </w:p>
    <w:p>
      <w:pPr>
        <w:pStyle w:val="BodyText"/>
      </w:pPr>
      <w:r>
        <w:rPr>
          <w:rStyle w:val="VerbatimChar"/>
        </w:rPr>
        <w:t xml:space="preserve">MARKERS_CSV_FILE</w:t>
      </w:r>
      <w:r>
        <w:t xml:space="preserve"> — Path to </w:t>
      </w:r>
      <w:r>
        <w:rPr>
          <w:rStyle w:val="VerbatimChar"/>
        </w:rPr>
        <w:t xml:space="preserve">cell_type_markers.csv</w:t>
      </w:r>
      <w:r>
        <w:t xml:space="preserve">. Defaults to </w:t>
      </w:r>
      <w:r>
        <w:rPr>
          <w:rStyle w:val="VerbatimChar"/>
        </w:rPr>
        <w:t xml:space="preserve">file.path(ROOT_PATH, "cell_type_markers.csv")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VIEW_MODE</w:t>
      </w:r>
      <w:r>
        <w:t xml:space="preserve"> — </w:t>
      </w:r>
      <w:r>
        <w:rPr>
          <w:rStyle w:val="VerbatimChar"/>
        </w:rPr>
        <w:t xml:space="preserve">"harmony"</w:t>
      </w:r>
      <w:r>
        <w:t xml:space="preserve"> (recommended) or </w:t>
      </w:r>
      <w:r>
        <w:rPr>
          <w:rStyle w:val="VerbatimChar"/>
        </w:rPr>
        <w:t xml:space="preserve">"no_harmony"</w:t>
      </w:r>
      <w:r>
        <w:t xml:space="preserve">. Selects which UMAP and cluster column to use throughout the annotation workflow.</w:t>
      </w:r>
    </w:p>
    <w:p>
      <w:pPr>
        <w:pStyle w:val="BodyText"/>
      </w:pPr>
      <w:r>
        <w:rPr>
          <w:rStyle w:val="VerbatimChar"/>
        </w:rPr>
        <w:t xml:space="preserve">CELL_TYPE_TO_SUBCLUSTER</w:t>
      </w:r>
      <w:r>
        <w:t xml:space="preserve"> — Any broad cell type label present in the data. Sub-type markers and the default clustering resolution are automatically loaded from the CSV.</w:t>
      </w:r>
    </w:p>
    <w:p>
      <w:pPr>
        <w:pStyle w:val="BodyText"/>
      </w:pPr>
      <w:r>
        <w:rPr>
          <w:rStyle w:val="VerbatimChar"/>
        </w:rPr>
        <w:t xml:space="preserve">RUN_SUBCLUSTERING</w:t>
      </w:r>
      <w:r>
        <w:t xml:space="preserve"> — If TRUE, runs the full sub-clustering workflow for </w:t>
      </w:r>
      <w:r>
        <w:rPr>
          <w:rStyle w:val="VerbatimChar"/>
        </w:rPr>
        <w:t xml:space="preserve">CELL_TYPE_TO_SUBCLUSTER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SUBCLUSTER_RESOLUTION</w:t>
      </w:r>
      <w:r>
        <w:t xml:space="preserve"> — Set to NULL to auto-read from the CSV </w:t>
      </w:r>
      <w:r>
        <w:rPr>
          <w:rStyle w:val="VerbatimChar"/>
        </w:rPr>
        <w:t xml:space="preserve">subcluster_resolution</w:t>
      </w:r>
      <w:r>
        <w:t xml:space="preserve"> column. Override here to use a custom value.</w:t>
      </w:r>
    </w:p>
    <w:p>
      <w:pPr>
        <w:pStyle w:val="BodyText"/>
      </w:pPr>
      <w:r>
        <w:rPr>
          <w:rStyle w:val="VerbatimChar"/>
        </w:rPr>
        <w:t xml:space="preserve">ADDITIONAL_GROUPS_TO_PLOT</w:t>
      </w:r>
      <w:r>
        <w:t xml:space="preserve"> — Metadata columns for compositional proportion plots (e.g., </w:t>
      </w:r>
      <w:r>
        <w:rPr>
          <w:rStyle w:val="VerbatimChar"/>
        </w:rPr>
        <w:t xml:space="preserve">c("Genotype_Diet")</w:t>
      </w:r>
      <w:r>
        <w:t xml:space="preserve">). Combined columns (e.g., </w:t>
      </w:r>
      <w:r>
        <w:rPr>
          <w:rStyle w:val="VerbatimChar"/>
        </w:rPr>
        <w:t xml:space="preserve">"Genotype_Diet"</w:t>
      </w:r>
      <w:r>
        <w:t xml:space="preserve"> from </w:t>
      </w:r>
      <w:r>
        <w:rPr>
          <w:rStyle w:val="VerbatimChar"/>
        </w:rPr>
        <w:t xml:space="preserve">"Genotype"</w:t>
      </w:r>
      <w:r>
        <w:t xml:space="preserve"> + </w:t>
      </w:r>
      <w:r>
        <w:rPr>
          <w:rStyle w:val="VerbatimChar"/>
        </w:rPr>
        <w:t xml:space="preserve">"Diet"</w:t>
      </w:r>
      <w:r>
        <w:t xml:space="preserve">) are auto-created if the component columns exist.</w:t>
      </w:r>
    </w:p>
    <w:p>
      <w:pPr>
        <w:pStyle w:val="BodyText"/>
      </w:pPr>
      <w:r>
        <w:rPr>
          <w:rStyle w:val="VerbatimChar"/>
        </w:rPr>
        <w:t xml:space="preserve">COMPARISON_X_AXIS</w:t>
      </w:r>
      <w:r>
        <w:t xml:space="preserve"> and </w:t>
      </w:r>
      <w:r>
        <w:rPr>
          <w:rStyle w:val="VerbatimChar"/>
        </w:rPr>
        <w:t xml:space="preserve">COMPARISON_PAIRS</w:t>
      </w:r>
      <w:r>
        <w:t xml:space="preserve"> — For </w:t>
      </w:r>
      <w:r>
        <w:rPr>
          <w:rStyle w:val="VerbatimChar"/>
        </w:rPr>
        <w:t xml:space="preserve">generate_gene_comparison_plots()</w:t>
      </w:r>
      <w:r>
        <w:t xml:space="preserve">, define the x-axis grouping and the pairwise comparisons to test.</w:t>
      </w:r>
    </w:p>
    <w:p>
      <w:pPr>
        <w:pStyle w:val="Heading3"/>
      </w:pPr>
      <w:bookmarkStart w:id="38" w:name="annotation-workflow"/>
      <w:r>
        <w:t xml:space="preserve">6.4 Annotation Workflow</w:t>
      </w:r>
      <w:bookmarkEnd w:id="38"/>
    </w:p>
    <w:p>
      <w:pPr>
        <w:pStyle w:val="FirstParagraph"/>
      </w:pPr>
      <w:r>
        <w:rPr>
          <w:b/>
        </w:rPr>
        <w:t xml:space="preserve">Step 3 — Broad Annotation:</w:t>
      </w:r>
    </w:p>
    <w:p>
      <w:pPr>
        <w:numPr>
          <w:ilvl w:val="0"/>
          <w:numId w:val="1003"/>
        </w:numPr>
        <w:pStyle w:val="Compact"/>
      </w:pPr>
      <w:r>
        <w:t xml:space="preserve">Run the script through Part 3. Examine the three generated files: </w:t>
      </w:r>
      <w:r>
        <w:rPr>
          <w:rStyle w:val="VerbatimChar"/>
        </w:rPr>
        <w:t xml:space="preserve">ANNOTATE_01_UMAP_clusters</w:t>
      </w:r>
      <w:r>
        <w:t xml:space="preserve">, </w:t>
      </w:r>
      <w:r>
        <w:rPr>
          <w:rStyle w:val="VerbatimChar"/>
        </w:rPr>
        <w:t xml:space="preserve">ANNOTATE_01_DotPlot_broad_markers</w:t>
      </w:r>
      <w:r>
        <w:t xml:space="preserve">, and </w:t>
      </w:r>
      <w:r>
        <w:rPr>
          <w:rStyle w:val="VerbatimChar"/>
        </w:rPr>
        <w:t xml:space="preserve">ANNOTATE_02_UMAP_prescore_comparison</w:t>
      </w:r>
      <w:r>
        <w:t xml:space="preserve">. Also open the </w:t>
      </w:r>
      <w:r>
        <w:rPr>
          <w:rStyle w:val="VerbatimChar"/>
        </w:rPr>
        <w:t xml:space="preserve">PRESCORE_top5_report_standardized.xlsx</w:t>
      </w:r>
      <w:r>
        <w:t xml:space="preserve"> and </w:t>
      </w:r>
      <w:r>
        <w:rPr>
          <w:rStyle w:val="VerbatimChar"/>
        </w:rPr>
        <w:t xml:space="preserve">PRESCORE_top5_report_raw.xlsx</w:t>
      </w:r>
      <w:r>
        <w:t xml:space="preserve"> Excel files.</w:t>
      </w:r>
    </w:p>
    <w:p>
      <w:pPr>
        <w:numPr>
          <w:ilvl w:val="0"/>
          <w:numId w:val="1003"/>
        </w:numPr>
        <w:pStyle w:val="Compact"/>
      </w:pPr>
      <w:r>
        <w:t xml:space="preserve">Fill in </w:t>
      </w:r>
      <w:r>
        <w:rPr>
          <w:rStyle w:val="VerbatimChar"/>
        </w:rPr>
        <w:t xml:space="preserve">BROAD_ANNOTATION_MAP</w:t>
      </w:r>
      <w:r>
        <w:t xml:space="preserve">: map each cluster number to a cell type string. Use the pre-scoring reports as your primary guide and the DotPlot for confirmation.</w:t>
      </w:r>
    </w:p>
    <w:p>
      <w:pPr>
        <w:numPr>
          <w:ilvl w:val="0"/>
          <w:numId w:val="1003"/>
        </w:numPr>
        <w:pStyle w:val="Compact"/>
      </w:pPr>
      <w:r>
        <w:t xml:space="preserve">Run from Part 4 onward to apply the map, save annotation plots, and run compositional analysis.</w:t>
      </w:r>
    </w:p>
    <w:p>
      <w:pPr>
        <w:pStyle w:val="FirstParagraph"/>
      </w:pPr>
      <w:r>
        <w:rPr>
          <w:b/>
        </w:rPr>
        <w:t xml:space="preserve">Step 6 — Sub-Clustering (Optional):</w:t>
      </w:r>
    </w:p>
    <w:p>
      <w:pPr>
        <w:numPr>
          <w:ilvl w:val="0"/>
          <w:numId w:val="1004"/>
        </w:numPr>
        <w:pStyle w:val="Compact"/>
      </w:pPr>
      <w:r>
        <w:t xml:space="preserve">Set </w:t>
      </w:r>
      <w:r>
        <w:rPr>
          <w:rStyle w:val="VerbatimChar"/>
        </w:rPr>
        <w:t xml:space="preserve">CELL_TYPE_TO_SUBCLUSTER</w:t>
      </w:r>
      <w:r>
        <w:t xml:space="preserve"> to your cell type of interest.</w:t>
      </w:r>
    </w:p>
    <w:p>
      <w:pPr>
        <w:numPr>
          <w:ilvl w:val="0"/>
          <w:numId w:val="1004"/>
        </w:numPr>
        <w:pStyle w:val="Compact"/>
      </w:pPr>
      <w:r>
        <w:t xml:space="preserve">Sub-markers and resolution are loaded automatically from the CSV.</w:t>
      </w:r>
    </w:p>
    <w:p>
      <w:pPr>
        <w:numPr>
          <w:ilvl w:val="0"/>
          <w:numId w:val="1004"/>
        </w:numPr>
        <w:pStyle w:val="Compact"/>
      </w:pPr>
      <w:r>
        <w:t xml:space="preserve">Sub-type pre-scoring is run (both modes), generating its own Top-5 report.</w:t>
      </w:r>
    </w:p>
    <w:p>
      <w:pPr>
        <w:numPr>
          <w:ilvl w:val="0"/>
          <w:numId w:val="1004"/>
        </w:numPr>
        <w:pStyle w:val="Compact"/>
      </w:pPr>
      <w:r>
        <w:t xml:space="preserve">Examine </w:t>
      </w:r>
      <w:r>
        <w:rPr>
          <w:rStyle w:val="VerbatimChar"/>
        </w:rPr>
        <w:t xml:space="preserve">SUBCLUSTER_02_ANNOTATE_THIS_UMAP</w:t>
      </w:r>
      <w:r>
        <w:t xml:space="preserve">, </w:t>
      </w:r>
      <w:r>
        <w:rPr>
          <w:rStyle w:val="VerbatimChar"/>
        </w:rPr>
        <w:t xml:space="preserve">SUBCLUSTER_02_DOTPLOT</w:t>
      </w:r>
      <w:r>
        <w:t xml:space="preserve">, and the sub-type prescore xlsx files.</w:t>
      </w:r>
    </w:p>
    <w:p>
      <w:pPr>
        <w:numPr>
          <w:ilvl w:val="0"/>
          <w:numId w:val="1004"/>
        </w:numPr>
        <w:pStyle w:val="Compact"/>
      </w:pPr>
      <w:r>
        <w:t xml:space="preserve">Fill in </w:t>
      </w:r>
      <w:r>
        <w:rPr>
          <w:rStyle w:val="VerbatimChar"/>
        </w:rPr>
        <w:t xml:space="preserve">SUB_ANNOTATION_MAP</w:t>
      </w:r>
      <w:r>
        <w:t xml:space="preserve"> and run to completion.</w:t>
      </w:r>
    </w:p>
    <w:p>
      <w:pPr>
        <w:pStyle w:val="Heading3"/>
      </w:pPr>
      <w:bookmarkStart w:id="39" w:name="cell-type-marker-csv-format"/>
      <w:r>
        <w:t xml:space="preserve">6.5 Cell Type Marker CSV Format</w:t>
      </w:r>
      <w:bookmarkEnd w:id="39"/>
    </w:p>
    <w:p>
      <w:pPr>
        <w:pStyle w:val="FirstParagraph"/>
      </w:pPr>
      <w:r>
        <w:t xml:space="preserve">The </w:t>
      </w:r>
      <w:r>
        <w:rPr>
          <w:rStyle w:val="VerbatimChar"/>
        </w:rPr>
        <w:t xml:space="preserve">cell_type_markers.csv</w:t>
      </w:r>
      <w:r>
        <w:t xml:space="preserve"> file has the following columns:</w:t>
      </w:r>
    </w:p>
    <w:p>
      <w:pPr>
        <w:pStyle w:val="BodyText"/>
      </w:pPr>
      <w:r>
        <w:rPr>
          <w:rStyle w:val="VerbatimChar"/>
        </w:rPr>
        <w:t xml:space="preserve">tier</w:t>
      </w:r>
      <w:r>
        <w:t xml:space="preserve"> — </w:t>
      </w:r>
      <w:r>
        <w:rPr>
          <w:rStyle w:val="VerbatimChar"/>
        </w:rPr>
        <w:t xml:space="preserve">"broad"</w:t>
      </w:r>
      <w:r>
        <w:t xml:space="preserve"> (used for initial annotation), </w:t>
      </w:r>
      <w:r>
        <w:rPr>
          <w:rStyle w:val="VerbatimChar"/>
        </w:rPr>
        <w:t xml:space="preserve">"sub"</w:t>
      </w:r>
      <w:r>
        <w:t xml:space="preserve"> (used for sub-clustering).</w:t>
      </w:r>
    </w:p>
    <w:p>
      <w:pPr>
        <w:pStyle w:val="BodyText"/>
      </w:pPr>
      <w:r>
        <w:rPr>
          <w:rStyle w:val="VerbatimChar"/>
        </w:rPr>
        <w:t xml:space="preserve">cell_type</w:t>
      </w:r>
      <w:r>
        <w:t xml:space="preserve"> — The cell type label. Used as plot legend text and annotation map values.</w:t>
      </w:r>
    </w:p>
    <w:p>
      <w:pPr>
        <w:pStyle w:val="BodyText"/>
      </w:pPr>
      <w:r>
        <w:rPr>
          <w:rStyle w:val="VerbatimChar"/>
        </w:rPr>
        <w:t xml:space="preserve">parent_cell_type</w:t>
      </w:r>
      <w:r>
        <w:t xml:space="preserve"> — Empty for broad markers. For sub-type rows, this is the broad cell type being sub-clustered (e.g., </w:t>
      </w:r>
      <w:r>
        <w:rPr>
          <w:rStyle w:val="VerbatimChar"/>
        </w:rPr>
        <w:t xml:space="preserve">"Colonocytes"</w:t>
      </w:r>
      <w:r>
        <w:t xml:space="preserve">, </w:t>
      </w:r>
      <w:r>
        <w:rPr>
          <w:rStyle w:val="VerbatimChar"/>
        </w:rPr>
        <w:t xml:space="preserve">"T cells"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markers</w:t>
      </w:r>
      <w:r>
        <w:t xml:space="preserve"> — Pipe-separated gene symbols used for weighted scoring (e.g., </w:t>
      </w:r>
      <w:r>
        <w:rPr>
          <w:rStyle w:val="VerbatimChar"/>
        </w:rPr>
        <w:t xml:space="preserve">"Foxp3|Il2ra|Ikzf2|Ctla4"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dotplot_markers</w:t>
      </w:r>
      <w:r>
        <w:t xml:space="preserve"> — Pipe-separated genes shown in the DotPlot visualization. May be a curated subset of </w:t>
      </w:r>
      <w:r>
        <w:rPr>
          <w:rStyle w:val="VerbatimChar"/>
        </w:rPr>
        <w:t xml:space="preserve">markers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subcluster_resolution</w:t>
      </w:r>
      <w:r>
        <w:t xml:space="preserve"> — Suggested Leiden clustering resolution for sub-typing this cell population. Empty for broad rows.</w:t>
      </w:r>
    </w:p>
    <w:p>
      <w:pPr>
        <w:pStyle w:val="BodyText"/>
      </w:pPr>
      <w:r>
        <w:rPr>
          <w:rStyle w:val="VerbatimChar"/>
        </w:rPr>
        <w:t xml:space="preserve">description</w:t>
      </w:r>
      <w:r>
        <w:t xml:space="preserve"> — Free-text cell type description (for documentation only).</w:t>
      </w:r>
    </w:p>
    <w:p>
      <w:pPr>
        <w:pStyle w:val="Heading3"/>
      </w:pPr>
      <w:bookmarkStart w:id="40" w:name="output-files-1"/>
      <w:r>
        <w:t xml:space="preserve">6.6 Output Files</w:t>
      </w:r>
      <w:bookmarkEnd w:id="40"/>
    </w:p>
    <w:p>
      <w:pPr>
        <w:pStyle w:val="FirstParagraph"/>
      </w:pPr>
      <w:r>
        <w:rPr>
          <w:rStyle w:val="VerbatimChar"/>
        </w:rPr>
        <w:t xml:space="preserve">ANNOTATE_01_UMAP_clusters_&lt;mode&gt;.png</w:t>
      </w:r>
      <w:r>
        <w:t xml:space="preserve"> — Raw cluster UMAP before annotation.</w:t>
      </w:r>
    </w:p>
    <w:p>
      <w:pPr>
        <w:pStyle w:val="BodyText"/>
      </w:pPr>
      <w:r>
        <w:rPr>
          <w:rStyle w:val="VerbatimChar"/>
        </w:rPr>
        <w:t xml:space="preserve">ANNOTATE_01_DotPlot_broad_markers_&lt;mode&gt;.png</w:t>
      </w:r>
      <w:r>
        <w:t xml:space="preserve"> — Broad marker DotPlot by cluster.</w:t>
      </w:r>
    </w:p>
    <w:p>
      <w:pPr>
        <w:pStyle w:val="BodyText"/>
      </w:pPr>
      <w:r>
        <w:rPr>
          <w:rStyle w:val="VerbatimChar"/>
        </w:rPr>
        <w:t xml:space="preserve">ANNOTATE_02_UMAP_prescore_comparison_&lt;mode&gt;.png</w:t>
      </w:r>
      <w:r>
        <w:t xml:space="preserve"> — Pre-scoring results: standardized vs. raw.</w:t>
      </w:r>
    </w:p>
    <w:p>
      <w:pPr>
        <w:pStyle w:val="BodyText"/>
      </w:pPr>
      <w:r>
        <w:rPr>
          <w:rStyle w:val="VerbatimChar"/>
        </w:rPr>
        <w:t xml:space="preserve">PRESCORE_top5_report_standardized.xlsx</w:t>
      </w:r>
      <w:r>
        <w:t xml:space="preserve"> — Top-5 weighted score rankings per cluster (z-scored).</w:t>
      </w:r>
    </w:p>
    <w:p>
      <w:pPr>
        <w:pStyle w:val="BodyText"/>
      </w:pPr>
      <w:r>
        <w:rPr>
          <w:rStyle w:val="VerbatimChar"/>
        </w:rPr>
        <w:t xml:space="preserve">PRESCORE_top5_report_raw.xlsx</w:t>
      </w:r>
      <w:r>
        <w:t xml:space="preserve"> — Top-5 weighted score rankings per cluster (raw).</w:t>
      </w:r>
    </w:p>
    <w:p>
      <w:pPr>
        <w:pStyle w:val="BodyText"/>
      </w:pPr>
      <w:r>
        <w:rPr>
          <w:rStyle w:val="VerbatimChar"/>
        </w:rPr>
        <w:t xml:space="preserve">FINAL_UMAP_annotation_comparison.png</w:t>
      </w:r>
      <w:r>
        <w:t xml:space="preserve"> — Manual annotation vs. both weighted pre-scores.</w:t>
      </w:r>
    </w:p>
    <w:p>
      <w:pPr>
        <w:pStyle w:val="BodyText"/>
      </w:pPr>
      <w:r>
        <w:rPr>
          <w:rStyle w:val="VerbatimChar"/>
        </w:rPr>
        <w:t xml:space="preserve">FINAL_UMAP_annotated.png</w:t>
      </w:r>
      <w:r>
        <w:t xml:space="preserve"> — Final annotated UMAP.</w:t>
      </w:r>
    </w:p>
    <w:p>
      <w:pPr>
        <w:pStyle w:val="BodyText"/>
      </w:pPr>
      <w:r>
        <w:rPr>
          <w:rStyle w:val="VerbatimChar"/>
        </w:rPr>
        <w:t xml:space="preserve">FINAL_DotPlot_broad_annotated.png</w:t>
      </w:r>
      <w:r>
        <w:t xml:space="preserve"> — Final broad marker DotPlot by annotated cell type.</w:t>
      </w:r>
    </w:p>
    <w:p>
      <w:pPr>
        <w:pStyle w:val="BodyText"/>
      </w:pPr>
      <w:r>
        <w:rPr>
          <w:rStyle w:val="VerbatimChar"/>
        </w:rPr>
        <w:t xml:space="preserve">FINAL_broad_proportions_*.png + .xlsx</w:t>
      </w:r>
      <w:r>
        <w:t xml:space="preserve"> — Compositional analysis plots and statistics.</w:t>
      </w:r>
    </w:p>
    <w:p>
      <w:pPr>
        <w:pStyle w:val="BodyText"/>
      </w:pPr>
      <w:r>
        <w:rPr>
          <w:rStyle w:val="VerbatimChar"/>
        </w:rPr>
        <w:t xml:space="preserve">SUBCLUSTER_*.png</w:t>
      </w:r>
      <w:r>
        <w:t xml:space="preserve"> — Sub-clustering diagnostic and annotation plots.</w:t>
      </w:r>
    </w:p>
    <w:p>
      <w:pPr>
        <w:pStyle w:val="BodyText"/>
      </w:pPr>
      <w:r>
        <w:rPr>
          <w:rStyle w:val="VerbatimChar"/>
        </w:rPr>
        <w:t xml:space="preserve">SUBCLUSTER_PRESCORE_top5_&lt;CellType&gt;_*.xlsx</w:t>
      </w:r>
      <w:r>
        <w:t xml:space="preserve"> — Sub-type pre-scoring reports.</w:t>
      </w:r>
    </w:p>
    <w:p>
      <w:pPr>
        <w:pStyle w:val="BodyText"/>
      </w:pPr>
      <w:r>
        <w:rPr>
          <w:rStyle w:val="VerbatimChar"/>
        </w:rPr>
        <w:t xml:space="preserve">FINAL_SUBCLUSTER_UMAP_&lt;CellType&gt;.png</w:t>
      </w:r>
      <w:r>
        <w:t xml:space="preserve"> — Final sub-type annotated UMAP.</w:t>
      </w:r>
    </w:p>
    <w:p>
      <w:pPr>
        <w:pStyle w:val="BodyText"/>
      </w:pPr>
      <w:r>
        <w:rPr>
          <w:rStyle w:val="VerbatimChar"/>
        </w:rPr>
        <w:t xml:space="preserve">&lt;PROJECT&gt;_final_annotated.rds</w:t>
      </w:r>
      <w:r>
        <w:t xml:space="preserve"> — Main output for Scripts 03 and 04.</w:t>
      </w:r>
    </w:p>
    <w:p>
      <w:pPr>
        <w:pStyle w:val="BodyText"/>
      </w:pPr>
      <w:r>
        <w:rPr>
          <w:rStyle w:val="VerbatimChar"/>
        </w:rPr>
        <w:t xml:space="preserve">&lt;PROJECT&gt;_&lt;CellType&gt;_subclustered.rds</w:t>
      </w:r>
      <w:r>
        <w:t xml:space="preserve"> — Sub-cluster object for Script 03 Mode 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X87ba8ec1c7a0cdedfd705ee40655da93a905b8f"/>
      <w:r>
        <w:t xml:space="preserve">7. Script 03: Differential Expression (</w:t>
      </w:r>
      <w:r>
        <w:rPr>
          <w:rStyle w:val="VerbatimChar"/>
        </w:rPr>
        <w:t xml:space="preserve">03_differential_expression.R</w:t>
      </w:r>
      <w:r>
        <w:t xml:space="preserve">)</w:t>
      </w:r>
      <w:bookmarkEnd w:id="41"/>
    </w:p>
    <w:p>
      <w:pPr>
        <w:pStyle w:val="Heading3"/>
      </w:pPr>
      <w:bookmarkStart w:id="42" w:name="purpose-2"/>
      <w:r>
        <w:t xml:space="preserve">7.1 Purpose</w:t>
      </w:r>
      <w:bookmarkEnd w:id="42"/>
    </w:p>
    <w:p>
      <w:pPr>
        <w:pStyle w:val="FirstParagraph"/>
      </w:pPr>
      <w:r>
        <w:t xml:space="preserve">Runs differential gene expression (DGE) analysis across user-specified cell types and group comparisons. Three independent modes can be enabled simultaneously.</w:t>
      </w:r>
    </w:p>
    <w:p>
      <w:pPr>
        <w:pStyle w:val="Heading3"/>
      </w:pPr>
      <w:bookmarkStart w:id="43" w:name="configuration-parameters-2"/>
      <w:r>
        <w:t xml:space="preserve">7.2 Configuration Parameters</w:t>
      </w:r>
      <w:bookmarkEnd w:id="43"/>
    </w:p>
    <w:p>
      <w:pPr>
        <w:pStyle w:val="FirstParagraph"/>
      </w:pPr>
      <w:r>
        <w:rPr>
          <w:rStyle w:val="VerbatimChar"/>
        </w:rPr>
        <w:t xml:space="preserve">CELLTYPE_COLUMN</w:t>
      </w:r>
      <w:r>
        <w:t xml:space="preserve"> — Metadata column containing cell type labels (default: </w:t>
      </w:r>
      <w:r>
        <w:rPr>
          <w:rStyle w:val="VerbatimChar"/>
        </w:rPr>
        <w:t xml:space="preserve">"CellType"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CONDITION_COLUMN</w:t>
      </w:r>
      <w:r>
        <w:t xml:space="preserve"> — Metadata column defining the experimental groups.</w:t>
      </w:r>
    </w:p>
    <w:p>
      <w:pPr>
        <w:pStyle w:val="BodyText"/>
      </w:pPr>
      <w:r>
        <w:rPr>
          <w:rStyle w:val="VerbatimChar"/>
        </w:rPr>
        <w:t xml:space="preserve">GROUP_1</w:t>
      </w:r>
      <w:r>
        <w:t xml:space="preserve"> / </w:t>
      </w:r>
      <w:r>
        <w:rPr>
          <w:rStyle w:val="VerbatimChar"/>
        </w:rPr>
        <w:t xml:space="preserve">GROUP_2</w:t>
      </w:r>
      <w:r>
        <w:t xml:space="preserve"> — The two group levels to compare. </w:t>
      </w:r>
      <w:r>
        <w:rPr>
          <w:rStyle w:val="VerbatimChar"/>
        </w:rPr>
        <w:t xml:space="preserve">GROUP_1</w:t>
      </w:r>
      <w:r>
        <w:t xml:space="preserve"> is the numerator in log2FC.</w:t>
      </w:r>
    </w:p>
    <w:p>
      <w:pPr>
        <w:pStyle w:val="BodyText"/>
      </w:pPr>
      <w:r>
        <w:rPr>
          <w:rStyle w:val="VerbatimChar"/>
        </w:rPr>
        <w:t xml:space="preserve">CELL_TYPES_TO_TEST</w:t>
      </w:r>
      <w:r>
        <w:t xml:space="preserve"> — Character vector of cell types to analyze. Set to NULL to run all cell types automatically.</w:t>
      </w:r>
    </w:p>
    <w:p>
      <w:pPr>
        <w:pStyle w:val="BodyText"/>
      </w:pPr>
      <w:r>
        <w:rPr>
          <w:rStyle w:val="VerbatimChar"/>
        </w:rPr>
        <w:t xml:space="preserve">MINIMUM_CELLS_PER_GROUP</w:t>
      </w:r>
      <w:r>
        <w:t xml:space="preserve"> (default: 20) — Skip a cell type if either group has fewer cells.</w:t>
      </w:r>
    </w:p>
    <w:p>
      <w:pPr>
        <w:pStyle w:val="BodyText"/>
      </w:pPr>
      <w:r>
        <w:rPr>
          <w:rStyle w:val="VerbatimChar"/>
        </w:rPr>
        <w:t xml:space="preserve">DE_TEST</w:t>
      </w:r>
      <w:r>
        <w:t xml:space="preserve"> (default: </w:t>
      </w:r>
      <w:r>
        <w:rPr>
          <w:rStyle w:val="VerbatimChar"/>
        </w:rPr>
        <w:t xml:space="preserve">"wilcox"</w:t>
      </w:r>
      <w:r>
        <w:t xml:space="preserve">) — Statistical test. Options: </w:t>
      </w:r>
      <w:r>
        <w:rPr>
          <w:rStyle w:val="VerbatimChar"/>
        </w:rPr>
        <w:t xml:space="preserve">"wilcox"</w:t>
      </w:r>
      <w:r>
        <w:t xml:space="preserve">, </w:t>
      </w:r>
      <w:r>
        <w:rPr>
          <w:rStyle w:val="VerbatimChar"/>
        </w:rPr>
        <w:t xml:space="preserve">"t"</w:t>
      </w:r>
      <w:r>
        <w:t xml:space="preserve">, </w:t>
      </w:r>
      <w:r>
        <w:rPr>
          <w:rStyle w:val="VerbatimChar"/>
        </w:rPr>
        <w:t xml:space="preserve">"MAST"</w:t>
      </w:r>
      <w:r>
        <w:t xml:space="preserve">, </w:t>
      </w:r>
      <w:r>
        <w:rPr>
          <w:rStyle w:val="VerbatimChar"/>
        </w:rPr>
        <w:t xml:space="preserve">"DESeq2"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DE_PADJ_THRESH</w:t>
      </w:r>
      <w:r>
        <w:t xml:space="preserve"> (default: 0.05) — Adjusted p-value cutoff for significance labeling.</w:t>
      </w:r>
    </w:p>
    <w:p>
      <w:pPr>
        <w:pStyle w:val="BodyText"/>
      </w:pPr>
      <w:r>
        <w:rPr>
          <w:rStyle w:val="VerbatimChar"/>
        </w:rPr>
        <w:t xml:space="preserve">DE_LFC_THRESH</w:t>
      </w:r>
      <w:r>
        <w:t xml:space="preserve"> (default: 0.5) — |log2FC| cutoff for volcano plot labels.</w:t>
      </w:r>
    </w:p>
    <w:p>
      <w:pPr>
        <w:pStyle w:val="BodyText"/>
      </w:pPr>
      <w:r>
        <w:rPr>
          <w:rStyle w:val="VerbatimChar"/>
        </w:rPr>
        <w:t xml:space="preserve">DE_TOP_N_LABEL</w:t>
      </w:r>
      <w:r>
        <w:t xml:space="preserve"> (default: 15) — Number of top DEGs to label on the volcano plot.</w:t>
      </w:r>
    </w:p>
    <w:p>
      <w:pPr>
        <w:pStyle w:val="BodyText"/>
      </w:pPr>
      <w:r>
        <w:rPr>
          <w:rStyle w:val="VerbatimChar"/>
        </w:rPr>
        <w:t xml:space="preserve">SUBTYPE_CELL_TYPE</w:t>
      </w:r>
      <w:r>
        <w:t xml:space="preserve"> / </w:t>
      </w:r>
      <w:r>
        <w:rPr>
          <w:rStyle w:val="VerbatimChar"/>
        </w:rPr>
        <w:t xml:space="preserve">SUBTYPE_RDS</w:t>
      </w:r>
      <w:r>
        <w:t xml:space="preserve"> — For Mode C, specifies which sub-cluster object to load.</w:t>
      </w:r>
    </w:p>
    <w:p>
      <w:pPr>
        <w:pStyle w:val="Heading3"/>
      </w:pPr>
      <w:bookmarkStart w:id="44" w:name="analysis-modes"/>
      <w:r>
        <w:t xml:space="preserve">7.3 Analysis Modes</w:t>
      </w:r>
      <w:bookmarkEnd w:id="44"/>
    </w:p>
    <w:p>
      <w:pPr>
        <w:pStyle w:val="FirstParagraph"/>
      </w:pPr>
      <w:r>
        <w:rPr>
          <w:b/>
        </w:rPr>
        <w:t xml:space="preserve">Mode A — Between-Group DGE per Cell Type:</w:t>
      </w:r>
      <w:r>
        <w:t xml:space="preserve"> Subsets each cell type, splits by condition, and runs </w:t>
      </w:r>
      <w:r>
        <w:rPr>
          <w:rStyle w:val="VerbatimChar"/>
        </w:rPr>
        <w:t xml:space="preserve">FindMarkers</w:t>
      </w:r>
      <w:r>
        <w:t xml:space="preserve">. Saves one Excel per cell type plus a combined multi-sheet Excel and a summary table of DEG counts. Produces a volcano plot per cell type.</w:t>
      </w:r>
    </w:p>
    <w:p>
      <w:pPr>
        <w:pStyle w:val="BodyText"/>
      </w:pPr>
      <w:r>
        <w:rPr>
          <w:b/>
        </w:rPr>
        <w:t xml:space="preserve">Mode B — Cell-Type Marker Genes:</w:t>
      </w:r>
      <w:r>
        <w:t xml:space="preserve"> Runs </w:t>
      </w:r>
      <w:r>
        <w:rPr>
          <w:rStyle w:val="VerbatimChar"/>
        </w:rPr>
        <w:t xml:space="preserve">FindAllMarkers</w:t>
      </w:r>
      <w:r>
        <w:t xml:space="preserve"> across all annotated cell types to identify genes enriched in each population relative to all others. Useful for validating annotations and generating cell-type gene signatures.</w:t>
      </w:r>
    </w:p>
    <w:p>
      <w:pPr>
        <w:pStyle w:val="BodyText"/>
      </w:pPr>
      <w:r>
        <w:rPr>
          <w:b/>
        </w:rPr>
        <w:t xml:space="preserve">Mode C — Within-Subtype DGE:</w:t>
      </w:r>
      <w:r>
        <w:t xml:space="preserve"> Loads the sub-cluster RDS from Script 02 and repeats the Mode A workflow at the sub-type level. Requires </w:t>
      </w:r>
      <w:r>
        <w:rPr>
          <w:rStyle w:val="VerbatimChar"/>
        </w:rPr>
        <w:t xml:space="preserve">RUN_SUBCLUSTERING = TRUE</w:t>
      </w:r>
      <w:r>
        <w:t xml:space="preserve"> in Script 02.</w:t>
      </w:r>
    </w:p>
    <w:p>
      <w:pPr>
        <w:pStyle w:val="Heading3"/>
      </w:pPr>
      <w:bookmarkStart w:id="45" w:name="output-files-2"/>
      <w:r>
        <w:t xml:space="preserve">7.4 Output Files</w:t>
      </w:r>
      <w:bookmarkEnd w:id="45"/>
    </w:p>
    <w:p>
      <w:pPr>
        <w:pStyle w:val="FirstParagraph"/>
      </w:pPr>
      <w:r>
        <w:rPr>
          <w:rStyle w:val="VerbatimChar"/>
        </w:rPr>
        <w:t xml:space="preserve">ModeA_&lt;G1&gt;_vs_&lt;G2&gt;/DE_&lt;CellType&gt;_&lt;G1&gt;_vs_&lt;G2&gt;.xlsx</w:t>
      </w:r>
      <w:r>
        <w:t xml:space="preserve"> — Per-cell-type DGE tables.</w:t>
      </w:r>
    </w:p>
    <w:p>
      <w:pPr>
        <w:pStyle w:val="BodyText"/>
      </w:pPr>
      <w:r>
        <w:rPr>
          <w:rStyle w:val="VerbatimChar"/>
        </w:rPr>
        <w:t xml:space="preserve">ModeA_&lt;G1&gt;_vs_&lt;G2&gt;/Volcano_&lt;CellType&gt;_&lt;G1&gt;_vs_&lt;G2&gt;.png</w:t>
      </w:r>
      <w:r>
        <w:t xml:space="preserve"> — Volcano plots.</w:t>
      </w:r>
    </w:p>
    <w:p>
      <w:pPr>
        <w:pStyle w:val="BodyText"/>
      </w:pPr>
      <w:r>
        <w:rPr>
          <w:rStyle w:val="VerbatimChar"/>
        </w:rPr>
        <w:t xml:space="preserve">ModeA_&lt;G1&gt;_vs_&lt;G2&gt;/DE_ALL_CELLTYPES_&lt;G1&gt;_vs_&lt;G2&gt;.xlsx</w:t>
      </w:r>
      <w:r>
        <w:t xml:space="preserve"> — Combined multi-sheet DGE Excel.</w:t>
      </w:r>
    </w:p>
    <w:p>
      <w:pPr>
        <w:pStyle w:val="BodyText"/>
      </w:pPr>
      <w:r>
        <w:rPr>
          <w:rStyle w:val="VerbatimChar"/>
        </w:rPr>
        <w:t xml:space="preserve">ModeA_&lt;G1&gt;_vs_&lt;G2&gt;/DE_summary_table.xlsx</w:t>
      </w:r>
      <w:r>
        <w:t xml:space="preserve"> — DEG count summary per cell type.</w:t>
      </w:r>
    </w:p>
    <w:p>
      <w:pPr>
        <w:pStyle w:val="BodyText"/>
      </w:pPr>
      <w:r>
        <w:rPr>
          <w:rStyle w:val="VerbatimChar"/>
        </w:rPr>
        <w:t xml:space="preserve">ModeB_CellType_Markers/CellType_Marker_Genes_AllCellTypes.xlsx</w:t>
      </w:r>
      <w:r>
        <w:t xml:space="preserve"> — All marker genes.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6da458c1d2c9965234a2a6a69f58538f221a5fb"/>
      <w:r>
        <w:t xml:space="preserve">8. Script 04: Cell Scoring &amp; Pathway Enrichment (</w:t>
      </w:r>
      <w:r>
        <w:rPr>
          <w:rStyle w:val="VerbatimChar"/>
        </w:rPr>
        <w:t xml:space="preserve">04_cell_scoring.R</w:t>
      </w:r>
      <w:r>
        <w:t xml:space="preserve">)</w:t>
      </w:r>
      <w:bookmarkEnd w:id="46"/>
    </w:p>
    <w:p>
      <w:pPr>
        <w:pStyle w:val="Heading3"/>
      </w:pPr>
      <w:bookmarkStart w:id="47" w:name="purpose-3"/>
      <w:r>
        <w:t xml:space="preserve">8.1 Purpose</w:t>
      </w:r>
      <w:bookmarkEnd w:id="47"/>
    </w:p>
    <w:p>
      <w:pPr>
        <w:pStyle w:val="FirstParagraph"/>
      </w:pPr>
      <w:r>
        <w:t xml:space="preserve">Provides two modes of quantitative cell-level scoring: AUCell-based pathway enrichment from MSigDB collections, and per-gene expression comparison plots with statistical tests. All results are generalized to any cell population and any experimental group.</w:t>
      </w:r>
    </w:p>
    <w:p>
      <w:pPr>
        <w:pStyle w:val="Heading3"/>
      </w:pPr>
      <w:bookmarkStart w:id="48" w:name="configuration-parameters-3"/>
      <w:r>
        <w:t xml:space="preserve">8.2 Configuration Parameters</w:t>
      </w:r>
      <w:bookmarkEnd w:id="48"/>
    </w:p>
    <w:p>
      <w:pPr>
        <w:pStyle w:val="FirstParagraph"/>
      </w:pPr>
      <w:r>
        <w:rPr>
          <w:rStyle w:val="VerbatimChar"/>
        </w:rPr>
        <w:t xml:space="preserve">TARGET_CELL_TYPE</w:t>
      </w:r>
      <w:r>
        <w:t xml:space="preserve"> — The broad cell type to subset before scoring (e.g., </w:t>
      </w:r>
      <w:r>
        <w:rPr>
          <w:rStyle w:val="VerbatimChar"/>
        </w:rPr>
        <w:t xml:space="preserve">"T cells"</w:t>
      </w:r>
      <w:r>
        <w:t xml:space="preserve">). Set to NULL to score all cells.</w:t>
      </w:r>
    </w:p>
    <w:p>
      <w:pPr>
        <w:pStyle w:val="BodyText"/>
      </w:pPr>
      <w:r>
        <w:rPr>
          <w:rStyle w:val="VerbatimChar"/>
        </w:rPr>
        <w:t xml:space="preserve">SUBTYPE_COLUMN</w:t>
      </w:r>
      <w:r>
        <w:t xml:space="preserve"> — Metadata column used as facets in comparison plots (e.g., </w:t>
      </w:r>
      <w:r>
        <w:rPr>
          <w:rStyle w:val="VerbatimChar"/>
        </w:rPr>
        <w:t xml:space="preserve">"sub_cell_types"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SUBTYPE_LEVELS</w:t>
      </w:r>
      <w:r>
        <w:t xml:space="preserve"> — Ordered factor levels for sub-type plots. NULL = auto-detect.</w:t>
      </w:r>
    </w:p>
    <w:p>
      <w:pPr>
        <w:pStyle w:val="BodyText"/>
      </w:pPr>
      <w:r>
        <w:rPr>
          <w:rStyle w:val="VerbatimChar"/>
        </w:rPr>
        <w:t xml:space="preserve">CONDITION_COLUMN</w:t>
      </w:r>
      <w:r>
        <w:t xml:space="preserve"> / </w:t>
      </w:r>
      <w:r>
        <w:rPr>
          <w:rStyle w:val="VerbatimChar"/>
        </w:rPr>
        <w:t xml:space="preserve">CONDITION_LEVELS</w:t>
      </w:r>
      <w:r>
        <w:t xml:space="preserve"> / </w:t>
      </w:r>
      <w:r>
        <w:rPr>
          <w:rStyle w:val="VerbatimChar"/>
        </w:rPr>
        <w:t xml:space="preserve">CONDITION_COLORS</w:t>
      </w:r>
      <w:r>
        <w:t xml:space="preserve"> — Define the experimental groups and their plot colors.</w:t>
      </w:r>
    </w:p>
    <w:p>
      <w:pPr>
        <w:pStyle w:val="BodyText"/>
      </w:pPr>
      <w:r>
        <w:rPr>
          <w:rStyle w:val="VerbatimChar"/>
        </w:rPr>
        <w:t xml:space="preserve">MSIGDB_SPECIES</w:t>
      </w:r>
      <w:r>
        <w:t xml:space="preserve"> — Species for msigdbr (e.g., </w:t>
      </w:r>
      <w:r>
        <w:rPr>
          <w:rStyle w:val="VerbatimChar"/>
        </w:rPr>
        <w:t xml:space="preserve">"Mus musculus"</w:t>
      </w:r>
      <w:r>
        <w:t xml:space="preserve">, </w:t>
      </w:r>
      <w:r>
        <w:rPr>
          <w:rStyle w:val="VerbatimChar"/>
        </w:rPr>
        <w:t xml:space="preserve">"Homo sapiens"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MSIGDB_CATEGORY</w:t>
      </w:r>
      <w:r>
        <w:t xml:space="preserve"> / </w:t>
      </w:r>
      <w:r>
        <w:rPr>
          <w:rStyle w:val="VerbatimChar"/>
        </w:rPr>
        <w:t xml:space="preserve">MSIGDB_SUBCATEGORY</w:t>
      </w:r>
      <w:r>
        <w:t xml:space="preserve"> — MSigDB collection (e.g., </w:t>
      </w:r>
      <w:r>
        <w:rPr>
          <w:rStyle w:val="VerbatimChar"/>
        </w:rPr>
        <w:t xml:space="preserve">"C5"/"BP"</w:t>
      </w:r>
      <w:r>
        <w:t xml:space="preserve"> for GO Biological Process, </w:t>
      </w:r>
      <w:r>
        <w:rPr>
          <w:rStyle w:val="VerbatimChar"/>
        </w:rPr>
        <w:t xml:space="preserve">"H"/""</w:t>
      </w:r>
      <w:r>
        <w:t xml:space="preserve"> for Hallmark, </w:t>
      </w:r>
      <w:r>
        <w:rPr>
          <w:rStyle w:val="VerbatimChar"/>
        </w:rPr>
        <w:t xml:space="preserve">"C2"/"KEGG"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PATHWAY_KEYWORDS</w:t>
      </w:r>
      <w:r>
        <w:t xml:space="preserve"> — Character vector to filter pathways by name (e.g., </w:t>
      </w:r>
      <w:r>
        <w:rPr>
          <w:rStyle w:val="VerbatimChar"/>
        </w:rPr>
        <w:t xml:space="preserve">c("T_CELL")</w:t>
      </w:r>
      <w:r>
        <w:t xml:space="preserve">). NULL = use all pathways.</w:t>
      </w:r>
    </w:p>
    <w:p>
      <w:pPr>
        <w:pStyle w:val="BodyText"/>
      </w:pPr>
      <w:r>
        <w:rPr>
          <w:rStyle w:val="VerbatimChar"/>
        </w:rPr>
        <w:t xml:space="preserve">AUCELL_TOPRANK_PCT</w:t>
      </w:r>
      <w:r>
        <w:t xml:space="preserve"> (default: 0.05) — Top fraction of ranked genes used to compute AUC per cell. The standard recommendation for scRNA-seq.</w:t>
      </w:r>
    </w:p>
    <w:p>
      <w:pPr>
        <w:pStyle w:val="BodyText"/>
      </w:pPr>
      <w:r>
        <w:rPr>
          <w:rStyle w:val="VerbatimChar"/>
        </w:rPr>
        <w:t xml:space="preserve">GENE_LISTS</w:t>
      </w:r>
      <w:r>
        <w:t xml:space="preserve"> — Named list of gene vectors. Each element produces its own output subfolder with bar and violin plots for all genes.</w:t>
      </w:r>
    </w:p>
    <w:p>
      <w:pPr>
        <w:pStyle w:val="Heading3"/>
      </w:pPr>
      <w:bookmarkStart w:id="49" w:name="pseudo-bulk-statistics"/>
      <w:r>
        <w:t xml:space="preserve">8.3 Pseudo-Bulk Statistics</w:t>
      </w:r>
      <w:bookmarkEnd w:id="49"/>
    </w:p>
    <w:p>
      <w:pPr>
        <w:pStyle w:val="FirstParagraph"/>
      </w:pPr>
      <w:r>
        <w:t xml:space="preserve">Per-cell Wilcoxon tests shown on individual plots are exploratory and should not be reported as primary statistics. They are provided only to guide data exploration. The script computes </w:t>
      </w:r>
      <w:r>
        <w:rPr>
          <w:b/>
        </w:rPr>
        <w:t xml:space="preserve">pseudo-bulk</w:t>
      </w:r>
      <w:r>
        <w:t xml:space="preserve"> statistics: for each pathway × sub-type combination, it computes the mean AUC score per biological sample, then performs a Student’s t-test on those sample-level means. These pseudo-bulk t-test results (</w:t>
      </w:r>
      <w:r>
        <w:rPr>
          <w:rStyle w:val="VerbatimChar"/>
        </w:rPr>
        <w:t xml:space="preserve">pseudobulk_ttest_results.csv</w:t>
      </w:r>
      <w:r>
        <w:t xml:space="preserve">) are the appropriate statistics for publication.</w:t>
      </w:r>
    </w:p>
    <w:p>
      <w:pPr>
        <w:pStyle w:val="Heading3"/>
      </w:pPr>
      <w:bookmarkStart w:id="50" w:name="output-files-3"/>
      <w:r>
        <w:t xml:space="preserve">8.4 Output Files</w:t>
      </w:r>
      <w:bookmarkEnd w:id="50"/>
    </w:p>
    <w:p>
      <w:pPr>
        <w:pStyle w:val="FirstParagraph"/>
      </w:pPr>
      <w:r>
        <w:rPr>
          <w:rStyle w:val="VerbatimChar"/>
        </w:rPr>
        <w:t xml:space="preserve">cell_scoring/&lt;pop&gt;_pathways/plots_bar/*.png</w:t>
      </w:r>
      <w:r>
        <w:t xml:space="preserve"> — Bar plots per pathway.</w:t>
      </w:r>
    </w:p>
    <w:p>
      <w:pPr>
        <w:pStyle w:val="BodyText"/>
      </w:pPr>
      <w:r>
        <w:rPr>
          <w:rStyle w:val="VerbatimChar"/>
        </w:rPr>
        <w:t xml:space="preserve">cell_scoring/&lt;pop&gt;_pathways/plots_violin/*.png</w:t>
      </w:r>
      <w:r>
        <w:t xml:space="preserve"> — Violin plots per pathway.</w:t>
      </w:r>
    </w:p>
    <w:p>
      <w:pPr>
        <w:pStyle w:val="BodyText"/>
      </w:pPr>
      <w:r>
        <w:rPr>
          <w:rStyle w:val="VerbatimChar"/>
        </w:rPr>
        <w:t xml:space="preserve">cell_scoring/&lt;pop&gt;_pathways/pseudobulk_pathway_scores.csv</w:t>
      </w:r>
      <w:r>
        <w:t xml:space="preserve"> — Sample-level mean AUC scores.</w:t>
      </w:r>
    </w:p>
    <w:p>
      <w:pPr>
        <w:pStyle w:val="BodyText"/>
      </w:pPr>
      <w:r>
        <w:rPr>
          <w:rStyle w:val="VerbatimChar"/>
        </w:rPr>
        <w:t xml:space="preserve">cell_scoring/&lt;pop&gt;_pathways/pseudobulk_ttest_results.csv</w:t>
      </w:r>
      <w:r>
        <w:t xml:space="preserve"> — Publication-ready t-test results.</w:t>
      </w:r>
    </w:p>
    <w:p>
      <w:pPr>
        <w:pStyle w:val="BodyText"/>
      </w:pPr>
      <w:r>
        <w:rPr>
          <w:rStyle w:val="VerbatimChar"/>
        </w:rPr>
        <w:t xml:space="preserve">cell_scoring/&lt;pop&gt;_gene_expression/&lt;list_name&gt;/*.png</w:t>
      </w:r>
      <w:r>
        <w:t xml:space="preserve"> — Gene expression plots.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cell-type-marker-reference"/>
      <w:r>
        <w:t xml:space="preserve">9. Cell Type Marker Reference</w:t>
      </w:r>
      <w:bookmarkEnd w:id="51"/>
    </w:p>
    <w:p>
      <w:pPr>
        <w:pStyle w:val="Heading3"/>
      </w:pPr>
      <w:bookmarkStart w:id="52" w:name="broad-cell-type-markers"/>
      <w:r>
        <w:t xml:space="preserve">9.1 Broad Cell Type Markers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Cell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Canonical Marker Genes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Plasma B cells</w:t>
            </w:r>
          </w:p>
        </w:tc>
        <w:tc>
          <w:p>
            <w:pPr>
              <w:pStyle w:val="Compact"/>
              <w:jc w:val="left"/>
            </w:pPr>
            <w:r>
              <w:t xml:space="preserve">Ighg1, Mzb1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cells</w:t>
            </w:r>
          </w:p>
        </w:tc>
        <w:tc>
          <w:p>
            <w:pPr>
              <w:pStyle w:val="Compact"/>
              <w:jc w:val="left"/>
            </w:pPr>
            <w:r>
              <w:t xml:space="preserve">Ms4a1, Cd19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 cells</w:t>
            </w:r>
          </w:p>
        </w:tc>
        <w:tc>
          <w:p>
            <w:pPr>
              <w:pStyle w:val="Compact"/>
              <w:jc w:val="left"/>
            </w:pPr>
            <w:r>
              <w:t xml:space="preserve">Cd3e, Cd4, Cd8a, Trbc2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cDCs</w:t>
            </w:r>
          </w:p>
        </w:tc>
        <w:tc>
          <w:p>
            <w:pPr>
              <w:pStyle w:val="Compact"/>
              <w:jc w:val="left"/>
            </w:pPr>
            <w:r>
              <w:t xml:space="preserve">Clec9a, Xcr1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Macrophages</w:t>
            </w:r>
          </w:p>
        </w:tc>
        <w:tc>
          <w:p>
            <w:pPr>
              <w:pStyle w:val="Compact"/>
              <w:jc w:val="left"/>
            </w:pPr>
            <w:r>
              <w:t xml:space="preserve">Cd163, Csf1r, Cd68, Mrc1, Aif1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Fibroblasts</w:t>
            </w:r>
          </w:p>
        </w:tc>
        <w:tc>
          <w:p>
            <w:pPr>
              <w:pStyle w:val="Compact"/>
              <w:jc w:val="left"/>
            </w:pPr>
            <w:r>
              <w:t xml:space="preserve">Col1a1, Col3a1, Col6a2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ENs (Enteric Neurons)</w:t>
            </w:r>
          </w:p>
        </w:tc>
        <w:tc>
          <w:p>
            <w:pPr>
              <w:pStyle w:val="Compact"/>
              <w:jc w:val="left"/>
            </w:pPr>
            <w:r>
              <w:t xml:space="preserve">Vip, Tubb3, Vat1l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EGCs (Enteric Glial)</w:t>
            </w:r>
          </w:p>
        </w:tc>
        <w:tc>
          <w:p>
            <w:pPr>
              <w:pStyle w:val="Compact"/>
              <w:jc w:val="left"/>
            </w:pPr>
            <w:r>
              <w:t xml:space="preserve">Sox10, Plp1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LECs (Lymphatic Endo.)</w:t>
            </w:r>
          </w:p>
        </w:tc>
        <w:tc>
          <w:p>
            <w:pPr>
              <w:pStyle w:val="Compact"/>
              <w:jc w:val="left"/>
            </w:pPr>
            <w:r>
              <w:t xml:space="preserve">Lyve1, Flt4, Pecam1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VECs (Vascular Endo.)</w:t>
            </w:r>
          </w:p>
        </w:tc>
        <w:tc>
          <w:p>
            <w:pPr>
              <w:pStyle w:val="Compact"/>
              <w:jc w:val="left"/>
            </w:pPr>
            <w:r>
              <w:t xml:space="preserve">Plvap, Flt1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Colonocytes</w:t>
            </w:r>
          </w:p>
        </w:tc>
        <w:tc>
          <w:p>
            <w:pPr>
              <w:pStyle w:val="Compact"/>
              <w:jc w:val="left"/>
            </w:pPr>
            <w:r>
              <w:t xml:space="preserve">Epcam, Muc2, Krt19, Krt20, Vil1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SMCs (Smooth Muscle)</w:t>
            </w:r>
          </w:p>
        </w:tc>
        <w:tc>
          <w:p>
            <w:pPr>
              <w:pStyle w:val="Compact"/>
              <w:jc w:val="left"/>
            </w:pPr>
            <w:r>
              <w:t xml:space="preserve">Myh11, Tagln, Hhip, 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vSMCs (Vascular SMC)</w:t>
            </w:r>
          </w:p>
        </w:tc>
        <w:tc>
          <w:p>
            <w:pPr>
              <w:pStyle w:val="Compact"/>
              <w:jc w:val="left"/>
            </w:pPr>
            <w:r>
              <w:t xml:space="preserve">Myh11, Tagln, 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Adipocytes</w:t>
            </w:r>
          </w:p>
        </w:tc>
        <w:tc>
          <w:p>
            <w:pPr>
              <w:pStyle w:val="Compact"/>
              <w:jc w:val="left"/>
            </w:pPr>
            <w:r>
              <w:t xml:space="preserve">Adipoq, Plin1, Plin4, Fabp4</w:t>
            </w:r>
          </w:p>
        </w:tc>
      </w:tr>
    </w:tbl>
    <w:p>
      <w:pPr>
        <w:pStyle w:val="Heading3"/>
      </w:pPr>
      <w:bookmarkStart w:id="53" w:name="colonocyte-sub-type-markers"/>
      <w:r>
        <w:t xml:space="preserve">9.2 Colonocyte Sub-Type Markers</w:t>
      </w:r>
      <w:bookmarkEnd w:id="5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Sub-Type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Marker Genes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Goblet cells</w:t>
            </w:r>
          </w:p>
        </w:tc>
        <w:tc>
          <w:p>
            <w:pPr>
              <w:pStyle w:val="Compact"/>
              <w:jc w:val="left"/>
            </w:pPr>
            <w:r>
              <w:t xml:space="preserve">Muc2, Spink4, Agr2, Retnlb, Fam3d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Enterocytes</w:t>
            </w:r>
          </w:p>
        </w:tc>
        <w:tc>
          <w:p>
            <w:pPr>
              <w:pStyle w:val="Compact"/>
              <w:jc w:val="left"/>
            </w:pPr>
            <w:r>
              <w:t xml:space="preserve">Ceacam1, Krt19, Krt20, Muc13, Lypd8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EECs (Enteroendocrine)</w:t>
            </w:r>
          </w:p>
        </w:tc>
        <w:tc>
          <w:p>
            <w:pPr>
              <w:pStyle w:val="Compact"/>
              <w:jc w:val="left"/>
            </w:pPr>
            <w:r>
              <w:t xml:space="preserve">Chga, Chgb, Tph1, Cck, Scgn, Scg5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Tuft cells</w:t>
            </w:r>
          </w:p>
        </w:tc>
        <w:tc>
          <w:p>
            <w:pPr>
              <w:pStyle w:val="Compact"/>
              <w:jc w:val="left"/>
            </w:pPr>
            <w:r>
              <w:t xml:space="preserve">Dclk1, Trpm5, Avil, Sh2d6, Plcg2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DCS (Deep Crypt Secretory)</w:t>
            </w:r>
          </w:p>
        </w:tc>
        <w:tc>
          <w:p>
            <w:pPr>
              <w:pStyle w:val="Compact"/>
              <w:jc w:val="left"/>
            </w:pPr>
            <w:r>
              <w:t xml:space="preserve">Reg4, Ccl6, Dll1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Abs. colonocytes</w:t>
            </w:r>
          </w:p>
        </w:tc>
        <w:tc>
          <w:p>
            <w:pPr>
              <w:pStyle w:val="Compact"/>
              <w:jc w:val="left"/>
            </w:pPr>
            <w:r>
              <w:t xml:space="preserve">Alpi, Ces2c, Slc26a2, Ceacam1, Aqp8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 cells</w:t>
            </w:r>
          </w:p>
        </w:tc>
        <w:tc>
          <w:p>
            <w:pPr>
              <w:pStyle w:val="Compact"/>
              <w:jc w:val="left"/>
            </w:pPr>
            <w:r>
              <w:t xml:space="preserve">Mki67, Top2a, Birc5, Pcna, Stmn1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Stem cells</w:t>
            </w:r>
          </w:p>
        </w:tc>
        <w:tc>
          <w:p>
            <w:pPr>
              <w:pStyle w:val="Compact"/>
              <w:jc w:val="left"/>
            </w:pPr>
            <w:r>
              <w:t xml:space="preserve">Lgr5, Lrig1, Ascl2, Slc12a2, Smoc2, Kcnq1, Gpx2, Ephb2, Bmpr1a, Hopx, Sox9</w:t>
            </w:r>
          </w:p>
        </w:tc>
      </w:tr>
    </w:tbl>
    <w:p>
      <w:pPr>
        <w:pStyle w:val="Heading3"/>
      </w:pPr>
      <w:bookmarkStart w:id="54" w:name="t-cell-sub-type-markers"/>
      <w:r>
        <w:t xml:space="preserve">9.3 T Cell Sub-Type Markers</w:t>
      </w:r>
      <w:bookmarkEnd w:id="5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Sub-Type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Marker Genes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 cells (immune subset)</w:t>
            </w:r>
          </w:p>
        </w:tc>
        <w:tc>
          <w:p>
            <w:pPr>
              <w:pStyle w:val="Compact"/>
              <w:jc w:val="left"/>
            </w:pPr>
            <w:r>
              <w:t xml:space="preserve">Cd3e, Cd3d, Cd3g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ILCs</w:t>
            </w:r>
          </w:p>
        </w:tc>
        <w:tc>
          <w:p>
            <w:pPr>
              <w:pStyle w:val="Compact"/>
              <w:jc w:val="left"/>
            </w:pPr>
            <w:r>
              <w:t xml:space="preserve">Gata3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NK cells</w:t>
            </w:r>
          </w:p>
        </w:tc>
        <w:tc>
          <w:p>
            <w:pPr>
              <w:pStyle w:val="Compact"/>
              <w:jc w:val="left"/>
            </w:pPr>
            <w:r>
              <w:t xml:space="preserve">Ncr1, Klrb1b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Mast cells</w:t>
            </w:r>
          </w:p>
        </w:tc>
        <w:tc>
          <w:p>
            <w:pPr>
              <w:pStyle w:val="Compact"/>
              <w:jc w:val="left"/>
            </w:pPr>
            <w:r>
              <w:t xml:space="preserve">Ms4a2, Cpa3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CD4+ T cells</w:t>
            </w:r>
          </w:p>
        </w:tc>
        <w:tc>
          <w:p>
            <w:pPr>
              <w:pStyle w:val="Compact"/>
              <w:jc w:val="left"/>
            </w:pPr>
            <w:r>
              <w:t xml:space="preserve">Cd4, Cd3e, Cd3d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CD8+ T cells</w:t>
            </w:r>
          </w:p>
        </w:tc>
        <w:tc>
          <w:p>
            <w:pPr>
              <w:pStyle w:val="Compact"/>
              <w:jc w:val="left"/>
            </w:pPr>
            <w:r>
              <w:t xml:space="preserve">Cd8a, Cd8b1, Sell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Cycling T cells</w:t>
            </w:r>
          </w:p>
        </w:tc>
        <w:tc>
          <w:p>
            <w:pPr>
              <w:pStyle w:val="Compact"/>
              <w:jc w:val="left"/>
            </w:pPr>
            <w:r>
              <w:t xml:space="preserve">Mki67, Top2a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γδ T cells</w:t>
            </w:r>
          </w:p>
        </w:tc>
        <w:tc>
          <w:p>
            <w:pPr>
              <w:pStyle w:val="Compact"/>
              <w:jc w:val="left"/>
            </w:pPr>
            <w:r>
              <w:t xml:space="preserve">Trdc, Trgc1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Tregs</w:t>
            </w:r>
          </w:p>
        </w:tc>
        <w:tc>
          <w:p>
            <w:pPr>
              <w:pStyle w:val="Compact"/>
              <w:jc w:val="left"/>
            </w:pPr>
            <w:r>
              <w:t xml:space="preserve">Foxp3, Il2ra, Ikzf2, Ctla4</w:t>
            </w:r>
          </w:p>
        </w:tc>
      </w:tr>
    </w:tbl>
    <w:p>
      <w:pPr>
        <w:pStyle w:val="Heading3"/>
      </w:pPr>
      <w:bookmarkStart w:id="55" w:name="macrophage-sub-type-markers"/>
      <w:r>
        <w:t xml:space="preserve">9.4 Macrophage Sub-Type Markers</w:t>
      </w:r>
      <w:bookmarkEnd w:id="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Sub-Type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Marker Genes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Neutrophils</w:t>
            </w:r>
          </w:p>
        </w:tc>
        <w:tc>
          <w:p>
            <w:pPr>
              <w:pStyle w:val="Compact"/>
              <w:jc w:val="left"/>
            </w:pPr>
            <w:r>
              <w:t xml:space="preserve">Cxcr2, Csf3r, S100a8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cDCs (myeloid sub)</w:t>
            </w:r>
          </w:p>
        </w:tc>
        <w:tc>
          <w:p>
            <w:pPr>
              <w:pStyle w:val="Compact"/>
              <w:jc w:val="left"/>
            </w:pPr>
            <w:r>
              <w:t xml:space="preserve">Cd11c, Clec9a, Xcr1, Itgae, Flt3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Macrophages</w:t>
            </w:r>
          </w:p>
        </w:tc>
        <w:tc>
          <w:p>
            <w:pPr>
              <w:pStyle w:val="Compact"/>
              <w:jc w:val="left"/>
            </w:pPr>
            <w:r>
              <w:t xml:space="preserve">Il1b, Ccr7, Cd86, Cd80, Ccl5, Il6, Nos2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Monocytes</w:t>
            </w:r>
          </w:p>
        </w:tc>
        <w:tc>
          <w:p>
            <w:pPr>
              <w:pStyle w:val="Compact"/>
              <w:jc w:val="left"/>
            </w:pPr>
            <w:r>
              <w:t xml:space="preserve">Cd14, Ccr2, Cd33, Sell, Fcgr3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Macrophages</w:t>
            </w:r>
          </w:p>
        </w:tc>
        <w:tc>
          <w:p>
            <w:pPr>
              <w:pStyle w:val="Compact"/>
              <w:jc w:val="left"/>
            </w:pPr>
            <w:r>
              <w:t xml:space="preserve">Mrc1, C1qa, C1qb, C1qc, Cd163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M0 Macrophages</w:t>
            </w:r>
          </w:p>
        </w:tc>
        <w:tc>
          <w:p>
            <w:pPr>
              <w:pStyle w:val="Compact"/>
              <w:jc w:val="left"/>
            </w:pPr>
            <w:r>
              <w:t xml:space="preserve">Cd68, Csf1r</w:t>
            </w:r>
          </w:p>
        </w:tc>
      </w:tr>
    </w:tbl>
    <w:p>
      <w:pPr>
        <w:pStyle w:val="Heading3"/>
      </w:pPr>
      <w:bookmarkStart w:id="56" w:name="fibroblast-sub-type-markers"/>
      <w:r>
        <w:t xml:space="preserve">9.5 Fibroblast Sub-Type Markers</w:t>
      </w:r>
      <w:bookmarkEnd w:id="5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Sub-Type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Marker Genes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GFs (Generic Fibroblasts)</w:t>
            </w:r>
          </w:p>
        </w:tc>
        <w:tc>
          <w:p>
            <w:pPr>
              <w:pStyle w:val="Compact"/>
              <w:jc w:val="left"/>
            </w:pPr>
            <w:r>
              <w:t xml:space="preserve">Col1a1, Fn1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CBFs (Crypt-Bottom)</w:t>
            </w:r>
          </w:p>
        </w:tc>
        <w:tc>
          <w:p>
            <w:pPr>
              <w:pStyle w:val="Compact"/>
              <w:jc w:val="left"/>
            </w:pPr>
            <w:r>
              <w:t xml:space="preserve">Col1a1, Fn1, Wnt2, Wnt2b, Sfrp1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CTFs (Crypt-Tip)</w:t>
            </w:r>
          </w:p>
        </w:tc>
        <w:tc>
          <w:p>
            <w:pPr>
              <w:pStyle w:val="Compact"/>
              <w:jc w:val="left"/>
            </w:pPr>
            <w:r>
              <w:t xml:space="preserve">Col1a1, Fn1, Wnt5a, Wnt5b, Bmp2, Cxcl14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MFs (Myofibroblasts)</w:t>
            </w:r>
          </w:p>
        </w:tc>
        <w:tc>
          <w:p>
            <w:pPr>
              <w:pStyle w:val="Compact"/>
              <w:jc w:val="left"/>
            </w:pPr>
            <w:r>
              <w:t xml:space="preserve">Col1a1, Fn1, Acta2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IAFs (Interstitial Adv.)</w:t>
            </w:r>
          </w:p>
        </w:tc>
        <w:tc>
          <w:p>
            <w:pPr>
              <w:pStyle w:val="Compact"/>
              <w:jc w:val="left"/>
            </w:pPr>
            <w:r>
              <w:t xml:space="preserve">Col1a1, Fn1, Ccl19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troubleshooting"/>
      <w:r>
        <w:t xml:space="preserve">10. Troubleshooting</w:t>
      </w:r>
      <w:bookmarkEnd w:id="57"/>
    </w:p>
    <w:p>
      <w:pPr>
        <w:pStyle w:val="FirstParagraph"/>
      </w:pPr>
      <w:r>
        <w:rPr>
          <w:b/>
        </w:rPr>
        <w:t>“No valid pK in range” warning during doublet detection:</w:t>
      </w:r>
      <w:r>
        <w:t xml:space="preserve"> The optimal pK fell outside the configured range. The fallback pK (</w:t>
      </w:r>
      <w:r>
        <w:rPr>
          <w:rStyle w:val="VerbatimChar"/>
        </w:rPr>
        <w:t xml:space="preserve">DF_PK_FALLBACK = 0.09</w:t>
      </w:r>
      <w:r>
        <w:t xml:space="preserve">) is used. Check the per-sample pK plot in </w:t>
      </w:r>
      <w:r>
        <w:rPr>
          <w:rStyle w:val="VerbatimChar"/>
        </w:rPr>
        <w:t xml:space="preserve">doublet_finder_plots/</w:t>
      </w:r>
      <w:r>
        <w:t xml:space="preserve">. Consider widening </w:t>
      </w:r>
      <w:r>
        <w:rPr>
          <w:rStyle w:val="VerbatimChar"/>
        </w:rPr>
        <w:t xml:space="preserve">DF_PK_RANGE_MAX</w:t>
      </w:r>
      <w:r>
        <w:t xml:space="preserve">.</w:t>
      </w:r>
    </w:p>
    <w:p>
      <w:pPr>
        <w:pStyle w:val="BodyText"/>
      </w:pPr>
      <w:r>
        <w:rPr>
          <w:b/>
        </w:rPr>
        <w:t xml:space="preserve">Rollback triggered for a sample:</w:t>
      </w:r>
      <w:r>
        <w:t xml:space="preserve"> The doublet fraction exceeded </w:t>
      </w:r>
      <w:r>
        <w:rPr>
          <w:rStyle w:val="VerbatimChar"/>
        </w:rPr>
        <w:t xml:space="preserve">DOUBLET_ROLLBACK_THRESHOLD</w:t>
      </w:r>
      <w:r>
        <w:t xml:space="preserve">. Check the sample’s QC metrics and the pK plot. Consider adjusting </w:t>
      </w:r>
      <w:r>
        <w:rPr>
          <w:rStyle w:val="VerbatimChar"/>
        </w:rPr>
        <w:t xml:space="preserve">DOUBLET_RATE</w:t>
      </w:r>
      <w:r>
        <w:t xml:space="preserve"> or the QC thresholds. A rollback means all cells from that sample are kept — not ideal but safer than over-filtering.</w:t>
      </w:r>
    </w:p>
    <w:p>
      <w:pPr>
        <w:pStyle w:val="BodyText"/>
      </w:pPr>
      <w:r>
        <w:rPr>
          <w:b/>
        </w:rPr>
        <w:t xml:space="preserve">SCEVAN fails for a sample:</w:t>
      </w:r>
      <w:r>
        <w:t xml:space="preserve"> SCEVAN is wrapped in </w:t>
      </w:r>
      <w:r>
        <w:rPr>
          <w:rStyle w:val="VerbatimChar"/>
        </w:rPr>
        <w:t xml:space="preserve">tryCatch</w:t>
      </w:r>
      <w:r>
        <w:t xml:space="preserve">. The error is printed and the pipeline continues. The sample proceeds without CNA metadata. This is expected for samples with very few cells.</w:t>
      </w:r>
    </w:p>
    <w:p>
      <w:pPr>
        <w:pStyle w:val="BodyText"/>
      </w:pPr>
      <w:r>
        <w:rPr>
          <w:b/>
        </w:rPr>
        <w:t xml:space="preserve">DecontX produces very low gene counts:</w:t>
      </w:r>
      <w:r>
        <w:t xml:space="preserve"> DecontX can be aggressive on low-quality data. After correction, QC filters are re-applied. If too many cells are lost, consider setting </w:t>
      </w:r>
      <w:r>
        <w:rPr>
          <w:rStyle w:val="VerbatimChar"/>
        </w:rPr>
        <w:t xml:space="preserve">RUN_DECONTX = FALSE</w:t>
      </w:r>
      <w:r>
        <w:t xml:space="preserve">.</w:t>
      </w:r>
    </w:p>
    <w:p>
      <w:pPr>
        <w:pStyle w:val="BodyText"/>
      </w:pPr>
      <w:r>
        <w:rPr>
          <w:b/>
        </w:rPr>
        <w:t>“Marker CSV not found” error in Script 02:</w:t>
      </w:r>
      <w:r>
        <w:t xml:space="preserve"> Place </w:t>
      </w:r>
      <w:r>
        <w:rPr>
          <w:rStyle w:val="VerbatimChar"/>
        </w:rPr>
        <w:t xml:space="preserve">cell_type_markers.csv</w:t>
      </w:r>
      <w:r>
        <w:t xml:space="preserve"> in your </w:t>
      </w:r>
      <w:r>
        <w:rPr>
          <w:rStyle w:val="VerbatimChar"/>
        </w:rPr>
        <w:t xml:space="preserve">ROOT_PATH</w:t>
      </w:r>
      <w:r>
        <w:t xml:space="preserve"> directory, or update </w:t>
      </w:r>
      <w:r>
        <w:rPr>
          <w:rStyle w:val="VerbatimChar"/>
        </w:rPr>
        <w:t xml:space="preserve">MARKERS_CSV_FILE</w:t>
      </w:r>
      <w:r>
        <w:t xml:space="preserve"> to the correct absolute path.</w:t>
      </w:r>
    </w:p>
    <w:p>
      <w:pPr>
        <w:pStyle w:val="BodyText"/>
      </w:pPr>
      <w:r>
        <w:rPr>
          <w:b/>
        </w:rPr>
        <w:t>“Column not found” in proportion plots:</w:t>
      </w:r>
      <w:r>
        <w:t xml:space="preserve"> The </w:t>
      </w:r>
      <w:r>
        <w:rPr>
          <w:rStyle w:val="VerbatimChar"/>
        </w:rPr>
        <w:t xml:space="preserve">ADDITIONAL_GROUPS_TO_PLOT</w:t>
      </w:r>
      <w:r>
        <w:t xml:space="preserve"> column does not exist in metadata. For combined columns like </w:t>
      </w:r>
      <w:r>
        <w:rPr>
          <w:rStyle w:val="VerbatimChar"/>
        </w:rPr>
        <w:t xml:space="preserve">"Genotype_Diet"</w:t>
      </w:r>
      <w:r>
        <w:t xml:space="preserve">, ensure both component columns (</w:t>
      </w:r>
      <w:r>
        <w:rPr>
          <w:rStyle w:val="VerbatimChar"/>
        </w:rPr>
        <w:t xml:space="preserve">"Genotype"</w:t>
      </w:r>
      <w:r>
        <w:t xml:space="preserve"> and </w:t>
      </w:r>
      <w:r>
        <w:rPr>
          <w:rStyle w:val="VerbatimChar"/>
        </w:rPr>
        <w:t xml:space="preserve">"Diet"</w:t>
      </w:r>
      <w:r>
        <w:t xml:space="preserve">) exist in the metadata Excel file.</w:t>
      </w:r>
    </w:p>
    <w:p>
      <w:pPr>
        <w:pStyle w:val="BodyText"/>
      </w:pPr>
      <w:r>
        <w:rPr>
          <w:b/>
        </w:rPr>
        <w:t xml:space="preserve">Sub-cluster object not found in Script 03 Mode C:</w:t>
      </w:r>
      <w:r>
        <w:t xml:space="preserve"> Run Script 02 with </w:t>
      </w:r>
      <w:r>
        <w:rPr>
          <w:rStyle w:val="VerbatimChar"/>
        </w:rPr>
        <w:t xml:space="preserve">RUN_SUBCLUSTERING = TRUE</w:t>
      </w:r>
      <w:r>
        <w:t xml:space="preserve"> and ensure </w:t>
      </w:r>
      <w:r>
        <w:rPr>
          <w:rStyle w:val="VerbatimChar"/>
        </w:rPr>
        <w:t xml:space="preserve">CELL_TYPE_TO_SUBCLUSTER</w:t>
      </w:r>
      <w:r>
        <w:t xml:space="preserve"> matches </w:t>
      </w:r>
      <w:r>
        <w:rPr>
          <w:rStyle w:val="VerbatimChar"/>
        </w:rPr>
        <w:t xml:space="preserve">SUBTYPE_CELL_TYPE</w:t>
      </w:r>
      <w:r>
        <w:t xml:space="preserve"> in Script 03.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version-history"/>
      <w:r>
        <w:t xml:space="preserve">11. Version History</w:t>
      </w:r>
      <w:bookmarkEnd w:id="5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p>
            <w:pPr>
              <w:pStyle w:val="Compact"/>
              <w:jc w:val="left"/>
            </w:pPr>
            <w:r>
              <w:t xml:space="preserve">Initial two-script pipeline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p>
            <w:pPr>
              <w:pStyle w:val="Compact"/>
              <w:jc w:val="left"/>
            </w:pPr>
            <w:r>
              <w:t xml:space="preserve">Added Harmony integration, compositional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p>
            <w:pPr>
              <w:pStyle w:val="Compact"/>
              <w:jc w:val="left"/>
            </w:pPr>
            <w:r>
              <w:t xml:space="preserve">Added DecontX, SCEVAN, checkpoint 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p>
            <w:pPr>
              <w:pStyle w:val="Compact"/>
              <w:jc w:val="left"/>
            </w:pPr>
            <w:r>
              <w:t xml:space="preserve">Split into two scripts (processing + annotation)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p>
            <w:pPr>
              <w:pStyle w:val="Compact"/>
              <w:jc w:val="left"/>
            </w:pPr>
            <w:r>
              <w:t xml:space="preserve">April 2026</w:t>
            </w:r>
          </w:p>
        </w:tc>
        <w:tc>
          <w:p>
            <w:pPr>
              <w:pStyle w:val="Compact"/>
              <w:jc w:val="left"/>
            </w:pPr>
            <w:r>
              <w:t xml:space="preserve">Four-script architecture; CSV-driven markers; weighted pre-scoring; doublet rollback safeguard; Scripts 03 (DE) and 04 (pathway scoring) added; Tregs added to T cell panel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2026-04-03T03:56:25Z</dcterms:created>
  <dcterms:modified xsi:type="dcterms:W3CDTF">2026-04-03T03:56:25Z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