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Standard Operating Procedure (SOP): A Modular Multi-Script scRNA-Seq Analysis Pipeline</w:t>
      </w:r>
    </w:p>
    <w:p>
      <w:pPr>
        <w:pStyle w:val="Author"/>
      </w:pPr>
      <w:r>
        <w:t>CaiLab &amp; ChapkinLab</w:t>
      </w:r>
    </w:p>
    <w:p>
      <w:pPr>
        <w:pStyle w:val="Date"/>
      </w:pPr>
      <w:r>
        <w:t>July 2026</w:t>
      </w:r>
    </w:p>
    <w:p>
      <w:pPr>
        <w:pStyle w:val="Heading1"/>
      </w:pPr>
      <w:r>
        <w:t>Standard Operating Procedure (SOP)</w:t>
      </w:r>
    </w:p>
    <w:p>
      <w:pPr>
        <w:pStyle w:val="Heading2"/>
      </w:pPr>
      <w:r>
        <w:t>A Modular Multi-Script scRNA-Seq Analysis Pipeline</w:t>
      </w:r>
    </w:p>
    <w:p>
      <w:pPr>
        <w:pStyle w:val="FirstParagraph"/>
      </w:pPr>
      <w:r>
        <w:t>Version: 8.0 | Date: October 2026 | Authors: CaiLab &amp; ChapkinLab</w:t>
      </w:r>
    </w:p>
    <w:p>
      <w:pPr>
        <w:pStyle w:val="BodyText"/>
      </w:pPr>
      <w:r>
        <w:t>Repository: https://github.com/sromero1992/single_cell_projects/tree/main/single_cell_standard_pipeline</w:t>
      </w:r>
    </w:p>
    <w:p>
      <w:pPr>
        <w:pStyle w:val="Heading2"/>
      </w:pPr>
      <w:r>
        <w:t>1. Introduction &amp; Purpose</w:t>
      </w:r>
    </w:p>
    <w:p>
      <w:pPr>
        <w:pStyle w:val="FirstParagraph"/>
      </w:pPr>
      <w:r>
        <w:t>This document describes a fully standardized, reproducible pipeline for single-cell RNA sequencing (scRNA-seq) analysis, from raw 10x Genomics output through annotation, differential expression, cell-cell communication, developmental potency scoring, and trajectory inference.</w:t>
      </w:r>
    </w:p>
    <w:p>
      <w:pPr>
        <w:pStyle w:val="BodyText"/>
      </w:pPr>
      <w:r>
        <w:t>Version 7.0 is a UNIFIED build. It consolidates four previously divergent project pipelines (2026_nr4a1, github_pipeline, wu_project1, eithan_coffee) into a single canonical implementation, and expands the architecture from four scripts to eleven. The most consequential change is that doublet detection is now method-selectable, with DoubletFinder restored as the default; see Section 6.3.</w:t>
      </w:r>
    </w:p>
    <w:p>
      <w:pPr>
        <w:pStyle w:val="BodyText"/>
      </w:pPr>
      <w:r>
        <w:t>Pipeline components:</w:t>
      </w:r>
    </w:p>
    <w:p>
      <w:pPr>
        <w:pStyle w:val="Compact"/>
        <w:numPr>
          <w:ilvl w:val="0"/>
          <w:numId w:val="1"/>
        </w:numPr>
      </w:pPr>
      <w:r>
        <w:t>Script 00 — Environment Setup (00_rlibs_installation.R): Installs all required R packages from CRAN, Bioconductor and GitHub. Hard-stops if a Script 01 dependency is missing.</w:t>
      </w:r>
    </w:p>
    <w:p>
      <w:pPr>
        <w:pStyle w:val="Compact"/>
        <w:numPr>
          <w:ilvl w:val="0"/>
          <w:numId w:val="1"/>
        </w:numPr>
      </w:pPr>
      <w:r>
        <w:t>Script 01 — Data Processing Engine (01_process_data.R): Per-sample loading, SCEVAN, DecontX, selectable doublet detection, QC, merging, Harmony integration.</w:t>
      </w:r>
    </w:p>
    <w:p>
      <w:pPr>
        <w:pStyle w:val="Compact"/>
        <w:numPr>
          <w:ilvl w:val="0"/>
          <w:numId w:val="1"/>
        </w:numPr>
      </w:pPr>
      <w:r>
        <w:t>Script 02 — Global Annotation (02_global_annotation.R): CSV-driven weighted pre-scoring and broad cell type annotation.</w:t>
      </w:r>
    </w:p>
    <w:p>
      <w:pPr>
        <w:pStyle w:val="Compact"/>
        <w:numPr>
          <w:ilvl w:val="0"/>
          <w:numId w:val="1"/>
        </w:numPr>
      </w:pPr>
      <w:r>
        <w:t>Scripts 03-05 — Sub-Annotation (03_tcell / 04_colonocyte / 05_macrophages): Lineage-specific sub-clustering and annotation.</w:t>
      </w:r>
    </w:p>
    <w:p>
      <w:pPr>
        <w:pStyle w:val="Compact"/>
        <w:numPr>
          <w:ilvl w:val="0"/>
          <w:numId w:val="1"/>
        </w:numPr>
      </w:pPr>
      <w:r>
        <w:t>Script 06 — Annotation Unifier (06_annotation_unifier.R): Merges all sub-annotations back into one final object.</w:t>
      </w:r>
    </w:p>
    <w:p>
      <w:pPr>
        <w:pStyle w:val="Compact"/>
        <w:numPr>
          <w:ilvl w:val="0"/>
          <w:numId w:val="1"/>
        </w:numPr>
      </w:pPr>
      <w:r>
        <w:t>Script 07 — Differential Expression (07_DE_and_two_way_ANOVA.R): MAST DE, one/two-way ANOVA, SplineDV, GSEA and Enrichr ORA.</w:t>
      </w:r>
    </w:p>
    <w:p>
      <w:pPr>
        <w:pStyle w:val="Compact"/>
        <w:numPr>
          <w:ilvl w:val="0"/>
          <w:numId w:val="1"/>
        </w:numPr>
      </w:pPr>
      <w:r>
        <w:t>Script 08 — Cell-Cell Communication (08_cellchat.R): CellChat ligand-receptor analysis.</w:t>
      </w:r>
    </w:p>
    <w:p>
      <w:pPr>
        <w:pStyle w:val="Compact"/>
        <w:numPr>
          <w:ilvl w:val="0"/>
          <w:numId w:val="1"/>
        </w:numPr>
      </w:pPr>
      <w:r>
        <w:t>Script 09 — Cell Scores (09_cell_scores.R): CytoTRACE 2, CytoTRACE v1 and transcriptional entropy. NEW in v7.0.</w:t>
      </w:r>
    </w:p>
    <w:p>
      <w:pPr>
        <w:pStyle w:val="Compact"/>
        <w:numPr>
          <w:ilvl w:val="0"/>
          <w:numId w:val="1"/>
        </w:numPr>
      </w:pPr>
      <w:r>
        <w:t>Script 10 — Trajectory Inference (10_trajectory_cellrank.R): CellRank CytoTRACEKernel trajectories via reticulate. NEW in v7.0.</w:t>
      </w:r>
    </w:p>
    <w:p>
      <w:pPr>
        <w:pStyle w:val="BodyText"/>
      </w:pPr>
      <w:r>
        <w:t>Supporting files: copy_sc_data.sh (data staging), cell_type_markers.csv (marker definitions), QUICK_START.md (condensed reference), INSTALL_NOTES.md (installation troubleshooting), CHANGELOG.md (provenance of the unified build).</w:t>
      </w:r>
    </w:p>
    <w:p>
      <w:pPr>
        <w:pStyle w:val="Heading2"/>
      </w:pPr>
      <w:r>
        <w:t>2. Required Software and Packages</w:t>
      </w:r>
    </w:p>
    <w:p>
      <w:pPr>
        <w:pStyle w:val="Heading3"/>
      </w:pPr>
      <w:r>
        <w:t>2.1 Software</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Software</w:t>
            </w:r>
          </w:p>
        </w:tc>
        <w:tc>
          <w:tcPr>
            <w:tcW w:type="dxa" w:w="1250"/>
          </w:tcPr>
          <w:p>
            <w:r/>
            <w:r>
              <w:rPr>
                <w:b/>
              </w:rPr>
              <w:t>Version</w:t>
            </w:r>
          </w:p>
        </w:tc>
        <w:tc>
          <w:tcPr>
            <w:tcW w:type="dxa" w:w="4610"/>
          </w:tcPr>
          <w:p>
            <w:r/>
            <w:r>
              <w:rPr>
                <w:b/>
              </w:rPr>
              <w:t>Notes</w:t>
            </w:r>
          </w:p>
        </w:tc>
      </w:tr>
      <w:tr>
        <w:tc>
          <w:tcPr>
            <w:tcW w:type="dxa" w:w="3500"/>
          </w:tcPr>
          <w:p>
            <w:r>
              <w:t>R</w:t>
            </w:r>
          </w:p>
        </w:tc>
        <w:tc>
          <w:tcPr>
            <w:tcW w:type="dxa" w:w="1250"/>
          </w:tcPr>
          <w:p>
            <w:r>
              <w:t>≥ 4.3</w:t>
            </w:r>
          </w:p>
        </w:tc>
        <w:tc>
          <w:tcPr>
            <w:tcW w:type="dxa" w:w="4610"/>
          </w:tcPr>
          <w:p>
            <w:r>
              <w:t>Required</w:t>
            </w:r>
          </w:p>
        </w:tc>
      </w:tr>
      <w:tr>
        <w:tc>
          <w:tcPr>
            <w:tcW w:type="dxa" w:w="3500"/>
          </w:tcPr>
          <w:p>
            <w:r>
              <w:t>RStudio</w:t>
            </w:r>
          </w:p>
        </w:tc>
        <w:tc>
          <w:tcPr>
            <w:tcW w:type="dxa" w:w="1250"/>
          </w:tcPr>
          <w:p>
            <w:r>
              <w:t>Any recent</w:t>
            </w:r>
          </w:p>
        </w:tc>
        <w:tc>
          <w:tcPr>
            <w:tcW w:type="dxa" w:w="4610"/>
          </w:tcPr>
          <w:p>
            <w:r>
              <w:t>Strongly recommended for the interactive annotation scripts (02-05)</w:t>
            </w:r>
          </w:p>
        </w:tc>
      </w:tr>
      <w:tr>
        <w:tc>
          <w:tcPr>
            <w:tcW w:type="dxa" w:w="3500"/>
          </w:tcPr>
          <w:p>
            <w:r>
              <w:t>Python</w:t>
            </w:r>
          </w:p>
        </w:tc>
        <w:tc>
          <w:tcPr>
            <w:tcW w:type="dxa" w:w="1250"/>
          </w:tcPr>
          <w:p>
            <w:r>
              <w:t>3.11</w:t>
            </w:r>
          </w:p>
        </w:tc>
        <w:tc>
          <w:tcPr>
            <w:tcW w:type="dxa" w:w="4610"/>
          </w:tcPr>
          <w:p>
            <w:r>
              <w:t>ONLY for Script 10 (CellRank). Scripts 00-09 are pure R.</w:t>
            </w:r>
          </w:p>
        </w:tc>
      </w:tr>
      <w:tr>
        <w:tc>
          <w:tcPr>
            <w:tcW w:type="dxa" w:w="3500"/>
          </w:tcPr>
          <w:p>
            <w:r>
              <w:t>conda / mamba</w:t>
            </w:r>
          </w:p>
        </w:tc>
        <w:tc>
          <w:tcPr>
            <w:tcW w:type="dxa" w:w="1250"/>
          </w:tcPr>
          <w:p>
            <w:r>
              <w:t>Any recent</w:t>
            </w:r>
          </w:p>
        </w:tc>
        <w:tc>
          <w:tcPr>
            <w:tcW w:type="dxa" w:w="4610"/>
          </w:tcPr>
          <w:p>
            <w:r>
              <w:t>ONLY for Script 10, to build the Python environment</w:t>
            </w:r>
          </w:p>
        </w:tc>
      </w:tr>
    </w:tbl>
    <w:p>
      <w:pPr/>
    </w:p>
    <w:p>
      <w:pPr>
        <w:pStyle w:val="Heading3"/>
      </w:pPr>
      <w:r>
        <w:t>2.2 R Packages</w:t>
      </w:r>
    </w:p>
    <w:p>
      <w:pPr>
        <w:pStyle w:val="FirstParagraph"/>
      </w:pPr>
      <w:r>
        <w:t>Most packages install automatically via Script 00. Run 00_rlibs_installation.R before starting; it verifies critical dependencies and stops with an explicit list if any are missing.</w:t>
      </w:r>
    </w:p>
    <w:p>
      <w:pPr>
        <w:pStyle w:val="BodyText"/>
      </w:pPr>
      <w:r>
        <w:t>The following are known to be failure-prone and are documented in detail in INSTALL_NOTES.md:</w:t>
      </w:r>
    </w:p>
    <w:tbl>
      <w:tblPr>
        <w:tblStyle w:val="Table"/>
        <w:tblW w:type="auto" w:w="0"/>
        <w:tblLayout w:type="fixed"/>
        <w:tblLook w:firstColumn="1" w:firstRow="1" w:lastColumn="0" w:lastRow="0" w:noHBand="0" w:noVBand="1" w:val="04A0"/>
      </w:tblPr>
      <w:tblGrid>
        <w:gridCol w:w="2150"/>
        <w:gridCol w:w="2150"/>
        <w:gridCol w:w="2150"/>
        <w:gridCol w:w="2910"/>
      </w:tblGrid>
      <w:tr>
        <w:tc>
          <w:tcPr>
            <w:tcW w:type="dxa" w:w="2150"/>
          </w:tcPr>
          <w:p>
            <w:r/>
            <w:r>
              <w:rPr>
                <w:b/>
              </w:rPr>
              <w:t>Package</w:t>
            </w:r>
          </w:p>
        </w:tc>
        <w:tc>
          <w:tcPr>
            <w:tcW w:type="dxa" w:w="2150"/>
          </w:tcPr>
          <w:p>
            <w:r/>
            <w:r>
              <w:rPr>
                <w:b/>
              </w:rPr>
              <w:t>Needed by</w:t>
            </w:r>
          </w:p>
        </w:tc>
        <w:tc>
          <w:tcPr>
            <w:tcW w:type="dxa" w:w="2150"/>
          </w:tcPr>
          <w:p>
            <w:r/>
            <w:r>
              <w:rPr>
                <w:b/>
              </w:rPr>
              <w:t>Route</w:t>
            </w:r>
          </w:p>
        </w:tc>
        <w:tc>
          <w:tcPr>
            <w:tcW w:type="dxa" w:w="2910"/>
          </w:tcPr>
          <w:p>
            <w:r/>
            <w:r>
              <w:rPr>
                <w:b/>
              </w:rPr>
              <w:t>If it fails</w:t>
            </w:r>
          </w:p>
        </w:tc>
      </w:tr>
      <w:tr>
        <w:tc>
          <w:tcPr>
            <w:tcW w:type="dxa" w:w="2150"/>
          </w:tcPr>
          <w:p>
            <w:r>
              <w:t>DoubletFinder</w:t>
            </w:r>
          </w:p>
        </w:tc>
        <w:tc>
          <w:tcPr>
            <w:tcW w:type="dxa" w:w="2150"/>
          </w:tcPr>
          <w:p>
            <w:r>
              <w:t>Script 01 (default caller)</w:t>
            </w:r>
          </w:p>
        </w:tc>
        <w:tc>
          <w:tcPr>
            <w:tcW w:type="dxa" w:w="2150"/>
          </w:tcPr>
          <w:p>
            <w:r>
              <w:t>GitHub</w:t>
            </w:r>
          </w:p>
        </w:tc>
        <w:tc>
          <w:tcPr>
            <w:tcW w:type="dxa" w:w="2910"/>
          </w:tcPr>
          <w:p>
            <w:r>
              <w:t>Switch DOUBLET_METHOD to "scDblFinder"</w:t>
            </w:r>
          </w:p>
        </w:tc>
      </w:tr>
      <w:tr>
        <w:tc>
          <w:tcPr>
            <w:tcW w:type="dxa" w:w="2150"/>
          </w:tcPr>
          <w:p>
            <w:r>
              <w:t>scDblFinder</w:t>
            </w:r>
          </w:p>
        </w:tc>
        <w:tc>
          <w:tcPr>
            <w:tcW w:type="dxa" w:w="2150"/>
          </w:tcPr>
          <w:p>
            <w:r>
              <w:t>Script 01 (alternative)</w:t>
            </w:r>
          </w:p>
        </w:tc>
        <w:tc>
          <w:tcPr>
            <w:tcW w:type="dxa" w:w="2150"/>
          </w:tcPr>
          <w:p>
            <w:r>
              <w:t>Bioconductor</w:t>
            </w:r>
          </w:p>
        </w:tc>
        <w:tc>
          <w:tcPr>
            <w:tcW w:type="dxa" w:w="2910"/>
          </w:tcPr>
          <w:p>
            <w:r>
              <w:t>Keep DOUBLET_METHOD as "DoubletFinder"</w:t>
            </w:r>
          </w:p>
        </w:tc>
      </w:tr>
      <w:tr>
        <w:tc>
          <w:tcPr>
            <w:tcW w:type="dxa" w:w="2150"/>
          </w:tcPr>
          <w:p>
            <w:r>
              <w:t>CytoTRACE2</w:t>
            </w:r>
          </w:p>
        </w:tc>
        <w:tc>
          <w:tcPr>
            <w:tcW w:type="dxa" w:w="2150"/>
          </w:tcPr>
          <w:p>
            <w:r>
              <w:t>Script 09</w:t>
            </w:r>
          </w:p>
        </w:tc>
        <w:tc>
          <w:tcPr>
            <w:tcW w:type="dxa" w:w="2150"/>
          </w:tcPr>
          <w:p>
            <w:r>
              <w:t>GitHub, subdir = "cytotrace2_r"</w:t>
            </w:r>
          </w:p>
        </w:tc>
        <w:tc>
          <w:tcPr>
            <w:tcW w:type="dxa" w:w="2910"/>
          </w:tcPr>
          <w:p>
            <w:r>
              <w:t>Script 09 still runs entropy metrics</w:t>
            </w:r>
          </w:p>
        </w:tc>
      </w:tr>
      <w:tr>
        <w:tc>
          <w:tcPr>
            <w:tcW w:type="dxa" w:w="2150"/>
          </w:tcPr>
          <w:p>
            <w:r>
              <w:t>CytoTRACE</w:t>
            </w:r>
          </w:p>
        </w:tc>
        <w:tc>
          <w:tcPr>
            <w:tcW w:type="dxa" w:w="2150"/>
          </w:tcPr>
          <w:p>
            <w:r>
              <w:t>Script 09 (optional)</w:t>
            </w:r>
          </w:p>
        </w:tc>
        <w:tc>
          <w:tcPr>
            <w:tcW w:type="dxa" w:w="2150"/>
          </w:tcPr>
          <w:p>
            <w:r>
              <w:t>GitHub</w:t>
            </w:r>
          </w:p>
        </w:tc>
        <w:tc>
          <w:tcPr>
            <w:tcW w:type="dxa" w:w="2910"/>
          </w:tcPr>
          <w:p>
            <w:r>
              <w:t>Set RUN_CYTOTRACE1 &lt;- FALSE</w:t>
            </w:r>
          </w:p>
        </w:tc>
      </w:tr>
      <w:tr>
        <w:tc>
          <w:tcPr>
            <w:tcW w:type="dxa" w:w="2150"/>
          </w:tcPr>
          <w:p>
            <w:r>
              <w:t>BPCells</w:t>
            </w:r>
          </w:p>
        </w:tc>
        <w:tc>
          <w:tcPr>
            <w:tcW w:type="dxa" w:w="2150"/>
          </w:tcPr>
          <w:p>
            <w:r>
              <w:t>Script 01 (optional)</w:t>
            </w:r>
          </w:p>
        </w:tc>
        <w:tc>
          <w:tcPr>
            <w:tcW w:type="dxa" w:w="2150"/>
          </w:tcPr>
          <w:p>
            <w:r>
              <w:t>GitHub, needs HDF5</w:t>
            </w:r>
          </w:p>
        </w:tc>
        <w:tc>
          <w:tcPr>
            <w:tcW w:type="dxa" w:w="2910"/>
          </w:tcPr>
          <w:p>
            <w:r>
              <w:t>Set USE_BPCELLS &lt;- FALSE</w:t>
            </w:r>
          </w:p>
        </w:tc>
      </w:tr>
      <w:tr>
        <w:tc>
          <w:tcPr>
            <w:tcW w:type="dxa" w:w="2150"/>
          </w:tcPr>
          <w:p>
            <w:r>
              <w:t>SCEVAN</w:t>
            </w:r>
          </w:p>
        </w:tc>
        <w:tc>
          <w:tcPr>
            <w:tcW w:type="dxa" w:w="2150"/>
          </w:tcPr>
          <w:p>
            <w:r>
              <w:t>Script 01 (optional)</w:t>
            </w:r>
          </w:p>
        </w:tc>
        <w:tc>
          <w:tcPr>
            <w:tcW w:type="dxa" w:w="2150"/>
          </w:tcPr>
          <w:p>
            <w:r>
              <w:t>GitHub</w:t>
            </w:r>
          </w:p>
        </w:tc>
        <w:tc>
          <w:tcPr>
            <w:tcW w:type="dxa" w:w="2910"/>
          </w:tcPr>
          <w:p>
            <w:r>
              <w:t>Set RUN_SCEVAN &lt;- FALSE</w:t>
            </w:r>
          </w:p>
        </w:tc>
      </w:tr>
      <w:tr>
        <w:tc>
          <w:tcPr>
            <w:tcW w:type="dxa" w:w="2150"/>
          </w:tcPr>
          <w:p>
            <w:r>
              <w:t>CellChat</w:t>
            </w:r>
          </w:p>
        </w:tc>
        <w:tc>
          <w:tcPr>
            <w:tcW w:type="dxa" w:w="2150"/>
          </w:tcPr>
          <w:p>
            <w:r>
              <w:t>Script 08</w:t>
            </w:r>
          </w:p>
        </w:tc>
        <w:tc>
          <w:tcPr>
            <w:tcW w:type="dxa" w:w="2150"/>
          </w:tcPr>
          <w:p>
            <w:r>
              <w:t>GitHub</w:t>
            </w:r>
          </w:p>
        </w:tc>
        <w:tc>
          <w:tcPr>
            <w:tcW w:type="dxa" w:w="2910"/>
          </w:tcPr>
          <w:p>
            <w:r>
              <w:t>Install ComplexHeatmap from Bioconductor first</w:t>
            </w:r>
          </w:p>
        </w:tc>
      </w:tr>
      <w:tr>
        <w:tc>
          <w:tcPr>
            <w:tcW w:type="dxa" w:w="2150"/>
          </w:tcPr>
          <w:p>
            <w:r>
              <w:t>reticulate</w:t>
            </w:r>
          </w:p>
        </w:tc>
        <w:tc>
          <w:tcPr>
            <w:tcW w:type="dxa" w:w="2150"/>
          </w:tcPr>
          <w:p>
            <w:r>
              <w:t>Script 10 only</w:t>
            </w:r>
          </w:p>
        </w:tc>
        <w:tc>
          <w:tcPr>
            <w:tcW w:type="dxa" w:w="2150"/>
          </w:tcPr>
          <w:p>
            <w:r>
              <w:t>CRAN</w:t>
            </w:r>
          </w:p>
        </w:tc>
        <w:tc>
          <w:tcPr>
            <w:tcW w:type="dxa" w:w="2910"/>
          </w:tcPr>
          <w:p>
            <w:r>
              <w:t>Skip Script 10</w:t>
            </w:r>
          </w:p>
        </w:tc>
      </w:tr>
    </w:tbl>
    <w:p>
      <w:pPr/>
    </w:p>
    <w:p>
      <w:pPr>
        <w:pStyle w:val="BlockText"/>
      </w:pPr>
      <w:r>
        <w:t>Note: the CytoTRACE 2 install REQUIRES the subdir argument. Omitting it produces a misleading "does not appear to be a package" error.</w:t>
      </w:r>
    </w:p>
    <w:p>
      <w:pPr>
        <w:pStyle w:val="SourceCode"/>
      </w:pPr>
      <w:r>
        <w:t>devtools::install_github("digitalcytometry/cytotrace2", subdir = "cytotrace2_r")</w:t>
      </w:r>
    </w:p>
    <w:p>
      <w:pPr>
        <w:pStyle w:val="Heading3"/>
      </w:pPr>
      <w:r>
        <w:t>2.3 Python Environment (Script 10 only)</w:t>
      </w:r>
    </w:p>
    <w:p>
      <w:pPr>
        <w:pStyle w:val="FirstParagraph"/>
      </w:pPr>
      <w:r>
        <w:t>Script 10 is the only component requiring Python. CytoTRACE 2 in Script 09 is pure R and does NOT need it. Create the environment once, from a terminal, and never from inside an analysis script:</w:t>
      </w:r>
    </w:p>
    <w:p>
      <w:pPr>
        <w:pStyle w:val="SourceCode"/>
      </w:pPr>
      <w:r>
        <w:t>conda create -n cellrank_env python=3.11 -y</w:t>
        <w:br/>
        <w:t>conda activate cellrank_env</w:t>
        <w:br/>
        <w:t>pip install "cellrank&gt;=2.0" scanpy scvelo anndata igraph leidenalg</w:t>
        <w:br/>
        <w:t>python -c "import cellrank, scanpy; print(cellrank.__version__)"</w:t>
      </w:r>
    </w:p>
    <w:p>
      <w:pPr>
        <w:pStyle w:val="BodyText"/>
      </w:pPr>
      <w:r>
        <w:t>Then set PYTHON_ENV &lt;- "cellrank_env" in Script 10, Section 1.1. Full troubleshooting is in INSTALL_NOTES.md Section 5.</w:t>
      </w:r>
    </w:p>
    <w:p>
      <w:pPr>
        <w:pStyle w:val="Heading3"/>
      </w:pPr>
      <w:r>
        <w:t>2.4 Marker Gene CSV</w:t>
      </w:r>
    </w:p>
    <w:p>
      <w:pPr>
        <w:pStyle w:val="FirstParagraph"/>
      </w:pPr>
      <w:r>
        <w:t>The file cell_type_markers.csv must be placed in ROOT_PATH alongside the R scripts. It defines all broad and sub-type markers and the sub-clustering resolutions used by Scripts 02-05. See Section 15 for the full reference.</w:t>
      </w:r>
    </w:p>
    <w:p>
      <w:pPr>
        <w:pStyle w:val="Heading2"/>
      </w:pPr>
      <w:r>
        <w:t>3. Metadata File Configuration</w:t>
      </w:r>
    </w:p>
    <w:p>
      <w:pPr>
        <w:pStyle w:val="FirstParagraph"/>
      </w:pPr>
      <w:r>
        <w:t>The sample-level metadata Excel file (.xlsx) is the single source of truth for all biological and technical variables. Every column is automatically attached to every cell originating from that sample, with no extra code.</w:t>
      </w:r>
    </w:p>
    <w:p>
      <w:pPr>
        <w:pStyle w:val="Heading3"/>
      </w:pPr>
      <w:r>
        <w:t>3.1 Required Column</w:t>
      </w:r>
    </w:p>
    <w:tbl>
      <w:tblPr>
        <w:tblStyle w:val="Table"/>
        <w:tblW w:type="auto" w:w="0"/>
        <w:tblLayout w:type="fixed"/>
        <w:tblLook w:firstColumn="1" w:firstRow="1" w:lastColumn="0" w:lastRow="0" w:noHBand="0" w:noVBand="1" w:val="04A0"/>
      </w:tblPr>
      <w:tblGrid>
        <w:gridCol w:w="3400"/>
        <w:gridCol w:w="5960"/>
      </w:tblGrid>
      <w:tr>
        <w:tc>
          <w:tcPr>
            <w:tcW w:type="dxa" w:w="3400"/>
          </w:tcPr>
          <w:p>
            <w:r/>
            <w:r>
              <w:rPr>
                <w:b/>
              </w:rPr>
              <w:t>Column</w:t>
            </w:r>
          </w:p>
        </w:tc>
        <w:tc>
          <w:tcPr>
            <w:tcW w:type="dxa" w:w="5960"/>
          </w:tcPr>
          <w:p>
            <w:r/>
            <w:r>
              <w:rPr>
                <w:b/>
              </w:rPr>
              <w:t>Requirement</w:t>
            </w:r>
          </w:p>
        </w:tc>
      </w:tr>
      <w:tr>
        <w:tc>
          <w:tcPr>
            <w:tcW w:type="dxa" w:w="3400"/>
          </w:tcPr>
          <w:p>
            <w:r>
              <w:t>SampleID</w:t>
            </w:r>
          </w:p>
        </w:tc>
        <w:tc>
          <w:tcPr>
            <w:tcW w:type="dxa" w:w="5960"/>
          </w:tcPr>
          <w:p>
            <w:r>
              <w:t>Must EXACTLY match the subfolder name inside H5_DIR. This is how the pipeline locates each sample's H5 files.</w:t>
            </w:r>
          </w:p>
        </w:tc>
      </w:tr>
    </w:tbl>
    <w:p>
      <w:pPr/>
    </w:p>
    <w:p>
      <w:pPr>
        <w:pStyle w:val="Heading3"/>
      </w:pPr>
      <w:r>
        <w:t>3.2 Common Optional Columns</w:t>
      </w:r>
    </w:p>
    <w:p>
      <w:pPr>
        <w:pStyle w:val="FirstParagraph"/>
      </w:pPr>
      <w:r>
        <w:t>Add any combination of the following, or any custom column of your choosing. All are carried forward to every cell.</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Column</w:t>
            </w:r>
          </w:p>
        </w:tc>
        <w:tc>
          <w:tcPr>
            <w:tcW w:type="dxa" w:w="1250"/>
          </w:tcPr>
          <w:p>
            <w:r/>
            <w:r>
              <w:rPr>
                <w:b/>
              </w:rPr>
              <w:t>Example values</w:t>
            </w:r>
          </w:p>
        </w:tc>
        <w:tc>
          <w:tcPr>
            <w:tcW w:type="dxa" w:w="4610"/>
          </w:tcPr>
          <w:p>
            <w:r/>
            <w:r>
              <w:rPr>
                <w:b/>
              </w:rPr>
              <w:t>Purpose</w:t>
            </w:r>
          </w:p>
        </w:tc>
      </w:tr>
      <w:tr>
        <w:tc>
          <w:tcPr>
            <w:tcW w:type="dxa" w:w="3500"/>
          </w:tcPr>
          <w:p>
            <w:r>
              <w:t>Condition</w:t>
            </w:r>
          </w:p>
        </w:tc>
        <w:tc>
          <w:tcPr>
            <w:tcW w:type="dxa" w:w="1250"/>
          </w:tcPr>
          <w:p>
            <w:r>
              <w:t>KO / WT</w:t>
            </w:r>
          </w:p>
        </w:tc>
        <w:tc>
          <w:tcPr>
            <w:tcW w:type="dxa" w:w="4610"/>
          </w:tcPr>
          <w:p>
            <w:r>
              <w:t>Primary experimental group</w:t>
            </w:r>
          </w:p>
        </w:tc>
      </w:tr>
      <w:tr>
        <w:tc>
          <w:tcPr>
            <w:tcW w:type="dxa" w:w="3500"/>
          </w:tcPr>
          <w:p>
            <w:r>
              <w:t>Genotype</w:t>
            </w:r>
          </w:p>
        </w:tc>
        <w:tc>
          <w:tcPr>
            <w:tcW w:type="dxa" w:w="1250"/>
          </w:tcPr>
          <w:p>
            <w:r>
              <w:t>Nr4a1_KO / WT</w:t>
            </w:r>
          </w:p>
        </w:tc>
        <w:tc>
          <w:tcPr>
            <w:tcW w:type="dxa" w:w="4610"/>
          </w:tcPr>
          <w:p>
            <w:r>
              <w:t>Genotype label</w:t>
            </w:r>
          </w:p>
        </w:tc>
      </w:tr>
      <w:tr>
        <w:tc>
          <w:tcPr>
            <w:tcW w:type="dxa" w:w="3500"/>
          </w:tcPr>
          <w:p>
            <w:r>
              <w:t>Diet</w:t>
            </w:r>
          </w:p>
        </w:tc>
        <w:tc>
          <w:tcPr>
            <w:tcW w:type="dxa" w:w="1250"/>
          </w:tcPr>
          <w:p>
            <w:r>
              <w:t>inulin / cellulose</w:t>
            </w:r>
          </w:p>
        </w:tc>
        <w:tc>
          <w:tcPr>
            <w:tcW w:type="dxa" w:w="4610"/>
          </w:tcPr>
          <w:p>
            <w:r>
              <w:t>Dietary treatment</w:t>
            </w:r>
          </w:p>
        </w:tc>
      </w:tr>
      <w:tr>
        <w:tc>
          <w:tcPr>
            <w:tcW w:type="dxa" w:w="3500"/>
          </w:tcPr>
          <w:p>
            <w:r>
              <w:t>Sex</w:t>
            </w:r>
          </w:p>
        </w:tc>
        <w:tc>
          <w:tcPr>
            <w:tcW w:type="dxa" w:w="1250"/>
          </w:tcPr>
          <w:p>
            <w:r>
              <w:t>M / F</w:t>
            </w:r>
          </w:p>
        </w:tc>
        <w:tc>
          <w:tcPr>
            <w:tcW w:type="dxa" w:w="4610"/>
          </w:tcPr>
          <w:p>
            <w:r>
              <w:t>Biological sex</w:t>
            </w:r>
          </w:p>
        </w:tc>
      </w:tr>
      <w:tr>
        <w:tc>
          <w:tcPr>
            <w:tcW w:type="dxa" w:w="3500"/>
          </w:tcPr>
          <w:p>
            <w:r>
              <w:t>Timepoint</w:t>
            </w:r>
          </w:p>
        </w:tc>
        <w:tc>
          <w:tcPr>
            <w:tcW w:type="dxa" w:w="1250"/>
          </w:tcPr>
          <w:p>
            <w:r>
              <w:t>Week4 / Week8</w:t>
            </w:r>
          </w:p>
        </w:tc>
        <w:tc>
          <w:tcPr>
            <w:tcW w:type="dxa" w:w="4610"/>
          </w:tcPr>
          <w:p>
            <w:r>
              <w:t>Collection time</w:t>
            </w:r>
          </w:p>
        </w:tc>
      </w:tr>
      <w:tr>
        <w:tc>
          <w:tcPr>
            <w:tcW w:type="dxa" w:w="3500"/>
          </w:tcPr>
          <w:p>
            <w:r>
              <w:t>Treatment</w:t>
            </w:r>
          </w:p>
        </w:tc>
        <w:tc>
          <w:tcPr>
            <w:tcW w:type="dxa" w:w="1250"/>
          </w:tcPr>
          <w:p>
            <w:r>
              <w:t>drug / vehicle</w:t>
            </w:r>
          </w:p>
        </w:tc>
        <w:tc>
          <w:tcPr>
            <w:tcW w:type="dxa" w:w="4610"/>
          </w:tcPr>
          <w:p>
            <w:r>
              <w:t>Intervention label</w:t>
            </w:r>
          </w:p>
        </w:tc>
      </w:tr>
      <w:tr>
        <w:tc>
          <w:tcPr>
            <w:tcW w:type="dxa" w:w="3500"/>
          </w:tcPr>
          <w:p>
            <w:r>
              <w:t>BatchID</w:t>
            </w:r>
          </w:p>
        </w:tc>
        <w:tc>
          <w:tcPr>
            <w:tcW w:type="dxa" w:w="1250"/>
          </w:tcPr>
          <w:p>
            <w:r>
              <w:t>Batch1</w:t>
            </w:r>
          </w:p>
        </w:tc>
        <w:tc>
          <w:tcPr>
            <w:tcW w:type="dxa" w:w="4610"/>
          </w:tcPr>
          <w:p>
            <w:r>
              <w:t>Technical sequencing batch</w:t>
            </w:r>
          </w:p>
        </w:tc>
      </w:tr>
      <w:tr>
        <w:tc>
          <w:tcPr>
            <w:tcW w:type="dxa" w:w="3500"/>
          </w:tcPr>
          <w:p>
            <w:r>
              <w:t>Age</w:t>
            </w:r>
          </w:p>
        </w:tc>
        <w:tc>
          <w:tcPr>
            <w:tcW w:type="dxa" w:w="1250"/>
          </w:tcPr>
          <w:p>
            <w:r>
              <w:t>8wk</w:t>
            </w:r>
          </w:p>
        </w:tc>
        <w:tc>
          <w:tcPr>
            <w:tcW w:type="dxa" w:w="4610"/>
          </w:tcPr>
          <w:p>
            <w:r>
              <w:t>Animal age at collection</w:t>
            </w:r>
          </w:p>
        </w:tc>
      </w:tr>
    </w:tbl>
    <w:p>
      <w:pPr/>
    </w:p>
    <w:p>
      <w:pPr>
        <w:pStyle w:val="Heading3"/>
      </w:pPr>
      <w:r>
        <w:t>3.3 Auto-Created Columns</w:t>
      </w:r>
    </w:p>
    <w:tbl>
      <w:tblPr>
        <w:tblStyle w:val="Table"/>
        <w:tblW w:type="auto" w:w="0"/>
        <w:tblLayout w:type="fixed"/>
        <w:tblLook w:firstColumn="1" w:firstRow="1" w:lastColumn="0" w:lastRow="0" w:noHBand="0" w:noVBand="1" w:val="04A0"/>
      </w:tblPr>
      <w:tblGrid>
        <w:gridCol w:w="3400"/>
        <w:gridCol w:w="5960"/>
      </w:tblGrid>
      <w:tr>
        <w:tc>
          <w:tcPr>
            <w:tcW w:type="dxa" w:w="3400"/>
          </w:tcPr>
          <w:p>
            <w:r/>
            <w:r>
              <w:rPr>
                <w:b/>
              </w:rPr>
              <w:t>Column</w:t>
            </w:r>
          </w:p>
        </w:tc>
        <w:tc>
          <w:tcPr>
            <w:tcW w:type="dxa" w:w="5960"/>
          </w:tcPr>
          <w:p>
            <w:r/>
            <w:r>
              <w:rPr>
                <w:b/>
              </w:rPr>
              <w:t>How it is built</w:t>
            </w:r>
          </w:p>
        </w:tc>
      </w:tr>
      <w:tr>
        <w:tc>
          <w:tcPr>
            <w:tcW w:type="dxa" w:w="3400"/>
          </w:tcPr>
          <w:p>
            <w:r>
              <w:t>group</w:t>
            </w:r>
          </w:p>
        </w:tc>
        <w:tc>
          <w:tcPr>
            <w:tcW w:type="dxa" w:w="5960"/>
          </w:tcPr>
          <w:p>
            <w:r>
              <w:t>Condition_Sex, created automatically if both columns exist</w:t>
            </w:r>
          </w:p>
        </w:tc>
      </w:tr>
      <w:tr>
        <w:tc>
          <w:tcPr>
            <w:tcW w:type="dxa" w:w="3400"/>
          </w:tcPr>
          <w:p>
            <w:r>
              <w:t>ColA_ColB</w:t>
            </w:r>
          </w:p>
        </w:tc>
        <w:tc>
          <w:tcPr>
            <w:tcW w:type="dxa" w:w="5960"/>
          </w:tcPr>
          <w:p>
            <w:r>
              <w:t>Any two-column combination, built on demand when referenced downstream</w:t>
            </w:r>
          </w:p>
        </w:tc>
      </w:tr>
    </w:tbl>
    <w:p>
      <w:pPr/>
    </w:p>
    <w:p>
      <w:pPr>
        <w:pStyle w:val="Heading3"/>
      </w:pPr>
      <w:r>
        <w:t>3.4 Example Metadata Table</w:t>
      </w:r>
    </w:p>
    <w:p>
      <w:pPr>
        <w:pStyle w:val="SourceCode"/>
      </w:pPr>
      <w:r>
        <w:t>SampleID     | Condition | Genotype   | Diet      | Sex | Timepoint</w:t>
        <w:br/>
        <w:t>S01_WT_M     | WT        | WT         | cellulose | M   | Week4</w:t>
        <w:br/>
        <w:t>S02_WT_F     | WT        | WT         | cellulose | F   | Week4</w:t>
        <w:br/>
        <w:t>S03_KO_M     | KO        | Nr4a1_KO   | inulin    | M   | Week4</w:t>
        <w:br/>
        <w:t>S04_KO_F     | KO        | Nr4a1_KO   | inulin    | F   | Week4</w:t>
      </w:r>
    </w:p>
    <w:p>
      <w:pPr>
        <w:pStyle w:val="FirstParagraph"/>
      </w:pPr>
      <w:r>
        <w:t>After Script 01, every cell from S03_KO_M carries: $SampleID = "S03_KO_M", $Condition = "KO", $Genotype = "Nr4a1_KO", $Diet = "inulin", $Sex = "M", $Timepoint = "Week4", $group = "KO_M".</w:t>
      </w:r>
    </w:p>
    <w:p>
      <w:pPr>
        <w:pStyle w:val="BodyText"/>
      </w:pPr>
      <w:r>
        <w:t>A generic starting point is provided as metadata_template.xlsx in the pipeline folder.</w:t>
      </w:r>
    </w:p>
    <w:p>
      <w:pPr>
        <w:pStyle w:val="Heading3"/>
      </w:pPr>
      <w:r>
        <w:t>3.5 Using Metadata in Each Script</w:t>
      </w:r>
    </w:p>
    <w:p>
      <w:pPr>
        <w:pStyle w:val="FirstParagraph"/>
      </w:pPr>
      <w:r>
        <w:t>Script 02 — proportion plots:</w:t>
      </w:r>
    </w:p>
    <w:p>
      <w:pPr>
        <w:pStyle w:val="SourceCode"/>
      </w:pPr>
      <w:r>
        <w:t>ADDITIONAL_GROUPS_TO_PLOT &lt;- c("Condition", "Genotype_Diet", "Sex")</w:t>
      </w:r>
    </w:p>
    <w:p>
      <w:pPr>
        <w:pStyle w:val="FirstParagraph"/>
      </w:pPr>
      <w:r>
        <w:t>Script 07 — group comparison:</w:t>
      </w:r>
    </w:p>
    <w:p>
      <w:pPr>
        <w:pStyle w:val="SourceCode"/>
      </w:pPr>
      <w:r>
        <w:t>CONDITION_COLUMN &lt;- "Genotype_sex"</w:t>
        <w:br/>
        <w:t>GROUP_1          &lt;- "KO"    # positive log2FC = up in GROUP_1</w:t>
        <w:br/>
        <w:t>GROUP_2          &lt;- "WT"</w:t>
      </w:r>
    </w:p>
    <w:p>
      <w:pPr>
        <w:pStyle w:val="FirstParagraph"/>
      </w:pPr>
      <w:r>
        <w:t>Scripts 09 / 10 — scoring and trajectory grouping:</w:t>
      </w:r>
    </w:p>
    <w:p>
      <w:pPr>
        <w:pStyle w:val="SourceCode"/>
      </w:pPr>
      <w:r>
        <w:t>CELLTYPE_COLUMN  &lt;- "CellType"</w:t>
        <w:br/>
        <w:t>CONDITION_COLUMN &lt;- "Genotype_sex"</w:t>
        <w:br/>
        <w:t>SAMPLE_COLUMN    &lt;- "SampleID"</w:t>
      </w:r>
    </w:p>
    <w:p>
      <w:pPr>
        <w:pStyle w:val="Heading2"/>
      </w:pPr>
      <w:r>
        <w:t>4. Pipeline Architecture Overview</w:t>
      </w:r>
    </w:p>
    <w:p>
      <w:pPr>
        <w:pStyle w:val="FirstParagraph"/>
      </w:pPr>
      <w:r>
        <w:t>The pipeline follows a strict sequential order. Each script saves its outputs and the next loads them. Scripts 03-05 are mutually independent and may run in any order, but all must complete before Script 06.</w:t>
      </w:r>
    </w:p>
    <w:p>
      <w:pPr>
        <w:pStyle w:val="SourceCode"/>
      </w:pPr>
      <w:r>
        <w:t>copy_sc_data.sh              -&gt;  h5_files/</w:t>
        <w:br/>
        <w:t>00_rlibs_installation.R      -&gt;  R environment ready</w:t>
        <w:br/>
        <w:t>01_process_data.R            -&gt;  &lt;PROJECT&gt;_processed_for_annotation.rds</w:t>
        <w:br/>
        <w:t>02_global_annotation.R       -&gt;  &lt;PROJECT&gt;_annotated.rds</w:t>
        <w:br/>
        <w:t>03_tcell_subannotation.R     -&gt;  &lt;PROJECT&gt;_tcells_subclustered.rds</w:t>
        <w:br/>
        <w:t>04_colonocyte_subannotation  -&gt;  &lt;PROJECT&gt;_colonocytes_subclustered.rds</w:t>
        <w:br/>
        <w:t>05_macrophages_subannotation -&gt;  &lt;PROJECT&gt;_macrophages_subclustered.rds</w:t>
        <w:br/>
        <w:t>06_annotation_unifier.R      -&gt;  &lt;PROJECT&gt;_final_annotated.rds</w:t>
        <w:br/>
        <w:t>07_DE_and_two_way_ANOVA.R    -&gt;  DE_results/</w:t>
        <w:br/>
        <w:t>08_cellchat.R                -&gt;  cellchat/</w:t>
        <w:br/>
        <w:t>09_cell_scores.R             -&gt;  &lt;PROJECT&gt;_with_cell_scores.rds</w:t>
        <w:br/>
        <w:t>10_trajectory_cellrank.R     -&gt;  &lt;PROJECT&gt;_with_trajectory.rds</w:t>
      </w:r>
    </w:p>
    <w:p>
      <w:pPr>
        <w:pStyle w:val="FirstParagraph"/>
      </w:pPr>
      <w:r>
        <w:t>The output directory (seurat_output/) is created automatically under ROOT_PATH.</w:t>
      </w:r>
    </w:p>
    <w:p>
      <w:pPr>
        <w:pStyle w:val="Heading2"/>
      </w:pPr>
      <w:r>
        <w:t>5. Data Staging (copy_sc_data.sh)</w:t>
      </w:r>
    </w:p>
    <w:p>
      <w:pPr>
        <w:pStyle w:val="FirstParagraph"/>
      </w:pPr>
      <w:r>
        <w:t>This script pulls per-sample Cell Ranger outputs from the mapped-data tree into a flat h5_files/ directory in the layout Script 01 expects.</w:t>
      </w:r>
    </w:p>
    <w:p>
      <w:pPr>
        <w:pStyle w:val="SourceCode"/>
      </w:pPr>
      <w:r>
        <w:t>h5_files/&lt;SampleID&gt;/sample_filtered_feature_bc_matrix.h5</w:t>
        <w:br/>
        <w:t>h5_files/&lt;SampleID&gt;/sample_raw_probe_bc_matrix.h5   (optional)</w:t>
        <w:br/>
        <w:t>h5_files/&lt;SampleID&gt;/web_summary.html                (optional)</w:t>
      </w:r>
    </w:p>
    <w:p>
      <w:pPr>
        <w:pStyle w:val="BodyText"/>
      </w:pPr>
      <w:r>
        <w:t>Edit the CONFIGURATION block (SOURCE_ROOT, POOLS, and the COPY_* toggles), then run:</w:t>
      </w:r>
    </w:p>
    <w:p>
      <w:pPr>
        <w:pStyle w:val="SourceCode"/>
      </w:pPr>
      <w:r>
        <w:t>chmod +x copy_sc_data.sh</w:t>
        <w:br/>
        <w:t>DRY_RUN=1 ./copy_sc_data.sh    # preview without copying</w:t>
        <w:br/>
        <w:t>./copy_sc_data.sh              # stage for real</w:t>
      </w:r>
    </w:p>
    <w:p>
      <w:pPr>
        <w:pStyle w:val="BodyText"/>
      </w:pPr>
      <w:r>
        <w:t>The script exits non-zero and lists the offenders if any required H5 is missing, so an absent sample cannot silently propagate into the R pipeline. Re-running is safe: files already staged are skipped unless OVERWRITE=yes.</w:t>
      </w:r>
    </w:p>
    <w:p>
      <w:pPr>
        <w:pStyle w:val="Heading2"/>
      </w:pPr>
      <w:r>
        <w:t>6. Script 01: Data Processing Engine (01_process_data.R)</w:t>
      </w:r>
    </w:p>
    <w:p>
      <w:pPr>
        <w:pStyle w:val="Heading3"/>
      </w:pPr>
      <w:r>
        <w:t>6.1 Purpose</w:t>
      </w:r>
    </w:p>
    <w:p>
      <w:pPr>
        <w:pStyle w:val="FirstParagraph"/>
      </w:pPr>
      <w:r>
        <w:t>Script 01 (v11.0) processes raw 10x H5 files into a merged, batch-corrected, doublet-free Seurat object ready for annotation. It applies a dual-checkpoint system per sample so that expensive steps are never repeated after a crash.</w:t>
      </w:r>
    </w:p>
    <w:p>
      <w:pPr>
        <w:pStyle w:val="BodyText"/>
      </w:pPr>
      <w:r>
        <w:t>Per-sample processing order:</w:t>
      </w:r>
    </w:p>
    <w:p>
      <w:pPr>
        <w:pStyle w:val="SourceCode"/>
      </w:pPr>
      <w:r>
        <w:t>Load H5 -&gt; [SCEVAN] -&gt; Pre-QC -&gt; [DecontX] -&gt; Doublet detection</w:t>
        <w:br/>
        <w:t xml:space="preserve">         -&gt; Remove doublets -&gt; Checkpoint</w:t>
      </w:r>
    </w:p>
    <w:p>
      <w:pPr>
        <w:pStyle w:val="BodyText"/>
      </w:pPr>
      <w:r>
        <w:t>This ordering ensures SCEVAN sees unmodified raw counts, doublet calling operates on ambient-corrected counts, and empty droplets are removed before doublet calling without applying stringent filtering that would bias the doublet-rate estimate.</w:t>
      </w:r>
    </w:p>
    <w:p>
      <w:pPr>
        <w:pStyle w:val="Heading3"/>
      </w:pPr>
      <w:r>
        <w:t>6.2 File Paths</w:t>
      </w:r>
    </w:p>
    <w:tbl>
      <w:tblPr>
        <w:tblStyle w:val="Table"/>
        <w:tblW w:type="auto" w:w="0"/>
        <w:tblLayout w:type="fixed"/>
        <w:tblLook w:firstColumn="1" w:firstRow="1" w:lastColumn="0" w:lastRow="0" w:noHBand="0" w:noVBand="1" w:val="04A0"/>
      </w:tblPr>
      <w:tblGrid>
        <w:gridCol w:w="3400"/>
        <w:gridCol w:w="5960"/>
      </w:tblGrid>
      <w:tr>
        <w:tc>
          <w:tcPr>
            <w:tcW w:type="dxa" w:w="3400"/>
          </w:tcPr>
          <w:p>
            <w:r/>
            <w:r>
              <w:rPr>
                <w:b/>
              </w:rPr>
              <w:t>Parameter</w:t>
            </w:r>
          </w:p>
        </w:tc>
        <w:tc>
          <w:tcPr>
            <w:tcW w:type="dxa" w:w="5960"/>
          </w:tcPr>
          <w:p>
            <w:r/>
            <w:r>
              <w:rPr>
                <w:b/>
              </w:rPr>
              <w:t>Description</w:t>
            </w:r>
          </w:p>
        </w:tc>
      </w:tr>
      <w:tr>
        <w:tc>
          <w:tcPr>
            <w:tcW w:type="dxa" w:w="3400"/>
          </w:tcPr>
          <w:p>
            <w:r>
              <w:t>PROJECT_NAME</w:t>
            </w:r>
          </w:p>
        </w:tc>
        <w:tc>
          <w:tcPr>
            <w:tcW w:type="dxa" w:w="5960"/>
          </w:tcPr>
          <w:p>
            <w:r>
              <w:t>Short alphanumeric tag; used to name all outputs</w:t>
            </w:r>
          </w:p>
        </w:tc>
      </w:tr>
      <w:tr>
        <w:tc>
          <w:tcPr>
            <w:tcW w:type="dxa" w:w="3400"/>
          </w:tcPr>
          <w:p>
            <w:r>
              <w:t>ROOT_PATH</w:t>
            </w:r>
          </w:p>
        </w:tc>
        <w:tc>
          <w:tcPr>
            <w:tcW w:type="dxa" w:w="5960"/>
          </w:tcPr>
          <w:p>
            <w:r>
              <w:t>Top-level working directory for this project</w:t>
            </w:r>
          </w:p>
        </w:tc>
      </w:tr>
      <w:tr>
        <w:tc>
          <w:tcPr>
            <w:tcW w:type="dxa" w:w="3400"/>
          </w:tcPr>
          <w:p>
            <w:r>
              <w:t>METADATA_FILE</w:t>
            </w:r>
          </w:p>
        </w:tc>
        <w:tc>
          <w:tcPr>
            <w:tcW w:type="dxa" w:w="5960"/>
          </w:tcPr>
          <w:p>
            <w:r>
              <w:t>Path to the sample metadata .xlsx</w:t>
            </w:r>
          </w:p>
        </w:tc>
      </w:tr>
      <w:tr>
        <w:tc>
          <w:tcPr>
            <w:tcW w:type="dxa" w:w="3400"/>
          </w:tcPr>
          <w:p>
            <w:r>
              <w:t>H5_DIR</w:t>
            </w:r>
          </w:p>
        </w:tc>
        <w:tc>
          <w:tcPr>
            <w:tcW w:type="dxa" w:w="5960"/>
          </w:tcPr>
          <w:p>
            <w:r>
              <w:t>Directory of per-sample H5 subfolders (from copy_sc_data.sh)</w:t>
            </w:r>
          </w:p>
        </w:tc>
      </w:tr>
      <w:tr>
        <w:tc>
          <w:tcPr>
            <w:tcW w:type="dxa" w:w="3400"/>
          </w:tcPr>
          <w:p>
            <w:r>
              <w:t>OUTPUT_DIR</w:t>
            </w:r>
          </w:p>
        </w:tc>
        <w:tc>
          <w:tcPr>
            <w:tcW w:type="dxa" w:w="5960"/>
          </w:tcPr>
          <w:p>
            <w:r>
              <w:t>All processed objects and plots (seurat_output/)</w:t>
            </w:r>
          </w:p>
        </w:tc>
      </w:tr>
      <w:tr>
        <w:tc>
          <w:tcPr>
            <w:tcW w:type="dxa" w:w="3400"/>
          </w:tcPr>
          <w:p>
            <w:r>
              <w:t>SCEVAN_DIR</w:t>
            </w:r>
          </w:p>
        </w:tc>
        <w:tc>
          <w:tcPr>
            <w:tcW w:type="dxa" w:w="5960"/>
          </w:tcPr>
          <w:p>
            <w:r>
              <w:t>SCEVAN outputs and per-sample checkpoints</w:t>
            </w:r>
          </w:p>
        </w:tc>
      </w:tr>
    </w:tbl>
    <w:p>
      <w:pPr/>
    </w:p>
    <w:p>
      <w:pPr>
        <w:pStyle w:val="Heading3"/>
      </w:pPr>
      <w:r>
        <w:t>6.3 Doublet Detection</w:t>
      </w:r>
    </w:p>
    <w:p>
      <w:pPr>
        <w:pStyle w:val="FirstParagraph"/>
      </w:pPr>
      <w:r>
        <w:t>This is the most substantially revised component in v7.0 and the parameter block most worth understanding before a run.</w:t>
      </w:r>
    </w:p>
    <w:p>
      <w:pPr>
        <w:pStyle w:val="Heading4"/>
      </w:pPr>
      <w:r>
        <w:t>Method selection</w:t>
      </w:r>
    </w:p>
    <w:p>
      <w:pPr>
        <w:pStyle w:val="FirstParagraph"/>
      </w:pPr>
      <w:r>
        <w:t>Doublet detection is selectable through a single variable. Both callers are implemented behind an identical interface, and the result is written to one standardized Doublet_Status column, so Scripts 02-10 require no changes when the method is switched.</w:t>
      </w:r>
    </w:p>
    <w:p>
      <w:pPr>
        <w:pStyle w:val="SourceCode"/>
      </w:pPr>
      <w:r>
        <w:t>DOUBLET_METHOD &lt;- "DoubletFinder"   # "DoubletFinder" | "scDblFinder" | "both"</w:t>
      </w:r>
    </w:p>
    <w:tbl>
      <w:tblPr>
        <w:tblStyle w:val="Table"/>
        <w:tblW w:type="auto" w:w="0"/>
        <w:tblLayout w:type="fixed"/>
        <w:tblLook w:firstColumn="1" w:firstRow="1" w:lastColumn="0" w:lastRow="0" w:noHBand="0" w:noVBand="1" w:val="04A0"/>
      </w:tblPr>
      <w:tblGrid>
        <w:gridCol w:w="3400"/>
        <w:gridCol w:w="5960"/>
      </w:tblGrid>
      <w:tr>
        <w:tc>
          <w:tcPr>
            <w:tcW w:type="dxa" w:w="3400"/>
          </w:tcPr>
          <w:p>
            <w:r/>
            <w:r>
              <w:rPr>
                <w:b/>
              </w:rPr>
              <w:t>Value</w:t>
            </w:r>
          </w:p>
        </w:tc>
        <w:tc>
          <w:tcPr>
            <w:tcW w:type="dxa" w:w="5960"/>
          </w:tcPr>
          <w:p>
            <w:r/>
            <w:r>
              <w:rPr>
                <w:b/>
              </w:rPr>
              <w:t>Description</w:t>
            </w:r>
          </w:p>
        </w:tc>
      </w:tr>
      <w:tr>
        <w:tc>
          <w:tcPr>
            <w:tcW w:type="dxa" w:w="3400"/>
          </w:tcPr>
          <w:p>
            <w:r>
              <w:t>DoubletFinder</w:t>
            </w:r>
          </w:p>
        </w:tc>
        <w:tc>
          <w:tcPr>
            <w:tcW w:type="dxa" w:w="5960"/>
          </w:tcPr>
          <w:p>
            <w:r>
              <w:t>DEFAULT. paramSweep with constrained pK selection. Conservative; better preserves transitional and proliferating populations on this lab's colon and immune datasets.</w:t>
            </w:r>
          </w:p>
        </w:tc>
      </w:tr>
      <w:tr>
        <w:tc>
          <w:tcPr>
            <w:tcW w:type="dxa" w:w="3400"/>
          </w:tcPr>
          <w:p>
            <w:r>
              <w:t>scDblFinder</w:t>
            </w:r>
          </w:p>
        </w:tc>
        <w:tc>
          <w:tcPr>
            <w:tcW w:type="dxa" w:w="5960"/>
          </w:tcPr>
          <w:p>
            <w:r>
              <w:t>Automatic gradient-boosted classifier. Faster, no pK tuning, and superior in published benchmarks, but was observed to be over-aggressive on this lab's data.</w:t>
            </w:r>
          </w:p>
        </w:tc>
      </w:tr>
      <w:tr>
        <w:tc>
          <w:tcPr>
            <w:tcW w:type="dxa" w:w="3400"/>
          </w:tcPr>
          <w:p>
            <w:r>
              <w:t>both</w:t>
            </w:r>
          </w:p>
        </w:tc>
        <w:tc>
          <w:tcPr>
            <w:tcW w:type="dxa" w:w="5960"/>
          </w:tcPr>
          <w:p>
            <w:r>
              <w:t>Runs both callers, writes a per-sample confusion matrix with agreement percentage and Cohen's kappa, and resolves the final call using DOUBLET_CONSENSUS_RULE.</w:t>
            </w:r>
          </w:p>
        </w:tc>
      </w:tr>
    </w:tbl>
    <w:p>
      <w:pPr/>
    </w:p>
    <w:p>
      <w:pPr>
        <w:pStyle w:val="BodyText"/>
      </w:pPr>
      <w:r>
        <w:t>Recommended workflow on a new dataset: run once with "both" to quantify how far apart the callers are, then commit to a single method for production runs.</w:t>
      </w:r>
    </w:p>
    <w:p>
      <w:pPr>
        <w:pStyle w:val="Heading4"/>
      </w:pPr>
      <w:r>
        <w:t>Expected doublet rate</w:t>
      </w:r>
    </w:p>
    <w:p>
      <w:pPr>
        <w:pStyle w:val="FirstParagraph"/>
      </w:pPr>
      <w:r>
        <w:t>DOUBLET_RATE is the most consequential parameter in this step. Under DoubletFinder it sets nExp directly and is therefore a HARD QUOTA, not a ceiling: the algorithm will call approximately that many doublets whether or not they exist. Setting it too high silently deletes real cells.</w:t>
      </w:r>
    </w:p>
    <w:p>
      <w:pPr>
        <w:pStyle w:val="BodyText"/>
      </w:pPr>
      <w:r>
        <w:t>As of v7.0 the default is automatic, computed PER SAMPLE from that sample's own recovered cell count using the 10x linear multiplet model of approximately 0.8% per 1,000 cells recovered.</w:t>
      </w:r>
    </w:p>
    <w:p>
      <w:pPr>
        <w:pStyle w:val="SourceCode"/>
      </w:pPr>
      <w:r>
        <w:t>DOUBLET_RATE &lt;- "auto"      # or a fixed number, e.g. 0.08</w:t>
      </w:r>
    </w:p>
    <w:tbl>
      <w:tblPr>
        <w:tblStyle w:val="Table"/>
        <w:tblW w:type="auto" w:w="0"/>
        <w:tblLayout w:type="fixed"/>
        <w:tblLook w:firstColumn="1" w:firstRow="1" w:lastColumn="0" w:lastRow="0" w:noHBand="0" w:noVBand="1" w:val="04A0"/>
      </w:tblPr>
      <w:tblGrid>
        <w:gridCol w:w="3400"/>
        <w:gridCol w:w="5960"/>
      </w:tblGrid>
      <w:tr>
        <w:tc>
          <w:tcPr>
            <w:tcW w:type="dxa" w:w="3400"/>
          </w:tcPr>
          <w:p>
            <w:r/>
            <w:r>
              <w:rPr>
                <w:b/>
              </w:rPr>
              <w:t>Cells recovered</w:t>
            </w:r>
          </w:p>
        </w:tc>
        <w:tc>
          <w:tcPr>
            <w:tcW w:type="dxa" w:w="5960"/>
          </w:tcPr>
          <w:p>
            <w:r/>
            <w:r>
              <w:rPr>
                <w:b/>
              </w:rPr>
              <w:t>Automatic rate</w:t>
            </w:r>
          </w:p>
        </w:tc>
      </w:tr>
      <w:tr>
        <w:tc>
          <w:tcPr>
            <w:tcW w:type="dxa" w:w="3400"/>
          </w:tcPr>
          <w:p>
            <w:r>
              <w:t>1,000</w:t>
            </w:r>
          </w:p>
        </w:tc>
        <w:tc>
          <w:tcPr>
            <w:tcW w:type="dxa" w:w="5960"/>
          </w:tcPr>
          <w:p>
            <w:r>
              <w:t>0.8%</w:t>
            </w:r>
          </w:p>
        </w:tc>
      </w:tr>
      <w:tr>
        <w:tc>
          <w:tcPr>
            <w:tcW w:type="dxa" w:w="3400"/>
          </w:tcPr>
          <w:p>
            <w:r>
              <w:t>5,000</w:t>
            </w:r>
          </w:p>
        </w:tc>
        <w:tc>
          <w:tcPr>
            <w:tcW w:type="dxa" w:w="5960"/>
          </w:tcPr>
          <w:p>
            <w:r>
              <w:t>4.0%</w:t>
            </w:r>
          </w:p>
        </w:tc>
      </w:tr>
      <w:tr>
        <w:tc>
          <w:tcPr>
            <w:tcW w:type="dxa" w:w="3400"/>
          </w:tcPr>
          <w:p>
            <w:r>
              <w:t>10,000</w:t>
            </w:r>
          </w:p>
        </w:tc>
        <w:tc>
          <w:tcPr>
            <w:tcW w:type="dxa" w:w="5960"/>
          </w:tcPr>
          <w:p>
            <w:r>
              <w:t>8.0%</w:t>
            </w:r>
          </w:p>
        </w:tc>
      </w:tr>
      <w:tr>
        <w:tc>
          <w:tcPr>
            <w:tcW w:type="dxa" w:w="3400"/>
          </w:tcPr>
          <w:p>
            <w:r>
              <w:t>16,000</w:t>
            </w:r>
          </w:p>
        </w:tc>
        <w:tc>
          <w:tcPr>
            <w:tcW w:type="dxa" w:w="5960"/>
          </w:tcPr>
          <w:p>
            <w:r>
              <w:t>12.8%</w:t>
            </w:r>
          </w:p>
        </w:tc>
      </w:tr>
      <w:tr>
        <w:tc>
          <w:tcPr>
            <w:tcW w:type="dxa" w:w="3400"/>
          </w:tcPr>
          <w:p>
            <w:r>
              <w:t>20,000</w:t>
            </w:r>
          </w:p>
        </w:tc>
        <w:tc>
          <w:tcPr>
            <w:tcW w:type="dxa" w:w="5960"/>
          </w:tcPr>
          <w:p>
            <w:r>
              <w:t>16.0%</w:t>
            </w:r>
          </w:p>
        </w:tc>
      </w:tr>
    </w:tbl>
    <w:p>
      <w:pPr/>
    </w:p>
    <w:p>
      <w:pPr>
        <w:pStyle w:val="BlockText"/>
      </w:pPr>
      <w:r>
        <w:t>This replaces the previously hardcoded fixed rate, which was correct only for samples recovering the cell count it was chosen for. Applied to a smaller sample, the excess quota is filled with real cells.</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Parameter</w:t>
            </w:r>
          </w:p>
        </w:tc>
        <w:tc>
          <w:tcPr>
            <w:tcW w:type="dxa" w:w="1250"/>
          </w:tcPr>
          <w:p>
            <w:r/>
            <w:r>
              <w:rPr>
                <w:b/>
              </w:rPr>
              <w:t>Default</w:t>
            </w:r>
          </w:p>
        </w:tc>
        <w:tc>
          <w:tcPr>
            <w:tcW w:type="dxa" w:w="4610"/>
          </w:tcPr>
          <w:p>
            <w:r/>
            <w:r>
              <w:rPr>
                <w:b/>
              </w:rPr>
              <w:t>Description</w:t>
            </w:r>
          </w:p>
        </w:tc>
      </w:tr>
      <w:tr>
        <w:tc>
          <w:tcPr>
            <w:tcW w:type="dxa" w:w="3500"/>
          </w:tcPr>
          <w:p>
            <w:r>
              <w:t>DOUBLET_RATE</w:t>
            </w:r>
          </w:p>
        </w:tc>
        <w:tc>
          <w:tcPr>
            <w:tcW w:type="dxa" w:w="1250"/>
          </w:tcPr>
          <w:p>
            <w:r>
              <w:t>"auto"</w:t>
            </w:r>
          </w:p>
        </w:tc>
        <w:tc>
          <w:tcPr>
            <w:tcW w:type="dxa" w:w="4610"/>
          </w:tcPr>
          <w:p>
            <w:r>
              <w:t>"auto" derives the rate; a number forces a fixed fraction</w:t>
            </w:r>
          </w:p>
        </w:tc>
      </w:tr>
      <w:tr>
        <w:tc>
          <w:tcPr>
            <w:tcW w:type="dxa" w:w="3500"/>
          </w:tcPr>
          <w:p>
            <w:r>
              <w:t>MULTIPLET_RATE_PER_1K</w:t>
            </w:r>
          </w:p>
        </w:tc>
        <w:tc>
          <w:tcPr>
            <w:tcW w:type="dxa" w:w="1250"/>
          </w:tcPr>
          <w:p>
            <w:r>
              <w:t>0.008</w:t>
            </w:r>
          </w:p>
        </w:tc>
        <w:tc>
          <w:tcPr>
            <w:tcW w:type="dxa" w:w="4610"/>
          </w:tcPr>
          <w:p>
            <w:r>
              <w:t>Slope of the 10x model. Internal; not a tuning knob</w:t>
            </w:r>
          </w:p>
        </w:tc>
      </w:tr>
      <w:tr>
        <w:tc>
          <w:tcPr>
            <w:tcW w:type="dxa" w:w="3500"/>
          </w:tcPr>
          <w:p>
            <w:r>
              <w:t>DOUBLET_RATE_FLOOR</w:t>
            </w:r>
          </w:p>
        </w:tc>
        <w:tc>
          <w:tcPr>
            <w:tcW w:type="dxa" w:w="1250"/>
          </w:tcPr>
          <w:p>
            <w:r>
              <w:t>0.008</w:t>
            </w:r>
          </w:p>
        </w:tc>
        <w:tc>
          <w:tcPr>
            <w:tcW w:type="dxa" w:w="4610"/>
          </w:tcPr>
          <w:p>
            <w:r>
              <w:t>Floor on the automatic estimate</w:t>
            </w:r>
          </w:p>
        </w:tc>
      </w:tr>
      <w:tr>
        <w:tc>
          <w:tcPr>
            <w:tcW w:type="dxa" w:w="3500"/>
          </w:tcPr>
          <w:p>
            <w:r>
              <w:t>DOUBLET_RATE_CEILING</w:t>
            </w:r>
          </w:p>
        </w:tc>
        <w:tc>
          <w:tcPr>
            <w:tcW w:type="dxa" w:w="1250"/>
          </w:tcPr>
          <w:p>
            <w:r>
              <w:t>0.20</w:t>
            </w:r>
          </w:p>
        </w:tc>
        <w:tc>
          <w:tcPr>
            <w:tcW w:type="dxa" w:w="4610"/>
          </w:tcPr>
          <w:p>
            <w:r>
              <w:t>Cap; also keeps auto rates below the rollback threshold</w:t>
            </w:r>
          </w:p>
        </w:tc>
      </w:tr>
      <w:tr>
        <w:tc>
          <w:tcPr>
            <w:tcW w:type="dxa" w:w="3500"/>
          </w:tcPr>
          <w:p>
            <w:r>
              <w:t>DOUBLET_ROLLBACK_THRESHOLD</w:t>
            </w:r>
          </w:p>
        </w:tc>
        <w:tc>
          <w:tcPr>
            <w:tcW w:type="dxa" w:w="1250"/>
          </w:tcPr>
          <w:p>
            <w:r>
              <w:t>0.25</w:t>
            </w:r>
          </w:p>
        </w:tc>
        <w:tc>
          <w:tcPr>
            <w:tcW w:type="dxa" w:w="4610"/>
          </w:tcPr>
          <w:p>
            <w:r>
              <w:t>If the detected fraction exceeds this, removal is rolled back for that sample and all cells are kept</w:t>
            </w:r>
          </w:p>
        </w:tc>
      </w:tr>
    </w:tbl>
    <w:p>
      <w:pPr/>
    </w:p>
    <w:p>
      <w:pPr>
        <w:pStyle w:val="Heading4"/>
      </w:pPr>
      <w:r>
        <w:t>Multiplexed runs (10x Flex, CellPlex, hashing)</w:t>
      </w:r>
    </w:p>
    <w:p>
      <w:pPr>
        <w:pStyle w:val="FirstParagraph"/>
      </w:pPr>
      <w:r>
        <w:t>If several samples shared one GEM well, leave EXPECTED_CELLS_PER_SAMPLE as NULL and never enter the GEM-well total.</w:t>
      </w:r>
    </w:p>
    <w:p>
      <w:pPr>
        <w:pStyle w:val="BodyText"/>
      </w:pPr>
      <w:r>
        <w:t>Cell Ranger demultiplexes by probe barcode and already removes multiplets whose two cells came from different samples. Only UNDETECTED multiplets - those where both cells carry the same barcode - reach the per-sample H5. For k equally sized barcodes that is a fraction 1/k of all multiplets. Because the rate model is linear, dividing the cell count by k and dividing the rate by k arrive at the same number, so each sample's own measured count is exactly correct here rather than an approximation.</w:t>
      </w:r>
    </w:p>
    <w:tbl>
      <w:tblPr>
        <w:tblStyle w:val="Table"/>
        <w:tblW w:type="auto" w:w="0"/>
        <w:tblLayout w:type="fixed"/>
        <w:tblLook w:firstColumn="1" w:firstRow="1" w:lastColumn="0" w:lastRow="0" w:noHBand="0" w:noVBand="1" w:val="04A0"/>
      </w:tblPr>
      <w:tblGrid>
        <w:gridCol w:w="3900"/>
        <w:gridCol w:w="3600"/>
        <w:gridCol w:w="1860"/>
      </w:tblGrid>
      <w:tr>
        <w:tc>
          <w:tcPr>
            <w:tcW w:type="dxa" w:w="3900"/>
          </w:tcPr>
          <w:p>
            <w:r/>
            <w:r>
              <w:rPr>
                <w:b/>
              </w:rPr>
              <w:t>Basis</w:t>
            </w:r>
          </w:p>
        </w:tc>
        <w:tc>
          <w:tcPr>
            <w:tcW w:type="dxa" w:w="3600"/>
          </w:tcPr>
          <w:p>
            <w:r/>
            <w:r>
              <w:rPr>
                <w:b/>
              </w:rPr>
              <w:t>Calculation</w:t>
            </w:r>
          </w:p>
        </w:tc>
        <w:tc>
          <w:tcPr>
            <w:tcW w:type="dxa" w:w="1860"/>
          </w:tcPr>
          <w:p>
            <w:r/>
            <w:r>
              <w:rPr>
                <w:b/>
              </w:rPr>
              <w:t>Rate</w:t>
            </w:r>
          </w:p>
        </w:tc>
      </w:tr>
      <w:tr>
        <w:tc>
          <w:tcPr>
            <w:tcW w:type="dxa" w:w="3900"/>
          </w:tcPr>
          <w:p>
            <w:r>
              <w:t>Whole 4-plex GEM well (80,000 cells)</w:t>
            </w:r>
          </w:p>
        </w:tc>
        <w:tc>
          <w:tcPr>
            <w:tcW w:type="dxa" w:w="3600"/>
          </w:tcPr>
          <w:p>
            <w:r>
              <w:t>0.008 x 80 = 64%, divided by 4 barcodes</w:t>
            </w:r>
          </w:p>
        </w:tc>
        <w:tc>
          <w:tcPr>
            <w:tcW w:type="dxa" w:w="1860"/>
          </w:tcPr>
          <w:p>
            <w:r>
              <w:t>16%</w:t>
            </w:r>
          </w:p>
        </w:tc>
      </w:tr>
      <w:tr>
        <w:tc>
          <w:tcPr>
            <w:tcW w:type="dxa" w:w="3900"/>
          </w:tcPr>
          <w:p>
            <w:r>
              <w:t>One sample's own count (20,000 cells)</w:t>
            </w:r>
          </w:p>
        </w:tc>
        <w:tc>
          <w:tcPr>
            <w:tcW w:type="dxa" w:w="3600"/>
          </w:tcPr>
          <w:p>
            <w:r>
              <w:t>0.008 x 20</w:t>
            </w:r>
          </w:p>
        </w:tc>
        <w:tc>
          <w:tcPr>
            <w:tcW w:type="dxa" w:w="1860"/>
          </w:tcPr>
          <w:p>
            <w:r>
              <w:t>16%</w:t>
            </w:r>
          </w:p>
        </w:tc>
      </w:tr>
    </w:tbl>
    <w:p>
      <w:pPr>
        <w:pStyle w:val="BodyText"/>
      </w:pPr>
      <w:r>
        <w:t>Before running, confirm the pipeline is reading per-sample files and not GEM-well totals. The counts printed should be per probe barcode:</w:t>
      </w:r>
    </w:p>
    <w:p>
      <w:pPr>
        <w:pStyle w:val="SourceCode"/>
      </w:pPr>
      <w:r>
        <w:t>library(hdf5r)</w:t>
        <w:br/>
        <w:t>for (f in list.files(H5_DIR, pattern = "sample_filtered_feature_bc_matrix.h5$",</w:t>
        <w:br/>
        <w:t xml:space="preserve">                     recursive = TRUE, full.names = TRUE)) {</w:t>
        <w:br/>
        <w:t xml:space="preserve">  h &lt;- H5File$new(f, "r")</w:t>
        <w:br/>
        <w:t xml:space="preserve">  cat(sprintf("%-20s %6d cells\n", basename(dirname(f)), h[["matrix/barcodes"]]$dims))</w:t>
        <w:br/>
        <w:t xml:space="preserve">  h$close_all()</w:t>
        <w:br/>
        <w:t>}</w:t>
      </w:r>
    </w:p>
    <w:p>
      <w:pPr>
        <w:pStyle w:val="BlockText"/>
      </w:pPr>
      <w:r>
        <w:t>CAVEAT: 10x caps Flex at 20,000 cells per probe barcode and recommends 4,000 as a starting point, noting that the undetected multiplet rate rises as the cap is approached. At approximately 20,000 cells per barcode a rate near 16% is expected and real rather than an artifact - but the doublet step is then removing a substantial number of cells, so the Action and Target_Rate_Pct columns of the doublet log should be reviewed carefully.</w:t>
      </w:r>
    </w:p>
    <w:p>
      <w:pPr>
        <w:pStyle w:val="Heading4"/>
      </w:pPr>
      <w:r>
        <w:t>DoubletFinder parameters</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Parameter</w:t>
            </w:r>
          </w:p>
        </w:tc>
        <w:tc>
          <w:tcPr>
            <w:tcW w:type="dxa" w:w="1250"/>
          </w:tcPr>
          <w:p>
            <w:r/>
            <w:r>
              <w:rPr>
                <w:b/>
              </w:rPr>
              <w:t>Default</w:t>
            </w:r>
          </w:p>
        </w:tc>
        <w:tc>
          <w:tcPr>
            <w:tcW w:type="dxa" w:w="4610"/>
          </w:tcPr>
          <w:p>
            <w:r/>
            <w:r>
              <w:rPr>
                <w:b/>
              </w:rPr>
              <w:t>Description</w:t>
            </w:r>
          </w:p>
        </w:tc>
      </w:tr>
      <w:tr>
        <w:tc>
          <w:tcPr>
            <w:tcW w:type="dxa" w:w="3500"/>
          </w:tcPr>
          <w:p>
            <w:r>
              <w:t>DF_PN</w:t>
            </w:r>
          </w:p>
        </w:tc>
        <w:tc>
          <w:tcPr>
            <w:tcW w:type="dxa" w:w="1250"/>
          </w:tcPr>
          <w:p>
            <w:r>
              <w:t>0.25</w:t>
            </w:r>
          </w:p>
        </w:tc>
        <w:tc>
          <w:tcPr>
            <w:tcW w:type="dxa" w:w="4610"/>
          </w:tcPr>
          <w:p>
            <w:r>
              <w:t>Proportion of artificial doublets. Published default; results are largely invariant to it</w:t>
            </w:r>
          </w:p>
        </w:tc>
      </w:tr>
      <w:tr>
        <w:tc>
          <w:tcPr>
            <w:tcW w:type="dxa" w:w="3500"/>
          </w:tcPr>
          <w:p>
            <w:r>
              <w:t>DF_PK_RANGE_MIN</w:t>
            </w:r>
          </w:p>
        </w:tc>
        <w:tc>
          <w:tcPr>
            <w:tcW w:type="dxa" w:w="1250"/>
          </w:tcPr>
          <w:p>
            <w:r>
              <w:t>0.01</w:t>
            </w:r>
          </w:p>
        </w:tc>
        <w:tc>
          <w:tcPr>
            <w:tcW w:type="dxa" w:w="4610"/>
          </w:tcPr>
          <w:p>
            <w:r>
              <w:t>Lower bound of the plausible pK window</w:t>
            </w:r>
          </w:p>
        </w:tc>
      </w:tr>
      <w:tr>
        <w:tc>
          <w:tcPr>
            <w:tcW w:type="dxa" w:w="3500"/>
          </w:tcPr>
          <w:p>
            <w:r>
              <w:t>DF_PK_RANGE_MAX</w:t>
            </w:r>
          </w:p>
        </w:tc>
        <w:tc>
          <w:tcPr>
            <w:tcW w:type="dxa" w:w="1250"/>
          </w:tcPr>
          <w:p>
            <w:r>
              <w:t>0.25</w:t>
            </w:r>
          </w:p>
        </w:tc>
        <w:tc>
          <w:tcPr>
            <w:tcW w:type="dxa" w:w="4610"/>
          </w:tcPr>
          <w:p>
            <w:r>
              <w:t>Upper bound of the plausible pK window</w:t>
            </w:r>
          </w:p>
        </w:tc>
      </w:tr>
      <w:tr>
        <w:tc>
          <w:tcPr>
            <w:tcW w:type="dxa" w:w="3500"/>
          </w:tcPr>
          <w:p>
            <w:r>
              <w:t>DF_PK_FALLBACK</w:t>
            </w:r>
          </w:p>
        </w:tc>
        <w:tc>
          <w:tcPr>
            <w:tcW w:type="dxa" w:w="1250"/>
          </w:tcPr>
          <w:p>
            <w:r>
              <w:t>0.09</w:t>
            </w:r>
          </w:p>
        </w:tc>
        <w:tc>
          <w:tcPr>
            <w:tcW w:type="dxa" w:w="4610"/>
          </w:tcPr>
          <w:p>
            <w:r>
              <w:t>Used only if no BCmetric peak exists inside the window</w:t>
            </w:r>
          </w:p>
        </w:tc>
      </w:tr>
      <w:tr>
        <w:tc>
          <w:tcPr>
            <w:tcW w:type="dxa" w:w="3500"/>
          </w:tcPr>
          <w:p>
            <w:r>
              <w:t>DF_HOMOTYPIC_ADJUST</w:t>
            </w:r>
          </w:p>
        </w:tc>
        <w:tc>
          <w:tcPr>
            <w:tcW w:type="dxa" w:w="1250"/>
          </w:tcPr>
          <w:p>
            <w:r>
              <w:t>TRUE</w:t>
            </w:r>
          </w:p>
        </w:tc>
        <w:tc>
          <w:tcPr>
            <w:tcW w:type="dxa" w:w="4610"/>
          </w:tcPr>
          <w:p>
            <w:r>
              <w:t>Shrink nExp by the estimated homotypic (undetectable) doublet fraction</w:t>
            </w:r>
          </w:p>
        </w:tc>
      </w:tr>
      <w:tr>
        <w:tc>
          <w:tcPr>
            <w:tcW w:type="dxa" w:w="3500"/>
          </w:tcPr>
          <w:p>
            <w:r>
              <w:t>DF_CLUSTER_RES</w:t>
            </w:r>
          </w:p>
        </w:tc>
        <w:tc>
          <w:tcPr>
            <w:tcW w:type="dxa" w:w="1250"/>
          </w:tcPr>
          <w:p>
            <w:r>
              <w:t>0.5</w:t>
            </w:r>
          </w:p>
        </w:tc>
        <w:tc>
          <w:tcPr>
            <w:tcW w:type="dxa" w:w="4610"/>
          </w:tcPr>
          <w:p>
            <w:r>
              <w:t>Coarse clustering resolution used only for the homotypic estimate</w:t>
            </w:r>
          </w:p>
        </w:tc>
      </w:tr>
      <w:tr>
        <w:tc>
          <w:tcPr>
            <w:tcW w:type="dxa" w:w="3500"/>
          </w:tcPr>
          <w:p>
            <w:r>
              <w:t>DF_SCT</w:t>
            </w:r>
          </w:p>
        </w:tc>
        <w:tc>
          <w:tcPr>
            <w:tcW w:type="dxa" w:w="1250"/>
          </w:tcPr>
          <w:p>
            <w:r>
              <w:t>FALSE</w:t>
            </w:r>
          </w:p>
        </w:tc>
        <w:tc>
          <w:tcPr>
            <w:tcW w:type="dxa" w:w="4610"/>
          </w:tcPr>
          <w:p>
            <w:r>
              <w:t>Set TRUE only if per-sample normalization used SCTransform</w:t>
            </w:r>
          </w:p>
        </w:tc>
      </w:tr>
    </w:tbl>
    <w:p>
      <w:pPr/>
    </w:p>
    <w:p>
      <w:pPr>
        <w:pStyle w:val="BodyText"/>
      </w:pPr>
      <w:r>
        <w:t>pK selection logic: the global BCmetric maximum is identified first. If it falls outside the plausible window, the highest peak WITHIN the window is used instead; if no peak exists there, DF_PK_FALLBACK is applied. Each outcome is recorded in the log as GLOBAL_PEAK_IN_RANGE, CONSTRAINED_TO_RANGE or HARDCODED_FALLBACK. This constraint exists because the raw BCmetric curve is noisy at the extremes and frequently peaks at implausible values.</w:t>
      </w:r>
    </w:p>
    <w:p>
      <w:pPr>
        <w:pStyle w:val="BodyText"/>
      </w:pPr>
      <w:r>
        <w:t>Homotypic adjustment: DoubletFinder can only detect heterotypic doublets (two different cell types). Homotypic doublets are statistically invisible to it. modelHomotypic() estimates their proportion from cluster frequencies and shrinks nExp accordingly, so the algorithm is not forced to over-call heterotypic doublets to meet its quota. Disabling this is a common cause of losing real transitional populations.</w:t>
      </w:r>
    </w:p>
    <w:p>
      <w:pPr>
        <w:pStyle w:val="Heading4"/>
      </w:pPr>
      <w:r>
        <w:t>scDblFinder parameters</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Parameter</w:t>
            </w:r>
          </w:p>
        </w:tc>
        <w:tc>
          <w:tcPr>
            <w:tcW w:type="dxa" w:w="1250"/>
          </w:tcPr>
          <w:p>
            <w:r/>
            <w:r>
              <w:rPr>
                <w:b/>
              </w:rPr>
              <w:t>Default</w:t>
            </w:r>
          </w:p>
        </w:tc>
        <w:tc>
          <w:tcPr>
            <w:tcW w:type="dxa" w:w="4610"/>
          </w:tcPr>
          <w:p>
            <w:r/>
            <w:r>
              <w:rPr>
                <w:b/>
              </w:rPr>
              <w:t>Description</w:t>
            </w:r>
          </w:p>
        </w:tc>
      </w:tr>
      <w:tr>
        <w:tc>
          <w:tcPr>
            <w:tcW w:type="dxa" w:w="3500"/>
          </w:tcPr>
          <w:p>
            <w:r>
              <w:t>SCDBLFINDER_SCORE_THRESHOLD</w:t>
            </w:r>
          </w:p>
        </w:tc>
        <w:tc>
          <w:tcPr>
            <w:tcW w:type="dxa" w:w="1250"/>
          </w:tcPr>
          <w:p>
            <w:r>
              <w:t>0.5</w:t>
            </w:r>
          </w:p>
        </w:tc>
        <w:tc>
          <w:tcPr>
            <w:tcW w:type="dxa" w:w="4610"/>
          </w:tcPr>
          <w:p>
            <w:r>
              <w:t>Minimum score to call a doublet; scores are in [0,1]</w:t>
            </w:r>
          </w:p>
        </w:tc>
      </w:tr>
      <w:tr>
        <w:tc>
          <w:tcPr>
            <w:tcW w:type="dxa" w:w="3500"/>
          </w:tcPr>
          <w:p>
            <w:r>
              <w:t>SCDBLFINDER_DBR_NULL</w:t>
            </w:r>
          </w:p>
        </w:tc>
        <w:tc>
          <w:tcPr>
            <w:tcW w:type="dxa" w:w="1250"/>
          </w:tcPr>
          <w:p>
            <w:r>
              <w:t>FALSE</w:t>
            </w:r>
          </w:p>
        </w:tc>
        <w:tc>
          <w:tcPr>
            <w:tcW w:type="dxa" w:w="4610"/>
          </w:tcPr>
          <w:p>
            <w:r>
              <w:t>TRUE lets scDblFinder estimate the rate itself instead of using DOUBLET_RATE</w:t>
            </w:r>
          </w:p>
        </w:tc>
      </w:tr>
    </w:tbl>
    <w:p>
      <w:pPr/>
    </w:p>
    <w:p>
      <w:pPr>
        <w:pStyle w:val="Heading4"/>
      </w:pPr>
      <w:r>
        <w:t>Configuration validation</w:t>
      </w:r>
    </w:p>
    <w:p>
      <w:pPr>
        <w:pStyle w:val="FirstParagraph"/>
      </w:pPr>
      <w:r>
        <w:t>validate_config() runs before any sample is touched and stops the run on impossible parameter combinations. Most importantly it rejects DOUBLET_ROLLBACK_THRESHOLD &lt;= DOUBLET_RATE: because DoubletFinder always calls approximately DOUBLET_RATE doublets by construction, that combination would trigger rollback on every sample and silently produce a run with no doublet removal at all.</w:t>
      </w:r>
    </w:p>
    <w:p>
      <w:pPr>
        <w:pStyle w:val="Heading4"/>
      </w:pPr>
      <w:r>
        <w:t>Diagnostics to review</w:t>
      </w:r>
    </w:p>
    <w:p>
      <w:pPr>
        <w:pStyle w:val="FirstParagraph"/>
      </w:pPr>
      <w:r>
        <w:t>All doublet diagnostics are collected in seurat_output/doublet_diagnostics/, with a master audit table at seurat_output/doublet_detection_log_&lt;METHOD&gt;.xlsx. Review before trusting any downstream result:</w:t>
      </w:r>
    </w:p>
    <w:p>
      <w:pPr>
        <w:pStyle w:val="Compact"/>
        <w:numPr>
          <w:ilvl w:val="0"/>
          <w:numId w:val="1"/>
        </w:numPr>
      </w:pPr>
      <w:r>
        <w:t>Action column — ROLLBACK_APPLIED or ERROR_SKIPPED means that sample retained ALL cells.</w:t>
      </w:r>
    </w:p>
    <w:p>
      <w:pPr>
        <w:pStyle w:val="Compact"/>
        <w:numPr>
          <w:ilvl w:val="0"/>
          <w:numId w:val="1"/>
        </w:numPr>
      </w:pPr>
      <w:r>
        <w:t>Note column — HARDCODED_FALLBACK means the sweep found no usable peak; inspect that sample's pK plot.</w:t>
      </w:r>
    </w:p>
    <w:p>
      <w:pPr>
        <w:pStyle w:val="Compact"/>
        <w:numPr>
          <w:ilvl w:val="0"/>
          <w:numId w:val="1"/>
        </w:numPr>
      </w:pPr>
      <w:r>
        <w:t>pK_Used versus pK_Global_Peak — a difference means the constraint logic intervened. Occasional is expected; every sample is suspicious.</w:t>
      </w:r>
    </w:p>
    <w:p>
      <w:pPr>
        <w:pStyle w:val="Compact"/>
        <w:numPr>
          <w:ilvl w:val="0"/>
          <w:numId w:val="1"/>
        </w:numPr>
      </w:pPr>
      <w:r>
        <w:t>Target_Rate_Pct and Rate_Source — the rate actually applied. AUTO_CAPPED indicates a possibly overloaded lane.</w:t>
      </w:r>
    </w:p>
    <w:p>
      <w:pPr>
        <w:pStyle w:val="Compact"/>
        <w:numPr>
          <w:ilvl w:val="0"/>
          <w:numId w:val="1"/>
        </w:numPr>
      </w:pPr>
      <w:r>
        <w:t>&lt;sample&gt;_DF_pk_plot.png — the selected pK should sit on a real peak inside the shaded plausible band, not on a noisy shoulder.</w:t>
      </w:r>
    </w:p>
    <w:p>
      <w:pPr>
        <w:pStyle w:val="Heading4"/>
      </w:pPr>
      <w:r>
        <w:t>Why the two scores are never combined</w:t>
      </w:r>
    </w:p>
    <w:p>
      <w:pPr>
        <w:pStyle w:val="FirstParagraph"/>
      </w:pPr>
      <w:r>
        <w:t>When DOUBLET_METHOD is 'both', the pipeline stores each method's score separately and never averages them. The two numbers are not on the same scale.</w:t>
      </w:r>
    </w:p>
    <w:tbl>
      <w:tblPr>
        <w:tblStyle w:val="Table"/>
        <w:tblW w:type="auto" w:w="0"/>
        <w:tblLayout w:type="fixed"/>
        <w:tblLook w:firstColumn="1" w:firstRow="1" w:lastColumn="0" w:lastRow="0" w:noHBand="0" w:noVBand="1" w:val="04A0"/>
      </w:tblPr>
      <w:tblGrid>
        <w:gridCol w:w="3200"/>
        <w:gridCol w:w="2800"/>
        <w:gridCol w:w="3360"/>
      </w:tblGrid>
      <w:tr>
        <w:tc>
          <w:tcPr>
            <w:tcW w:type="dxa" w:w="3200"/>
          </w:tcPr>
          <w:p>
            <w:r/>
            <w:r>
              <w:rPr>
                <w:b/>
              </w:rPr>
              <w:t>Column</w:t>
            </w:r>
          </w:p>
        </w:tc>
        <w:tc>
          <w:tcPr>
            <w:tcW w:type="dxa" w:w="2800"/>
          </w:tcPr>
          <w:p>
            <w:r/>
            <w:r>
              <w:rPr>
                <w:b/>
              </w:rPr>
              <w:t>Range</w:t>
            </w:r>
          </w:p>
        </w:tc>
        <w:tc>
          <w:tcPr>
            <w:tcW w:type="dxa" w:w="3360"/>
          </w:tcPr>
          <w:p>
            <w:r/>
            <w:r>
              <w:rPr>
                <w:b/>
              </w:rPr>
              <w:t>Meaning</w:t>
            </w:r>
          </w:p>
        </w:tc>
      </w:tr>
      <w:tr>
        <w:tc>
          <w:tcPr>
            <w:tcW w:type="dxa" w:w="3200"/>
          </w:tcPr>
          <w:p>
            <w:r>
              <w:t>DF_score</w:t>
            </w:r>
          </w:p>
        </w:tc>
        <w:tc>
          <w:tcPr>
            <w:tcW w:type="dxa" w:w="2800"/>
          </w:tcPr>
          <w:p>
            <w:r>
              <w:t>approx. 0 to 0.5+, varies with pK and pN</w:t>
            </w:r>
          </w:p>
        </w:tc>
        <w:tc>
          <w:tcPr>
            <w:tcW w:type="dxa" w:w="3360"/>
          </w:tcPr>
          <w:p>
            <w:r>
              <w:t>pANN: proportion of artificial nearest neighbours</w:t>
            </w:r>
          </w:p>
        </w:tc>
      </w:tr>
      <w:tr>
        <w:tc>
          <w:tcPr>
            <w:tcW w:type="dxa" w:w="3200"/>
          </w:tcPr>
          <w:p>
            <w:r>
              <w:t>scDblFinder_score</w:t>
            </w:r>
          </w:p>
        </w:tc>
        <w:tc>
          <w:tcPr>
            <w:tcW w:type="dxa" w:w="2800"/>
          </w:tcPr>
          <w:p>
            <w:r>
              <w:t>0 to 1, calibrated</w:t>
            </w:r>
          </w:p>
        </w:tc>
        <w:tc>
          <w:tcPr>
            <w:tcW w:type="dxa" w:w="3360"/>
          </w:tcPr>
          <w:p>
            <w:r>
              <w:t>classifier probability</w:t>
            </w:r>
          </w:p>
        </w:tc>
      </w:tr>
    </w:tbl>
    <w:p>
      <w:pPr>
        <w:pStyle w:val="BodyText"/>
      </w:pPr>
      <w:r>
        <w:t>A pANN of 0.35 and an scDblFinder score of 0.35 do not mean the same thing, so averaging them would be arithmetic on incompatible units. The consensus in DOUBLET_CONSENSUS_RULE is therefore computed on the BINARY CALLS (DF_class and scDblFinder_class), never on the scores. If a single continuous value is wanted for downstream filtering, it should be built from within-sample percentile ranks rather than the raw scores.</w:t>
      </w:r>
    </w:p>
    <w:p>
      <w:pPr>
        <w:pStyle w:val="SourceCode"/>
      </w:pPr>
      <w:r>
        <w:t>rank01 &lt;- function(x) rank(x, na.last = "keep") / sum(!is.na(x))</w:t>
        <w:br/>
        <w:t>data$doublet_score_combined &lt;- rowMeans(cbind(rank01(data$DF_score),</w:t>
        <w:br/>
        <w:t xml:space="preserve">                                              rank01(data$scDblFinder_score)),</w:t>
        <w:br/>
        <w:t xml:space="preserve">                                        na.rm = TRUE)</w:t>
      </w:r>
    </w:p>
    <w:p>
      <w:pPr>
        <w:pStyle w:val="Heading4"/>
      </w:pPr>
      <w:r>
        <w:t>Doublet diagnostic plots</w:t>
      </w:r>
    </w:p>
    <w:p>
      <w:pPr>
        <w:pStyle w:val="FirstParagraph"/>
      </w:pPr>
      <w:r>
        <w:t>All plots are written to seurat_output/doublet_diagnostics/, one set per sample.</w:t>
      </w:r>
    </w:p>
    <w:tbl>
      <w:tblPr>
        <w:tblStyle w:val="Table"/>
        <w:tblW w:type="auto" w:w="0"/>
        <w:tblLayout w:type="fixed"/>
        <w:tblLook w:firstColumn="1" w:firstRow="1" w:lastColumn="0" w:lastRow="0" w:noHBand="0" w:noVBand="1" w:val="04A0"/>
      </w:tblPr>
      <w:tblGrid>
        <w:gridCol w:w="3700"/>
        <w:gridCol w:w="1700"/>
        <w:gridCol w:w="3960"/>
      </w:tblGrid>
      <w:tr>
        <w:tc>
          <w:tcPr>
            <w:tcW w:type="dxa" w:w="3700"/>
          </w:tcPr>
          <w:p>
            <w:r/>
            <w:r>
              <w:rPr>
                <w:b/>
              </w:rPr>
              <w:t>File</w:t>
            </w:r>
          </w:p>
        </w:tc>
        <w:tc>
          <w:tcPr>
            <w:tcW w:type="dxa" w:w="1700"/>
          </w:tcPr>
          <w:p>
            <w:r/>
            <w:r>
              <w:rPr>
                <w:b/>
              </w:rPr>
              <w:t>When</w:t>
            </w:r>
          </w:p>
        </w:tc>
        <w:tc>
          <w:tcPr>
            <w:tcW w:type="dxa" w:w="3960"/>
          </w:tcPr>
          <w:p>
            <w:r/>
            <w:r>
              <w:rPr>
                <w:b/>
              </w:rPr>
              <w:t>Shows</w:t>
            </w:r>
          </w:p>
        </w:tc>
      </w:tr>
      <w:tr>
        <w:tc>
          <w:tcPr>
            <w:tcW w:type="dxa" w:w="3700"/>
          </w:tcPr>
          <w:p>
            <w:r>
              <w:t>&lt;sample&gt;_DF_pk_plot.png</w:t>
            </w:r>
          </w:p>
        </w:tc>
        <w:tc>
          <w:tcPr>
            <w:tcW w:type="dxa" w:w="1700"/>
          </w:tcPr>
          <w:p>
            <w:r>
              <w:t>DoubletFinder ran</w:t>
            </w:r>
          </w:p>
        </w:tc>
        <w:tc>
          <w:tcPr>
            <w:tcW w:type="dxa" w:w="3960"/>
          </w:tcPr>
          <w:p>
            <w:r>
              <w:t>BCmetric curve, selected pK, plausible band. A parameter decision that can be audited.</w:t>
            </w:r>
          </w:p>
        </w:tc>
      </w:tr>
      <w:tr>
        <w:tc>
          <w:tcPr>
            <w:tcW w:type="dxa" w:w="3700"/>
          </w:tcPr>
          <w:p>
            <w:r>
              <w:t>&lt;sample&gt;_scDbl_score_distribution.png</w:t>
            </w:r>
          </w:p>
        </w:tc>
        <w:tc>
          <w:tcPr>
            <w:tcW w:type="dxa" w:w="1700"/>
          </w:tcPr>
          <w:p>
            <w:r>
              <w:t>scDblFinder ran</w:t>
            </w:r>
          </w:p>
        </w:tc>
        <w:tc>
          <w:tcPr>
            <w:tcW w:type="dxa" w:w="3960"/>
          </w:tcPr>
          <w:p>
            <w:r>
              <w:t>Score histogram with threshold. A result rather than a decision - scDblFinder self-tunes, so there is no equivalent knob to inspect.</w:t>
            </w:r>
          </w:p>
        </w:tc>
      </w:tr>
      <w:tr>
        <w:tc>
          <w:tcPr>
            <w:tcW w:type="dxa" w:w="3700"/>
          </w:tcPr>
          <w:p>
            <w:r>
              <w:t>&lt;sample&gt;_doublet_umap_DoubletFinder.png</w:t>
            </w:r>
          </w:p>
        </w:tc>
        <w:tc>
          <w:tcPr>
            <w:tcW w:type="dxa" w:w="1700"/>
          </w:tcPr>
          <w:p>
            <w:r>
              <w:t>DoubletFinder ran</w:t>
            </w:r>
          </w:p>
        </w:tc>
        <w:tc>
          <w:tcPr>
            <w:tcW w:type="dxa" w:w="3960"/>
          </w:tcPr>
          <w:p>
            <w:r>
              <w:t>pANN score projected on UMAP</w:t>
            </w:r>
          </w:p>
        </w:tc>
      </w:tr>
      <w:tr>
        <w:tc>
          <w:tcPr>
            <w:tcW w:type="dxa" w:w="3700"/>
          </w:tcPr>
          <w:p>
            <w:r>
              <w:t>&lt;sample&gt;_doublet_umap_scDblFinder.png</w:t>
            </w:r>
          </w:p>
        </w:tc>
        <w:tc>
          <w:tcPr>
            <w:tcW w:type="dxa" w:w="1700"/>
          </w:tcPr>
          <w:p>
            <w:r>
              <w:t>scDblFinder ran</w:t>
            </w:r>
          </w:p>
        </w:tc>
        <w:tc>
          <w:tcPr>
            <w:tcW w:type="dxa" w:w="3960"/>
          </w:tcPr>
          <w:p>
            <w:r>
              <w:t>Probability projected on UMAP</w:t>
            </w:r>
          </w:p>
        </w:tc>
      </w:tr>
      <w:tr>
        <w:tc>
          <w:tcPr>
            <w:tcW w:type="dxa" w:w="3700"/>
          </w:tcPr>
          <w:p>
            <w:r>
              <w:t>&lt;sample&gt;_doublet_umap_call.png</w:t>
            </w:r>
          </w:p>
        </w:tc>
        <w:tc>
          <w:tcPr>
            <w:tcW w:type="dxa" w:w="1700"/>
          </w:tcPr>
          <w:p>
            <w:r>
              <w:t>Always</w:t>
            </w:r>
          </w:p>
        </w:tc>
        <w:tc>
          <w:tcPr>
            <w:tcW w:type="dxa" w:w="3960"/>
          </w:tcPr>
          <w:p>
            <w:r>
              <w:t>The final Doublet_Status call</w:t>
            </w:r>
          </w:p>
        </w:tc>
      </w:tr>
      <w:tr>
        <w:tc>
          <w:tcPr>
            <w:tcW w:type="dxa" w:w="3700"/>
          </w:tcPr>
          <w:p>
            <w:r>
              <w:t>&lt;sample&gt;_doublet_concordance.png</w:t>
            </w:r>
          </w:p>
        </w:tc>
        <w:tc>
          <w:tcPr>
            <w:tcW w:type="dxa" w:w="1700"/>
          </w:tcPr>
          <w:p>
            <w:r>
              <w:t>'both' only</w:t>
            </w:r>
          </w:p>
        </w:tc>
        <w:tc>
          <w:tcPr>
            <w:tcW w:type="dxa" w:w="3960"/>
          </w:tcPr>
          <w:p>
            <w:r>
              <w:t>2x2 confusion matrix, agreement percentage, Cohen's kappa</w:t>
            </w:r>
          </w:p>
        </w:tc>
      </w:tr>
      <w:tr>
        <w:tc>
          <w:tcPr>
            <w:tcW w:type="dxa" w:w="3700"/>
          </w:tcPr>
          <w:p>
            <w:r>
              <w:t>&lt;sample&gt;_doublet_umap_method_classification.png</w:t>
            </w:r>
          </w:p>
        </w:tc>
        <w:tc>
          <w:tcPr>
            <w:tcW w:type="dxa" w:w="1700"/>
          </w:tcPr>
          <w:p>
            <w:r>
              <w:t>'both' only</w:t>
            </w:r>
          </w:p>
        </w:tc>
        <w:tc>
          <w:tcPr>
            <w:tcW w:type="dxa" w:w="3960"/>
          </w:tcPr>
          <w:p>
            <w:r>
              <w:t>Where the two methods disagree. Read this first.</w:t>
            </w:r>
          </w:p>
        </w:tc>
      </w:tr>
    </w:tbl>
    <w:p>
      <w:pPr>
        <w:pStyle w:val="BlockText"/>
      </w:pPr>
      <w:r>
        <w:t>The method-classification map is the most informative panel in 'both' mode. It colours every cell as Both: singlet, Both: doublet, DoubletFinder only, or scDblFinder only. If the disagreements scatter randomly across the UMAP, the two callers are merely noisy at the margin and either is acceptable; the intersect rule is safe. If the disagreements concentrate on one cluster, one method is systematically wrong about a real population, and that cluster must be identified before either caller is trusted. Neither the agreement percentage nor Cohen's kappa will reveal this, because a single badly handled cluster can still leave overall agreement above 95%.</w:t>
      </w:r>
    </w:p>
    <w:p>
      <w:pPr>
        <w:pStyle w:val="Heading3"/>
      </w:pPr>
      <w:r>
        <w:t>6.4 QC Parameters</w:t>
      </w:r>
    </w:p>
    <w:p>
      <w:pPr>
        <w:pStyle w:val="Heading4"/>
      </w:pPr>
      <w:r>
        <w:t>Pre-merge QC (loose, per-sample)</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Parameter</w:t>
            </w:r>
          </w:p>
        </w:tc>
        <w:tc>
          <w:tcPr>
            <w:tcW w:type="dxa" w:w="1250"/>
          </w:tcPr>
          <w:p>
            <w:r/>
            <w:r>
              <w:rPr>
                <w:b/>
              </w:rPr>
              <w:t>Default</w:t>
            </w:r>
          </w:p>
        </w:tc>
        <w:tc>
          <w:tcPr>
            <w:tcW w:type="dxa" w:w="4610"/>
          </w:tcPr>
          <w:p>
            <w:r/>
            <w:r>
              <w:rPr>
                <w:b/>
              </w:rPr>
              <w:t>Description</w:t>
            </w:r>
          </w:p>
        </w:tc>
      </w:tr>
      <w:tr>
        <w:tc>
          <w:tcPr>
            <w:tcW w:type="dxa" w:w="3500"/>
          </w:tcPr>
          <w:p>
            <w:r>
              <w:t>PRE_MIN_GENES_PER_CELL</w:t>
            </w:r>
          </w:p>
        </w:tc>
        <w:tc>
          <w:tcPr>
            <w:tcW w:type="dxa" w:w="1250"/>
          </w:tcPr>
          <w:p>
            <w:r>
              <w:t>500</w:t>
            </w:r>
          </w:p>
        </w:tc>
        <w:tc>
          <w:tcPr>
            <w:tcW w:type="dxa" w:w="4610"/>
          </w:tcPr>
          <w:p>
            <w:r>
              <w:t>Minimum genes per cell; removes empty droplets</w:t>
            </w:r>
          </w:p>
        </w:tc>
      </w:tr>
      <w:tr>
        <w:tc>
          <w:tcPr>
            <w:tcW w:type="dxa" w:w="3500"/>
          </w:tcPr>
          <w:p>
            <w:r>
              <w:t>PRE_MAX_MT_PERCENT</w:t>
            </w:r>
          </w:p>
        </w:tc>
        <w:tc>
          <w:tcPr>
            <w:tcW w:type="dxa" w:w="1250"/>
          </w:tcPr>
          <w:p>
            <w:r>
              <w:t>20.0</w:t>
            </w:r>
          </w:p>
        </w:tc>
        <w:tc>
          <w:tcPr>
            <w:tcW w:type="dxa" w:w="4610"/>
          </w:tcPr>
          <w:p>
            <w:r>
              <w:t>Maximum mitochondrial percentage; loose cutoff</w:t>
            </w:r>
          </w:p>
        </w:tc>
      </w:tr>
    </w:tbl>
    <w:p>
      <w:pPr/>
    </w:p>
    <w:p>
      <w:pPr>
        <w:pStyle w:val="Heading4"/>
      </w:pPr>
      <w:r>
        <w:t>Post-merge QC (stringent)</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Parameter</w:t>
            </w:r>
          </w:p>
        </w:tc>
        <w:tc>
          <w:tcPr>
            <w:tcW w:type="dxa" w:w="1250"/>
          </w:tcPr>
          <w:p>
            <w:r/>
            <w:r>
              <w:rPr>
                <w:b/>
              </w:rPr>
              <w:t>Default</w:t>
            </w:r>
          </w:p>
        </w:tc>
        <w:tc>
          <w:tcPr>
            <w:tcW w:type="dxa" w:w="4610"/>
          </w:tcPr>
          <w:p>
            <w:r/>
            <w:r>
              <w:rPr>
                <w:b/>
              </w:rPr>
              <w:t>Description</w:t>
            </w:r>
          </w:p>
        </w:tc>
      </w:tr>
      <w:tr>
        <w:tc>
          <w:tcPr>
            <w:tcW w:type="dxa" w:w="3500"/>
          </w:tcPr>
          <w:p>
            <w:r>
              <w:t>POST_MIN_GENES</w:t>
            </w:r>
          </w:p>
        </w:tc>
        <w:tc>
          <w:tcPr>
            <w:tcW w:type="dxa" w:w="1250"/>
          </w:tcPr>
          <w:p>
            <w:r>
              <w:t>500</w:t>
            </w:r>
          </w:p>
        </w:tc>
        <w:tc>
          <w:tcPr>
            <w:tcW w:type="dxa" w:w="4610"/>
          </w:tcPr>
          <w:p>
            <w:r>
              <w:t>Raise if low-quality cells persist</w:t>
            </w:r>
          </w:p>
        </w:tc>
      </w:tr>
      <w:tr>
        <w:tc>
          <w:tcPr>
            <w:tcW w:type="dxa" w:w="3500"/>
          </w:tcPr>
          <w:p>
            <w:r>
              <w:t>POST_MAX_GENES</w:t>
            </w:r>
          </w:p>
        </w:tc>
        <w:tc>
          <w:tcPr>
            <w:tcW w:type="dxa" w:w="1250"/>
          </w:tcPr>
          <w:p>
            <w:r>
              <w:t>15000</w:t>
            </w:r>
          </w:p>
        </w:tc>
        <w:tc>
          <w:tcPr>
            <w:tcW w:type="dxa" w:w="4610"/>
          </w:tcPr>
          <w:p>
            <w:r>
              <w:t>High values may indicate residual multiplets</w:t>
            </w:r>
          </w:p>
        </w:tc>
      </w:tr>
      <w:tr>
        <w:tc>
          <w:tcPr>
            <w:tcW w:type="dxa" w:w="3500"/>
          </w:tcPr>
          <w:p>
            <w:r>
              <w:t>POST_MIN_UMIS</w:t>
            </w:r>
          </w:p>
        </w:tc>
        <w:tc>
          <w:tcPr>
            <w:tcW w:type="dxa" w:w="1250"/>
          </w:tcPr>
          <w:p>
            <w:r>
              <w:t>1500</w:t>
            </w:r>
          </w:p>
        </w:tc>
        <w:tc>
          <w:tcPr>
            <w:tcW w:type="dxa" w:w="4610"/>
          </w:tcPr>
          <w:p>
            <w:r>
              <w:t>Raise to remove low-depth cells</w:t>
            </w:r>
          </w:p>
        </w:tc>
      </w:tr>
      <w:tr>
        <w:tc>
          <w:tcPr>
            <w:tcW w:type="dxa" w:w="3500"/>
          </w:tcPr>
          <w:p>
            <w:r>
              <w:t>POST_MAX_UMIS</w:t>
            </w:r>
          </w:p>
        </w:tc>
        <w:tc>
          <w:tcPr>
            <w:tcW w:type="dxa" w:w="1250"/>
          </w:tcPr>
          <w:p>
            <w:r>
              <w:t>100000</w:t>
            </w:r>
          </w:p>
        </w:tc>
        <w:tc>
          <w:tcPr>
            <w:tcW w:type="dxa" w:w="4610"/>
          </w:tcPr>
          <w:p>
            <w:r>
              <w:t>Tune from the QC violin plots</w:t>
            </w:r>
          </w:p>
        </w:tc>
      </w:tr>
      <w:tr>
        <w:tc>
          <w:tcPr>
            <w:tcW w:type="dxa" w:w="3500"/>
          </w:tcPr>
          <w:p>
            <w:r>
              <w:t>POST_MAX_MT</w:t>
            </w:r>
          </w:p>
        </w:tc>
        <w:tc>
          <w:tcPr>
            <w:tcW w:type="dxa" w:w="1250"/>
          </w:tcPr>
          <w:p>
            <w:r>
              <w:t>5.0</w:t>
            </w:r>
          </w:p>
        </w:tc>
        <w:tc>
          <w:tcPr>
            <w:tcW w:type="dxa" w:w="4610"/>
          </w:tcPr>
          <w:p>
            <w:r>
              <w:t>Standard range 5-20</w:t>
            </w:r>
          </w:p>
        </w:tc>
      </w:tr>
      <w:tr>
        <w:tc>
          <w:tcPr>
            <w:tcW w:type="dxa" w:w="3500"/>
          </w:tcPr>
          <w:p>
            <w:r>
              <w:t>POST_MIN_CELLS_PER_GENE</w:t>
            </w:r>
          </w:p>
        </w:tc>
        <w:tc>
          <w:tcPr>
            <w:tcW w:type="dxa" w:w="1250"/>
          </w:tcPr>
          <w:p>
            <w:r>
              <w:t>15</w:t>
            </w:r>
          </w:p>
        </w:tc>
        <w:tc>
          <w:tcPr>
            <w:tcW w:type="dxa" w:w="4610"/>
          </w:tcPr>
          <w:p>
            <w:r>
              <w:t>Genes below this are removed</w:t>
            </w:r>
          </w:p>
        </w:tc>
      </w:tr>
    </w:tbl>
    <w:p>
      <w:pPr/>
    </w:p>
    <w:p>
      <w:pPr>
        <w:pStyle w:val="Heading3"/>
      </w:pPr>
      <w:r>
        <w:t>6.5 Dimensionality Reduction and Workflow Toggles</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Parameter</w:t>
            </w:r>
          </w:p>
        </w:tc>
        <w:tc>
          <w:tcPr>
            <w:tcW w:type="dxa" w:w="1250"/>
          </w:tcPr>
          <w:p>
            <w:r/>
            <w:r>
              <w:rPr>
                <w:b/>
              </w:rPr>
              <w:t>Default</w:t>
            </w:r>
          </w:p>
        </w:tc>
        <w:tc>
          <w:tcPr>
            <w:tcW w:type="dxa" w:w="4610"/>
          </w:tcPr>
          <w:p>
            <w:r/>
            <w:r>
              <w:rPr>
                <w:b/>
              </w:rPr>
              <w:t>Description</w:t>
            </w:r>
          </w:p>
        </w:tc>
      </w:tr>
      <w:tr>
        <w:tc>
          <w:tcPr>
            <w:tcW w:type="dxa" w:w="3500"/>
          </w:tcPr>
          <w:p>
            <w:r>
              <w:t>N_VARIABLE_FEATURES</w:t>
            </w:r>
          </w:p>
        </w:tc>
        <w:tc>
          <w:tcPr>
            <w:tcW w:type="dxa" w:w="1250"/>
          </w:tcPr>
          <w:p>
            <w:r>
              <w:t>2000</w:t>
            </w:r>
          </w:p>
        </w:tc>
        <w:tc>
          <w:tcPr>
            <w:tcW w:type="dxa" w:w="4610"/>
          </w:tcPr>
          <w:p>
            <w:r>
              <w:t>Highly variable genes for PCA</w:t>
            </w:r>
          </w:p>
        </w:tc>
      </w:tr>
      <w:tr>
        <w:tc>
          <w:tcPr>
            <w:tcW w:type="dxa" w:w="3500"/>
          </w:tcPr>
          <w:p>
            <w:r>
              <w:t>N_PCS_TO_USE</w:t>
            </w:r>
          </w:p>
        </w:tc>
        <w:tc>
          <w:tcPr>
            <w:tcW w:type="dxa" w:w="1250"/>
          </w:tcPr>
          <w:p>
            <w:r>
              <w:t>50</w:t>
            </w:r>
          </w:p>
        </w:tc>
        <w:tc>
          <w:tcPr>
            <w:tcW w:type="dxa" w:w="4610"/>
          </w:tcPr>
          <w:p>
            <w:r>
              <w:t>PCs for graph construction and UMAP</w:t>
            </w:r>
          </w:p>
        </w:tc>
      </w:tr>
      <w:tr>
        <w:tc>
          <w:tcPr>
            <w:tcW w:type="dxa" w:w="3500"/>
          </w:tcPr>
          <w:p>
            <w:r>
              <w:t>CLUSTER_RESOLUTION</w:t>
            </w:r>
          </w:p>
        </w:tc>
        <w:tc>
          <w:tcPr>
            <w:tcW w:type="dxa" w:w="1250"/>
          </w:tcPr>
          <w:p>
            <w:r>
              <w:t>1.0</w:t>
            </w:r>
          </w:p>
        </w:tc>
        <w:tc>
          <w:tcPr>
            <w:tcW w:type="dxa" w:w="4610"/>
          </w:tcPr>
          <w:p>
            <w:r>
              <w:t>Higher yields more clusters</w:t>
            </w:r>
          </w:p>
        </w:tc>
      </w:tr>
      <w:tr>
        <w:tc>
          <w:tcPr>
            <w:tcW w:type="dxa" w:w="3500"/>
          </w:tcPr>
          <w:p>
            <w:r>
              <w:t>UMAP_N_NEIGHBORS</w:t>
            </w:r>
          </w:p>
        </w:tc>
        <w:tc>
          <w:tcPr>
            <w:tcW w:type="dxa" w:w="1250"/>
          </w:tcPr>
          <w:p>
            <w:r>
              <w:t>30</w:t>
            </w:r>
          </w:p>
        </w:tc>
        <w:tc>
          <w:tcPr>
            <w:tcW w:type="dxa" w:w="4610"/>
          </w:tcPr>
          <w:p>
            <w:r>
              <w:t>Larger preserves more global structure</w:t>
            </w:r>
          </w:p>
        </w:tc>
      </w:tr>
      <w:tr>
        <w:tc>
          <w:tcPr>
            <w:tcW w:type="dxa" w:w="3500"/>
          </w:tcPr>
          <w:p>
            <w:r>
              <w:t>UMAP_MIN_DIST</w:t>
            </w:r>
          </w:p>
        </w:tc>
        <w:tc>
          <w:tcPr>
            <w:tcW w:type="dxa" w:w="1250"/>
          </w:tcPr>
          <w:p>
            <w:r>
              <w:t>0.3</w:t>
            </w:r>
          </w:p>
        </w:tc>
        <w:tc>
          <w:tcPr>
            <w:tcW w:type="dxa" w:w="4610"/>
          </w:tcPr>
          <w:p>
            <w:r>
              <w:t>Lower gives tighter clusters</w:t>
            </w:r>
          </w:p>
        </w:tc>
      </w:tr>
    </w:tbl>
    <w:p>
      <w:pP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Toggle</w:t>
            </w:r>
          </w:p>
        </w:tc>
        <w:tc>
          <w:tcPr>
            <w:tcW w:type="dxa" w:w="1250"/>
          </w:tcPr>
          <w:p>
            <w:r/>
            <w:r>
              <w:rPr>
                <w:b/>
              </w:rPr>
              <w:t>Default</w:t>
            </w:r>
          </w:p>
        </w:tc>
        <w:tc>
          <w:tcPr>
            <w:tcW w:type="dxa" w:w="4610"/>
          </w:tcPr>
          <w:p>
            <w:r/>
            <w:r>
              <w:rPr>
                <w:b/>
              </w:rPr>
              <w:t>Description</w:t>
            </w:r>
          </w:p>
        </w:tc>
      </w:tr>
      <w:tr>
        <w:tc>
          <w:tcPr>
            <w:tcW w:type="dxa" w:w="3500"/>
          </w:tcPr>
          <w:p>
            <w:r>
              <w:t>RUN_DECONTX</w:t>
            </w:r>
          </w:p>
        </w:tc>
        <w:tc>
          <w:tcPr>
            <w:tcW w:type="dxa" w:w="1250"/>
          </w:tcPr>
          <w:p>
            <w:r>
              <w:t>TRUE</w:t>
            </w:r>
          </w:p>
        </w:tc>
        <w:tc>
          <w:tcPr>
            <w:tcW w:type="dxa" w:w="4610"/>
          </w:tcPr>
          <w:p>
            <w:r>
              <w:t>Ambient RNA correction. Recommended for all runs</w:t>
            </w:r>
          </w:p>
        </w:tc>
      </w:tr>
      <w:tr>
        <w:tc>
          <w:tcPr>
            <w:tcW w:type="dxa" w:w="3500"/>
          </w:tcPr>
          <w:p>
            <w:r>
              <w:t>ROUND_DECONTX_COUNTS</w:t>
            </w:r>
          </w:p>
        </w:tc>
        <w:tc>
          <w:tcPr>
            <w:tcW w:type="dxa" w:w="1250"/>
          </w:tcPr>
          <w:p>
            <w:r>
              <w:t>TRUE</w:t>
            </w:r>
          </w:p>
        </w:tc>
        <w:tc>
          <w:tcPr>
            <w:tcW w:type="dxa" w:w="4610"/>
          </w:tcPr>
          <w:p>
            <w:r>
              <w:t>Round corrected counts to integers for downstream tools that require them</w:t>
            </w:r>
          </w:p>
        </w:tc>
      </w:tr>
      <w:tr>
        <w:tc>
          <w:tcPr>
            <w:tcW w:type="dxa" w:w="3500"/>
          </w:tcPr>
          <w:p>
            <w:r>
              <w:t>USE_BPCELLS</w:t>
            </w:r>
          </w:p>
        </w:tc>
        <w:tc>
          <w:tcPr>
            <w:tcW w:type="dxa" w:w="1250"/>
          </w:tcPr>
          <w:p>
            <w:r>
              <w:t>FALSE</w:t>
            </w:r>
          </w:p>
        </w:tc>
        <w:tc>
          <w:tcPr>
            <w:tcW w:type="dxa" w:w="4610"/>
          </w:tcPr>
          <w:p>
            <w:r>
              <w:t>On-disk matrices for large cohorts (&gt;8 samples). Requires BPCells</w:t>
            </w:r>
          </w:p>
        </w:tc>
      </w:tr>
      <w:tr>
        <w:tc>
          <w:tcPr>
            <w:tcW w:type="dxa" w:w="3500"/>
          </w:tcPr>
          <w:p>
            <w:r>
              <w:t>RUN_SCEVAN</w:t>
            </w:r>
          </w:p>
        </w:tc>
        <w:tc>
          <w:tcPr>
            <w:tcW w:type="dxa" w:w="1250"/>
          </w:tcPr>
          <w:p>
            <w:r>
              <w:t>TRUE</w:t>
            </w:r>
          </w:p>
        </w:tc>
        <w:tc>
          <w:tcPr>
            <w:tcW w:type="dxa" w:w="4610"/>
          </w:tcPr>
          <w:p>
            <w:r>
              <w:t>CNA analysis. Enable if ANY sample is tumor; normals serve as the reference baseline</w:t>
            </w:r>
          </w:p>
        </w:tc>
      </w:tr>
      <w:tr>
        <w:tc>
          <w:tcPr>
            <w:tcW w:type="dxa" w:w="3500"/>
          </w:tcPr>
          <w:p>
            <w:r>
              <w:t>ADD_PROBE_DATA</w:t>
            </w:r>
          </w:p>
        </w:tc>
        <w:tc>
          <w:tcPr>
            <w:tcW w:type="dxa" w:w="1250"/>
          </w:tcPr>
          <w:p>
            <w:r>
              <w:t>TRUE</w:t>
            </w:r>
          </w:p>
        </w:tc>
        <w:tc>
          <w:tcPr>
            <w:tcW w:type="dxa" w:w="4610"/>
          </w:tcPr>
          <w:p>
            <w:r>
              <w:t>Set FALSE unless the run used a probe capture assay</w:t>
            </w:r>
          </w:p>
        </w:tc>
      </w:tr>
    </w:tbl>
    <w:p>
      <w:pPr/>
    </w:p>
    <w:p>
      <w:pPr>
        <w:pStyle w:val="Heading3"/>
      </w:pPr>
      <w:r>
        <w:t>6.6 Checkpoint System</w:t>
      </w:r>
    </w:p>
    <w:p>
      <w:pPr>
        <w:pStyle w:val="FirstParagraph"/>
      </w:pPr>
      <w:r>
        <w:t>Each sample produces two checkpoint files inside SCEVAN_DIR/&lt;SampleID&gt;/:</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Checkpoint</w:t>
            </w:r>
          </w:p>
        </w:tc>
        <w:tc>
          <w:tcPr>
            <w:tcW w:type="dxa" w:w="1250"/>
          </w:tcPr>
          <w:p>
            <w:r/>
            <w:r>
              <w:rPr>
                <w:b/>
              </w:rPr>
              <w:t>File</w:t>
            </w:r>
          </w:p>
        </w:tc>
        <w:tc>
          <w:tcPr>
            <w:tcW w:type="dxa" w:w="4610"/>
          </w:tcPr>
          <w:p>
            <w:r/>
            <w:r>
              <w:rPr>
                <w:b/>
              </w:rPr>
              <w:t>Contents</w:t>
            </w:r>
          </w:p>
        </w:tc>
      </w:tr>
      <w:tr>
        <w:tc>
          <w:tcPr>
            <w:tcW w:type="dxa" w:w="3500"/>
          </w:tcPr>
          <w:p>
            <w:r>
              <w:t>1</w:t>
            </w:r>
          </w:p>
        </w:tc>
        <w:tc>
          <w:tcPr>
            <w:tcW w:type="dxa" w:w="1250"/>
          </w:tcPr>
          <w:p>
            <w:r>
              <w:t>&lt;SampleID&gt;_scevan_processed.rds</w:t>
            </w:r>
          </w:p>
        </w:tc>
        <w:tc>
          <w:tcPr>
            <w:tcW w:type="dxa" w:w="4610"/>
          </w:tcPr>
          <w:p>
            <w:r>
              <w:t>Saved immediately after SCEVAN; protects the most expensive step</w:t>
            </w:r>
          </w:p>
        </w:tc>
      </w:tr>
      <w:tr>
        <w:tc>
          <w:tcPr>
            <w:tcW w:type="dxa" w:w="3500"/>
          </w:tcPr>
          <w:p>
            <w:r>
              <w:t>2</w:t>
            </w:r>
          </w:p>
        </w:tc>
        <w:tc>
          <w:tcPr>
            <w:tcW w:type="dxa" w:w="1250"/>
          </w:tcPr>
          <w:p>
            <w:r>
              <w:t>&lt;SampleID&gt;_decontx_dblt_processed.rds</w:t>
            </w:r>
          </w:p>
        </w:tc>
        <w:tc>
          <w:tcPr>
            <w:tcW w:type="dxa" w:w="4610"/>
          </w:tcPr>
          <w:p>
            <w:r>
              <w:t>Saved after DecontX, doublet removal and pre-QC; this is the file loaded for merging</w:t>
            </w:r>
          </w:p>
        </w:tc>
      </w:tr>
    </w:tbl>
    <w:p>
      <w:pPr/>
    </w:p>
    <w:p>
      <w:pPr>
        <w:pStyle w:val="BodyText"/>
      </w:pPr>
      <w:r>
        <w:t>On re-run: if Checkpoint 2 exists the sample is skipped entirely; if only Checkpoint 1 exists, SCEVAN is skipped and processing resumes from DecontX; if neither exists the full pipeline runs.</w:t>
      </w:r>
    </w:p>
    <w:p>
      <w:pPr>
        <w:pStyle w:val="BlockText"/>
      </w:pPr>
      <w:r>
        <w:t>To re-run doublet detection with a different method, delete the Checkpoint 2 files. Checkpoint 1 is retained so SCEVAN will not re-run.</w:t>
      </w:r>
    </w:p>
    <w:p>
      <w:pPr>
        <w:pStyle w:val="Heading3"/>
      </w:pPr>
      <w:r>
        <w:t>6.7 Output Files</w:t>
      </w:r>
    </w:p>
    <w:tbl>
      <w:tblPr>
        <w:tblStyle w:val="Table"/>
        <w:tblW w:type="auto" w:w="0"/>
        <w:tblLayout w:type="fixed"/>
        <w:tblLook w:firstColumn="1" w:firstRow="1" w:lastColumn="0" w:lastRow="0" w:noHBand="0" w:noVBand="1" w:val="04A0"/>
      </w:tblPr>
      <w:tblGrid>
        <w:gridCol w:w="3400"/>
        <w:gridCol w:w="5960"/>
      </w:tblGrid>
      <w:tr>
        <w:tc>
          <w:tcPr>
            <w:tcW w:type="dxa" w:w="3400"/>
          </w:tcPr>
          <w:p>
            <w:r/>
            <w:r>
              <w:rPr>
                <w:b/>
              </w:rPr>
              <w:t>File</w:t>
            </w:r>
          </w:p>
        </w:tc>
        <w:tc>
          <w:tcPr>
            <w:tcW w:type="dxa" w:w="5960"/>
          </w:tcPr>
          <w:p>
            <w:r/>
            <w:r>
              <w:rPr>
                <w:b/>
              </w:rPr>
              <w:t>Description</w:t>
            </w:r>
          </w:p>
        </w:tc>
      </w:tr>
      <w:tr>
        <w:tc>
          <w:tcPr>
            <w:tcW w:type="dxa" w:w="3400"/>
          </w:tcPr>
          <w:p>
            <w:r>
              <w:t>&lt;PROJECT&gt;_processed_for_annotation.rds</w:t>
            </w:r>
          </w:p>
        </w:tc>
        <w:tc>
          <w:tcPr>
            <w:tcW w:type="dxa" w:w="5960"/>
          </w:tcPr>
          <w:p>
            <w:r>
              <w:t>Main output, consumed by Script 02</w:t>
            </w:r>
          </w:p>
        </w:tc>
      </w:tr>
      <w:tr>
        <w:tc>
          <w:tcPr>
            <w:tcW w:type="dxa" w:w="3400"/>
          </w:tcPr>
          <w:p>
            <w:r>
              <w:t>doublet_detection_log_&lt;METHOD&gt;.xlsx</w:t>
            </w:r>
          </w:p>
        </w:tc>
        <w:tc>
          <w:tcPr>
            <w:tcW w:type="dxa" w:w="5960"/>
          </w:tcPr>
          <w:p>
            <w:r>
              <w:t>Per-sample doublet audit trail</w:t>
            </w:r>
          </w:p>
        </w:tc>
      </w:tr>
      <w:tr>
        <w:tc>
          <w:tcPr>
            <w:tcW w:type="dxa" w:w="3400"/>
          </w:tcPr>
          <w:p>
            <w:r>
              <w:t>doublet_diagnostics/</w:t>
            </w:r>
          </w:p>
        </w:tc>
        <w:tc>
          <w:tcPr>
            <w:tcW w:type="dxa" w:w="5960"/>
          </w:tcPr>
          <w:p>
            <w:r>
              <w:t>pK plots, score histograms, doublet UMAPs, concordance matrices</w:t>
            </w:r>
          </w:p>
        </w:tc>
      </w:tr>
      <w:tr>
        <w:tc>
          <w:tcPr>
            <w:tcW w:type="dxa" w:w="3400"/>
          </w:tcPr>
          <w:p>
            <w:r>
              <w:t>QC_plots/</w:t>
            </w:r>
          </w:p>
        </w:tc>
        <w:tc>
          <w:tcPr>
            <w:tcW w:type="dxa" w:w="5960"/>
          </w:tcPr>
          <w:p>
            <w:r>
              <w:t>Pre- and post-filter violin plots</w:t>
            </w:r>
          </w:p>
        </w:tc>
      </w:tr>
      <w:tr>
        <w:tc>
          <w:tcPr>
            <w:tcW w:type="dxa" w:w="3400"/>
          </w:tcPr>
          <w:p>
            <w:r>
              <w:t>scevan_per_sample_results/</w:t>
            </w:r>
          </w:p>
        </w:tc>
        <w:tc>
          <w:tcPr>
            <w:tcW w:type="dxa" w:w="5960"/>
          </w:tcPr>
          <w:p>
            <w:r>
              <w:t>SCEVAN outputs and checkpoints</w:t>
            </w:r>
          </w:p>
        </w:tc>
      </w:tr>
    </w:tbl>
    <w:p>
      <w:pPr/>
    </w:p>
    <w:p>
      <w:pPr>
        <w:pStyle w:val="Heading2"/>
      </w:pPr>
      <w:r>
        <w:t>7. Script 02: Global Annotation (02_global_annotation.R)</w:t>
      </w:r>
    </w:p>
    <w:p>
      <w:pPr>
        <w:pStyle w:val="Heading3"/>
      </w:pPr>
      <w:r>
        <w:t>7.1 Purpose</w:t>
      </w:r>
    </w:p>
    <w:p>
      <w:pPr>
        <w:pStyle w:val="FirstParagraph"/>
      </w:pPr>
      <w:r>
        <w:t>The interactive annotation hub. Provides a guided workflow from raw clusters to annotated broad cell types, driven by cell_type_markers.csv.</w:t>
      </w:r>
    </w:p>
    <w:p>
      <w:pPr>
        <w:pStyle w:val="Heading3"/>
      </w:pPr>
      <w:r>
        <w:t>7.2 The Weighted Pre-Scoring Algorithm</w:t>
      </w:r>
    </w:p>
    <w:p>
      <w:pPr>
        <w:pStyle w:val="FirstParagraph"/>
      </w:pPr>
      <w:r>
        <w:t>A specificity-weighted gene expression scoring algorithm (get_weighted_annotation) proposes cell type identities per cluster before any manual decision is made. Markers expressed across many cell types are down-weighted; markers unique to one type are up-weighted.</w:t>
      </w:r>
    </w:p>
    <w:p>
      <w:pPr>
        <w:pStyle w:val="BodyText"/>
      </w:pPr>
      <w:r>
        <w:t>Two scoring modes run in parallel and both are written to Excel reports and displayed on UMAP for side-by-side review. The pre-scores are a guide, not ground truth: always cross-check against the DotPlot before accepting them.</w:t>
      </w:r>
    </w:p>
    <w:p>
      <w:pPr>
        <w:pStyle w:val="Heading3"/>
      </w:pPr>
      <w:r>
        <w:t>7.3 Annotation Workflow</w:t>
      </w:r>
    </w:p>
    <w:p>
      <w:pPr>
        <w:pStyle w:val="FirstParagraph"/>
      </w:pPr>
      <w:r>
        <w:t>Broad annotation:</w:t>
      </w:r>
    </w:p>
    <w:p>
      <w:pPr>
        <w:pStyle w:val="Compact"/>
        <w:numPr>
          <w:ilvl w:val="0"/>
          <w:numId w:val="1"/>
        </w:numPr>
      </w:pPr>
      <w:r>
        <w:t>Run the script through the clustering section. Examine the cluster UMAP, the broad marker DotPlot and the pre-scoring UMAP.</w:t>
      </w:r>
    </w:p>
    <w:p>
      <w:pPr>
        <w:pStyle w:val="Compact"/>
        <w:numPr>
          <w:ilvl w:val="0"/>
          <w:numId w:val="1"/>
        </w:numPr>
      </w:pPr>
      <w:r>
        <w:t>Fill in BROAD_ANNOTATION_MAP, mapping each cluster number to a cell type string.</w:t>
      </w:r>
    </w:p>
    <w:p>
      <w:pPr>
        <w:pStyle w:val="Compact"/>
        <w:numPr>
          <w:ilvl w:val="0"/>
          <w:numId w:val="1"/>
        </w:numPr>
      </w:pPr>
      <w:r>
        <w:t>Run the remainder to apply the map, save annotation plots and run compositional analysis.</w:t>
      </w:r>
    </w:p>
    <w:p>
      <w:pPr>
        <w:pStyle w:val="Heading3"/>
      </w:pPr>
      <w:r>
        <w:t>7.4 Output Files</w:t>
      </w:r>
    </w:p>
    <w:tbl>
      <w:tblPr>
        <w:tblStyle w:val="Table"/>
        <w:tblW w:type="auto" w:w="0"/>
        <w:tblLayout w:type="fixed"/>
        <w:tblLook w:firstColumn="1" w:firstRow="1" w:lastColumn="0" w:lastRow="0" w:noHBand="0" w:noVBand="1" w:val="04A0"/>
      </w:tblPr>
      <w:tblGrid>
        <w:gridCol w:w="3400"/>
        <w:gridCol w:w="5960"/>
      </w:tblGrid>
      <w:tr>
        <w:tc>
          <w:tcPr>
            <w:tcW w:type="dxa" w:w="3400"/>
          </w:tcPr>
          <w:p>
            <w:r/>
            <w:r>
              <w:rPr>
                <w:b/>
              </w:rPr>
              <w:t>File</w:t>
            </w:r>
          </w:p>
        </w:tc>
        <w:tc>
          <w:tcPr>
            <w:tcW w:type="dxa" w:w="5960"/>
          </w:tcPr>
          <w:p>
            <w:r/>
            <w:r>
              <w:rPr>
                <w:b/>
              </w:rPr>
              <w:t>Description</w:t>
            </w:r>
          </w:p>
        </w:tc>
      </w:tr>
      <w:tr>
        <w:tc>
          <w:tcPr>
            <w:tcW w:type="dxa" w:w="3400"/>
          </w:tcPr>
          <w:p>
            <w:r>
              <w:t>&lt;PROJECT&gt;_annotated.rds</w:t>
            </w:r>
          </w:p>
        </w:tc>
        <w:tc>
          <w:tcPr>
            <w:tcW w:type="dxa" w:w="5960"/>
          </w:tcPr>
          <w:p>
            <w:r>
              <w:t>Broad-annotated object</w:t>
            </w:r>
          </w:p>
        </w:tc>
      </w:tr>
      <w:tr>
        <w:tc>
          <w:tcPr>
            <w:tcW w:type="dxa" w:w="3400"/>
          </w:tcPr>
          <w:p>
            <w:r>
              <w:t>annotation_plots/</w:t>
            </w:r>
          </w:p>
        </w:tc>
        <w:tc>
          <w:tcPr>
            <w:tcW w:type="dxa" w:w="5960"/>
          </w:tcPr>
          <w:p>
            <w:r>
              <w:t>UMAPs, DotPlots, scoring heatmaps</w:t>
            </w:r>
          </w:p>
        </w:tc>
      </w:tr>
      <w:tr>
        <w:tc>
          <w:tcPr>
            <w:tcW w:type="dxa" w:w="3400"/>
          </w:tcPr>
          <w:p>
            <w:r>
              <w:t>Pre-scoring Excel reports</w:t>
            </w:r>
          </w:p>
        </w:tc>
        <w:tc>
          <w:tcPr>
            <w:tcW w:type="dxa" w:w="5960"/>
          </w:tcPr>
          <w:p>
            <w:r>
              <w:t>Top-5 candidate cell types per cluster, both modes</w:t>
            </w:r>
          </w:p>
        </w:tc>
      </w:tr>
    </w:tbl>
    <w:p>
      <w:pPr/>
    </w:p>
    <w:p>
      <w:pPr>
        <w:pStyle w:val="Heading2"/>
      </w:pPr>
      <w:r>
        <w:t>8. Scripts 03-05: Lineage Sub-Annotation</w:t>
      </w:r>
    </w:p>
    <w:p>
      <w:pPr>
        <w:pStyle w:val="FirstParagraph"/>
      </w:pPr>
      <w:r>
        <w:t>Three parallel scripts apply the same sub-clustering and annotation workflow to individual lineages. They are mutually independent and may be run in any order, but all must complete before Script 06.</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Script</w:t>
            </w:r>
          </w:p>
        </w:tc>
        <w:tc>
          <w:tcPr>
            <w:tcW w:type="dxa" w:w="1250"/>
          </w:tcPr>
          <w:p>
            <w:r/>
            <w:r>
              <w:rPr>
                <w:b/>
              </w:rPr>
              <w:t>Lineage</w:t>
            </w:r>
          </w:p>
        </w:tc>
        <w:tc>
          <w:tcPr>
            <w:tcW w:type="dxa" w:w="4610"/>
          </w:tcPr>
          <w:p>
            <w:r/>
            <w:r>
              <w:rPr>
                <w:b/>
              </w:rPr>
              <w:t>Output</w:t>
            </w:r>
          </w:p>
        </w:tc>
      </w:tr>
      <w:tr>
        <w:tc>
          <w:tcPr>
            <w:tcW w:type="dxa" w:w="3500"/>
          </w:tcPr>
          <w:p>
            <w:r>
              <w:t>03_tcell_subannotation.R</w:t>
            </w:r>
          </w:p>
        </w:tc>
        <w:tc>
          <w:tcPr>
            <w:tcW w:type="dxa" w:w="1250"/>
          </w:tcPr>
          <w:p>
            <w:r>
              <w:t>T cells</w:t>
            </w:r>
          </w:p>
        </w:tc>
        <w:tc>
          <w:tcPr>
            <w:tcW w:type="dxa" w:w="4610"/>
          </w:tcPr>
          <w:p>
            <w:r>
              <w:t>&lt;PROJECT&gt;_tcells_subclustered.rds</w:t>
            </w:r>
          </w:p>
        </w:tc>
      </w:tr>
      <w:tr>
        <w:tc>
          <w:tcPr>
            <w:tcW w:type="dxa" w:w="3500"/>
          </w:tcPr>
          <w:p>
            <w:r>
              <w:t>04_colonocyte_subannotation.R</w:t>
            </w:r>
          </w:p>
        </w:tc>
        <w:tc>
          <w:tcPr>
            <w:tcW w:type="dxa" w:w="1250"/>
          </w:tcPr>
          <w:p>
            <w:r>
              <w:t>Colonocytes</w:t>
            </w:r>
          </w:p>
        </w:tc>
        <w:tc>
          <w:tcPr>
            <w:tcW w:type="dxa" w:w="4610"/>
          </w:tcPr>
          <w:p>
            <w:r>
              <w:t>&lt;PROJECT&gt;_colonocytes_subclustered.rds</w:t>
            </w:r>
          </w:p>
        </w:tc>
      </w:tr>
      <w:tr>
        <w:tc>
          <w:tcPr>
            <w:tcW w:type="dxa" w:w="3500"/>
          </w:tcPr>
          <w:p>
            <w:r>
              <w:t>05_macrophages_subannotation.R</w:t>
            </w:r>
          </w:p>
        </w:tc>
        <w:tc>
          <w:tcPr>
            <w:tcW w:type="dxa" w:w="1250"/>
          </w:tcPr>
          <w:p>
            <w:r>
              <w:t>Macrophages</w:t>
            </w:r>
          </w:p>
        </w:tc>
        <w:tc>
          <w:tcPr>
            <w:tcW w:type="dxa" w:w="4610"/>
          </w:tcPr>
          <w:p>
            <w:r>
              <w:t>&lt;PROJECT&gt;_macrophages_subclustered.rds</w:t>
            </w:r>
          </w:p>
        </w:tc>
      </w:tr>
    </w:tbl>
    <w:p>
      <w:pPr/>
    </w:p>
    <w:p>
      <w:pPr>
        <w:pStyle w:val="BodyText"/>
      </w:pPr>
      <w:r>
        <w:t>Each script subsets its lineage from the broad-annotated object, re-runs variable feature selection, PCA, Harmony and clustering within that lineage, applies sub-type pre-scoring from the CSV, and writes a sub_cell_types column after the user fills in SUB_ANNOTATION_MAP.</w:t>
      </w:r>
    </w:p>
    <w:p>
      <w:pPr>
        <w:pStyle w:val="Heading2"/>
      </w:pPr>
      <w:r>
        <w:t>9. Script 06: Annotation Unifier (06_annotation_unifier.R)</w:t>
      </w:r>
    </w:p>
    <w:p>
      <w:pPr>
        <w:pStyle w:val="FirstParagraph"/>
      </w:pPr>
      <w:r>
        <w:t>Merges the sub-annotations from Scripts 03-05 back into the broad-annotated object, producing a single final object where each cell carries both its broad CellType and, where applicable, its refined sub-type label.</w:t>
      </w:r>
    </w:p>
    <w:p>
      <w:pPr>
        <w:pStyle w:val="BodyText"/>
      </w:pPr>
      <w:r>
        <w:t>Output: &lt;PROJECT&gt;_final_annotated.rds. This is the input for Scripts 07, 08 and 09.</w:t>
      </w:r>
    </w:p>
    <w:p>
      <w:pPr>
        <w:pStyle w:val="Heading2"/>
      </w:pPr>
      <w:r>
        <w:t>10. Script 07: Differential Expression and Two-Way ANOVA</w:t>
      </w:r>
    </w:p>
    <w:p>
      <w:pPr>
        <w:pStyle w:val="Heading3"/>
      </w:pPr>
      <w:r>
        <w:t>10.1 Purpose</w:t>
      </w:r>
    </w:p>
    <w:p>
      <w:pPr>
        <w:pStyle w:val="FirstParagraph"/>
      </w:pPr>
      <w:r>
        <w:t>Runs MAST-based differential expression across all cell types, accounting for sample-level variability via latent variables, plus optional one-way or two-way ANOVA, SplineDV differential variability, GSEA and Enrichr over-representation analysis.</w:t>
      </w:r>
    </w:p>
    <w:p>
      <w:pPr>
        <w:pStyle w:val="Heading3"/>
      </w:pPr>
      <w:r>
        <w:t>10.2 Key Configuration</w:t>
      </w:r>
    </w:p>
    <w:tbl>
      <w:tblPr>
        <w:tblStyle w:val="Table"/>
        <w:tblW w:type="auto" w:w="0"/>
        <w:tblLayout w:type="fixed"/>
        <w:tblLook w:firstColumn="1" w:firstRow="1" w:lastColumn="0" w:lastRow="0" w:noHBand="0" w:noVBand="1" w:val="04A0"/>
      </w:tblPr>
      <w:tblGrid>
        <w:gridCol w:w="3400"/>
        <w:gridCol w:w="5960"/>
      </w:tblGrid>
      <w:tr>
        <w:tc>
          <w:tcPr>
            <w:tcW w:type="dxa" w:w="3400"/>
          </w:tcPr>
          <w:p>
            <w:r/>
            <w:r>
              <w:rPr>
                <w:b/>
              </w:rPr>
              <w:t>Parameter</w:t>
            </w:r>
          </w:p>
        </w:tc>
        <w:tc>
          <w:tcPr>
            <w:tcW w:type="dxa" w:w="5960"/>
          </w:tcPr>
          <w:p>
            <w:r/>
            <w:r>
              <w:rPr>
                <w:b/>
              </w:rPr>
              <w:t>Description</w:t>
            </w:r>
          </w:p>
        </w:tc>
      </w:tr>
      <w:tr>
        <w:tc>
          <w:tcPr>
            <w:tcW w:type="dxa" w:w="3400"/>
          </w:tcPr>
          <w:p>
            <w:r>
              <w:t>MODE</w:t>
            </w:r>
          </w:p>
        </w:tc>
        <w:tc>
          <w:tcPr>
            <w:tcW w:type="dxa" w:w="5960"/>
          </w:tcPr>
          <w:p>
            <w:r>
              <w:t>"broad" (CellType) or "subtype" (sub_cell_types)</w:t>
            </w:r>
          </w:p>
        </w:tc>
      </w:tr>
      <w:tr>
        <w:tc>
          <w:tcPr>
            <w:tcW w:type="dxa" w:w="3400"/>
          </w:tcPr>
          <w:p>
            <w:r>
              <w:t>CONDITION_COLUMN</w:t>
            </w:r>
          </w:p>
        </w:tc>
        <w:tc>
          <w:tcPr>
            <w:tcW w:type="dxa" w:w="5960"/>
          </w:tcPr>
          <w:p>
            <w:r>
              <w:t>Metadata column defining the comparison</w:t>
            </w:r>
          </w:p>
        </w:tc>
      </w:tr>
      <w:tr>
        <w:tc>
          <w:tcPr>
            <w:tcW w:type="dxa" w:w="3400"/>
          </w:tcPr>
          <w:p>
            <w:r>
              <w:t>CONTRASTS_LIST</w:t>
            </w:r>
          </w:p>
        </w:tc>
        <w:tc>
          <w:tcPr>
            <w:tcW w:type="dxa" w:w="5960"/>
          </w:tcPr>
          <w:p>
            <w:r>
              <w:t>Named list of group pairs to compare</w:t>
            </w:r>
          </w:p>
        </w:tc>
      </w:tr>
      <w:tr>
        <w:tc>
          <w:tcPr>
            <w:tcW w:type="dxa" w:w="3400"/>
          </w:tcPr>
          <w:p>
            <w:r>
              <w:t>USE_TWO_WAY_ANOVA</w:t>
            </w:r>
          </w:p>
        </w:tc>
        <w:tc>
          <w:tcPr>
            <w:tcW w:type="dxa" w:w="5960"/>
          </w:tcPr>
          <w:p>
            <w:r>
              <w:t>FALSE for one-way; TRUE for a formal interaction term</w:t>
            </w:r>
          </w:p>
        </w:tc>
      </w:tr>
      <w:tr>
        <w:tc>
          <w:tcPr>
            <w:tcW w:type="dxa" w:w="3400"/>
          </w:tcPr>
          <w:p>
            <w:r>
              <w:t>DE_LOGFC_THRESH</w:t>
            </w:r>
          </w:p>
        </w:tc>
        <w:tc>
          <w:tcPr>
            <w:tcW w:type="dxa" w:w="5960"/>
          </w:tcPr>
          <w:p>
            <w:r>
              <w:t>Discovery threshold for the exported tables</w:t>
            </w:r>
          </w:p>
        </w:tc>
      </w:tr>
      <w:tr>
        <w:tc>
          <w:tcPr>
            <w:tcW w:type="dxa" w:w="3400"/>
          </w:tcPr>
          <w:p>
            <w:r>
              <w:t>MIN_CELLS_GROUP</w:t>
            </w:r>
          </w:p>
        </w:tc>
        <w:tc>
          <w:tcPr>
            <w:tcW w:type="dxa" w:w="5960"/>
          </w:tcPr>
          <w:p>
            <w:r>
              <w:t>Skip a group with fewer cells than this</w:t>
            </w:r>
          </w:p>
        </w:tc>
      </w:tr>
    </w:tbl>
    <w:p>
      <w:pPr/>
    </w:p>
    <w:p>
      <w:pPr>
        <w:pStyle w:val="BodyText"/>
      </w:pPr>
      <w:r>
        <w:t>Convention: GROUP_1 is the KO or treatment level so that a positive log2FC always means upregulated in GROUP_1.</w:t>
      </w:r>
    </w:p>
    <w:p>
      <w:pPr>
        <w:pStyle w:val="BlockText"/>
      </w:pPr>
      <w:r>
        <w:t>Important: per-cell p-values are inflated by pseudoreplication, because cells from the same animal are not statistically independent. Treat them as an exploratory ranking and confirm key findings with sample-level statistics.</w:t>
      </w:r>
    </w:p>
    <w:p>
      <w:pPr>
        <w:pStyle w:val="Heading2"/>
      </w:pPr>
      <w:r>
        <w:t>11. Script 08: Cell-Cell Communication (08_cellchat.R)</w:t>
      </w:r>
    </w:p>
    <w:p>
      <w:pPr>
        <w:pStyle w:val="FirstParagraph"/>
      </w:pPr>
      <w:r>
        <w:t>Runs CellChat ligand-receptor analysis over the annotated object, identifying signaling pathways and interaction strengths between annotated cell populations, with per-condition comparison where a grouping column is supplied.</w:t>
      </w:r>
    </w:p>
    <w:p>
      <w:pPr>
        <w:pStyle w:val="BodyText"/>
      </w:pPr>
      <w:r>
        <w:t>Output: cellchat/ containing interaction networks, pathway plots and exported interaction tables.</w:t>
      </w:r>
    </w:p>
    <w:p>
      <w:pPr>
        <w:pStyle w:val="Heading2"/>
      </w:pPr>
      <w:r>
        <w:t>12. Script 09: Cell Scores (09_cell_scores.R)</w:t>
      </w:r>
    </w:p>
    <w:p>
      <w:pPr>
        <w:pStyle w:val="BodyText"/>
      </w:pPr>
      <w:r>
        <w:t>NEW in v7.0.</w:t>
      </w:r>
    </w:p>
    <w:p>
      <w:pPr>
        <w:pStyle w:val="Heading3"/>
      </w:pPr>
      <w:r>
        <w:t>12.1 Purpose</w:t>
      </w:r>
    </w:p>
    <w:p>
      <w:pPr>
        <w:pStyle w:val="FirstParagraph"/>
      </w:pPr>
      <w:r>
        <w:t>Quantifies developmental potency, stemness and transcriptional entropy per cell, from three independent angles so that no conclusion depends on a single method.</w:t>
      </w:r>
    </w:p>
    <w:tbl>
      <w:tblPr>
        <w:tblStyle w:val="Table"/>
        <w:tblW w:type="auto" w:w="0"/>
        <w:tblLayout w:type="fixed"/>
        <w:tblLook w:firstColumn="1" w:firstRow="1" w:lastColumn="0" w:lastRow="0" w:noHBand="0" w:noVBand="1" w:val="04A0"/>
      </w:tblPr>
      <w:tblGrid>
        <w:gridCol w:w="2150"/>
        <w:gridCol w:w="2150"/>
        <w:gridCol w:w="2150"/>
        <w:gridCol w:w="2910"/>
      </w:tblGrid>
      <w:tr>
        <w:tc>
          <w:tcPr>
            <w:tcW w:type="dxa" w:w="2150"/>
          </w:tcPr>
          <w:p>
            <w:r/>
            <w:r>
              <w:rPr>
                <w:b/>
              </w:rPr>
              <w:t>Method</w:t>
            </w:r>
          </w:p>
        </w:tc>
        <w:tc>
          <w:tcPr>
            <w:tcW w:type="dxa" w:w="2150"/>
          </w:tcPr>
          <w:p>
            <w:r/>
            <w:r>
              <w:rPr>
                <w:b/>
              </w:rPr>
              <w:t>Type</w:t>
            </w:r>
          </w:p>
        </w:tc>
        <w:tc>
          <w:tcPr>
            <w:tcW w:type="dxa" w:w="2150"/>
          </w:tcPr>
          <w:p>
            <w:r/>
            <w:r>
              <w:rPr>
                <w:b/>
              </w:rPr>
              <w:t>Primary outputs</w:t>
            </w:r>
          </w:p>
        </w:tc>
        <w:tc>
          <w:tcPr>
            <w:tcW w:type="dxa" w:w="2910"/>
          </w:tcPr>
          <w:p>
            <w:r/>
            <w:r>
              <w:rPr>
                <w:b/>
              </w:rPr>
              <w:t>Scale</w:t>
            </w:r>
          </w:p>
        </w:tc>
      </w:tr>
      <w:tr>
        <w:tc>
          <w:tcPr>
            <w:tcW w:type="dxa" w:w="2150"/>
          </w:tcPr>
          <w:p>
            <w:r>
              <w:t>CytoTRACE 2</w:t>
            </w:r>
          </w:p>
        </w:tc>
        <w:tc>
          <w:tcPr>
            <w:tcW w:type="dxa" w:w="2150"/>
          </w:tcPr>
          <w:p>
            <w:r>
              <w:t>Supervised deep learning</w:t>
            </w:r>
          </w:p>
        </w:tc>
        <w:tc>
          <w:tcPr>
            <w:tcW w:type="dxa" w:w="2150"/>
          </w:tcPr>
          <w:p>
            <w:r>
              <w:t>CytoTRACE2_Score, CytoTRACE2_Potency, CytoTRACE2_Relative, plus pre-KNN variants</w:t>
            </w:r>
          </w:p>
        </w:tc>
        <w:tc>
          <w:tcPr>
            <w:tcW w:type="dxa" w:w="2910"/>
          </w:tcPr>
          <w:p>
            <w:r>
              <w:t>ABSOLUTE; calibrated and comparable across datasets</w:t>
            </w:r>
          </w:p>
        </w:tc>
      </w:tr>
      <w:tr>
        <w:tc>
          <w:tcPr>
            <w:tcW w:type="dxa" w:w="2150"/>
          </w:tcPr>
          <w:p>
            <w:r>
              <w:t>CytoTRACE v1</w:t>
            </w:r>
          </w:p>
        </w:tc>
        <w:tc>
          <w:tcPr>
            <w:tcW w:type="dxa" w:w="2150"/>
          </w:tcPr>
          <w:p>
            <w:r>
              <w:t>Unsupervised, gene counts</w:t>
            </w:r>
          </w:p>
        </w:tc>
        <w:tc>
          <w:tcPr>
            <w:tcW w:type="dxa" w:w="2150"/>
          </w:tcPr>
          <w:p>
            <w:r>
              <w:t>CytoTRACE1_Score, _Rank, _GCS</w:t>
            </w:r>
          </w:p>
        </w:tc>
        <w:tc>
          <w:tcPr>
            <w:tcW w:type="dxa" w:w="2910"/>
          </w:tcPr>
          <w:p>
            <w:r>
              <w:t>Relative to this run only</w:t>
            </w:r>
          </w:p>
        </w:tc>
      </w:tr>
      <w:tr>
        <w:tc>
          <w:tcPr>
            <w:tcW w:type="dxa" w:w="2150"/>
          </w:tcPr>
          <w:p>
            <w:r>
              <w:t>Entropy</w:t>
            </w:r>
          </w:p>
        </w:tc>
        <w:tc>
          <w:tcPr>
            <w:tcW w:type="dxa" w:w="2150"/>
          </w:tcPr>
          <w:p>
            <w:r>
              <w:t>Native, no dependencies</w:t>
            </w:r>
          </w:p>
        </w:tc>
        <w:tc>
          <w:tcPr>
            <w:tcW w:type="dxa" w:w="2150"/>
          </w:tcPr>
          <w:p>
            <w:r>
              <w:t>entropy_shannon, entropy_normalized, gene_counts_score</w:t>
            </w:r>
          </w:p>
        </w:tc>
        <w:tc>
          <w:tcPr>
            <w:tcW w:type="dxa" w:w="2910"/>
          </w:tcPr>
          <w:p>
            <w:r>
              <w:t>Relative</w:t>
            </w:r>
          </w:p>
        </w:tc>
      </w:tr>
    </w:tbl>
    <w:p>
      <w:pPr/>
    </w:p>
    <w:p>
      <w:pPr>
        <w:pStyle w:val="BodyText"/>
      </w:pPr>
      <w:r>
        <w:t>All three share a sign convention: HIGHER means LESS differentiated.</w:t>
      </w:r>
    </w:p>
    <w:p>
      <w:pPr>
        <w:pStyle w:val="Heading3"/>
      </w:pPr>
      <w:r>
        <w:t>12.2 Method Background</w:t>
      </w:r>
    </w:p>
    <w:p>
      <w:pPr>
        <w:pStyle w:val="FirstParagraph"/>
      </w:pPr>
      <w:r>
        <w:t>CytoTRACE 2 (Kang et al., Nature Methods 2025) classifies cells into six potency categories - Differentiated, Unipotent, Oligopotent, Multipotent, Pluripotent, Totipotent - and returns a continuous score in [0,1]. Because the model is calibrated across 34 human and mouse datasets, its absolute outputs are directly comparable between experiments.</w:t>
      </w:r>
    </w:p>
    <w:p>
      <w:pPr>
        <w:pStyle w:val="BodyText"/>
      </w:pPr>
      <w:r>
        <w:t>CytoTRACE v1 (Gulati et al., Science 2020) rests on the observation that the number of detectably expressed genes per cell tracks differentiation state. It returns a relative ordering within the input dataset only.</w:t>
      </w:r>
    </w:p>
    <w:p>
      <w:pPr>
        <w:pStyle w:val="BodyText"/>
      </w:pPr>
      <w:r>
        <w:t>Transcriptional entropy (Teschendorff &amp; Enver, Nat Commun 2017) rests on the observation that stem and progenitor cells keep many transcriptional programs simultaneously accessible, producing a more uniform expression distribution, while differentiated cells concentrate expression into a focused lineage program. It is computed natively in this script and therefore always runs, even if both CytoTRACE packages fail to install.</w:t>
      </w:r>
    </w:p>
    <w:p>
      <w:pPr>
        <w:pStyle w:val="Heading3"/>
      </w:pPr>
      <w:r>
        <w:t>12.3 Critical Input Requirement</w:t>
      </w:r>
    </w:p>
    <w:p>
      <w:pPr>
        <w:pStyle w:val="BlockText"/>
      </w:pPr>
      <w:r>
        <w:t>CytoTRACE 2 requires RAW COUNTS or CPM/TPM. It must NOT receive log-transformed data. The script therefore reads from the counts layer, never the data layer. DecontX-corrected counts are acceptable and expected.</w:t>
      </w:r>
    </w:p>
    <w:p>
      <w:pPr>
        <w:pStyle w:val="BodyText"/>
      </w:pPr>
      <w:r>
        <w:t>A minimum of approximately 500-1000 detected genes per cell is recommended for reliable predictions. The script reports the fraction of cells below 1000 genes and warns if more than half fall below it, so the result can be weighted honestly.</w:t>
      </w:r>
    </w:p>
    <w:p>
      <w:pPr>
        <w:pStyle w:val="Heading3"/>
      </w:pPr>
      <w:r>
        <w:t>12.4 Configuration Parameters</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Parameter</w:t>
            </w:r>
          </w:p>
        </w:tc>
        <w:tc>
          <w:tcPr>
            <w:tcW w:type="dxa" w:w="1250"/>
          </w:tcPr>
          <w:p>
            <w:r/>
            <w:r>
              <w:rPr>
                <w:b/>
              </w:rPr>
              <w:t>Default</w:t>
            </w:r>
          </w:p>
        </w:tc>
        <w:tc>
          <w:tcPr>
            <w:tcW w:type="dxa" w:w="4610"/>
          </w:tcPr>
          <w:p>
            <w:r/>
            <w:r>
              <w:rPr>
                <w:b/>
              </w:rPr>
              <w:t>Description</w:t>
            </w:r>
          </w:p>
        </w:tc>
      </w:tr>
      <w:tr>
        <w:tc>
          <w:tcPr>
            <w:tcW w:type="dxa" w:w="3500"/>
          </w:tcPr>
          <w:p>
            <w:r>
              <w:t>RUN_CYTOTRACE2</w:t>
            </w:r>
          </w:p>
        </w:tc>
        <w:tc>
          <w:tcPr>
            <w:tcW w:type="dxa" w:w="1250"/>
          </w:tcPr>
          <w:p>
            <w:r>
              <w:t>TRUE</w:t>
            </w:r>
          </w:p>
        </w:tc>
        <w:tc>
          <w:tcPr>
            <w:tcW w:type="dxa" w:w="4610"/>
          </w:tcPr>
          <w:p>
            <w:r>
              <w:t>Absolute potency; the recommended primary method</w:t>
            </w:r>
          </w:p>
        </w:tc>
      </w:tr>
      <w:tr>
        <w:tc>
          <w:tcPr>
            <w:tcW w:type="dxa" w:w="3500"/>
          </w:tcPr>
          <w:p>
            <w:r>
              <w:t>RUN_CYTOTRACE1</w:t>
            </w:r>
          </w:p>
        </w:tc>
        <w:tc>
          <w:tcPr>
            <w:tcW w:type="dxa" w:w="1250"/>
          </w:tcPr>
          <w:p>
            <w:r>
              <w:t>TRUE</w:t>
            </w:r>
          </w:p>
        </w:tc>
        <w:tc>
          <w:tcPr>
            <w:tcW w:type="dxa" w:w="4610"/>
          </w:tcPr>
          <w:p>
            <w:r>
              <w:t>Optional cross-check; skipped automatically if not installed</w:t>
            </w:r>
          </w:p>
        </w:tc>
      </w:tr>
      <w:tr>
        <w:tc>
          <w:tcPr>
            <w:tcW w:type="dxa" w:w="3500"/>
          </w:tcPr>
          <w:p>
            <w:r>
              <w:t>RUN_ENTROPY</w:t>
            </w:r>
          </w:p>
        </w:tc>
        <w:tc>
          <w:tcPr>
            <w:tcW w:type="dxa" w:w="1250"/>
          </w:tcPr>
          <w:p>
            <w:r>
              <w:t>TRUE</w:t>
            </w:r>
          </w:p>
        </w:tc>
        <w:tc>
          <w:tcPr>
            <w:tcW w:type="dxa" w:w="4610"/>
          </w:tcPr>
          <w:p>
            <w:r>
              <w:t>Native metrics; no dependencies</w:t>
            </w:r>
          </w:p>
        </w:tc>
      </w:tr>
      <w:tr>
        <w:tc>
          <w:tcPr>
            <w:tcW w:type="dxa" w:w="3500"/>
          </w:tcPr>
          <w:p>
            <w:r>
              <w:t>CT2_SPECIES</w:t>
            </w:r>
          </w:p>
        </w:tc>
        <w:tc>
          <w:tcPr>
            <w:tcW w:type="dxa" w:w="1250"/>
          </w:tcPr>
          <w:p>
            <w:r>
              <w:t>"mouse"</w:t>
            </w:r>
          </w:p>
        </w:tc>
        <w:tc>
          <w:tcPr>
            <w:tcW w:type="dxa" w:w="4610"/>
          </w:tcPr>
          <w:p>
            <w:r>
              <w:t>"human" triggers internal orthology mapping</w:t>
            </w:r>
          </w:p>
        </w:tc>
      </w:tr>
      <w:tr>
        <w:tc>
          <w:tcPr>
            <w:tcW w:type="dxa" w:w="3500"/>
          </w:tcPr>
          <w:p>
            <w:r>
              <w:t>CT2_RUN_PER_SAMPLE</w:t>
            </w:r>
          </w:p>
        </w:tc>
        <w:tc>
          <w:tcPr>
            <w:tcW w:type="dxa" w:w="1250"/>
          </w:tcPr>
          <w:p>
            <w:r>
              <w:t>TRUE</w:t>
            </w:r>
          </w:p>
        </w:tc>
        <w:tc>
          <w:tcPr>
            <w:tcW w:type="dxa" w:w="4610"/>
          </w:tcPr>
          <w:p>
            <w:r>
              <w:t>Score each sample independently; see 12.5</w:t>
            </w:r>
          </w:p>
        </w:tc>
      </w:tr>
      <w:tr>
        <w:tc>
          <w:tcPr>
            <w:tcW w:type="dxa" w:w="3500"/>
          </w:tcPr>
          <w:p>
            <w:r>
              <w:t>CT2_SLOT</w:t>
            </w:r>
          </w:p>
        </w:tc>
        <w:tc>
          <w:tcPr>
            <w:tcW w:type="dxa" w:w="1250"/>
          </w:tcPr>
          <w:p>
            <w:r>
              <w:t>"counts"</w:t>
            </w:r>
          </w:p>
        </w:tc>
        <w:tc>
          <w:tcPr>
            <w:tcW w:type="dxa" w:w="4610"/>
          </w:tcPr>
          <w:p>
            <w:r>
              <w:t>Must be raw or CPM counts</w:t>
            </w:r>
          </w:p>
        </w:tc>
      </w:tr>
      <w:tr>
        <w:tc>
          <w:tcPr>
            <w:tcW w:type="dxa" w:w="3500"/>
          </w:tcPr>
          <w:p>
            <w:r>
              <w:t>CT2_NCORES</w:t>
            </w:r>
          </w:p>
        </w:tc>
        <w:tc>
          <w:tcPr>
            <w:tcW w:type="dxa" w:w="1250"/>
          </w:tcPr>
          <w:p>
            <w:r>
              <w:t>4</w:t>
            </w:r>
          </w:p>
        </w:tc>
        <w:tc>
          <w:tcPr>
            <w:tcW w:type="dxa" w:w="4610"/>
          </w:tcPr>
          <w:p>
            <w:r>
              <w:t>Reduce to 1-2 on machines with under 16 GB RAM</w:t>
            </w:r>
          </w:p>
        </w:tc>
      </w:tr>
      <w:tr>
        <w:tc>
          <w:tcPr>
            <w:tcW w:type="dxa" w:w="3500"/>
          </w:tcPr>
          <w:p>
            <w:r>
              <w:t>CT2_USE_PREKNN</w:t>
            </w:r>
          </w:p>
        </w:tc>
        <w:tc>
          <w:tcPr>
            <w:tcW w:type="dxa" w:w="1250"/>
          </w:tcPr>
          <w:p>
            <w:r>
              <w:t>FALSE</w:t>
            </w:r>
          </w:p>
        </w:tc>
        <w:tc>
          <w:tcPr>
            <w:tcW w:type="dxa" w:w="4610"/>
          </w:tcPr>
          <w:p>
            <w:r>
              <w:t>TRUE uses the unsmoothed score; set TRUE when rare populations matter</w:t>
            </w:r>
          </w:p>
        </w:tc>
      </w:tr>
      <w:tr>
        <w:tc>
          <w:tcPr>
            <w:tcW w:type="dxa" w:w="3500"/>
          </w:tcPr>
          <w:p>
            <w:r>
              <w:t>CT2_MIN_CELLS</w:t>
            </w:r>
          </w:p>
        </w:tc>
        <w:tc>
          <w:tcPr>
            <w:tcW w:type="dxa" w:w="1250"/>
          </w:tcPr>
          <w:p>
            <w:r>
              <w:t>50</w:t>
            </w:r>
          </w:p>
        </w:tc>
        <w:tc>
          <w:tcPr>
            <w:tcW w:type="dxa" w:w="4610"/>
          </w:tcPr>
          <w:p>
            <w:r>
              <w:t>Skip samples smaller than this</w:t>
            </w:r>
          </w:p>
        </w:tc>
      </w:tr>
      <w:tr>
        <w:tc>
          <w:tcPr>
            <w:tcW w:type="dxa" w:w="3500"/>
          </w:tcPr>
          <w:p>
            <w:r>
              <w:t>ENTROPY_NORMALIZE</w:t>
            </w:r>
          </w:p>
        </w:tc>
        <w:tc>
          <w:tcPr>
            <w:tcW w:type="dxa" w:w="1250"/>
          </w:tcPr>
          <w:p>
            <w:r>
              <w:t>TRUE</w:t>
            </w:r>
          </w:p>
        </w:tc>
        <w:tc>
          <w:tcPr>
            <w:tcW w:type="dxa" w:w="4610"/>
          </w:tcPr>
          <w:p>
            <w:r>
              <w:t>Divide by log(n_detected); strongly recommended</w:t>
            </w:r>
          </w:p>
        </w:tc>
      </w:tr>
      <w:tr>
        <w:tc>
          <w:tcPr>
            <w:tcW w:type="dxa" w:w="3500"/>
          </w:tcPr>
          <w:p>
            <w:r>
              <w:t>ENTROPY_MIN_GENES</w:t>
            </w:r>
          </w:p>
        </w:tc>
        <w:tc>
          <w:tcPr>
            <w:tcW w:type="dxa" w:w="1250"/>
          </w:tcPr>
          <w:p>
            <w:r>
              <w:t>200</w:t>
            </w:r>
          </w:p>
        </w:tc>
        <w:tc>
          <w:tcPr>
            <w:tcW w:type="dxa" w:w="4610"/>
          </w:tcPr>
          <w:p>
            <w:r>
              <w:t>Cells below this receive NA rather than a false-precision value</w:t>
            </w:r>
          </w:p>
        </w:tc>
      </w:tr>
    </w:tbl>
    <w:p>
      <w:pPr/>
    </w:p>
    <w:p>
      <w:pPr>
        <w:pStyle w:val="Heading3"/>
      </w:pPr>
      <w:r>
        <w:t>12.5 Batching Strategy</w:t>
      </w:r>
    </w:p>
    <w:p>
      <w:pPr>
        <w:pStyle w:val="FirstParagraph"/>
      </w:pPr>
      <w:r>
        <w:t>The CytoTRACE 2 authors recommend running separately over each dataset rather than integrating first, because the post-processing step smooths predictions using neighbouring cells and can therefore be distorted by batch effects. CT2_RUN_PER_SAMPLE = TRUE honours this.</w:t>
      </w:r>
    </w:p>
    <w:p>
      <w:pPr>
        <w:pStyle w:val="BodyText"/>
      </w:pPr>
      <w:r>
        <w:t>Absolute outputs (CytoTRACE2_Score, CytoTRACE2_Potency) remain comparable across runs. CytoTRACE2_Relative does NOT, as it is rescaled within each input.</w:t>
      </w:r>
    </w:p>
    <w:p>
      <w:pPr>
        <w:pStyle w:val="Heading3"/>
      </w:pPr>
      <w:r>
        <w:t>12.6 Why Entropy Is Normalized</w:t>
      </w:r>
    </w:p>
    <w:p>
      <w:pPr>
        <w:pStyle w:val="FirstParagraph"/>
      </w:pPr>
      <w:r>
        <w:t>Raw Shannon entropy scales with the number of detected genes, which scales with sequencing depth. Comparing raw entropy between cells therefore largely compares depth rather than biology. Dividing by the theoretical maximum, log(n_detected), yields a value in [0,1] measuring how evenly expression is distributed, independent of capture efficiency. Keep ENTROPY_NORMALIZE = TRUE unless there is a specific reason not to.</w:t>
      </w:r>
    </w:p>
    <w:p>
      <w:pPr>
        <w:pStyle w:val="Heading3"/>
      </w:pPr>
      <w:r>
        <w:t>12.7 Method Concordance Check</w:t>
      </w:r>
    </w:p>
    <w:p>
      <w:pPr>
        <w:pStyle w:val="FirstParagraph"/>
      </w:pPr>
      <w:r>
        <w:t>Every method above claims to order cells by differentiation state, and all share the same sign convention. If they measure the same underlying quantity they should correlate positively. The script computes a Spearman correlation matrix across all available scores, writes method_concordance_heatmap.png, and raises an explicit warning on any negative pair.</w:t>
      </w:r>
    </w:p>
    <w:p>
      <w:pPr>
        <w:pStyle w:val="BlockText"/>
      </w:pPr>
      <w:r>
        <w:t>Open the concordance heatmap first. A negative correlation is a red flag, not a curiosity: investigate it before interpreting any potency result. The most common cause is log-transformed data reaching CytoTRACE 2.</w:t>
      </w:r>
    </w:p>
    <w:p>
      <w:pPr>
        <w:pStyle w:val="Heading3"/>
      </w:pPr>
      <w:r>
        <w:t>12.8 Statistics</w:t>
      </w:r>
    </w:p>
    <w:p>
      <w:pPr>
        <w:pStyle w:val="FirstParagraph"/>
      </w:pPr>
      <w:r>
        <w:t>Group comparisons use Wilcoxon rank-sum for two levels and Kruskal-Wallis for more, with Benjamini-Hochberg correction applied across cell types within each score. Non-parametric tests are used throughout because potency scores are bounded and rarely normally distributed.</w:t>
      </w:r>
    </w:p>
    <w:p>
      <w:pPr>
        <w:pStyle w:val="BlockText"/>
      </w:pPr>
      <w:r>
        <w:t>These tests treat individual cells as independent replicates. They are not - cells from the same animal are correlated - so the p-values are anti-conservative. Every exported table carries this caveat in a dedicated column. Use them to rank effect sizes, then confirm anything important with a sample-level test using per-sample medians and n equal to the number of animals.</w:t>
      </w:r>
    </w:p>
    <w:p>
      <w:pPr>
        <w:pStyle w:val="Heading3"/>
      </w:pPr>
      <w:r>
        <w:t>12.9 Output Files</w:t>
      </w:r>
    </w:p>
    <w:tbl>
      <w:tblPr>
        <w:tblStyle w:val="Table"/>
        <w:tblW w:type="auto" w:w="0"/>
        <w:tblLayout w:type="fixed"/>
        <w:tblLook w:firstColumn="1" w:firstRow="1" w:lastColumn="0" w:lastRow="0" w:noHBand="0" w:noVBand="1" w:val="04A0"/>
      </w:tblPr>
      <w:tblGrid>
        <w:gridCol w:w="3400"/>
        <w:gridCol w:w="5960"/>
      </w:tblGrid>
      <w:tr>
        <w:tc>
          <w:tcPr>
            <w:tcW w:type="dxa" w:w="3400"/>
          </w:tcPr>
          <w:p>
            <w:r/>
            <w:r>
              <w:rPr>
                <w:b/>
              </w:rPr>
              <w:t>File</w:t>
            </w:r>
          </w:p>
        </w:tc>
        <w:tc>
          <w:tcPr>
            <w:tcW w:type="dxa" w:w="5960"/>
          </w:tcPr>
          <w:p>
            <w:r/>
            <w:r>
              <w:rPr>
                <w:b/>
              </w:rPr>
              <w:t>Description</w:t>
            </w:r>
          </w:p>
        </w:tc>
      </w:tr>
      <w:tr>
        <w:tc>
          <w:tcPr>
            <w:tcW w:type="dxa" w:w="3400"/>
          </w:tcPr>
          <w:p>
            <w:r>
              <w:t>&lt;PROJECT&gt;_with_cell_scores.rds</w:t>
            </w:r>
          </w:p>
        </w:tc>
        <w:tc>
          <w:tcPr>
            <w:tcW w:type="dxa" w:w="5960"/>
          </w:tcPr>
          <w:p>
            <w:r>
              <w:t>Object with all score columns added</w:t>
            </w:r>
          </w:p>
        </w:tc>
      </w:tr>
      <w:tr>
        <w:tc>
          <w:tcPr>
            <w:tcW w:type="dxa" w:w="3400"/>
          </w:tcPr>
          <w:p>
            <w:r>
              <w:t>cell_scores/method_concordance_heatmap.png</w:t>
            </w:r>
          </w:p>
        </w:tc>
        <w:tc>
          <w:tcPr>
            <w:tcW w:type="dxa" w:w="5960"/>
          </w:tcPr>
          <w:p>
            <w:r>
              <w:t>Review this first</w:t>
            </w:r>
          </w:p>
        </w:tc>
      </w:tr>
      <w:tr>
        <w:tc>
          <w:tcPr>
            <w:tcW w:type="dxa" w:w="3400"/>
          </w:tcPr>
          <w:p>
            <w:r>
              <w:t>cell_scores/umap_&lt;score&gt;.png</w:t>
            </w:r>
          </w:p>
        </w:tc>
        <w:tc>
          <w:tcPr>
            <w:tcW w:type="dxa" w:w="5960"/>
          </w:tcPr>
          <w:p>
            <w:r>
              <w:t>Score projected onto the UMAP</w:t>
            </w:r>
          </w:p>
        </w:tc>
      </w:tr>
      <w:tr>
        <w:tc>
          <w:tcPr>
            <w:tcW w:type="dxa" w:w="3400"/>
          </w:tcPr>
          <w:p>
            <w:r>
              <w:t>cell_scores/box_&lt;score&gt;_by_celltype.png</w:t>
            </w:r>
          </w:p>
        </w:tc>
        <w:tc>
          <w:tcPr>
            <w:tcW w:type="dxa" w:w="5960"/>
          </w:tcPr>
          <w:p>
            <w:r>
              <w:t>Ordered violin and box plots by cell type</w:t>
            </w:r>
          </w:p>
        </w:tc>
      </w:tr>
      <w:tr>
        <w:tc>
          <w:tcPr>
            <w:tcW w:type="dxa" w:w="3400"/>
          </w:tcPr>
          <w:p>
            <w:r>
              <w:t>cell_scores/facet_&lt;score&gt;_condition_by_celltype.png</w:t>
            </w:r>
          </w:p>
        </w:tc>
        <w:tc>
          <w:tcPr>
            <w:tcW w:type="dxa" w:w="5960"/>
          </w:tcPr>
          <w:p>
            <w:r>
              <w:t>Condition comparison within each cell type</w:t>
            </w:r>
          </w:p>
        </w:tc>
      </w:tr>
      <w:tr>
        <w:tc>
          <w:tcPr>
            <w:tcW w:type="dxa" w:w="3400"/>
          </w:tcPr>
          <w:p>
            <w:r>
              <w:t>cell_scores/composition_potency_by_&lt;group&gt;.png</w:t>
            </w:r>
          </w:p>
        </w:tc>
        <w:tc>
          <w:tcPr>
            <w:tcW w:type="dxa" w:w="5960"/>
          </w:tcPr>
          <w:p>
            <w:r>
              <w:t>Potency category composition</w:t>
            </w:r>
          </w:p>
        </w:tc>
      </w:tr>
      <w:tr>
        <w:tc>
          <w:tcPr>
            <w:tcW w:type="dxa" w:w="3400"/>
          </w:tcPr>
          <w:p>
            <w:r>
              <w:t>cell_scores/cell_scores_summary.xlsx</w:t>
            </w:r>
          </w:p>
        </w:tc>
        <w:tc>
          <w:tcPr>
            <w:tcW w:type="dxa" w:w="5960"/>
          </w:tcPr>
          <w:p>
            <w:r>
              <w:t>Per cell type, per condition and per sample summaries plus statistics</w:t>
            </w:r>
          </w:p>
        </w:tc>
      </w:tr>
      <w:tr>
        <w:tc>
          <w:tcPr>
            <w:tcW w:type="dxa" w:w="3400"/>
          </w:tcPr>
          <w:p>
            <w:r>
              <w:t>cell_scores/cell_scores_per_cell.csv.gz</w:t>
            </w:r>
          </w:p>
        </w:tc>
        <w:tc>
          <w:tcPr>
            <w:tcW w:type="dxa" w:w="5960"/>
          </w:tcPr>
          <w:p>
            <w:r>
              <w:t>Full per-cell score table</w:t>
            </w:r>
          </w:p>
        </w:tc>
      </w:tr>
    </w:tbl>
    <w:p>
      <w:pPr/>
    </w:p>
    <w:p>
      <w:pPr>
        <w:pStyle w:val="Heading2"/>
      </w:pPr>
      <w:r>
        <w:t>13. Script 10: Trajectory Inference (10_trajectory_cellrank.R)</w:t>
      </w:r>
    </w:p>
    <w:p>
      <w:pPr>
        <w:pStyle w:val="BodyText"/>
      </w:pPr>
      <w:r>
        <w:t>NEW in v7.0.</w:t>
      </w:r>
    </w:p>
    <w:p>
      <w:pPr>
        <w:pStyle w:val="Heading3"/>
      </w:pPr>
      <w:r>
        <w:t>13.1 Purpose</w:t>
      </w:r>
    </w:p>
    <w:p>
      <w:pPr>
        <w:pStyle w:val="FirstParagraph"/>
      </w:pPr>
      <w:r>
        <w:t>Script 09 asks how potent each cell is. Script 10 asks where each cell is going. CellRank models differentiation as a Markov chain over cells; the CytoTRACEKernel derives directionality from a CytoTRACE-style gene-count score.</w:t>
      </w:r>
    </w:p>
    <w:p>
      <w:pPr>
        <w:pStyle w:val="BodyText"/>
      </w:pPr>
      <w:r>
        <w:t>This matters practically: the CytoTRACEKernel requires no RNA velocity, and therefore no spliced and unspliced count layers. Standard Cell Ranger output contains no velocity information, so velocity-based kernels would require re-processing through velocyto or kallisto. The CytoTRACEKernel avoids that entirely.</w:t>
      </w:r>
    </w:p>
    <w:p>
      <w:pPr>
        <w:pStyle w:val="BodyText"/>
      </w:pPr>
      <w:r>
        <w:t>From the transition matrix CellRank computes terminal states, initial states, per-cell fate probabilities toward each terminal state, and a pseudotime ordering.</w:t>
      </w:r>
    </w:p>
    <w:p>
      <w:pPr>
        <w:pStyle w:val="Heading3"/>
      </w:pPr>
      <w:r>
        <w:t>13.2 Python Integration</w:t>
      </w:r>
    </w:p>
    <w:p>
      <w:pPr>
        <w:pStyle w:val="FirstParagraph"/>
      </w:pPr>
      <w:r>
        <w:t>CellRank and scanpy are Python-only; there is no R port. The script embeds a Python interpreter through reticulate so the workflow stays in one script and one object rather than a manual R to h5ad to Jupyter round trip.</w:t>
      </w:r>
    </w:p>
    <w:p>
      <w:pPr>
        <w:pStyle w:val="BodyText"/>
      </w:pPr>
      <w:r>
        <w:t>The environment is NOT created automatically. Building conda environments from inside an analysis script is a reliable way to corrupt a working setup. Create it once per Section 2.3, then set PYTHON_ENV.</w:t>
      </w:r>
    </w:p>
    <w:p>
      <w:pPr>
        <w:pStyle w:val="BodyText"/>
      </w:pPr>
      <w:r>
        <w:t>The script verifies every required Python module BEFORE performing any work, so a misconfiguration fails within seconds with an actionable message rather than after loading a large object.</w:t>
      </w:r>
    </w:p>
    <w:p>
      <w:pPr>
        <w:pStyle w:val="BlockText"/>
      </w:pPr>
      <w:r>
        <w:t>Note that reticulate binds a Python interpreter once per R session and cannot switch afterwards. If the wrong interpreter is bound, restart R; changing the variable alone will not help.</w:t>
      </w:r>
    </w:p>
    <w:p>
      <w:pPr>
        <w:pStyle w:val="Heading3"/>
      </w:pPr>
      <w:r>
        <w:t>13.3 Configuration Parameters</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Parameter</w:t>
            </w:r>
          </w:p>
        </w:tc>
        <w:tc>
          <w:tcPr>
            <w:tcW w:type="dxa" w:w="1250"/>
          </w:tcPr>
          <w:p>
            <w:r/>
            <w:r>
              <w:rPr>
                <w:b/>
              </w:rPr>
              <w:t>Default</w:t>
            </w:r>
          </w:p>
        </w:tc>
        <w:tc>
          <w:tcPr>
            <w:tcW w:type="dxa" w:w="4610"/>
          </w:tcPr>
          <w:p>
            <w:r/>
            <w:r>
              <w:rPr>
                <w:b/>
              </w:rPr>
              <w:t>Description</w:t>
            </w:r>
          </w:p>
        </w:tc>
      </w:tr>
      <w:tr>
        <w:tc>
          <w:tcPr>
            <w:tcW w:type="dxa" w:w="3500"/>
          </w:tcPr>
          <w:p>
            <w:r>
              <w:t>PYTHON_ENV_TYPE</w:t>
            </w:r>
          </w:p>
        </w:tc>
        <w:tc>
          <w:tcPr>
            <w:tcW w:type="dxa" w:w="1250"/>
          </w:tcPr>
          <w:p>
            <w:r>
              <w:t>"conda"</w:t>
            </w:r>
          </w:p>
        </w:tc>
        <w:tc>
          <w:tcPr>
            <w:tcW w:type="dxa" w:w="4610"/>
          </w:tcPr>
          <w:p>
            <w:r>
              <w:t>"conda", "virtualenv", "python" or "auto"</w:t>
            </w:r>
          </w:p>
        </w:tc>
      </w:tr>
      <w:tr>
        <w:tc>
          <w:tcPr>
            <w:tcW w:type="dxa" w:w="3500"/>
          </w:tcPr>
          <w:p>
            <w:r>
              <w:t>PYTHON_ENV</w:t>
            </w:r>
          </w:p>
        </w:tc>
        <w:tc>
          <w:tcPr>
            <w:tcW w:type="dxa" w:w="1250"/>
          </w:tcPr>
          <w:p>
            <w:r>
              <w:t>"cellrank_env"</w:t>
            </w:r>
          </w:p>
        </w:tc>
        <w:tc>
          <w:tcPr>
            <w:tcW w:type="dxa" w:w="4610"/>
          </w:tcPr>
          <w:p>
            <w:r>
              <w:t>Must match the environment created in Section 2.3</w:t>
            </w:r>
          </w:p>
        </w:tc>
      </w:tr>
      <w:tr>
        <w:tc>
          <w:tcPr>
            <w:tcW w:type="dxa" w:w="3500"/>
          </w:tcPr>
          <w:p>
            <w:r>
              <w:t>SUBSET_TO</w:t>
            </w:r>
          </w:p>
        </w:tc>
        <w:tc>
          <w:tcPr>
            <w:tcW w:type="dxa" w:w="1250"/>
          </w:tcPr>
          <w:p>
            <w:r>
              <w:t>NULL</w:t>
            </w:r>
          </w:p>
        </w:tc>
        <w:tc>
          <w:tcPr>
            <w:tcW w:type="dxa" w:w="4610"/>
          </w:tcPr>
          <w:p>
            <w:r>
              <w:t>Cell types to retain. See the warning in 13.4</w:t>
            </w:r>
          </w:p>
        </w:tc>
      </w:tr>
      <w:tr>
        <w:tc>
          <w:tcPr>
            <w:tcW w:type="dxa" w:w="3500"/>
          </w:tcPr>
          <w:p>
            <w:r>
              <w:t>SUBSET_CONDITION</w:t>
            </w:r>
          </w:p>
        </w:tc>
        <w:tc>
          <w:tcPr>
            <w:tcW w:type="dxa" w:w="1250"/>
          </w:tcPr>
          <w:p>
            <w:r>
              <w:t>NULL</w:t>
            </w:r>
          </w:p>
        </w:tc>
        <w:tc>
          <w:tcPr>
            <w:tcW w:type="dxa" w:w="4610"/>
          </w:tcPr>
          <w:p>
            <w:r>
              <w:t>Optionally restrict to one experimental group</w:t>
            </w:r>
          </w:p>
        </w:tc>
      </w:tr>
      <w:tr>
        <w:tc>
          <w:tcPr>
            <w:tcW w:type="dxa" w:w="3500"/>
          </w:tcPr>
          <w:p>
            <w:r>
              <w:t>MAX_CELLS</w:t>
            </w:r>
          </w:p>
        </w:tc>
        <w:tc>
          <w:tcPr>
            <w:tcW w:type="dxa" w:w="1250"/>
          </w:tcPr>
          <w:p>
            <w:r>
              <w:t>30000</w:t>
            </w:r>
          </w:p>
        </w:tc>
        <w:tc>
          <w:tcPr>
            <w:tcW w:type="dxa" w:w="4610"/>
          </w:tcPr>
          <w:p>
            <w:r>
              <w:t>Downsample above this; CellRank's dense operations grow quickly</w:t>
            </w:r>
          </w:p>
        </w:tc>
      </w:tr>
      <w:tr>
        <w:tc>
          <w:tcPr>
            <w:tcW w:type="dxa" w:w="3500"/>
          </w:tcPr>
          <w:p>
            <w:r>
              <w:t>USE_HARMONY_EMBEDDING</w:t>
            </w:r>
          </w:p>
        </w:tc>
        <w:tc>
          <w:tcPr>
            <w:tcW w:type="dxa" w:w="1250"/>
          </w:tcPr>
          <w:p>
            <w:r>
              <w:t>TRUE</w:t>
            </w:r>
          </w:p>
        </w:tc>
        <w:tc>
          <w:tcPr>
            <w:tcW w:type="dxa" w:w="4610"/>
          </w:tcPr>
          <w:p>
            <w:r>
              <w:t>Reuse the batch-corrected embedding from Script 01</w:t>
            </w:r>
          </w:p>
        </w:tc>
      </w:tr>
      <w:tr>
        <w:tc>
          <w:tcPr>
            <w:tcW w:type="dxa" w:w="3500"/>
          </w:tcPr>
          <w:p>
            <w:r>
              <w:t>CT_IMPUTE_METHOD</w:t>
            </w:r>
          </w:p>
        </w:tc>
        <w:tc>
          <w:tcPr>
            <w:tcW w:type="dxa" w:w="1250"/>
          </w:tcPr>
          <w:p>
            <w:r>
              <w:t>"moments"</w:t>
            </w:r>
          </w:p>
        </w:tc>
        <w:tc>
          <w:tcPr>
            <w:tcW w:type="dxa" w:w="4610"/>
          </w:tcPr>
          <w:p>
            <w:r>
              <w:t>Smoothing for the kernel: "moments", "cellmapper" or "none"</w:t>
            </w:r>
          </w:p>
        </w:tc>
      </w:tr>
      <w:tr>
        <w:tc>
          <w:tcPr>
            <w:tcW w:type="dxa" w:w="3500"/>
          </w:tcPr>
          <w:p>
            <w:r>
              <w:t>N_STATES</w:t>
            </w:r>
          </w:p>
        </w:tc>
        <w:tc>
          <w:tcPr>
            <w:tcW w:type="dxa" w:w="1250"/>
          </w:tcPr>
          <w:p>
            <w:r>
              <w:t>5</w:t>
            </w:r>
          </w:p>
        </w:tc>
        <w:tc>
          <w:tcPr>
            <w:tcW w:type="dxa" w:w="4610"/>
          </w:tcPr>
          <w:p>
            <w:r>
              <w:t>Macrostates to compute</w:t>
            </w:r>
          </w:p>
        </w:tc>
      </w:tr>
      <w:tr>
        <w:tc>
          <w:tcPr>
            <w:tcW w:type="dxa" w:w="3500"/>
          </w:tcPr>
          <w:p>
            <w:r>
              <w:t>N_TERMINAL_STATES</w:t>
            </w:r>
          </w:p>
        </w:tc>
        <w:tc>
          <w:tcPr>
            <w:tcW w:type="dxa" w:w="1250"/>
          </w:tcPr>
          <w:p>
            <w:r>
              <w:t>3</w:t>
            </w:r>
          </w:p>
        </w:tc>
        <w:tc>
          <w:tcPr>
            <w:tcW w:type="dxa" w:w="4610"/>
          </w:tcPr>
          <w:p>
            <w:r>
              <w:t>How many to designate terminal</w:t>
            </w:r>
          </w:p>
        </w:tc>
      </w:tr>
    </w:tbl>
    <w:p>
      <w:pPr/>
    </w:p>
    <w:p>
      <w:pPr>
        <w:pStyle w:val="Heading3"/>
      </w:pPr>
      <w:r>
        <w:t>13.4 Choosing a Subset</w:t>
      </w:r>
    </w:p>
    <w:p>
      <w:pPr>
        <w:pStyle w:val="FirstParagraph"/>
      </w:pPr>
      <w:r>
        <w:t>Trajectory inference is only meaningful within a connected differentiation hierarchy. Running it across unrelated lineages produces modelled transitions between cell types that cannot interconvert - T cells becoming colonocytes - and the resulting fate probabilities are meaningless.</w:t>
      </w:r>
    </w:p>
    <w:p>
      <w:pPr>
        <w:pStyle w:val="BlockText"/>
      </w:pPr>
      <w:r>
        <w:t>Set SUBSET_TO to a single hierarchy before running. The script emits a prominent warning if it is left NULL.</w:t>
      </w:r>
    </w:p>
    <w:p>
      <w:pPr>
        <w:pStyle w:val="SourceCode"/>
      </w:pPr>
      <w:r>
        <w:t>SUBSET_TO &lt;- c("Stem cells", "TA cells", "Colonocytes", "Goblet cells")</w:t>
      </w:r>
    </w:p>
    <w:p>
      <w:pPr>
        <w:pStyle w:val="Heading3"/>
      </w:pPr>
      <w:r>
        <w:t>13.5 Why the Harmony Embedding Is Reused</w:t>
      </w:r>
    </w:p>
    <w:p>
      <w:pPr>
        <w:pStyle w:val="FirstParagraph"/>
      </w:pPr>
      <w:r>
        <w:t>With USE_HARMONY_EMBEDDING = TRUE the neighbour graph is built on the batch-corrected space from Script 01. Without it, cells from different animals separate in PCA space and CellRank interprets that batch structure as a differentiation axis, producing branches that reflect sample of origin rather than biology.</w:t>
      </w:r>
    </w:p>
    <w:p>
      <w:pPr>
        <w:pStyle w:val="Heading3"/>
      </w:pPr>
      <w:r>
        <w:t>13.6 Implementation Notes</w:t>
      </w:r>
    </w:p>
    <w:p>
      <w:pPr>
        <w:pStyle w:val="FirstParagraph"/>
      </w:pPr>
      <w:r>
        <w:t>Seurat to AnnData conversion is performed directly rather than through SeuratDisk, which is unmaintained and breaks regularly on Seurat v5 objects. The direct construction requires more code but adds no dependency and no version fragility.</w:t>
      </w:r>
    </w:p>
    <w:p>
      <w:pPr>
        <w:pStyle w:val="BodyText"/>
      </w:pPr>
      <w:r>
        <w:t>The CytoTRACEKernel requires a smoothed expression layer, because on raw sparse data the gene-count correlations are dominated by dropout. CT_IMPUTE_METHOD controls how that layer is produced.</w:t>
      </w:r>
    </w:p>
    <w:p>
      <w:pPr>
        <w:pStyle w:val="Heading3"/>
      </w:pPr>
      <w:r>
        <w:t>13.7 Output Files</w:t>
      </w:r>
    </w:p>
    <w:tbl>
      <w:tblPr>
        <w:tblStyle w:val="Table"/>
        <w:tblW w:type="auto" w:w="0"/>
        <w:tblLayout w:type="fixed"/>
        <w:tblLook w:firstColumn="1" w:firstRow="1" w:lastColumn="0" w:lastRow="0" w:noHBand="0" w:noVBand="1" w:val="04A0"/>
      </w:tblPr>
      <w:tblGrid>
        <w:gridCol w:w="3400"/>
        <w:gridCol w:w="5960"/>
      </w:tblGrid>
      <w:tr>
        <w:tc>
          <w:tcPr>
            <w:tcW w:type="dxa" w:w="3400"/>
          </w:tcPr>
          <w:p>
            <w:r/>
            <w:r>
              <w:rPr>
                <w:b/>
              </w:rPr>
              <w:t>File</w:t>
            </w:r>
          </w:p>
        </w:tc>
        <w:tc>
          <w:tcPr>
            <w:tcW w:type="dxa" w:w="5960"/>
          </w:tcPr>
          <w:p>
            <w:r/>
            <w:r>
              <w:rPr>
                <w:b/>
              </w:rPr>
              <w:t>Description</w:t>
            </w:r>
          </w:p>
        </w:tc>
      </w:tr>
      <w:tr>
        <w:tc>
          <w:tcPr>
            <w:tcW w:type="dxa" w:w="3400"/>
          </w:tcPr>
          <w:p>
            <w:r>
              <w:t>&lt;PROJECT&gt;_with_trajectory.rds</w:t>
            </w:r>
          </w:p>
        </w:tc>
        <w:tc>
          <w:tcPr>
            <w:tcW w:type="dxa" w:w="5960"/>
          </w:tcPr>
          <w:p>
            <w:r>
              <w:t>Object with pseudotime and fate probability columns</w:t>
            </w:r>
          </w:p>
        </w:tc>
      </w:tr>
      <w:tr>
        <w:tc>
          <w:tcPr>
            <w:tcW w:type="dxa" w:w="3400"/>
          </w:tcPr>
          <w:p>
            <w:r>
              <w:t>trajectory/umap_cellrank_ct_pseudotime.png</w:t>
            </w:r>
          </w:p>
        </w:tc>
        <w:tc>
          <w:tcPr>
            <w:tcW w:type="dxa" w:w="5960"/>
          </w:tcPr>
          <w:p>
            <w:r>
              <w:t>Pseudotime on the UMAP</w:t>
            </w:r>
          </w:p>
        </w:tc>
      </w:tr>
      <w:tr>
        <w:tc>
          <w:tcPr>
            <w:tcW w:type="dxa" w:w="3400"/>
          </w:tcPr>
          <w:p>
            <w:r>
              <w:t>trajectory/umap_fate_dominant.png</w:t>
            </w:r>
          </w:p>
        </w:tc>
        <w:tc>
          <w:tcPr>
            <w:tcW w:type="dxa" w:w="5960"/>
          </w:tcPr>
          <w:p>
            <w:r>
              <w:t>Dominant predicted fate per cell</w:t>
            </w:r>
          </w:p>
        </w:tc>
      </w:tr>
      <w:tr>
        <w:tc>
          <w:tcPr>
            <w:tcW w:type="dxa" w:w="3400"/>
          </w:tcPr>
          <w:p>
            <w:r>
              <w:t>trajectory/pseudotime_by_celltype.png</w:t>
            </w:r>
          </w:p>
        </w:tc>
        <w:tc>
          <w:tcPr>
            <w:tcW w:type="dxa" w:w="5960"/>
          </w:tcPr>
          <w:p>
            <w:r>
              <w:t>Ordered pseudotime distribution by cell type</w:t>
            </w:r>
          </w:p>
        </w:tc>
      </w:tr>
      <w:tr>
        <w:tc>
          <w:tcPr>
            <w:tcW w:type="dxa" w:w="3400"/>
          </w:tcPr>
          <w:p>
            <w:r>
              <w:t>trajectory/macrostates.png, terminal_states.png</w:t>
            </w:r>
          </w:p>
        </w:tc>
        <w:tc>
          <w:tcPr>
            <w:tcW w:type="dxa" w:w="5960"/>
          </w:tcPr>
          <w:p>
            <w:r>
              <w:t>CellRank state plots</w:t>
            </w:r>
          </w:p>
        </w:tc>
      </w:tr>
      <w:tr>
        <w:tc>
          <w:tcPr>
            <w:tcW w:type="dxa" w:w="3400"/>
          </w:tcPr>
          <w:p>
            <w:r>
              <w:t>trajectory/trajectory_summary.xlsx</w:t>
            </w:r>
          </w:p>
        </w:tc>
        <w:tc>
          <w:tcPr>
            <w:tcW w:type="dxa" w:w="5960"/>
          </w:tcPr>
          <w:p>
            <w:r>
              <w:t>Per cell type and per condition summaries</w:t>
            </w:r>
          </w:p>
        </w:tc>
      </w:tr>
      <w:tr>
        <w:tc>
          <w:tcPr>
            <w:tcW w:type="dxa" w:w="3400"/>
          </w:tcPr>
          <w:p>
            <w:r>
              <w:t>trajectory/adata_cellrank.h5ad</w:t>
            </w:r>
          </w:p>
        </w:tc>
        <w:tc>
          <w:tcPr>
            <w:tcW w:type="dxa" w:w="5960"/>
          </w:tcPr>
          <w:p>
            <w:r>
              <w:t>AnnData object for follow-up work in Python</w:t>
            </w:r>
          </w:p>
        </w:tc>
      </w:tr>
    </w:tbl>
    <w:p>
      <w:pPr/>
    </w:p>
    <w:p>
      <w:pPr>
        <w:pStyle w:val="BlockText"/>
      </w:pPr>
      <w:r>
        <w:t>Interpretation: cellrank_ct_pseudotime is 1 minus the CytoTRACE score, so LOW values indicate less differentiated cells. Terminal states are statistical endpoints of the Markov chain, not proven biology; cross-check them against known markers before drawing conclusions.</w:t>
      </w:r>
    </w:p>
    <w:p>
      <w:pPr>
        <w:pStyle w:val="Heading2"/>
      </w:pPr>
      <w:r>
        <w:t>14. Cell Type Marker Reference</w:t>
      </w:r>
    </w:p>
    <w:p>
      <w:pPr>
        <w:pStyle w:val="FirstParagraph"/>
      </w:pPr>
      <w:r>
        <w:t>Markers are defined in cell_type_markers.csv, one row per cell type and marker combination. Editing the CSV is the supported way to change annotation behaviour; no script edits are required.</w:t>
      </w:r>
    </w:p>
    <w:tbl>
      <w:tblPr>
        <w:tblStyle w:val="Table"/>
        <w:tblW w:type="auto" w:w="0"/>
        <w:tblLayout w:type="fixed"/>
        <w:tblLook w:firstColumn="1" w:firstRow="1" w:lastColumn="0" w:lastRow="0" w:noHBand="0" w:noVBand="1" w:val="04A0"/>
      </w:tblPr>
      <w:tblGrid>
        <w:gridCol w:w="3400"/>
        <w:gridCol w:w="5960"/>
      </w:tblGrid>
      <w:tr>
        <w:tc>
          <w:tcPr>
            <w:tcW w:type="dxa" w:w="3400"/>
          </w:tcPr>
          <w:p>
            <w:r/>
            <w:r>
              <w:rPr>
                <w:b/>
              </w:rPr>
              <w:t>Column</w:t>
            </w:r>
          </w:p>
        </w:tc>
        <w:tc>
          <w:tcPr>
            <w:tcW w:type="dxa" w:w="5960"/>
          </w:tcPr>
          <w:p>
            <w:r/>
            <w:r>
              <w:rPr>
                <w:b/>
              </w:rPr>
              <w:t>Description</w:t>
            </w:r>
          </w:p>
        </w:tc>
      </w:tr>
      <w:tr>
        <w:tc>
          <w:tcPr>
            <w:tcW w:type="dxa" w:w="3400"/>
          </w:tcPr>
          <w:p>
            <w:r>
              <w:t>cell_type</w:t>
            </w:r>
          </w:p>
        </w:tc>
        <w:tc>
          <w:tcPr>
            <w:tcW w:type="dxa" w:w="5960"/>
          </w:tcPr>
          <w:p>
            <w:r>
              <w:t>Display name, e.g. T cells</w:t>
            </w:r>
          </w:p>
        </w:tc>
      </w:tr>
      <w:tr>
        <w:tc>
          <w:tcPr>
            <w:tcW w:type="dxa" w:w="3400"/>
          </w:tcPr>
          <w:p>
            <w:r>
              <w:t>parent_cell_type</w:t>
            </w:r>
          </w:p>
        </w:tc>
        <w:tc>
          <w:tcPr>
            <w:tcW w:type="dxa" w:w="5960"/>
          </w:tcPr>
          <w:p>
            <w:r>
              <w:t>Broad type this sub-type belongs to; equals cell_type for broad markers</w:t>
            </w:r>
          </w:p>
        </w:tc>
      </w:tr>
      <w:tr>
        <w:tc>
          <w:tcPr>
            <w:tcW w:type="dxa" w:w="3400"/>
          </w:tcPr>
          <w:p>
            <w:r>
              <w:t>tier</w:t>
            </w:r>
          </w:p>
        </w:tc>
        <w:tc>
          <w:tcPr>
            <w:tcW w:type="dxa" w:w="5960"/>
          </w:tcPr>
          <w:p>
            <w:r>
              <w:t>broad or sub</w:t>
            </w:r>
          </w:p>
        </w:tc>
      </w:tr>
      <w:tr>
        <w:tc>
          <w:tcPr>
            <w:tcW w:type="dxa" w:w="3400"/>
          </w:tcPr>
          <w:p>
            <w:r>
              <w:t>markers</w:t>
            </w:r>
          </w:p>
        </w:tc>
        <w:tc>
          <w:tcPr>
            <w:tcW w:type="dxa" w:w="5960"/>
          </w:tcPr>
          <w:p>
            <w:r>
              <w:t>Pipe-separated gene symbols, e.g. Cd3e|Cd3d|Cd3g</w:t>
            </w:r>
          </w:p>
        </w:tc>
      </w:tr>
      <w:tr>
        <w:tc>
          <w:tcPr>
            <w:tcW w:type="dxa" w:w="3400"/>
          </w:tcPr>
          <w:p>
            <w:r>
              <w:t>subcluster_resolution</w:t>
            </w:r>
          </w:p>
        </w:tc>
        <w:tc>
          <w:tcPr>
            <w:tcW w:type="dxa" w:w="5960"/>
          </w:tcPr>
          <w:p>
            <w:r>
              <w:t>Leiden resolution used for sub-clustering this type</w:t>
            </w:r>
          </w:p>
        </w:tc>
      </w:tr>
    </w:tbl>
    <w:p>
      <w:pPr/>
    </w:p>
    <w:p>
      <w:pPr>
        <w:pStyle w:val="BodyText"/>
      </w:pPr>
      <w:r>
        <w:t>The file supplies broad cell type markers plus sub-type markers for colonocytes, T cells, macrophages and fibroblasts.</w:t>
      </w:r>
    </w:p>
    <w:p>
      <w:pPr>
        <w:pStyle w:val="Heading2"/>
      </w:pPr>
      <w:r>
        <w:t>15. Troubleshooting</w:t>
      </w:r>
    </w:p>
    <w:p>
      <w:pPr>
        <w:pStyle w:val="Heading3"/>
      </w:pPr>
      <w:r>
        <w:t>15.1 Installation</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Symptom</w:t>
            </w:r>
          </w:p>
        </w:tc>
        <w:tc>
          <w:tcPr>
            <w:tcW w:type="dxa" w:w="1250"/>
          </w:tcPr>
          <w:p>
            <w:r/>
            <w:r>
              <w:rPr>
                <w:b/>
              </w:rPr>
              <w:t>Cause</w:t>
            </w:r>
          </w:p>
        </w:tc>
        <w:tc>
          <w:tcPr>
            <w:tcW w:type="dxa" w:w="4610"/>
          </w:tcPr>
          <w:p>
            <w:r/>
            <w:r>
              <w:rPr>
                <w:b/>
              </w:rPr>
              <w:t>Resolution</w:t>
            </w:r>
          </w:p>
        </w:tc>
      </w:tr>
      <w:tr>
        <w:tc>
          <w:tcPr>
            <w:tcW w:type="dxa" w:w="3500"/>
          </w:tcPr>
          <w:p>
            <w:r>
              <w:t>Script 00 stops with MISSING CRITICAL PACKAGES</w:t>
            </w:r>
          </w:p>
        </w:tc>
        <w:tc>
          <w:tcPr>
            <w:tcW w:type="dxa" w:w="1250"/>
          </w:tcPr>
          <w:p>
            <w:r>
              <w:t>A dependency failed to build</w:t>
            </w:r>
          </w:p>
        </w:tc>
        <w:tc>
          <w:tcPr>
            <w:tcW w:type="dxa" w:w="4610"/>
          </w:tcPr>
          <w:p>
            <w:r>
              <w:t>Install the listed packages manually; see INSTALL_NOTES.md</w:t>
            </w:r>
          </w:p>
        </w:tc>
      </w:tr>
      <w:tr>
        <w:tc>
          <w:tcPr>
            <w:tcW w:type="dxa" w:w="3500"/>
          </w:tcPr>
          <w:p>
            <w:r>
              <w:t>CytoTRACE2: does not appear to be a package</w:t>
            </w:r>
          </w:p>
        </w:tc>
        <w:tc>
          <w:tcPr>
            <w:tcW w:type="dxa" w:w="1250"/>
          </w:tcPr>
          <w:p>
            <w:r>
              <w:t>subdir argument omitted</w:t>
            </w:r>
          </w:p>
        </w:tc>
        <w:tc>
          <w:tcPr>
            <w:tcW w:type="dxa" w:w="4610"/>
          </w:tcPr>
          <w:p>
            <w:r>
              <w:t>Add subdir = "cytotrace2_r"</w:t>
            </w:r>
          </w:p>
        </w:tc>
      </w:tr>
      <w:tr>
        <w:tc>
          <w:tcPr>
            <w:tcW w:type="dxa" w:w="3500"/>
          </w:tcPr>
          <w:p>
            <w:r>
              <w:t>could not find function paramSweep</w:t>
            </w:r>
          </w:p>
        </w:tc>
        <w:tc>
          <w:tcPr>
            <w:tcW w:type="dxa" w:w="1250"/>
          </w:tcPr>
          <w:p>
            <w:r>
              <w:t>Old DoubletFinder version installed</w:t>
            </w:r>
          </w:p>
        </w:tc>
        <w:tc>
          <w:tcPr>
            <w:tcW w:type="dxa" w:w="4610"/>
          </w:tcPr>
          <w:p>
            <w:r>
              <w:t>Reinstall from GitHub with force = TRUE</w:t>
            </w:r>
          </w:p>
        </w:tc>
      </w:tr>
      <w:tr>
        <w:tc>
          <w:tcPr>
            <w:tcW w:type="dxa" w:w="3500"/>
          </w:tcPr>
          <w:p>
            <w:r>
              <w:t>library(BPCells) fails</w:t>
            </w:r>
          </w:p>
        </w:tc>
        <w:tc>
          <w:tcPr>
            <w:tcW w:type="dxa" w:w="1250"/>
          </w:tcPr>
          <w:p>
            <w:r>
              <w:t>BPCells not installed</w:t>
            </w:r>
          </w:p>
        </w:tc>
        <w:tc>
          <w:tcPr>
            <w:tcW w:type="dxa" w:w="4610"/>
          </w:tcPr>
          <w:p>
            <w:r>
              <w:t>Set USE_BPCELLS &lt;- FALSE, or install HDF5 development headers</w:t>
            </w:r>
          </w:p>
        </w:tc>
      </w:tr>
    </w:tbl>
    <w:p>
      <w:pPr/>
    </w:p>
    <w:p>
      <w:pPr>
        <w:pStyle w:val="Heading3"/>
      </w:pPr>
      <w:r>
        <w:t>15.2 Script 01</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Symptom</w:t>
            </w:r>
          </w:p>
        </w:tc>
        <w:tc>
          <w:tcPr>
            <w:tcW w:type="dxa" w:w="1250"/>
          </w:tcPr>
          <w:p>
            <w:r/>
            <w:r>
              <w:rPr>
                <w:b/>
              </w:rPr>
              <w:t>Cause</w:t>
            </w:r>
          </w:p>
        </w:tc>
        <w:tc>
          <w:tcPr>
            <w:tcW w:type="dxa" w:w="4610"/>
          </w:tcPr>
          <w:p>
            <w:r/>
            <w:r>
              <w:rPr>
                <w:b/>
              </w:rPr>
              <w:t>Resolution</w:t>
            </w:r>
          </w:p>
        </w:tc>
      </w:tr>
      <w:tr>
        <w:tc>
          <w:tcPr>
            <w:tcW w:type="dxa" w:w="3500"/>
          </w:tcPr>
          <w:p>
            <w:r>
              <w:t>Stops immediately with CONFIGURATION ERRORS</w:t>
            </w:r>
          </w:p>
        </w:tc>
        <w:tc>
          <w:tcPr>
            <w:tcW w:type="dxa" w:w="1250"/>
          </w:tcPr>
          <w:p>
            <w:r>
              <w:t>Invalid Section 1.4 combination</w:t>
            </w:r>
          </w:p>
        </w:tc>
        <w:tc>
          <w:tcPr>
            <w:tcW w:type="dxa" w:w="4610"/>
          </w:tcPr>
          <w:p>
            <w:r>
              <w:t>Read the message; usually the rollback threshold sits at or below the doublet rate</w:t>
            </w:r>
          </w:p>
        </w:tc>
      </w:tr>
      <w:tr>
        <w:tc>
          <w:tcPr>
            <w:tcW w:type="dxa" w:w="3500"/>
          </w:tcPr>
          <w:p>
            <w:r>
              <w:t>Every sample shows ROLLBACK_APPLIED</w:t>
            </w:r>
          </w:p>
        </w:tc>
        <w:tc>
          <w:tcPr>
            <w:tcW w:type="dxa" w:w="1250"/>
          </w:tcPr>
          <w:p>
            <w:r>
              <w:t>Doublet rate too close to the rollback threshold</w:t>
            </w:r>
          </w:p>
        </w:tc>
        <w:tc>
          <w:tcPr>
            <w:tcW w:type="dxa" w:w="4610"/>
          </w:tcPr>
          <w:p>
            <w:r>
              <w:t>Use DOUBLET_RATE &lt;- "auto", or lower the rate</w:t>
            </w:r>
          </w:p>
        </w:tc>
      </w:tr>
      <w:tr>
        <w:tc>
          <w:tcPr>
            <w:tcW w:type="dxa" w:w="3500"/>
          </w:tcPr>
          <w:p>
            <w:r>
              <w:t>Doublet removal deletes real biology</w:t>
            </w:r>
          </w:p>
        </w:tc>
        <w:tc>
          <w:tcPr>
            <w:tcW w:type="dxa" w:w="1250"/>
          </w:tcPr>
          <w:p>
            <w:r>
              <w:t>Method too aggressive for this data</w:t>
            </w:r>
          </w:p>
        </w:tc>
        <w:tc>
          <w:tcPr>
            <w:tcW w:type="dxa" w:w="4610"/>
          </w:tcPr>
          <w:p>
            <w:r>
              <w:t>Switch to DoubletFinder, confirm DF_HOMOTYPIC_ADJUST is TRUE, lower the rate</w:t>
            </w:r>
          </w:p>
        </w:tc>
      </w:tr>
      <w:tr>
        <w:tc>
          <w:tcPr>
            <w:tcW w:type="dxa" w:w="3500"/>
          </w:tcPr>
          <w:p>
            <w:r>
              <w:t>HARDCODED_FALLBACK on many samples</w:t>
            </w:r>
          </w:p>
        </w:tc>
        <w:tc>
          <w:tcPr>
            <w:tcW w:type="dxa" w:w="1250"/>
          </w:tcPr>
          <w:p>
            <w:r>
              <w:t>BCmetric curve has no in-range peak</w:t>
            </w:r>
          </w:p>
        </w:tc>
        <w:tc>
          <w:tcPr>
            <w:tcW w:type="dxa" w:w="4610"/>
          </w:tcPr>
          <w:p>
            <w:r>
              <w:t>Inspect pK plots; widen DF_PK_RANGE_MAX if the true peak sits just outside</w:t>
            </w:r>
          </w:p>
        </w:tc>
      </w:tr>
      <w:tr>
        <w:tc>
          <w:tcPr>
            <w:tcW w:type="dxa" w:w="3500"/>
          </w:tcPr>
          <w:p>
            <w:r>
              <w:t>paramSweep extremely slow</w:t>
            </w:r>
          </w:p>
        </w:tc>
        <w:tc>
          <w:tcPr>
            <w:tcW w:type="dxa" w:w="1250"/>
          </w:tcPr>
          <w:p>
            <w:r>
              <w:t>Expected; it is the slow step</w:t>
            </w:r>
          </w:p>
        </w:tc>
        <w:tc>
          <w:tcPr>
            <w:tcW w:type="dxa" w:w="4610"/>
          </w:tcPr>
          <w:p>
            <w:r>
              <w:t>Use scDblFinder for a fast first pass, or run overnight</w:t>
            </w:r>
          </w:p>
        </w:tc>
      </w:tr>
      <w:tr>
        <w:tc>
          <w:tcPr>
            <w:tcW w:type="dxa" w:w="3500"/>
          </w:tcPr>
          <w:p>
            <w:r>
              <w:t>Out of memory on more than 10 samples</w:t>
            </w:r>
          </w:p>
        </w:tc>
        <w:tc>
          <w:tcPr>
            <w:tcW w:type="dxa" w:w="1250"/>
          </w:tcPr>
          <w:p>
            <w:r>
              <w:t>RAM exhausted during SCEVAN</w:t>
            </w:r>
          </w:p>
        </w:tc>
        <w:tc>
          <w:tcPr>
            <w:tcW w:type="dxa" w:w="4610"/>
          </w:tcPr>
          <w:p>
            <w:r>
              <w:t>Restart; checkpoints resume automatically. Consider USE_BPCELLS &lt;- TRUE</w:t>
            </w:r>
          </w:p>
        </w:tc>
      </w:tr>
    </w:tbl>
    <w:p>
      <w:pPr/>
    </w:p>
    <w:p>
      <w:pPr>
        <w:pStyle w:val="Heading3"/>
      </w:pPr>
      <w:r>
        <w:t>15.3 Scripts 09 and 10</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Symptom</w:t>
            </w:r>
          </w:p>
        </w:tc>
        <w:tc>
          <w:tcPr>
            <w:tcW w:type="dxa" w:w="1250"/>
          </w:tcPr>
          <w:p>
            <w:r/>
            <w:r>
              <w:rPr>
                <w:b/>
              </w:rPr>
              <w:t>Cause</w:t>
            </w:r>
          </w:p>
        </w:tc>
        <w:tc>
          <w:tcPr>
            <w:tcW w:type="dxa" w:w="4610"/>
          </w:tcPr>
          <w:p>
            <w:r/>
            <w:r>
              <w:rPr>
                <w:b/>
              </w:rPr>
              <w:t>Resolution</w:t>
            </w:r>
          </w:p>
        </w:tc>
      </w:tr>
      <w:tr>
        <w:tc>
          <w:tcPr>
            <w:tcW w:type="dxa" w:w="3500"/>
          </w:tcPr>
          <w:p>
            <w:r>
              <w:t>Script 09 skips CytoTRACE 2</w:t>
            </w:r>
          </w:p>
        </w:tc>
        <w:tc>
          <w:tcPr>
            <w:tcW w:type="dxa" w:w="1250"/>
          </w:tcPr>
          <w:p>
            <w:r>
              <w:t>Package not installed</w:t>
            </w:r>
          </w:p>
        </w:tc>
        <w:tc>
          <w:tcPr>
            <w:tcW w:type="dxa" w:w="4610"/>
          </w:tcPr>
          <w:p>
            <w:r>
              <w:t>See INSTALL_NOTES.md Section 1; entropy metrics still run</w:t>
            </w:r>
          </w:p>
        </w:tc>
      </w:tr>
      <w:tr>
        <w:tc>
          <w:tcPr>
            <w:tcW w:type="dxa" w:w="3500"/>
          </w:tcPr>
          <w:p>
            <w:r>
              <w:t>Concordance heatmap shows negative correlation</w:t>
            </w:r>
          </w:p>
        </w:tc>
        <w:tc>
          <w:tcPr>
            <w:tcW w:type="dxa" w:w="1250"/>
          </w:tcPr>
          <w:p>
            <w:r>
              <w:t>Methods disagree on direction</w:t>
            </w:r>
          </w:p>
        </w:tc>
        <w:tc>
          <w:tcPr>
            <w:tcW w:type="dxa" w:w="4610"/>
          </w:tcPr>
          <w:p>
            <w:r>
              <w:t>Verify the counts layer is not log-transformed before interpreting</w:t>
            </w:r>
          </w:p>
        </w:tc>
      </w:tr>
      <w:tr>
        <w:tc>
          <w:tcPr>
            <w:tcW w:type="dxa" w:w="3500"/>
          </w:tcPr>
          <w:p>
            <w:r>
              <w:t>CytoTRACE 2 killed during prediction</w:t>
            </w:r>
          </w:p>
        </w:tc>
        <w:tc>
          <w:tcPr>
            <w:tcW w:type="dxa" w:w="1250"/>
          </w:tcPr>
          <w:p>
            <w:r>
              <w:t>Too many parallel workers for available RAM</w:t>
            </w:r>
          </w:p>
        </w:tc>
        <w:tc>
          <w:tcPr>
            <w:tcW w:type="dxa" w:w="4610"/>
          </w:tcPr>
          <w:p>
            <w:r>
              <w:t>Reduce CT2_NCORES to 1 or 2</w:t>
            </w:r>
          </w:p>
        </w:tc>
      </w:tr>
      <w:tr>
        <w:tc>
          <w:tcPr>
            <w:tcW w:type="dxa" w:w="3500"/>
          </w:tcPr>
          <w:p>
            <w:r>
              <w:t>Script 10 binds the wrong Python</w:t>
            </w:r>
          </w:p>
        </w:tc>
        <w:tc>
          <w:tcPr>
            <w:tcW w:type="dxa" w:w="1250"/>
          </w:tcPr>
          <w:p>
            <w:r>
              <w:t>reticulate binds once per session</w:t>
            </w:r>
          </w:p>
        </w:tc>
        <w:tc>
          <w:tcPr>
            <w:tcW w:type="dxa" w:w="4610"/>
          </w:tcPr>
          <w:p>
            <w:r>
              <w:t>Restart R, then set PYTHON_ENV before anything imports Python</w:t>
            </w:r>
          </w:p>
        </w:tc>
      </w:tr>
      <w:tr>
        <w:tc>
          <w:tcPr>
            <w:tcW w:type="dxa" w:w="3500"/>
          </w:tcPr>
          <w:p>
            <w:r>
              <w:t>CytoTRACEKernel not found</w:t>
            </w:r>
          </w:p>
        </w:tc>
        <w:tc>
          <w:tcPr>
            <w:tcW w:type="dxa" w:w="1250"/>
          </w:tcPr>
          <w:p>
            <w:r>
              <w:t>CellRank v1 installed</w:t>
            </w:r>
          </w:p>
        </w:tc>
        <w:tc>
          <w:tcPr>
            <w:tcW w:type="dxa" w:w="4610"/>
          </w:tcPr>
          <w:p>
            <w:r>
              <w:t>Upgrade to cellrank &gt;= 2.0; the kernel API changed in v2</w:t>
            </w:r>
          </w:p>
        </w:tc>
      </w:tr>
      <w:tr>
        <w:tc>
          <w:tcPr>
            <w:tcW w:type="dxa" w:w="3500"/>
          </w:tcPr>
          <w:p>
            <w:r>
              <w:t>Cannot write h5ad</w:t>
            </w:r>
          </w:p>
        </w:tc>
        <w:tc>
          <w:tcPr>
            <w:tcW w:type="dxa" w:w="1250"/>
          </w:tcPr>
          <w:p>
            <w:r>
              <w:t>Known CellRank issue with enum columns</w:t>
            </w:r>
          </w:p>
        </w:tc>
        <w:tc>
          <w:tcPr>
            <w:tcW w:type="dxa" w:w="4610"/>
          </w:tcPr>
          <w:p>
            <w:r>
              <w:t>Non-fatal; the .rds still saves. Set SAVE_H5AD &lt;- FALSE</w:t>
            </w:r>
          </w:p>
        </w:tc>
      </w:tr>
      <w:tr>
        <w:tc>
          <w:tcPr>
            <w:tcW w:type="dxa" w:w="3500"/>
          </w:tcPr>
          <w:p>
            <w:r>
              <w:t>State estimation fails</w:t>
            </w:r>
          </w:p>
        </w:tc>
        <w:tc>
          <w:tcPr>
            <w:tcW w:type="dxa" w:w="1250"/>
          </w:tcPr>
          <w:p>
            <w:r>
              <w:t>Too many states for the manifold</w:t>
            </w:r>
          </w:p>
        </w:tc>
        <w:tc>
          <w:tcPr>
            <w:tcW w:type="dxa" w:w="4610"/>
          </w:tcPr>
          <w:p>
            <w:r>
              <w:t>Lower N_STATES, or subset to a cleaner lineage</w:t>
            </w:r>
          </w:p>
        </w:tc>
      </w:tr>
    </w:tbl>
    <w:p>
      <w:pPr/>
    </w:p>
    <w:p>
      <w:pPr>
        <w:pStyle w:val="Heading3"/>
      </w:pPr>
      <w:r>
        <w:t>15.4 Analysis</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Symptom</w:t>
            </w:r>
          </w:p>
        </w:tc>
        <w:tc>
          <w:tcPr>
            <w:tcW w:type="dxa" w:w="1250"/>
          </w:tcPr>
          <w:p>
            <w:r/>
            <w:r>
              <w:rPr>
                <w:b/>
              </w:rPr>
              <w:t>Cause</w:t>
            </w:r>
          </w:p>
        </w:tc>
        <w:tc>
          <w:tcPr>
            <w:tcW w:type="dxa" w:w="4610"/>
          </w:tcPr>
          <w:p>
            <w:r/>
            <w:r>
              <w:rPr>
                <w:b/>
              </w:rPr>
              <w:t>Resolution</w:t>
            </w:r>
          </w:p>
        </w:tc>
      </w:tr>
      <w:tr>
        <w:tc>
          <w:tcPr>
            <w:tcW w:type="dxa" w:w="3500"/>
          </w:tcPr>
          <w:p>
            <w:r>
              <w:t>Enrichr returns no results</w:t>
            </w:r>
          </w:p>
        </w:tc>
        <w:tc>
          <w:tcPr>
            <w:tcW w:type="dxa" w:w="1250"/>
          </w:tcPr>
          <w:p>
            <w:r>
              <w:t>No internet access or wrong database name</w:t>
            </w:r>
          </w:p>
        </w:tc>
        <w:tc>
          <w:tcPr>
            <w:tcW w:type="dxa" w:w="4610"/>
          </w:tcPr>
          <w:p>
            <w:r>
              <w:t>Verify with enrichR::listEnrichrDbs()</w:t>
            </w:r>
          </w:p>
        </w:tc>
      </w:tr>
      <w:tr>
        <w:tc>
          <w:tcPr>
            <w:tcW w:type="dxa" w:w="3500"/>
          </w:tcPr>
          <w:p>
            <w:r>
              <w:t>GSEA shows no significant pathways</w:t>
            </w:r>
          </w:p>
        </w:tc>
        <w:tc>
          <w:tcPr>
            <w:tcW w:type="dxa" w:w="1250"/>
          </w:tcPr>
          <w:p>
            <w:r>
              <w:t>Too few ranked genes or wrong species</w:t>
            </w:r>
          </w:p>
        </w:tc>
        <w:tc>
          <w:tcPr>
            <w:tcW w:type="dxa" w:w="4610"/>
          </w:tcPr>
          <w:p>
            <w:r>
              <w:t>Confirm the species setting matches the data</w:t>
            </w:r>
          </w:p>
        </w:tc>
      </w:tr>
      <w:tr>
        <w:tc>
          <w:tcPr>
            <w:tcW w:type="dxa" w:w="3500"/>
          </w:tcPr>
          <w:p>
            <w:r>
              <w:t>Annotation map gives wrong cell types</w:t>
            </w:r>
          </w:p>
        </w:tc>
        <w:tc>
          <w:tcPr>
            <w:tcW w:type="dxa" w:w="1250"/>
          </w:tcPr>
          <w:p>
            <w:r>
              <w:t>Weighted pre-scores misled the annotation</w:t>
            </w:r>
          </w:p>
        </w:tc>
        <w:tc>
          <w:tcPr>
            <w:tcW w:type="dxa" w:w="4610"/>
          </w:tcPr>
          <w:p>
            <w:r>
              <w:t>Cross-check with DotPlot; pre-scores are a guide, not ground truth</w:t>
            </w:r>
          </w:p>
        </w:tc>
      </w:tr>
    </w:tbl>
    <w:p>
      <w:pPr/>
    </w:p>
    <w:p>
      <w:pPr>
        <w:pStyle w:val="Heading2"/>
      </w:pPr>
      <w:r>
        <w:t>16. Version History</w:t>
      </w:r>
    </w:p>
    <w:tbl>
      <w:tblPr>
        <w:tblStyle w:val="Table"/>
        <w:tblW w:type="auto" w:w="0"/>
        <w:tblLayout w:type="fixed"/>
        <w:tblLook w:firstColumn="1" w:firstRow="1" w:lastColumn="0" w:lastRow="0" w:noHBand="0" w:noVBand="1" w:val="04A0"/>
      </w:tblPr>
      <w:tblGrid>
        <w:gridCol w:w="3500"/>
        <w:gridCol w:w="1250"/>
        <w:gridCol w:w="4610"/>
      </w:tblGrid>
      <w:tr>
        <w:tc>
          <w:tcPr>
            <w:tcW w:type="dxa" w:w="3500"/>
          </w:tcPr>
          <w:p>
            <w:r/>
            <w:r>
              <w:rPr>
                <w:b/>
              </w:rPr>
              <w:t>Version</w:t>
            </w:r>
          </w:p>
        </w:tc>
        <w:tc>
          <w:tcPr>
            <w:tcW w:type="dxa" w:w="1250"/>
          </w:tcPr>
          <w:p>
            <w:r/>
            <w:r>
              <w:rPr>
                <w:b/>
              </w:rPr>
              <w:t>Date</w:t>
            </w:r>
          </w:p>
        </w:tc>
        <w:tc>
          <w:tcPr>
            <w:tcW w:type="dxa" w:w="4610"/>
          </w:tcPr>
          <w:p>
            <w:r/>
            <w:r>
              <w:rPr>
                <w:b/>
              </w:rPr>
              <w:t>Changes</w:t>
            </w:r>
          </w:p>
        </w:tc>
      </w:tr>
      <w:tr>
        <w:tc>
          <w:tcPr>
            <w:tcW w:type="dxa" w:w="3500"/>
          </w:tcPr>
          <w:p>
            <w:r>
              <w:t>1.0</w:t>
            </w:r>
          </w:p>
        </w:tc>
        <w:tc>
          <w:tcPr>
            <w:tcW w:type="dxa" w:w="1250"/>
          </w:tcPr>
          <w:p>
            <w:r>
              <w:t>2024</w:t>
            </w:r>
          </w:p>
        </w:tc>
        <w:tc>
          <w:tcPr>
            <w:tcW w:type="dxa" w:w="4610"/>
          </w:tcPr>
          <w:p>
            <w:r>
              <w:t>Initial two-script pipeline</w:t>
            </w:r>
          </w:p>
        </w:tc>
      </w:tr>
      <w:tr>
        <w:tc>
          <w:tcPr>
            <w:tcW w:type="dxa" w:w="3500"/>
          </w:tcPr>
          <w:p>
            <w:r>
              <w:t>2.0</w:t>
            </w:r>
          </w:p>
        </w:tc>
        <w:tc>
          <w:tcPr>
            <w:tcW w:type="dxa" w:w="1250"/>
          </w:tcPr>
          <w:p>
            <w:r>
              <w:t>2024</w:t>
            </w:r>
          </w:p>
        </w:tc>
        <w:tc>
          <w:tcPr>
            <w:tcW w:type="dxa" w:w="4610"/>
          </w:tcPr>
          <w:p>
            <w:r>
              <w:t>Added Harmony integration, compositional analysis</w:t>
            </w:r>
          </w:p>
        </w:tc>
      </w:tr>
      <w:tr>
        <w:tc>
          <w:tcPr>
            <w:tcW w:type="dxa" w:w="3500"/>
          </w:tcPr>
          <w:p>
            <w:r>
              <w:t>3.0</w:t>
            </w:r>
          </w:p>
        </w:tc>
        <w:tc>
          <w:tcPr>
            <w:tcW w:type="dxa" w:w="1250"/>
          </w:tcPr>
          <w:p>
            <w:r>
              <w:t>2025</w:t>
            </w:r>
          </w:p>
        </w:tc>
        <w:tc>
          <w:tcPr>
            <w:tcW w:type="dxa" w:w="4610"/>
          </w:tcPr>
          <w:p>
            <w:r>
              <w:t>Added DecontX, SCEVAN, checkpoint system</w:t>
            </w:r>
          </w:p>
        </w:tc>
      </w:tr>
      <w:tr>
        <w:tc>
          <w:tcPr>
            <w:tcW w:type="dxa" w:w="3500"/>
          </w:tcPr>
          <w:p>
            <w:r>
              <w:t>4.0</w:t>
            </w:r>
          </w:p>
        </w:tc>
        <w:tc>
          <w:tcPr>
            <w:tcW w:type="dxa" w:w="1250"/>
          </w:tcPr>
          <w:p>
            <w:r>
              <w:t>2025</w:t>
            </w:r>
          </w:p>
        </w:tc>
        <w:tc>
          <w:tcPr>
            <w:tcW w:type="dxa" w:w="4610"/>
          </w:tcPr>
          <w:p>
            <w:r>
              <w:t>Split into two scripts (processing + annotation)</w:t>
            </w:r>
          </w:p>
        </w:tc>
      </w:tr>
      <w:tr>
        <w:tc>
          <w:tcPr>
            <w:tcW w:type="dxa" w:w="3500"/>
          </w:tcPr>
          <w:p>
            <w:r>
              <w:t>5.0</w:t>
            </w:r>
          </w:p>
        </w:tc>
        <w:tc>
          <w:tcPr>
            <w:tcW w:type="dxa" w:w="1250"/>
          </w:tcPr>
          <w:p>
            <w:r>
              <w:t>April 2026</w:t>
            </w:r>
          </w:p>
        </w:tc>
        <w:tc>
          <w:tcPr>
            <w:tcW w:type="dxa" w:w="4610"/>
          </w:tcPr>
          <w:p>
            <w:r>
              <w:t>Four-script architecture; CSV-driven markers</w:t>
            </w:r>
          </w:p>
        </w:tc>
      </w:tr>
      <w:tr>
        <w:tc>
          <w:tcPr>
            <w:tcW w:type="dxa" w:w="3500"/>
          </w:tcPr>
          <w:p>
            <w:r>
              <w:t>5.1</w:t>
            </w:r>
          </w:p>
        </w:tc>
        <w:tc>
          <w:tcPr>
            <w:tcW w:type="dxa" w:w="1250"/>
          </w:tcPr>
          <w:p>
            <w:r>
              <w:t>April 2026</w:t>
            </w:r>
          </w:p>
        </w:tc>
        <w:tc>
          <w:tcPr>
            <w:tcW w:type="dxa" w:w="4610"/>
          </w:tcPr>
          <w:p>
            <w:r>
              <w:t>SCEVAN split into dedicated two-loop memory architecture</w:t>
            </w:r>
          </w:p>
        </w:tc>
      </w:tr>
      <w:tr>
        <w:tc>
          <w:tcPr>
            <w:tcW w:type="dxa" w:w="3500"/>
          </w:tcPr>
          <w:p>
            <w:r>
              <w:t>6.0</w:t>
            </w:r>
          </w:p>
        </w:tc>
        <w:tc>
          <w:tcPr>
            <w:tcW w:type="dxa" w:w="1250"/>
          </w:tcPr>
          <w:p>
            <w:r>
              <w:t>April 2026</w:t>
            </w:r>
          </w:p>
        </w:tc>
        <w:tc>
          <w:tcPr>
            <w:tcW w:type="dxa" w:w="4610"/>
          </w:tcPr>
          <w:p>
            <w:r>
              <w:t>Script 01 v9.0: per-sample pipeline reorganized</w:t>
            </w:r>
          </w:p>
        </w:tc>
      </w:tr>
      <w:tr>
        <w:tc>
          <w:tcPr>
            <w:tcW w:type="dxa" w:w="3500"/>
          </w:tcPr>
          <w:p>
            <w:r>
              <w:t>7.0</w:t>
            </w:r>
          </w:p>
        </w:tc>
        <w:tc>
          <w:tcPr>
            <w:tcW w:type="dxa" w:w="1250"/>
          </w:tcPr>
          <w:p>
            <w:r>
              <w:t>July 2026</w:t>
            </w:r>
          </w:p>
        </w:tc>
        <w:tc>
          <w:tcPr>
            <w:tcW w:type="dxa" w:w="4610"/>
          </w:tcPr>
          <w:p>
            <w:r>
              <w:t>UNIFIED build. Consolidated four divergent project pipelines into one canonical implementation and expanded to eleven scripts. Script 01 v11.0: selectable doublet detection (DoubletFinder default, scDblFinder alternative, or both with concordance reporting); automatic per-sample doublet rate from the 10x multiplet model; homotypic doublet adjustment; constrained pK selection with diagnostic plots; startup configuration validation. Script 00 v4.0: added BPCells and CytoTRACE 2, fixed SeuratWrappers capitalization, added a hard dependency gate. Added Script 09 (CytoTRACE 2, CytoTRACE v1 and transcriptional entropy) and Script 10 (CellRank CytoTRACEKernel trajectory inference). Added INSTALL_NOTES.md, CHANGELOG.md and a parameterized copy_sc_data.sh.</w:t>
            </w:r>
          </w:p>
        </w:tc>
      </w:tr>
    </w:tbl>
    <w:p>
      <w:pPr/>
    </w:p>
    <w:p>
      <w:pPr>
        <w:pStyle w:val="Heading2"/>
      </w:pPr>
      <w:r>
        <w:t>17. References</w:t>
      </w:r>
    </w:p>
    <w:p>
      <w:pPr>
        <w:pStyle w:val="Compact"/>
        <w:numPr>
          <w:ilvl w:val="0"/>
          <w:numId w:val="1"/>
        </w:numPr>
      </w:pPr>
      <w:r>
        <w:t>McGinnis CS, Murrow LM, Gartner ZJ. DoubletFinder: Doublet Detection in Single-Cell RNA Sequencing Data Using Artificial Nearest Neighbors. Cell Systems, 2019.</w:t>
      </w:r>
    </w:p>
    <w:p>
      <w:pPr>
        <w:pStyle w:val="Compact"/>
        <w:numPr>
          <w:ilvl w:val="0"/>
          <w:numId w:val="1"/>
        </w:numPr>
      </w:pPr>
      <w:r>
        <w:t>Germain PL, Lun A, Garcia Meixide C, Macnair W, Robinson MD. Doublet identification in single-cell sequencing data using scDblFinder. F1000Research, 2021.</w:t>
      </w:r>
    </w:p>
    <w:p>
      <w:pPr>
        <w:pStyle w:val="Compact"/>
        <w:numPr>
          <w:ilvl w:val="0"/>
          <w:numId w:val="1"/>
        </w:numPr>
      </w:pPr>
      <w:r>
        <w:t>Yang S, Corbett SE, Koga Y, et al. Decontamination of ambient RNA in single-cell RNA-seq with DecontX. Genome Biology, 2020.</w:t>
      </w:r>
    </w:p>
    <w:p>
      <w:pPr>
        <w:pStyle w:val="Compact"/>
        <w:numPr>
          <w:ilvl w:val="0"/>
          <w:numId w:val="1"/>
        </w:numPr>
      </w:pPr>
      <w:r>
        <w:t>De Falco A, Caruso F, Su XD, Iavarone A, Ceccarelli M. A variational algorithm to detect the clonal copy number substructure of tumours from scRNA-seq data (SCEVAN). Nature Communications, 2023.</w:t>
      </w:r>
    </w:p>
    <w:p>
      <w:pPr>
        <w:pStyle w:val="Compact"/>
        <w:numPr>
          <w:ilvl w:val="0"/>
          <w:numId w:val="1"/>
        </w:numPr>
      </w:pPr>
      <w:r>
        <w:t>Korsunsky I, Millard N, Fan J, et al. Fast, sensitive and accurate integration of single-cell data with Harmony. Nature Methods, 2019.</w:t>
      </w:r>
    </w:p>
    <w:p>
      <w:pPr>
        <w:pStyle w:val="Compact"/>
        <w:numPr>
          <w:ilvl w:val="0"/>
          <w:numId w:val="1"/>
        </w:numPr>
      </w:pPr>
      <w:r>
        <w:t>Kang M, Gulati GS, Brown EL, et al. Improved reconstruction of single-cell developmental potential with CytoTRACE 2. Nature Methods, 2025.</w:t>
      </w:r>
    </w:p>
    <w:p>
      <w:pPr>
        <w:pStyle w:val="Compact"/>
        <w:numPr>
          <w:ilvl w:val="0"/>
          <w:numId w:val="1"/>
        </w:numPr>
      </w:pPr>
      <w:r>
        <w:t>Gulati GS, Sikandar SS, Wesche DJ, et al. Single-cell transcriptional diversity is a hallmark of developmental potential. Science, 2020.</w:t>
      </w:r>
    </w:p>
    <w:p>
      <w:pPr>
        <w:pStyle w:val="Compact"/>
        <w:numPr>
          <w:ilvl w:val="0"/>
          <w:numId w:val="1"/>
        </w:numPr>
      </w:pPr>
      <w:r>
        <w:t>Teschendorff AE, Enver T. Single-cell entropy for accurate estimation of differentiation potency from a cell's transcriptome. Nature Communications, 2017.</w:t>
      </w:r>
    </w:p>
    <w:p>
      <w:pPr>
        <w:pStyle w:val="Compact"/>
        <w:numPr>
          <w:ilvl w:val="0"/>
          <w:numId w:val="1"/>
        </w:numPr>
      </w:pPr>
      <w:r>
        <w:t>Lange M, Bergen V, Klein M, et al. CellRank for directed single-cell fate mapping. Nature Methods, 2022.</w:t>
      </w:r>
    </w:p>
    <w:p>
      <w:pPr>
        <w:pStyle w:val="Compact"/>
        <w:numPr>
          <w:ilvl w:val="0"/>
          <w:numId w:val="1"/>
        </w:numPr>
      </w:pPr>
      <w:r>
        <w:t>Jin S, Guerrero-Juarez CF, Zhang L, et al. Inference and analysis of cell-cell communication using CellChat. Nature Communications, 2021.</w:t>
      </w:r>
    </w:p>
    <w:p>
      <w:pPr>
        <w:pStyle w:val="Heading2"/>
      </w:pPr>
      <w:r>
        <w:t xml:space="preserve">16. Version 8.0 Update (October 2026)</w:t>
      </w:r>
    </w:p>
    <w:p>
      <w:pPr>
        <w:pStyle w:val="BodyText"/>
      </w:pPr>
      <w:r>
        <w:t xml:space="preserve">Version 8.0 makes the pipeline portable across machines and datasets, adds two differential-expression methods alongside MAST, an optional SCTransform embedding path, a complete SCENIC regulon-analysis workflow (Scripts 12a-12c), and a scTenifoldNet differential-network step (Script 13). The Nr4a1 colon KO study remains the default configuration.</w:t>
      </w:r>
    </w:p>
    <w:p>
      <w:pPr>
        <w:pStyle w:val="Heading3"/>
      </w:pPr>
      <w:r>
        <w:t xml:space="preserve">16.1 Portable configuration (config.R)</w:t>
      </w:r>
    </w:p>
    <w:p>
      <w:pPr>
        <w:pStyle w:val="BodyText"/>
      </w:pPr>
      <w:r>
        <w:t xml:space="preserve">All machine- and project-specific settings now live in a single file, config.R, which every numbered script sources first; you no longer edit ROOT_PATH or PROJECT_NAME in each script. Defaults target the Nr4a1 study (PROJECT_NAME = "Nr4a1_s17_ack"). Override without editing code by exporting environment variables, and run scripts from the pipeline directory (or set NR4A1_CONFIG to config.R's full path):</w:t>
      </w:r>
    </w:p>
    <w:p>
      <w:pPr>
        <w:pStyle w:val="SourceCode"/>
      </w:pPr>
      <w:r>
        <w:t xml:space="preserve">export NR4A1_PROJECT=Wu_Diet_project2</w:t>
      </w:r>
    </w:p>
    <w:p>
      <w:pPr>
        <w:pStyle w:val="SourceCode"/>
      </w:pPr>
      <w:r>
        <w:t xml:space="preserve">export NR4A1_ROOT=/path/to/project/r_process</w:t>
      </w:r>
    </w:p>
    <w:p>
      <w:pPr>
        <w:pStyle w:val="BodyText"/>
      </w:pPr>
      <w:r>
        <w:t xml:space="preserve">The same NR4A1_* variables also drive the Python side (12b, run_pyscenic2.sh, scenic.sh), so one export block configures the whole pipeline. Note: scripts 02-06 and 08 previously pointed at the Wu diet project and now default to Nr4a1 like the rest.</w:t>
      </w:r>
    </w:p>
    <w:p>
      <w:pPr>
        <w:pStyle w:val="Heading3"/>
      </w:pPr>
      <w:r>
        <w:t xml:space="preserve">16.2 Differential expression - three methods (Script 07)</w:t>
      </w:r>
    </w:p>
    <w:p>
      <w:pPr>
        <w:pStyle w:val="BodyText"/>
      </w:pPr>
      <w:r>
        <w:t xml:space="preserve">Script 07 now runs up to three complementary DE tests per cell type and contrast, each with Enrichr over-representation and a differential-variability (SplineDV) overlap:</w:t>
      </w:r>
    </w:p>
    <w:p>
      <w:pPr>
        <w:pStyle w:val="BodyText"/>
      </w:pPr>
      <w:r>
        <w:t xml:space="preserve">— MAST (default): sample-aware at the cell level via latent.vars = SampleID.</w:t>
      </w:r>
    </w:p>
    <w:p>
      <w:pPr>
        <w:pStyle w:val="BodyText"/>
      </w:pPr>
      <w:r>
        <w:t xml:space="preserve">— Wilcoxon (RUN_WILCOX): sample-naive; recovers strong mean shifts MAST misses under sample confounding, but its p-values are anti-conservative (pseudoreplication).</w:t>
      </w:r>
    </w:p>
    <w:p>
      <w:pPr>
        <w:pStyle w:val="BodyText"/>
      </w:pPr>
      <w:r>
        <w:t xml:space="preserve">— edgeR pseudobulk (RUN_EDGER): counts summed per SampleID, then a negative-binomial GLM across samples - the statistically correct sample-aware test for replicated designs; requires at least two samples per group, so sex-split contrasts with a single animal are skipped.</w:t>
      </w:r>
    </w:p>
    <w:p>
      <w:pPr>
        <w:pStyle w:val="BodyText"/>
      </w:pPr>
      <w:r>
        <w:t xml:space="preserve">DV-only enrichment is now saved; every test is overlapped with the pval &lt;= 0.05 SplineDV gene set; outputs are organized into per-cell-type subfolders. Summary figures span all methods: a collective DE grid (signed up/down with counts on the bars), one figure per method, and a separate unsigned SplineDV figure. The Ensembl identifier is the first column of every sheet for PathVisio/WikiPathways.</w:t>
      </w:r>
    </w:p>
    <w:p>
      <w:pPr>
        <w:pStyle w:val="BodyText"/>
      </w:pPr>
      <w:r>
        <w:t xml:space="preserve">Caveat: when replication is thin (e.g. one animal per group after sex-splitting), MAST + SampleID is conservative and may drop obvious genes, plain Wilcoxon is anti-conservative, and edgeR pseudobulk is the honest middle ground. Report genes supported by more than one method.</w:t>
      </w:r>
    </w:p>
    <w:p>
      <w:pPr>
        <w:pStyle w:val="Heading3"/>
      </w:pPr>
      <w:r>
        <w:t xml:space="preserve">16.3 Embedding normalization - SCTransform toggle (Scripts 01, 03-05)</w:t>
      </w:r>
    </w:p>
    <w:p>
      <w:pPr>
        <w:pStyle w:val="BodyText"/>
      </w:pPr>
      <w:r>
        <w:t xml:space="preserve">The embedding/clustering normalization is now a toggle. NORMALIZATION = "LogNormalize" (default) is the classic path; "SCT" swaps in SCTransform v2 (glmGamPoi) before PCA and Harmony. This affects only the SCT assay used for the UMAP and clusters; the RNA assay is left LogNormalized, so differential expression (Scripts 07/09) is unchanged. SCTransform already models sequencing depth, so never regress nCount_RNA; percent_mt is a legitimate quality covariate (SCT_VARS_TO_REGRESS), but regressing it can erase real signal if mitochondrial fraction differs by condition or cell type - a runtime note is printed when it is used. The subannotation scripts expose the same toggle (SUBCLUSTER_NORMALIZATION) and now emit both an un-integrated and a Harmony-corrected embedding so batch effects can be compared.</w:t>
      </w:r>
    </w:p>
    <w:p>
      <w:pPr>
        <w:pStyle w:val="Heading3"/>
      </w:pPr>
      <w:r>
        <w:t xml:space="preserve">16.4 Regulon analysis - SCENIC (Scripts 12a-12c)</w:t>
      </w:r>
    </w:p>
    <w:p>
      <w:pPr>
        <w:pStyle w:val="BodyText"/>
      </w:pPr>
      <w:r>
        <w:t xml:space="preserve">Transcription-factor regulon activity is inferred with pySCENIC. Script 12a exports per-label (cell type x sex) raw-count looms. The Python runner 12b performs grn -&gt; ctx -&gt; aucell and writes aucell.csv (per-cell regulon activity) and regulons.p per label, in a dedicated conda environment specified by environment.yml. Script 12c reads aucell.csv back into R, attaches an "AUC" assay to the Seurat object, and produces FeaturePlot, violin, and mean-AUC heatmap views. Two helpers wrap the run: run_pyscenic2.sh (conda activation, libstdc++ preload, single-thread BLAS) and scenic.sh (status | watch | run | stop | clean | fresh).</w:t>
      </w:r>
    </w:p>
    <w:p>
      <w:pPr>
        <w:pStyle w:val="SourceCode"/>
      </w:pPr>
      <w:r>
        <w:t xml:space="preserve">Rscript 12a_export_for_pyscenic.R</w:t>
      </w:r>
    </w:p>
    <w:p>
      <w:pPr>
        <w:pStyle w:val="SourceCode"/>
      </w:pPr>
      <w:r>
        <w:t xml:space="preserve">./scenic.sh run</w:t>
      </w:r>
    </w:p>
    <w:p>
      <w:pPr>
        <w:pStyle w:val="SourceCode"/>
      </w:pPr>
      <w:r>
        <w:t xml:space="preserve">Rscript 12c_load_pyscenic_results.R</w:t>
      </w:r>
    </w:p>
    <w:p>
      <w:pPr>
        <w:pStyle w:val="BodyText"/>
      </w:pPr>
      <w:r>
        <w:t xml:space="preserve">Because 12b defaults to EXPORT_LOOM = False, no _pyscenic.loom is produced and aucell.csv is the source of truth. High regulon AUC means the TF's inferred targets are coordinately expressed, not literal TF on/off.</w:t>
      </w:r>
    </w:p>
    <w:p>
      <w:pPr>
        <w:pStyle w:val="Heading3"/>
      </w:pPr>
      <w:r>
        <w:t xml:space="preserve">16.5 Differential regulatory networks - scTenifoldNet (Script 13)</w:t>
      </w:r>
    </w:p>
    <w:p>
      <w:pPr>
        <w:pStyle w:val="BodyText"/>
      </w:pPr>
      <w:r>
        <w:t xml:space="preserve">Script 13 compares gene-regulatory networks between two conditions per cell type (pcNet -&gt; manifoldAlignment -&gt; dRegulation) and enriches the differentially regulated genes. A resume mechanism (SKIP_IF_DONE) skips any contrast x cell type whose output spreadsheet already exists with a non-empty result sheet, so an interrupted run (e.g. a reboot) restarts cleanly without recomputing finished pairs.</w:t>
      </w:r>
    </w:p>
    <w:p>
      <w:pPr>
        <w:pStyle w:val="Heading3"/>
      </w:pPr>
      <w:r>
        <w:t xml:space="preserve">16.6 New and changed files</w:t>
      </w:r>
    </w:p>
    <w:p>
      <w:pPr>
        <w:pStyle w:val="BodyText"/>
      </w:pPr>
      <w:r>
        <w:t xml:space="preserve">New: config.R; 12a / 12b / 12c (SCENIC); 13 (scTenifoldNet); 07b (post-hoc DE summary); scenic.sh; run_pyscenic2.sh; environment.yml; setup_python_env.sh. The TamuScDSC package gained an SCTransform path in integrate_data() and process_and_extract_cell_types() - see ?integrate_data and browseVignettes("TamuScDSC"). The pipeline is therefore no longer strictly eleven scripts.</w:t>
      </w:r>
    </w:p>
    <w:sectPr w:rsidR="00A6490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0497" w14:textId="77777777" w:rsidR="00CC5596" w:rsidRDefault="00CC5596">
      <w:pPr>
        <w:spacing w:after="0"/>
      </w:pPr>
      <w:r>
        <w:separator/>
      </w:r>
    </w:p>
  </w:endnote>
  <w:endnote w:type="continuationSeparator" w:id="0">
    <w:p w14:paraId="691971A2" w14:textId="77777777" w:rsidR="00CC5596" w:rsidRDefault="00CC55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29550" w14:textId="77777777" w:rsidR="00CC5596" w:rsidRDefault="00CC5596">
      <w:r>
        <w:separator/>
      </w:r>
    </w:p>
  </w:footnote>
  <w:footnote w:type="continuationSeparator" w:id="0">
    <w:p w14:paraId="375F032A" w14:textId="77777777" w:rsidR="00CC5596" w:rsidRDefault="00CC55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CA6C92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9B2C934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52780306">
    <w:abstractNumId w:val="1"/>
  </w:num>
  <w:num w:numId="2" w16cid:durableId="13926585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18259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564D"/>
    <w:rsid w:val="002F434B"/>
    <w:rsid w:val="00347424"/>
    <w:rsid w:val="003B7B26"/>
    <w:rsid w:val="004E29B3"/>
    <w:rsid w:val="00590D07"/>
    <w:rsid w:val="00610E85"/>
    <w:rsid w:val="0066507D"/>
    <w:rsid w:val="00784D58"/>
    <w:rsid w:val="00844B62"/>
    <w:rsid w:val="008B6028"/>
    <w:rsid w:val="008D6863"/>
    <w:rsid w:val="00A2283C"/>
    <w:rsid w:val="00A6490B"/>
    <w:rsid w:val="00B86B75"/>
    <w:rsid w:val="00BC48D5"/>
    <w:rsid w:val="00C36279"/>
    <w:rsid w:val="00CC5596"/>
    <w:rsid w:val="00CE7EBD"/>
    <w:rsid w:val="00D87688"/>
    <w:rsid w:val="00DB311A"/>
    <w:rsid w:val="00E315A3"/>
    <w:rsid w:val="00F60FF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E9DA7"/>
  <w15:docId w15:val="{2BA0C8A7-DE8F-4B96-862C-C21F1F86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FollowedHyperlink">
    <w:name w:val="FollowedHyperlink"/>
    <w:basedOn w:val="DefaultParagraphFont"/>
    <w:rsid w:val="00CE7E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omero1992/single_cell_projects/tree/main/single_cell_standard_pipelin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596A7-4909-41AB-96A5-FDA89D0B3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20</Pages>
  <Words>5217</Words>
  <Characters>29738</Characters>
  <Application>Microsoft Office Word</Application>
  <DocSecurity>0</DocSecurity>
  <Lines>247</Lines>
  <Paragraphs>69</Paragraphs>
  <ScaleCrop>false</ScaleCrop>
  <Company/>
  <LinksUpToDate>false</LinksUpToDate>
  <CharactersWithSpaces>34886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 (SOP): An Eleven-Script scRNA-Seq Analysis Pipeline</dc:title>
  <dc:creator>CaiLab &amp; ChapkinLab</dc:creator>
  <cp:keywords/>
  <cp:lastModifiedBy>Selim Romero</cp:lastModifiedBy>
  <cp:revision>10</cp:revision>
  <dcterms:created xsi:type="dcterms:W3CDTF">2026-04-03T23:17:00Z</dcterms:created>
  <dcterms:modified xsi:type="dcterms:W3CDTF">2026-04-15T18:50:00Z</dcterms:modified>
  <dc:description>Version 7.0 - Unified build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