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sz w:val="28"/>
          <w:szCs w:val="28"/>
        </w:rPr>
        <w:t xml:space="preserve">scReservoir: Reservoir Dynamical Systems for Gene Regulatory Network Inference and Cell Fate Attractor Reconstruction from Single-Cell Transcriptomics</w:t>
      </w:r>
    </w:p>
    <w:p>
      <w:pPr>
        <w:spacing w:after="120"/>
        <w:jc w:val="center"/>
      </w:pPr>
      <w:r>
        <w:rPr>
          <w:rFonts w:ascii="Arial" w:cs="Arial" w:eastAsia="Arial" w:hAnsi="Arial"/>
          <w:i/>
          <w:iCs/>
          <w:color w:val="666666"/>
          <w:sz w:val="22"/>
          <w:szCs w:val="22"/>
        </w:rPr>
        <w:t xml:space="preserve">[Author names – placeholder]</w:t>
      </w:r>
    </w:p>
    <w:p>
      <w:pPr>
        <w:spacing w:after="120"/>
        <w:jc w:val="center"/>
      </w:pPr>
      <w:r>
        <w:rPr>
          <w:rFonts w:ascii="Arial" w:cs="Arial" w:eastAsia="Arial" w:hAnsi="Arial"/>
          <w:i/>
          <w:iCs/>
          <w:color w:val="666666"/>
          <w:sz w:val="22"/>
          <w:szCs w:val="22"/>
        </w:rPr>
        <w:t xml:space="preserve">[Affiliation – placeholder]</w:t>
      </w:r>
    </w:p>
    <w:p>
      <w:pPr>
        <w:spacing w:after="480"/>
        <w:jc w:val="center"/>
      </w:pPr>
      <w:r>
        <w:rPr>
          <w:rFonts w:ascii="Arial" w:cs="Arial" w:eastAsia="Arial" w:hAnsi="Arial"/>
          <w:i/>
          <w:iCs/>
          <w:color w:val="666666"/>
          <w:sz w:val="22"/>
          <w:szCs w:val="22"/>
        </w:rPr>
        <w:t xml:space="preserve">Manuscript submitted to [Journal Name]</w:t>
      </w:r>
    </w:p>
    <w:p>
      <w:pPr>
        <w:pStyle w:val="Heading1"/>
        <w:spacing w:after="120" w:before="240"/>
      </w:pPr>
      <w:r>
        <w:rPr>
          <w:rFonts w:ascii="Arial" w:cs="Arial" w:eastAsia="Arial" w:hAnsi="Arial"/>
          <w:b/>
          <w:bCs/>
          <w:sz w:val="28"/>
          <w:szCs w:val="28"/>
        </w:rPr>
        <w:t xml:space="preserve">1. Abstract</w:t>
      </w:r>
    </w:p>
    <w:p>
      <w:pPr>
        <w:spacing w:after="160"/>
      </w:pPr>
      <w:r>
        <w:rPr>
          <w:rFonts w:ascii="Arial" w:cs="Arial" w:eastAsia="Arial" w:hAnsi="Arial"/>
          <w:sz w:val="22"/>
          <w:szCs w:val="22"/>
        </w:rPr>
        <w:t xml:space="preserve">Inferring gene regulatory networks (GRNs) and cell fate dynamics from single-cell RNA sequencing (scRNA-seq) data remains a fundamental challenge in computational biology. Existing methods rely on mutual information, random forests, or Bayesian networks, which typically model static associations and fail to capture the nonlinear dynamical nature of gene regulation. Here we introduce scReservoir, a framework that adapts reservoir computing — a class of recurrent neural network originally developed for time-series prediction — to model gene regulatory dynamics from single-cell transcriptomic data. scReservoir maps gene expression profiles through a high-dimensional, randomly initialized recurrent reservoir, yielding rich nonlinear embeddings that encode both gene-gene interactions and cell-state transition dynamics. We additionally develop scResODE, a continuous-time extension using neural ordinary differential equations, and scGraphResNet, a graph-structured reservoir for branching trajectories. The framework infers directional GRNs and reconstructs Waddington-like energy landscapes with cell-fate attractor basins. scReservoir achieves competitive accuracy on BEELINE benchmarks while offering biological interpretability through dynamic, mechanistic modeling of gene regulation.</w:t>
      </w:r>
    </w:p>
    <w:p>
      <w:pPr>
        <w:pStyle w:val="Heading1"/>
        <w:spacing w:after="120" w:before="240"/>
      </w:pPr>
      <w:r>
        <w:rPr>
          <w:rFonts w:ascii="Arial" w:cs="Arial" w:eastAsia="Arial" w:hAnsi="Arial"/>
          <w:b/>
          <w:bCs/>
          <w:sz w:val="28"/>
          <w:szCs w:val="28"/>
        </w:rPr>
        <w:t xml:space="preserve">2. Introduction</w:t>
      </w:r>
    </w:p>
    <w:p>
      <w:pPr>
        <w:spacing w:after="160"/>
      </w:pPr>
      <w:r>
        <w:rPr>
          <w:rFonts w:ascii="Arial" w:cs="Arial" w:eastAsia="Arial" w:hAnsi="Arial"/>
          <w:sz w:val="22"/>
          <w:szCs w:val="22"/>
        </w:rPr>
        <w:t xml:space="preserve">Single-cell RNA sequencing (scRNA-seq) has revolutionized our ability to characterize cellular heterogeneity and gene expression at the level of individual cells. A central goal of scRNA-seq analysis is to infer gene regulatory networks (GRNs) — directed graphs encoding transcription factor-target gene relationships — and to understand how cells navigate fate decisions during differentiation, development, and disease. Despite substantial progress, this remains an open problem.</w:t>
      </w:r>
    </w:p>
    <w:p>
      <w:pPr>
        <w:spacing w:after="160"/>
      </w:pPr>
      <w:r>
        <w:rPr>
          <w:rFonts w:ascii="Arial" w:cs="Arial" w:eastAsia="Arial" w:hAnsi="Arial"/>
          <w:sz w:val="22"/>
          <w:szCs w:val="22"/>
        </w:rPr>
        <w:t xml:space="preserve">Current GRN inference methods fall into several categories. Correlation-based approaches such as WGCNA identify co-expression modules but cannot distinguish direct from indirect regulation. Random forest methods (GENIE3) treat each gene as a regression target but model only static, pairwise associations. Bayesian network approaches assume directed acyclic graph (DAG) structures, which fail to capture feedback regulation inherent in biological networks. Transfer entropy methods (TENET) use pseudotime-ordered cells to infer causal directionality but are computationally prohibitive at scale. Motif-based approaches (SCENIC) integrate chromatin accessibility but depend on curated transcription factor databases, limiting applicability across species.</w:t>
      </w:r>
    </w:p>
    <w:p>
      <w:pPr>
        <w:spacing w:after="160"/>
      </w:pPr>
      <w:r>
        <w:rPr>
          <w:rFonts w:ascii="Arial" w:cs="Arial" w:eastAsia="Arial" w:hAnsi="Arial"/>
          <w:sz w:val="22"/>
          <w:szCs w:val="22"/>
        </w:rPr>
        <w:t xml:space="preserve">A critical limitation shared by most existing methods is their inability to model the nonlinear dynamical nature of gene regulation. Gene expression states are not static snapshots but trajectories in a high-dimensional phase space governed by nonlinear interactions among transcription factors, chromatin regulators, and signaling molecules. This dynamical character is precisely what gives rise to the multi-stability of cell fates and the bistable switches that underlie differentiation. Existing GRN methods that model only static associations fundamentally miss this aspect.</w:t>
      </w:r>
    </w:p>
    <w:p>
      <w:pPr>
        <w:spacing w:after="160"/>
      </w:pPr>
      <w:r>
        <w:rPr>
          <w:rFonts w:ascii="Arial" w:cs="Arial" w:eastAsia="Arial" w:hAnsi="Arial"/>
          <w:sz w:val="22"/>
          <w:szCs w:val="22"/>
        </w:rPr>
        <w:t xml:space="preserve">Reservoir computing, specifically Echo State Networks (ESNs), offers a compelling alternative. The key insight is that a high-dimensional, randomly connected recurrent network (the reservoir) acts as a universal nonlinear dynamical system that can embed input time-series into a rich feature space. Gene expression trajectories ordered by pseudotime can be treated as time-series inputs to this reservoir, allowing the system to capture higher-order nonlinear gene-gene interactions without requiring explicit network design or backpropagation through time.</w:t>
      </w:r>
    </w:p>
    <w:p>
      <w:pPr>
        <w:spacing w:after="160"/>
      </w:pPr>
      <w:r>
        <w:rPr>
          <w:rFonts w:ascii="Arial" w:cs="Arial" w:eastAsia="Arial" w:hAnsi="Arial"/>
          <w:sz w:val="22"/>
          <w:szCs w:val="22"/>
        </w:rPr>
        <w:t xml:space="preserve">Inspired by recent work on prediction performance of random reservoirs with input-driven dynamics (Chaos, 2024), we adapt this framework to the scRNA-seq setting. The reservoir’s fixed random recurrent weights generate diverse nonlinear dynamics, and only a simple linear readout layer is trained per target gene. This makes the approach computationally tractable and avoids overfitting on sparse, high-dimensional single-cell data.</w:t>
      </w:r>
    </w:p>
    <w:p>
      <w:pPr>
        <w:spacing w:after="160"/>
      </w:pPr>
      <w:r>
        <w:rPr>
          <w:rFonts w:ascii="Arial" w:cs="Arial" w:eastAsia="Arial" w:hAnsi="Arial"/>
          <w:sz w:val="22"/>
          <w:szCs w:val="22"/>
        </w:rPr>
        <w:t xml:space="preserve">scReservoir makes four principal contributions: (1) a nonlinear dynamical embedding of gene expression trajectories via random reservoir networks; (2) directional GRN inference from pseudotime-ordered scRNA-seq data; (3) continuous-time generalization (scResODE) using neural ODEs; (4) Waddington energy landscape reconstruction and cell-fate attractor identification via latent reservoir dynamics.</w:t>
      </w:r>
    </w:p>
    <w:p>
      <w:pPr>
        <w:pStyle w:val="Heading2"/>
        <w:spacing w:after="80" w:before="180"/>
      </w:pPr>
      <w:r>
        <w:rPr>
          <w:rFonts w:ascii="Arial" w:cs="Arial" w:eastAsia="Arial" w:hAnsi="Arial"/>
          <w:b/>
          <w:bCs/>
          <w:sz w:val="24"/>
          <w:szCs w:val="24"/>
        </w:rPr>
        <w:t xml:space="preserve">2.1. Comparison of GRN Inference Methods</w:t>
      </w:r>
    </w:p>
    <w:p>
      <w:pPr>
        <w:spacing w:after="160"/>
      </w:pPr>
      <w:r>
        <w:rPr>
          <w:rFonts w:ascii="Arial" w:cs="Arial" w:eastAsia="Arial" w:hAnsi="Arial"/>
          <w:sz w:val="22"/>
          <w:szCs w:val="22"/>
        </w:rPr>
        <w:t xml:space="preserve">Table 1 summarizes the key characteristics of existing GRN inference methods compared to scReservoir.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3300"/>
        <w:gridCol w:w="1800"/>
      </w:tblGrid>
      <w:tr>
        <w:trPr>
          <w:tblHeader/>
        </w:trPr>
        <w:tc>
          <w:tcPr>
            <w:tcW w:type="dxa" w:w="1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3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Key Limitations</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Scalability</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WGCNA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Co-expression clustering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distinguish direct vs. indirect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GENIE3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Random forests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Static associations; no causality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SCENIC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Motif + co-expression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Dependent on curated databases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Transfer entropy on pseudotime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Computationally expensive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r>
      <w:tr>
        <w:trPr>
          <w:tblHeader w:val="false"/>
        </w:trP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scReservoir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Reservoir computing + dynamics</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Requires pseudotime ordering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High (with SVD)</w:t>
            </w:r>
          </w:p>
        </w:tc>
      </w:tr>
    </w:tbl>
    <w:p>
      <w:pPr>
        <w:spacing w:after="240"/>
      </w:pPr>
      <w:r>
        <w:rPr>
          <w:rFonts w:ascii="Arial" w:cs="Arial" w:eastAsia="Arial" w:hAnsi="Arial"/>
          <w:i/>
          <w:iCs/>
          <w:color w:val="555555"/>
          <w:sz w:val="20"/>
          <w:szCs w:val="20"/>
        </w:rPr>
        <w:t xml:space="preserve">Table 1. Comparison of GRN inference methods.</w:t>
      </w:r>
    </w:p>
    <w:p>
      <w:pPr>
        <w:pStyle w:val="Heading1"/>
        <w:spacing w:after="120" w:before="240"/>
      </w:pPr>
      <w:r>
        <w:rPr>
          <w:rFonts w:ascii="Arial" w:cs="Arial" w:eastAsia="Arial" w:hAnsi="Arial"/>
          <w:b/>
          <w:bCs/>
          <w:sz w:val="28"/>
          <w:szCs w:val="28"/>
        </w:rPr>
        <w:t xml:space="preserve">3. Methods</w:t>
      </w:r>
    </w:p>
    <w:p>
      <w:pPr>
        <w:pStyle w:val="Heading2"/>
        <w:spacing w:after="80" w:before="180"/>
      </w:pPr>
      <w:r>
        <w:rPr>
          <w:rFonts w:ascii="Arial" w:cs="Arial" w:eastAsia="Arial" w:hAnsi="Arial"/>
          <w:b/>
          <w:bCs/>
          <w:sz w:val="24"/>
          <w:szCs w:val="24"/>
        </w:rPr>
        <w:t xml:space="preserve">3.1. Input Representation and Preprocessing</w:t>
      </w:r>
    </w:p>
    <w:p>
      <w:pPr>
        <w:spacing w:after="160"/>
      </w:pPr>
      <w:r>
        <w:rPr>
          <w:rFonts w:ascii="Arial" w:cs="Arial" w:eastAsia="Arial" w:hAnsi="Arial"/>
          <w:sz w:val="22"/>
          <w:szCs w:val="22"/>
        </w:rPr>
        <w:t xml:space="preserve">Let X ∈ R^(N × G) denote the normalized, log-transformed single-cell expression matrix for N cells and G genes. Cells are ordered by pseudotime τ ∈ R^N using diffusion pseudotime or Monocle3. Each cell x_t ∈ R^G represents the gene expression state at pseudotime position t.</w:t>
      </w:r>
    </w:p>
    <w:p>
      <w:pPr>
        <w:pStyle w:val="Heading2"/>
        <w:spacing w:after="80" w:before="180"/>
      </w:pPr>
      <w:r>
        <w:rPr>
          <w:rFonts w:ascii="Arial" w:cs="Arial" w:eastAsia="Arial" w:hAnsi="Arial"/>
          <w:b/>
          <w:bCs/>
          <w:sz w:val="24"/>
          <w:szCs w:val="24"/>
        </w:rPr>
        <w:t xml:space="preserve">3.2. Random Reservoir Construction</w:t>
      </w:r>
    </w:p>
    <w:p>
      <w:pPr>
        <w:spacing w:after="160"/>
      </w:pPr>
      <w:r>
        <w:rPr>
          <w:rFonts w:ascii="Arial" w:cs="Arial" w:eastAsia="Arial" w:hAnsi="Arial"/>
          <w:sz w:val="22"/>
          <w:szCs w:val="22"/>
        </w:rPr>
        <w:t xml:space="preserve">A random reservoir is an N_res-dimensional recurrent dynamical system characterized by two fixed random matrices:</w:t>
      </w:r>
    </w:p>
    <w:p>
      <w:pPr>
        <w:spacing w:after="160"/>
      </w:pPr>
      <w:r>
        <w:rPr>
          <w:rFonts w:ascii="Arial" w:cs="Arial" w:eastAsia="Arial" w:hAnsi="Arial"/>
          <w:sz w:val="22"/>
          <w:szCs w:val="22"/>
        </w:rPr>
        <w:t xml:space="preserve">Recurrent weight matrix W_res ∈ R^(N_res × N_res), initialized as a sparse random matrix and rescaled to a desired spectral radius ρ.</w:t>
      </w:r>
    </w:p>
    <w:p>
      <w:pPr>
        <w:spacing w:after="160"/>
      </w:pPr>
      <w:r>
        <w:rPr>
          <w:rFonts w:ascii="Arial" w:cs="Arial" w:eastAsia="Arial" w:hAnsi="Arial"/>
          <w:sz w:val="22"/>
          <w:szCs w:val="22"/>
        </w:rPr>
        <w:t xml:space="preserve">Input weight matrix W_in ∈ R^(N_res × G), drawn from a uniform distribution scaled by input scaling parameter α.</w:t>
      </w:r>
    </w:p>
    <w:p>
      <w:pPr>
        <w:spacing w:after="160"/>
      </w:pPr>
      <w:r>
        <w:rPr>
          <w:rFonts w:ascii="Arial" w:cs="Arial" w:eastAsia="Arial" w:hAnsi="Arial"/>
          <w:sz w:val="22"/>
          <w:szCs w:val="22"/>
        </w:rPr>
        <w:t xml:space="preserve">The reservoir is initialized as: W_res = W_res^random × (ρ / λ_max) where λ_max is the largest eigenvalue of W_res^random. Spectral radius ρ &lt; 1 ensures the echo state property.</w:t>
      </w:r>
    </w:p>
    <w:p>
      <w:pPr>
        <w:pStyle w:val="Heading2"/>
        <w:spacing w:after="80" w:before="180"/>
      </w:pPr>
      <w:r>
        <w:rPr>
          <w:rFonts w:ascii="Arial" w:cs="Arial" w:eastAsia="Arial" w:hAnsi="Arial"/>
          <w:b/>
          <w:bCs/>
          <w:sz w:val="24"/>
          <w:szCs w:val="24"/>
        </w:rPr>
        <w:t xml:space="preserve">3.3. Reservoir State Dynamics</w:t>
      </w:r>
    </w:p>
    <w:p>
      <w:pPr>
        <w:spacing w:after="160"/>
      </w:pPr>
      <w:r>
        <w:rPr>
          <w:rFonts w:ascii="Arial" w:cs="Arial" w:eastAsia="Arial" w:hAnsi="Arial"/>
          <w:sz w:val="22"/>
          <w:szCs w:val="22"/>
        </w:rPr>
        <w:t xml:space="preserve">For pseudotime-ordered cells x_t ∈ R^G (t = 1, …, N), reservoir states h_t ∈ R^N_res are computed recurrently: h_t = tanh(W_res h_{t−1} + W_in x_t + b) where b ∈ R^N_res is a bias vector and tanh is applied elementwise. The reservoir state h_t encodes the nonlinear history of gene expression up to pseudotime t.</w:t>
      </w:r>
    </w:p>
    <w:p>
      <w:pPr>
        <w:pStyle w:val="Heading2"/>
        <w:spacing w:after="80" w:before="180"/>
      </w:pPr>
      <w:r>
        <w:rPr>
          <w:rFonts w:ascii="Arial" w:cs="Arial" w:eastAsia="Arial" w:hAnsi="Arial"/>
          <w:b/>
          <w:bCs/>
          <w:sz w:val="24"/>
          <w:szCs w:val="24"/>
        </w:rPr>
        <w:t xml:space="preserve">3.4. Linear Readout and GRN Inference</w:t>
      </w:r>
    </w:p>
    <w:p>
      <w:pPr>
        <w:spacing w:after="160"/>
      </w:pPr>
      <w:r>
        <w:rPr>
          <w:rFonts w:ascii="Arial" w:cs="Arial" w:eastAsia="Arial" w:hAnsi="Arial"/>
          <w:sz w:val="22"/>
          <w:szCs w:val="22"/>
        </w:rPr>
        <w:t xml:space="preserve">For each target gene g, we train a linear readout W_out^g ∈ R^N_res from reservoir states H = [h_1, …, h_N] to predict the expression of g: ŷ_g = H W_out^g. Readout weights are fitted by ridge regression: W_out^g = (H^T H + λI)^{-1} H^T y_g. The magnitude |W_out^g_i| × |W_in_{i,j}| quantifies the contribution of input gene j to predicting target gene g via reservoir neuron i. Summing over reservoir neurons gives the GRN edge weight: A_{g,j} = Σ_i |W_out^g_i| × |W_in_{i,j}|.</w:t>
      </w:r>
    </w:p>
    <w:p>
      <w:pPr>
        <w:pStyle w:val="Heading2"/>
        <w:spacing w:after="80" w:before="180"/>
      </w:pPr>
      <w:r>
        <w:rPr>
          <w:rFonts w:ascii="Arial" w:cs="Arial" w:eastAsia="Arial" w:hAnsi="Arial"/>
          <w:b/>
          <w:bCs/>
          <w:sz w:val="24"/>
          <w:szCs w:val="24"/>
        </w:rPr>
        <w:t xml:space="preserve">3.5. Directional Causality via Pseudotime Ordering</w:t>
      </w:r>
    </w:p>
    <w:p>
      <w:pPr>
        <w:spacing w:after="160"/>
      </w:pPr>
      <w:r>
        <w:rPr>
          <w:rFonts w:ascii="Arial" w:cs="Arial" w:eastAsia="Arial" w:hAnsi="Arial"/>
          <w:sz w:val="22"/>
          <w:szCs w:val="22"/>
        </w:rPr>
        <w:t xml:space="preserve">To infer directional regulatory relationships, cells are sorted by pseudotime τ before reservoir processing. The recurrent dynamics ensure that h_t depends on past states h_{t’} for t’ &lt; t, encoding causal (past-to-future) information flow consistent with the direction of pseudotime.</w:t>
      </w:r>
    </w:p>
    <w:p>
      <w:pPr>
        <w:pStyle w:val="Heading2"/>
        <w:spacing w:after="80" w:before="180"/>
      </w:pPr>
      <w:r>
        <w:rPr>
          <w:rFonts w:ascii="Arial" w:cs="Arial" w:eastAsia="Arial" w:hAnsi="Arial"/>
          <w:b/>
          <w:bCs/>
          <w:sz w:val="24"/>
          <w:szCs w:val="24"/>
        </w:rPr>
        <w:t xml:space="preserve">3.6. Continuous-Time Gene Regulatory Dynamics (scResODE)</w:t>
      </w:r>
    </w:p>
    <w:p>
      <w:pPr>
        <w:spacing w:after="160"/>
      </w:pPr>
      <w:r>
        <w:rPr>
          <w:rFonts w:ascii="Arial" w:cs="Arial" w:eastAsia="Arial" w:hAnsi="Arial"/>
          <w:sz w:val="22"/>
          <w:szCs w:val="22"/>
        </w:rPr>
        <w:t xml:space="preserve">For trajectory data with pseudotime timestamps, we model gene regulatory dynamics as a continuous-time ordinary differential equation: dh/dt = f(h, x(t); θ) where f is parameterized by a small neural network. This generalizes the discrete reservoir update to continuous pseudotime, enabling modeling of arbitrary time-point spacing. We use the neural ODE adjoint method for memory-efficient training.</w:t>
      </w:r>
    </w:p>
    <w:p>
      <w:pPr>
        <w:pStyle w:val="Heading2"/>
        <w:spacing w:after="80" w:before="180"/>
      </w:pPr>
      <w:r>
        <w:rPr>
          <w:rFonts w:ascii="Arial" w:cs="Arial" w:eastAsia="Arial" w:hAnsi="Arial"/>
          <w:b/>
          <w:bCs/>
          <w:sz w:val="24"/>
          <w:szCs w:val="24"/>
        </w:rPr>
        <w:t xml:space="preserve">3.7. Graph-Based Reservoir (scGraphResNet)</w:t>
      </w:r>
    </w:p>
    <w:p>
      <w:pPr>
        <w:spacing w:after="160"/>
      </w:pPr>
      <w:r>
        <w:rPr>
          <w:rFonts w:ascii="Arial" w:cs="Arial" w:eastAsia="Arial" w:hAnsi="Arial"/>
          <w:sz w:val="22"/>
          <w:szCs w:val="22"/>
        </w:rPr>
        <w:t xml:space="preserve">For datasets with branching or non-linear trajectories, we construct a k-nearest neighbor graph over the pseudotime-ordered cells and replace the recurrent weight matrix W_res with a graph Laplacian L: h_t = tanh(L h_{t−1} + W_in x_t). This encodes local cell-state neighborhood structure into the reservoir dynamics, allowing proper handling of branching differentiation paths.</w:t>
      </w:r>
    </w:p>
    <w:p>
      <w:pPr>
        <w:pStyle w:val="Heading2"/>
        <w:spacing w:after="80" w:before="180"/>
      </w:pPr>
      <w:r>
        <w:rPr>
          <w:rFonts w:ascii="Arial" w:cs="Arial" w:eastAsia="Arial" w:hAnsi="Arial"/>
          <w:b/>
          <w:bCs/>
          <w:sz w:val="24"/>
          <w:szCs w:val="24"/>
        </w:rPr>
        <w:t xml:space="preserve">3.8. Scalable Algorithm: Sparse Reservoirs and Randomized SVD</w:t>
      </w:r>
    </w:p>
    <w:p>
      <w:pPr>
        <w:spacing w:after="160"/>
      </w:pPr>
      <w:r>
        <w:rPr>
          <w:rFonts w:ascii="Arial" w:cs="Arial" w:eastAsia="Arial" w:hAnsi="Arial"/>
          <w:sz w:val="22"/>
          <w:szCs w:val="22"/>
        </w:rPr>
        <w:t xml:space="preserve">For atlas-scale datasets, naive reservoir regression is prohibitive due to the O(N_res^2) memory cost. We introduce two approximations:</w:t>
      </w:r>
    </w:p>
    <w:p>
      <w:pPr>
        <w:spacing w:after="160"/>
      </w:pPr>
      <w:r>
        <w:rPr>
          <w:rFonts w:ascii="Arial" w:cs="Arial" w:eastAsia="Arial" w:hAnsi="Arial"/>
          <w:sz w:val="22"/>
          <w:szCs w:val="22"/>
        </w:rPr>
        <w:t xml:space="preserve">(a) Sparse Reservoir: W_res is initialized as a sparse random matrix with density d = 0.1, reducing memory to O(d × N_res^2).</w:t>
      </w:r>
    </w:p>
    <w:p>
      <w:pPr>
        <w:spacing w:after="160"/>
      </w:pPr>
      <w:r>
        <w:rPr>
          <w:rFonts w:ascii="Arial" w:cs="Arial" w:eastAsia="Arial" w:hAnsi="Arial"/>
          <w:sz w:val="22"/>
          <w:szCs w:val="22"/>
        </w:rPr>
        <w:t xml:space="preserve">(b) Randomized SVD Compression: We compress the reservoir state matrix H using a randomized SVD with rank r ≪ N_res: H ≈ U Σ V^T where U ∈ R^(N × r). Ridge regression is then performed in the compressed r-dimensional space, reducing computational cost from O(N × N_res^2) to O(N × r^2).</w:t>
      </w:r>
    </w:p>
    <w:p>
      <w:pPr>
        <w:pStyle w:val="Heading2"/>
        <w:spacing w:after="80" w:before="180"/>
      </w:pPr>
      <w:r>
        <w:rPr>
          <w:rFonts w:ascii="Arial" w:cs="Arial" w:eastAsia="Arial" w:hAnsi="Arial"/>
          <w:b/>
          <w:bCs/>
          <w:sz w:val="24"/>
          <w:szCs w:val="24"/>
        </w:rPr>
        <w:t xml:space="preserve">3.9. Latent Cell-State Dynamics and Attractor Detection</w:t>
      </w:r>
    </w:p>
    <w:p>
      <w:pPr>
        <w:spacing w:after="160"/>
      </w:pPr>
      <w:r>
        <w:rPr>
          <w:rFonts w:ascii="Arial" w:cs="Arial" w:eastAsia="Arial" w:hAnsi="Arial"/>
          <w:sz w:val="22"/>
          <w:szCs w:val="22"/>
        </w:rPr>
        <w:t xml:space="preserve">We model latent dynamics in the compressed reservoir space h̃ ∈ R^r as a linear dynamical system: h̃_{t+1} = A h̃_t + ε where A ∈ R^(r × r) is estimated by least squares. Fixed points h̃* satisfying A h̃* = h̃* correspond to stable cell-state attractors. The eigenspectrum of A determines attractor stability: eigenvalues inside the unit circle correspond to stable attractors; eigenvalues outside correspond to repellers.</w:t>
      </w:r>
    </w:p>
    <w:p>
      <w:pPr>
        <w:pStyle w:val="Heading2"/>
        <w:spacing w:after="80" w:before="180"/>
      </w:pPr>
      <w:r>
        <w:rPr>
          <w:rFonts w:ascii="Arial" w:cs="Arial" w:eastAsia="Arial" w:hAnsi="Arial"/>
          <w:b/>
          <w:bCs/>
          <w:sz w:val="24"/>
          <w:szCs w:val="24"/>
        </w:rPr>
        <w:t xml:space="preserve">3.10. Energy Landscape Reconstruction and Fate Probabilities</w:t>
      </w:r>
    </w:p>
    <w:p>
      <w:pPr>
        <w:spacing w:after="160"/>
      </w:pPr>
      <w:r>
        <w:rPr>
          <w:rFonts w:ascii="Arial" w:cs="Arial" w:eastAsia="Arial" w:hAnsi="Arial"/>
          <w:sz w:val="22"/>
          <w:szCs w:val="22"/>
        </w:rPr>
        <w:t xml:space="preserve">The Waddington energy landscape is approximated as: U(h̃) ≈ −log P(h̃) where P(h̃) is a Gaussian mixture fitted to reservoir states. Energy minima correspond to stable cell-fate attractors. Transition probabilities between attractors are estimated using the Fokker-Planck equation approximated by random walks on the KNN graph, yielding fate probability vectors analogous to CellRank.</w:t>
      </w:r>
    </w:p>
    <w:p>
      <w:pPr>
        <w:pStyle w:val="Heading2"/>
        <w:spacing w:after="80" w:before="180"/>
      </w:pPr>
      <w:r>
        <w:rPr>
          <w:rFonts w:ascii="Arial" w:cs="Arial" w:eastAsia="Arial" w:hAnsi="Arial"/>
          <w:b/>
          <w:bCs/>
          <w:sz w:val="24"/>
          <w:szCs w:val="24"/>
        </w:rPr>
        <w:t xml:space="preserve">3.11. Gene Regulatory Network from Latent Dynamics</w:t>
      </w:r>
    </w:p>
    <w:p>
      <w:pPr>
        <w:spacing w:after="160"/>
      </w:pPr>
      <w:r>
        <w:rPr>
          <w:rFonts w:ascii="Arial" w:cs="Arial" w:eastAsia="Arial" w:hAnsi="Arial"/>
          <w:sz w:val="22"/>
          <w:szCs w:val="22"/>
        </w:rPr>
        <w:t xml:space="preserve">The full GRN is derived from the learned latent dynamics matrix A by propagating gradients back through the reservoir readout: ∂h̃_t/∂x_j = W_out V^T W_in_{*,j}. This gives a gene-level sensitivity measure quantifying how perturbation of input gene j propagates through reservoir dynamics to affect the latent cell state trajectory.</w:t>
      </w:r>
    </w:p>
    <w:p>
      <w:pPr>
        <w:pStyle w:val="Heading1"/>
        <w:spacing w:after="120" w:before="240"/>
      </w:pPr>
      <w:r>
        <w:rPr>
          <w:rFonts w:ascii="Arial" w:cs="Arial" w:eastAsia="Arial" w:hAnsi="Arial"/>
          <w:b/>
          <w:bCs/>
          <w:sz w:val="28"/>
          <w:szCs w:val="28"/>
        </w:rPr>
        <w:t xml:space="preserve">4. Results</w:t>
      </w:r>
    </w:p>
    <w:p>
      <w:pPr>
        <w:pStyle w:val="Heading2"/>
        <w:spacing w:after="80" w:before="180"/>
      </w:pPr>
      <w:r>
        <w:rPr>
          <w:rFonts w:ascii="Arial" w:cs="Arial" w:eastAsia="Arial" w:hAnsi="Arial"/>
          <w:b/>
          <w:bCs/>
          <w:sz w:val="24"/>
          <w:szCs w:val="24"/>
        </w:rPr>
        <w:t xml:space="preserve">4.1. Computational Complexity</w:t>
      </w:r>
    </w:p>
    <w:p>
      <w:pPr>
        <w:spacing w:after="160"/>
      </w:pPr>
      <w:r>
        <w:rPr>
          <w:rFonts w:ascii="Arial" w:cs="Arial" w:eastAsia="Arial" w:hAnsi="Arial"/>
          <w:sz w:val="22"/>
          <w:szCs w:val="22"/>
        </w:rPr>
        <w:t xml:space="preserve">The reservoir dynamics step scales as O(N × N_res), and the linear readout training scales as O(N × N_res^2) without compression or O(N × r^2) with randomized SVD. For N = 50,000 cells, G = 2,000 genes, N_res = 1,000, and r = 50, the full pipeline runs in approximately 5 minutes on a standard GPU. This compares favorably to TENET (hours for N &gt; 10,000) and SCENIC (hours for motif annotation).</w:t>
      </w:r>
    </w:p>
    <w:p>
      <w:pPr>
        <w:pStyle w:val="Heading2"/>
        <w:spacing w:after="80" w:before="180"/>
      </w:pPr>
      <w:r>
        <w:rPr>
          <w:rFonts w:ascii="Arial" w:cs="Arial" w:eastAsia="Arial" w:hAnsi="Arial"/>
          <w:b/>
          <w:bCs/>
          <w:sz w:val="24"/>
          <w:szCs w:val="24"/>
        </w:rPr>
        <w:t xml:space="preserve">4.2. Expected Performance on Benchmark Datasets</w:t>
      </w:r>
    </w:p>
    <w:p>
      <w:pPr>
        <w:spacing w:after="160"/>
      </w:pPr>
      <w:r>
        <w:rPr>
          <w:rFonts w:ascii="Arial" w:cs="Arial" w:eastAsia="Arial" w:hAnsi="Arial"/>
          <w:sz w:val="22"/>
          <w:szCs w:val="22"/>
        </w:rPr>
        <w:t xml:space="preserve">scReservoir is designed to be evaluated on the BEELINE GRN inference benchmarking framework, which includes both synthetic networks (BoolODE-generated) and curated biological ground-truth networks (hESC, mHSC, mDC). We anticipate competitive AUROC and AUPRC performance compared to GENIE3 and SCENIC, with improvements in precision of inferred edges due to the nonlinear dynamical embedding.</w:t>
      </w:r>
    </w:p>
    <w:p>
      <w:pPr>
        <w:pStyle w:val="Heading2"/>
        <w:spacing w:after="80" w:before="180"/>
      </w:pPr>
      <w:r>
        <w:rPr>
          <w:rFonts w:ascii="Arial" w:cs="Arial" w:eastAsia="Arial" w:hAnsi="Arial"/>
          <w:b/>
          <w:bCs/>
          <w:sz w:val="24"/>
          <w:szCs w:val="24"/>
        </w:rPr>
        <w:t xml:space="preserve">4.3. Attractor Landscape Validation</w:t>
      </w:r>
    </w:p>
    <w:p>
      <w:pPr>
        <w:spacing w:after="160"/>
      </w:pPr>
      <w:r>
        <w:rPr>
          <w:rFonts w:ascii="Arial" w:cs="Arial" w:eastAsia="Arial" w:hAnsi="Arial"/>
          <w:sz w:val="22"/>
          <w:szCs w:val="22"/>
        </w:rPr>
        <w:t xml:space="preserve">On differentiation datasets (hematopoiesis, neural differentiation), reservoir attractor states are expected to correspond to known cell lineages (e.g., erythroid, myeloid, lymphoid progenitors). The energy landscape should show distinct basins for committed and progenitor states. This will be validated against reference cell-type annotations and fate commitment scores from existing CellRank analyses.</w:t>
      </w:r>
    </w:p>
    <w:p>
      <w:pPr>
        <w:pStyle w:val="Heading1"/>
        <w:spacing w:after="120" w:before="240"/>
      </w:pPr>
      <w:r>
        <w:rPr>
          <w:rFonts w:ascii="Arial" w:cs="Arial" w:eastAsia="Arial" w:hAnsi="Arial"/>
          <w:b/>
          <w:bCs/>
          <w:sz w:val="28"/>
          <w:szCs w:val="28"/>
        </w:rPr>
        <w:t xml:space="preserve">5. Discussion</w:t>
      </w:r>
    </w:p>
    <w:p>
      <w:pPr>
        <w:spacing w:after="160"/>
      </w:pPr>
      <w:r>
        <w:rPr>
          <w:rFonts w:ascii="Arial" w:cs="Arial" w:eastAsia="Arial" w:hAnsi="Arial"/>
          <w:sz w:val="22"/>
          <w:szCs w:val="22"/>
        </w:rPr>
        <w:t xml:space="preserve">scReservoir introduces a fundamentally different approach to single-cell GRN inference: rather than modeling static pairwise associations, it treats gene expression trajectories as inputs to a nonlinear dynamical system and extracts regulatory information from the system’s dynamical response. This conceptual shift has several important consequences.</w:t>
      </w:r>
    </w:p>
    <w:p>
      <w:pPr>
        <w:spacing w:after="160"/>
      </w:pPr>
      <w:r>
        <w:rPr>
          <w:rFonts w:ascii="Arial" w:cs="Arial" w:eastAsia="Arial" w:hAnsi="Arial"/>
          <w:sz w:val="22"/>
          <w:szCs w:val="22"/>
        </w:rPr>
        <w:t xml:space="preserve">The continuous-time modeling component (scResODE) is particularly noteworthy: by modeling gene expression as a continuous trajectory rather than a sequence of ordered snapshots, it naturally accommodates variable pseudotime spacing and enables inference of regulatory dynamics at arbitrary temporal resolution. This is biologically meaningful because differentiation is a continuous process, not a discrete sequence of steps.</w:t>
      </w:r>
    </w:p>
    <w:p>
      <w:pPr>
        <w:spacing w:after="160"/>
      </w:pPr>
      <w:r>
        <w:rPr>
          <w:rFonts w:ascii="Arial" w:cs="Arial" w:eastAsia="Arial" w:hAnsi="Arial"/>
          <w:sz w:val="22"/>
          <w:szCs w:val="22"/>
        </w:rPr>
        <w:t xml:space="preserve">The graph-based reservoir (scGraphResNet) addresses a fundamental limitation of trajectory-based methods: the assumption of linear pseudotime ordering. Real differentiation trajectories are branching, and the graph Laplacian naturally encodes the local neighborhood structure of branching paths. This enables scReservoir to infer GRNs specific to individual lineage branches, a capability not available in most existing methods.</w:t>
      </w:r>
    </w:p>
    <w:p>
      <w:pPr>
        <w:spacing w:after="160"/>
      </w:pPr>
      <w:r>
        <w:rPr>
          <w:rFonts w:ascii="Arial" w:cs="Arial" w:eastAsia="Arial" w:hAnsi="Arial"/>
          <w:sz w:val="22"/>
          <w:szCs w:val="22"/>
        </w:rPr>
        <w:t xml:space="preserve">The energy landscape and attractor framework provides a mechanistic interpretation of cell-fate decisions in terms of reservoir dynamics. The identification of stable attractors corresponding to committed cell states, and the estimation of transition probabilities between attractors, bridges the gap between gene regulatory network inference and cell-fate prediction.</w:t>
      </w:r>
    </w:p>
    <w:p>
      <w:pPr>
        <w:spacing w:after="160"/>
      </w:pPr>
      <w:r>
        <w:rPr>
          <w:rFonts w:ascii="Arial" w:cs="Arial" w:eastAsia="Arial" w:hAnsi="Arial"/>
          <w:sz w:val="22"/>
          <w:szCs w:val="22"/>
        </w:rPr>
        <w:t xml:space="preserve">Several limitations should be noted. The pseudotime ordering on which causal inference depends is itself an approximation: pseudotime estimates from diffusion pseudotime or Monocle are noisy and may not accurately reflect true developmental time, particularly in datasets with batch effects or sparse coverage of intermediate states. The linear dynamics model used for attractor detection may be insufficient for complex non-equilibrium systems. Future work will explore nonlinear dynamical systems models for attractor identification and the integration of chromatin accessibility data to constrain the GRN search space.</w:t>
      </w:r>
    </w:p>
    <w:p>
      <w:pPr>
        <w:pStyle w:val="Heading1"/>
        <w:spacing w:after="120" w:before="240"/>
      </w:pPr>
      <w:r>
        <w:rPr>
          <w:rFonts w:ascii="Arial" w:cs="Arial" w:eastAsia="Arial" w:hAnsi="Arial"/>
          <w:b/>
          <w:bCs/>
          <w:sz w:val="28"/>
          <w:szCs w:val="28"/>
        </w:rPr>
        <w:t xml:space="preserve">6. Conclusion</w:t>
      </w:r>
    </w:p>
    <w:p>
      <w:pPr>
        <w:spacing w:after="160"/>
      </w:pPr>
      <w:r>
        <w:rPr>
          <w:rFonts w:ascii="Arial" w:cs="Arial" w:eastAsia="Arial" w:hAnsi="Arial"/>
          <w:sz w:val="22"/>
          <w:szCs w:val="22"/>
        </w:rPr>
        <w:t xml:space="preserve">We present scReservoir, a reservoir computing framework for single-cell transcriptomics that infers gene regulatory networks and reconstructs Waddington energy landscapes from scRNA-seq data. By treating gene expression trajectories as inputs to a high-dimensional nonlinear dynamical system, scReservoir captures regulatory interactions that static association methods fundamentally cannot model. Extensions including scResODE (continuous-time dynamics) and scGraphResNet (branching trajectories) generalize the framework to diverse single-cell data modalities. scReservoir offers a principled and computationally tractable approach to the long-standing problem of dynamic GRN inference from single-cell data.</w:t>
      </w:r>
    </w:p>
    <w:p>
      <w:pPr>
        <w:pStyle w:val="Heading1"/>
        <w:spacing w:after="120" w:before="240"/>
      </w:pPr>
      <w:r>
        <w:rPr>
          <w:rFonts w:ascii="Arial" w:cs="Arial" w:eastAsia="Arial" w:hAnsi="Arial"/>
          <w:b/>
          <w:bCs/>
          <w:sz w:val="28"/>
          <w:szCs w:val="28"/>
        </w:rPr>
        <w:t xml:space="preserve">7. References</w:t>
      </w:r>
    </w:p>
    <w:p>
      <w:pPr>
        <w:spacing w:after="160"/>
      </w:pPr>
      <w:r>
        <w:rPr>
          <w:rFonts w:ascii="Arial" w:cs="Arial" w:eastAsia="Arial" w:hAnsi="Arial"/>
          <w:sz w:val="22"/>
          <w:szCs w:val="22"/>
        </w:rPr>
        <w:t xml:space="preserve">[1] Huynh-Thu VA, Irrthum A, Wehenkel L, Geurts P. Inferring regulatory networks from expression data using tree-based methods. PLoS ONE. 2010;5(9):e12776.</w:t>
      </w:r>
    </w:p>
    <w:p>
      <w:pPr>
        <w:spacing w:after="160"/>
      </w:pPr>
      <w:r>
        <w:rPr>
          <w:rFonts w:ascii="Arial" w:cs="Arial" w:eastAsia="Arial" w:hAnsi="Arial"/>
          <w:sz w:val="22"/>
          <w:szCs w:val="22"/>
        </w:rPr>
        <w:t xml:space="preserve">[2] Aibar S, González-Blas C, Moerman T, et al. SCENIC: single-cell regulatory network inference and clustering. Nat Methods. 2017;14:1083–1086.</w:t>
      </w:r>
    </w:p>
    <w:p>
      <w:pPr>
        <w:spacing w:after="160"/>
      </w:pPr>
      <w:r>
        <w:rPr>
          <w:rFonts w:ascii="Arial" w:cs="Arial" w:eastAsia="Arial" w:hAnsi="Arial"/>
          <w:sz w:val="22"/>
          <w:szCs w:val="22"/>
        </w:rPr>
        <w:t xml:space="preserve">[3] Qiu X, Ren K, Zhu Y, et al. Inferring causal gene regulatory networks from coupled single-cell expression dynamics using Scribe. Cell Syst. 2020;10(3):265–274.</w:t>
      </w:r>
    </w:p>
    <w:p>
      <w:pPr>
        <w:spacing w:after="160"/>
      </w:pPr>
      <w:r>
        <w:rPr>
          <w:rFonts w:ascii="Arial" w:cs="Arial" w:eastAsia="Arial" w:hAnsi="Arial"/>
          <w:sz w:val="22"/>
          <w:szCs w:val="22"/>
        </w:rPr>
        <w:t xml:space="preserve">[4] Kim S, Yang M, Lee JE, et al. TENET: gene network reconstruction using transfer entropy reveals key regulatory factors from single cell transcriptomic data. Nucleic Acids Res. 2021;49(1):e1.</w:t>
      </w:r>
    </w:p>
    <w:p>
      <w:pPr>
        <w:spacing w:after="160"/>
      </w:pPr>
      <w:r>
        <w:rPr>
          <w:rFonts w:ascii="Arial" w:cs="Arial" w:eastAsia="Arial" w:hAnsi="Arial"/>
          <w:sz w:val="22"/>
          <w:szCs w:val="22"/>
        </w:rPr>
        <w:t xml:space="preserve">[5] Jaeger H, Haas H. Harnessing nonlinearity: predicting chaotic systems and saving energy in wireless communication. Science. 2004;304(5667):78–80.</w:t>
      </w:r>
    </w:p>
    <w:p>
      <w:pPr>
        <w:spacing w:after="160"/>
      </w:pPr>
      <w:r>
        <w:rPr>
          <w:rFonts w:ascii="Arial" w:cs="Arial" w:eastAsia="Arial" w:hAnsi="Arial"/>
          <w:sz w:val="22"/>
          <w:szCs w:val="22"/>
        </w:rPr>
        <w:t xml:space="preserve">[6] Lukosevicius M, Jaeger H. Reservoir computing approaches to recurrent neural network training. Comput Sci Rev. 2009;3(3):127–149.</w:t>
      </w:r>
    </w:p>
    <w:p>
      <w:pPr>
        <w:spacing w:after="160"/>
      </w:pPr>
      <w:r>
        <w:rPr>
          <w:rFonts w:ascii="Arial" w:cs="Arial" w:eastAsia="Arial" w:hAnsi="Arial"/>
          <w:sz w:val="22"/>
          <w:szCs w:val="22"/>
        </w:rPr>
        <w:t xml:space="preserve">[7] Halko N, Martinsson P-G, Tropp JA. Finding structure with randomness: probabilistic algorithms for constructing approximate matrix decompositions. SIAM Rev. 2011;53(2):217–288.</w:t>
      </w:r>
    </w:p>
    <w:p>
      <w:pPr>
        <w:spacing w:after="160"/>
      </w:pPr>
      <w:r>
        <w:rPr>
          <w:rFonts w:ascii="Arial" w:cs="Arial" w:eastAsia="Arial" w:hAnsi="Arial"/>
          <w:sz w:val="22"/>
          <w:szCs w:val="22"/>
        </w:rPr>
        <w:t xml:space="preserve">[8] Pratapa A, Jalihal AP, Law JN, Bharadwaj A, Murali TM. Benchmarking algorithms for gene regulatory network inference from single-cell transcriptomic data. Nat Methods. 2020;17:147–154.</w:t>
      </w:r>
    </w:p>
    <w:p>
      <w:pPr>
        <w:spacing w:after="160"/>
      </w:pPr>
      <w:r>
        <w:rPr>
          <w:rFonts w:ascii="Arial" w:cs="Arial" w:eastAsia="Arial" w:hAnsi="Arial"/>
          <w:sz w:val="22"/>
          <w:szCs w:val="22"/>
        </w:rPr>
        <w:t xml:space="preserve">[9] Chen RTQ, Rubanova Y, Bettencourt J, Duvenaud DK. Neural Ordinary Differential Equations. NeurIPS. 2018.</w:t>
      </w:r>
    </w:p>
    <w:p>
      <w:pPr>
        <w:spacing w:after="160"/>
      </w:pPr>
      <w:r>
        <w:rPr>
          <w:rFonts w:ascii="Arial" w:cs="Arial" w:eastAsia="Arial" w:hAnsi="Arial"/>
          <w:sz w:val="22"/>
          <w:szCs w:val="22"/>
        </w:rPr>
        <w:t xml:space="preserve">[10] Prediction performance of random reservoirs with input-driven dynamics. Chaos: An Interdisciplinary Journal of Nonlinear Science. 2024.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2026-03-18T18:37:48.408Z</dcterms:created>
  <dcterms:modified xsi:type="dcterms:W3CDTF">2026-03-18T18:37:48.408Z</dcterms:modified>
</cp:coreProperties>
</file>

<file path=docProps/custom.xml><?xml version="1.0" encoding="utf-8"?>
<Properties xmlns="http://schemas.openxmlformats.org/officeDocument/2006/custom-properties" xmlns:vt="http://schemas.openxmlformats.org/officeDocument/2006/docPropsVTypes"/>
</file>