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60"/>
        </w:rPr>
        <w:t>Plataforma Integral de PROFEPA 1.0</w:t>
      </w:r>
    </w:p>
    <w:p>
      <w:pPr>
        <w:jc w:val="center"/>
      </w:pPr>
      <w:r>
        <w:rPr>
          <w:b/>
          <w:color w:val="2874A6"/>
          <w:sz w:val="36"/>
        </w:rPr>
        <w:t>ANÁLISIS DE REQUERIMIENTOS FUNCIONALES</w:t>
        <w:br/>
        <w:t>Y MODELADO DE PROCESOS</w:t>
      </w:r>
    </w:p>
    <w:p>
      <w:pPr>
        <w:jc w:val="center"/>
      </w:pPr>
      <w:r>
        <w:rPr>
          <w:sz w:val="24"/>
        </w:rPr>
        <w:br/>
        <w:t>Subprocuraduría de Prevención Ambiental (SPA) / PROFEPA</w:t>
        <w:br/>
      </w:r>
      <w:r>
        <w:rPr>
          <w:b/>
        </w:rPr>
        <w:t>Documento base para la etapa formal de análisis y levantamiento de requerimientos</w:t>
      </w:r>
    </w:p>
    <w:p>
      <w:pPr>
        <w:jc w:val="center"/>
      </w:pPr>
      <w:r>
        <w:rPr>
          <w:sz w:val="22"/>
        </w:rPr>
        <w:br/>
        <w:t>1 de septiembre de 2026</w:t>
      </w:r>
    </w:p>
    <w:p>
      <w:pPr>
        <w:pStyle w:val="Subtitle"/>
      </w:pPr>
      <w:r>
        <w:t>Versión actualizada 2.0 — incorporación de minutas de seguimiento y ampliación de arquitectura y analítica BI</w:t>
      </w:r>
    </w:p>
    <w:tbl>
      <w:tblPr>
        <w:tblStyle w:val="TableGrid"/>
        <w:tblW w:type="auto" w:w="0"/>
        <w:tblLook w:firstColumn="1" w:firstRow="1" w:lastColumn="0" w:lastRow="0" w:noHBand="0" w:noVBand="1" w:val="04A0"/>
      </w:tblPr>
      <w:tblGrid>
        <w:gridCol w:w="10224"/>
      </w:tblGrid>
      <w:tr>
        <w:tc>
          <w:tcPr>
            <w:tcW w:type="dxa" w:w="10224"/>
            <w:shd w:fill="F8F9F9"/>
          </w:tcPr>
          <w:p>
            <w:r>
              <w:rPr>
                <w:b/>
                <w:color w:val="1F4E79"/>
              </w:rPr>
              <w:t xml:space="preserve">Alcance de este documento: </w:t>
            </w:r>
            <w:r>
              <w:t>Este documento interpreta los archivos proporcionados desde una perspectiva de análisis de sistemas y procesos. Los requisitos marcados como 'derivados/propuestos' deberán ser validados con los responsables funcionales antes de convertirlos en especificaciones de desarrollo.</w:t>
            </w:r>
          </w:p>
        </w:tc>
      </w:tr>
    </w:tbl>
    <w:p/>
    <w:p>
      <w:r>
        <w:br w:type="page"/>
      </w:r>
    </w:p>
    <w:p>
      <w:pPr>
        <w:pStyle w:val="Heading1"/>
      </w:pPr>
      <w:r>
        <w:t>1. Resumen ejecutivo</w:t>
      </w:r>
    </w:p>
    <w:p>
      <w:r>
        <w:rPr>
          <w:b/>
        </w:rPr>
        <w:t>Actualización de seguimiento: esta versión incorpora los acuerdos y observaciones de las Minutas No. 02 y No. 03 (archivos Minuta_SAAEL_25082027_2_Vfinal.pdf y Minuta_SAAEL_01092027_3.pdf). Se amplía el alcance con catálogos SCIAN/CMAP, generación y firma electrónica de documentos, módulo de concertación, interoperabilidad con la COA de SEMARNAT, estrategia de explotación de información/Business Intelligence (BI), revisión de funcionalidades vigentes y obsoletas, actividades externas al sistema, trazabilidad de folios y reglas sobre información pública/confidencial. Los puntos que la minuta presenta como posibilidades o acuerdos de revisión se mantienen como candidatos sujetos a validación técnica, jurídica y funcional.</w:t>
      </w:r>
    </w:p>
    <w:p>
      <w:r>
        <w:t>El conjunto documental analizado muestra una necesidad de evolución de SAAEL hacia una plataforma centrada en procesos, expediente electrónico, automatización, interoperabilidad y trazabilidad. La minuta de trabajo plantea explícitamente iniciar el levantamiento AS-IS/TO-BE, identificar actores, entradas, salidas, actividades, interacciones, reglas, excepciones, cuellos de botella y requerimientos; asimismo, solicita simplificación, eliminación de actividades sin valor, automatización, integraciones, validaciones, precarga, notificaciones, seguimiento, reportes y alineación normativa.</w:t>
      </w:r>
    </w:p>
    <w:p>
      <w:r>
        <w:t>Los documentos normativos agregan una segunda dimensión crítica: SAAEL no debe modelarse sólo como un formulario digital. Debe soportar expedientes y ciclos de vida regulatorios, con evidencia documental, indicadores, dictámenes, plazos, prevenciones, resoluciones, auditorías, renovación por RDA y controles de cumplimiento.</w:t>
      </w:r>
    </w:p>
    <w:p>
      <w:pPr>
        <w:pStyle w:val="ListBullet"/>
        <w:spacing w:after="40"/>
      </w:pPr>
      <w:r>
        <w:t>La prioridad arquitectónica debe ser el modelo de proceso y de datos; las pantallas deben derivarse de ellos.</w:t>
      </w:r>
    </w:p>
    <w:p>
      <w:pPr>
        <w:pStyle w:val="ListBullet"/>
        <w:spacing w:after="40"/>
      </w:pPr>
      <w:r>
        <w:t>La unidad funcional no debe ser únicamente el trámite: debe existir relación entre Empresa, Instalación, Certificado, Auditor, Solicitud, Expediente, Evidencia, Indicador, Materia, Dictamen y Resolución.</w:t>
      </w:r>
    </w:p>
    <w:p>
      <w:pPr>
        <w:pStyle w:val="ListBullet"/>
        <w:spacing w:after="40"/>
      </w:pPr>
      <w:r>
        <w:t>La interoperabilidad debe diseñarse como capacidad transversal, no como desarrollos aislados por trámite.</w:t>
      </w:r>
    </w:p>
    <w:p>
      <w:pPr>
        <w:pStyle w:val="ListBullet"/>
        <w:spacing w:after="40"/>
      </w:pPr>
      <w:r>
        <w:t>La trazabilidad debe ser un requisito estructural: quién, qué, cuándo, sobre qué objeto, con qué resultado y con qué evidencia.</w:t>
      </w:r>
    </w:p>
    <w:p>
      <w:pPr>
        <w:pStyle w:val="ListBullet"/>
        <w:spacing w:after="40"/>
      </w:pPr>
      <w:r>
        <w:t>Los requisitos normativos deben convertirse en reglas parametrizables cuando sea posible, evitando codificar plazos, catálogos o condiciones de negocio directamente en la interfaz.</w:t>
      </w:r>
    </w:p>
    <w:p>
      <w:r>
        <w:t>Conclusión del análisis: se recomienda abordar Plataforma Integral de PROFEPA 1.0 como una plataforma de gestión de procesos regulatorios ambientales, con expediente electrónico y motor de reglas, en lugar de una simple actualización de SAAEL 2.0.</w:t>
      </w:r>
    </w:p>
    <w:p>
      <w:r>
        <w:br w:type="page"/>
      </w:r>
    </w:p>
    <w:p>
      <w:pPr>
        <w:pStyle w:val="Heading1"/>
      </w:pPr>
      <w:r>
        <w:t>2. Fuentes analizadas y metodología</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79"/>
          </w:tcPr>
          <w:p>
            <w:r/>
            <w:r>
              <w:rPr>
                <w:rFonts w:ascii="Aptos" w:hAnsi="Aptos"/>
                <w:b/>
                <w:color w:val="FFFFFF"/>
                <w:sz w:val="15"/>
              </w:rPr>
              <w:t>Fuente</w:t>
            </w:r>
          </w:p>
        </w:tc>
        <w:tc>
          <w:tcPr>
            <w:tcW w:type="dxa" w:w="2880"/>
            <w:vAlign w:val="center"/>
            <w:shd w:fill="1F4E79"/>
          </w:tcPr>
          <w:p>
            <w:r/>
            <w:r>
              <w:rPr>
                <w:rFonts w:ascii="Aptos" w:hAnsi="Aptos"/>
                <w:b/>
                <w:color w:val="FFFFFF"/>
                <w:sz w:val="15"/>
              </w:rPr>
              <w:t>Uso en el análisis</w:t>
            </w:r>
          </w:p>
        </w:tc>
        <w:tc>
          <w:tcPr>
            <w:tcW w:type="dxa" w:w="4320"/>
            <w:vAlign w:val="center"/>
            <w:shd w:fill="1F4E79"/>
          </w:tcPr>
          <w:p>
            <w:r/>
            <w:r>
              <w:rPr>
                <w:rFonts w:ascii="Aptos" w:hAnsi="Aptos"/>
                <w:b/>
                <w:color w:val="FFFFFF"/>
                <w:sz w:val="15"/>
              </w:rPr>
              <w:t>Aspectos relevantes</w:t>
            </w:r>
          </w:p>
        </w:tc>
      </w:tr>
      <w:tr>
        <w:tc>
          <w:tcPr>
            <w:tcW w:type="dxa" w:w="2880"/>
            <w:vAlign w:val="center"/>
          </w:tcPr>
          <w:p>
            <w:r/>
            <w:r>
              <w:rPr>
                <w:rFonts w:ascii="Aptos" w:hAnsi="Aptos"/>
                <w:b w:val="0"/>
                <w:sz w:val="15"/>
              </w:rPr>
              <w:t>Minuta_SAAEL_18082026_1.pdf</w:t>
            </w:r>
          </w:p>
        </w:tc>
        <w:tc>
          <w:tcPr>
            <w:tcW w:type="dxa" w:w="2880"/>
            <w:vAlign w:val="center"/>
          </w:tcPr>
          <w:p>
            <w:r/>
            <w:r>
              <w:rPr>
                <w:rFonts w:ascii="Aptos" w:hAnsi="Aptos"/>
                <w:b w:val="0"/>
                <w:sz w:val="15"/>
              </w:rPr>
              <w:t>Necesidad institucional / visión AS-IS y TO-BE</w:t>
            </w:r>
          </w:p>
        </w:tc>
        <w:tc>
          <w:tcPr>
            <w:tcW w:type="dxa" w:w="4320"/>
            <w:vAlign w:val="center"/>
          </w:tcPr>
          <w:p>
            <w:r/>
            <w:r>
              <w:rPr>
                <w:rFonts w:ascii="Aptos" w:hAnsi="Aptos"/>
                <w:b w:val="0"/>
                <w:sz w:val="15"/>
              </w:rPr>
              <w:t>Actores, entradas/salidas, automatización, integraciones, trazabilidad, roles, auditoría, reportes, requerimientos no funcionales.</w:t>
            </w:r>
          </w:p>
        </w:tc>
      </w:tr>
      <w:tr>
        <w:tc>
          <w:tcPr>
            <w:tcW w:type="dxa" w:w="2880"/>
            <w:vAlign w:val="center"/>
          </w:tcPr>
          <w:p>
            <w:r/>
            <w:r>
              <w:rPr>
                <w:rFonts w:ascii="Aptos" w:hAnsi="Aptos"/>
                <w:b w:val="0"/>
                <w:sz w:val="15"/>
              </w:rPr>
              <w:t>Inscripción al SAAEL 2.0 11042025.docx</w:t>
            </w:r>
          </w:p>
        </w:tc>
        <w:tc>
          <w:tcPr>
            <w:tcW w:type="dxa" w:w="2880"/>
            <w:vAlign w:val="center"/>
          </w:tcPr>
          <w:p>
            <w:r/>
            <w:r>
              <w:rPr>
                <w:rFonts w:ascii="Aptos" w:hAnsi="Aptos"/>
                <w:b w:val="0"/>
                <w:sz w:val="15"/>
              </w:rPr>
              <w:t>Referencia de funcionalidad existente</w:t>
            </w:r>
          </w:p>
        </w:tc>
        <w:tc>
          <w:tcPr>
            <w:tcW w:type="dxa" w:w="4320"/>
            <w:vAlign w:val="center"/>
          </w:tcPr>
          <w:p>
            <w:r/>
            <w:r>
              <w:rPr>
                <w:rFonts w:ascii="Aptos" w:hAnsi="Aptos"/>
                <w:b w:val="0"/>
                <w:sz w:val="15"/>
              </w:rPr>
              <w:t>Perfiles, captura, documentos, ubicación geográfica, auditor seleccionado, notificaciones, reglas de operación.</w:t>
            </w:r>
          </w:p>
        </w:tc>
      </w:tr>
      <w:tr>
        <w:tc>
          <w:tcPr>
            <w:tcW w:type="dxa" w:w="2880"/>
            <w:vAlign w:val="center"/>
          </w:tcPr>
          <w:p>
            <w:r/>
            <w:r>
              <w:rPr>
                <w:rFonts w:ascii="Aptos" w:hAnsi="Aptos"/>
                <w:b w:val="0"/>
                <w:sz w:val="15"/>
              </w:rPr>
              <w:t>NMX-AA-163-SCFI-2012.pdf</w:t>
            </w:r>
          </w:p>
        </w:tc>
        <w:tc>
          <w:tcPr>
            <w:tcW w:type="dxa" w:w="2880"/>
            <w:vAlign w:val="center"/>
          </w:tcPr>
          <w:p>
            <w:r/>
            <w:r>
              <w:rPr>
                <w:rFonts w:ascii="Aptos" w:hAnsi="Aptos"/>
                <w:b w:val="0"/>
                <w:sz w:val="15"/>
              </w:rPr>
              <w:t>Base normativa RDA</w:t>
            </w:r>
          </w:p>
        </w:tc>
        <w:tc>
          <w:tcPr>
            <w:tcW w:type="dxa" w:w="4320"/>
            <w:vAlign w:val="center"/>
          </w:tcPr>
          <w:p>
            <w:r/>
            <w:r>
              <w:rPr>
                <w:rFonts w:ascii="Aptos" w:hAnsi="Aptos"/>
                <w:b w:val="0"/>
                <w:sz w:val="15"/>
              </w:rPr>
              <w:t>Requisitos del RDA, indicadores, evidencias, sistema de gestión ambiental, renovación y actualizaciones anuales.</w:t>
            </w:r>
          </w:p>
        </w:tc>
      </w:tr>
      <w:tr>
        <w:tc>
          <w:tcPr>
            <w:tcW w:type="dxa" w:w="2880"/>
            <w:vAlign w:val="center"/>
          </w:tcPr>
          <w:p>
            <w:r/>
            <w:r>
              <w:rPr>
                <w:rFonts w:ascii="Aptos" w:hAnsi="Aptos"/>
                <w:b w:val="0"/>
                <w:sz w:val="15"/>
              </w:rPr>
              <w:t>RLGEEPAMAAA_311014.pdf</w:t>
            </w:r>
          </w:p>
        </w:tc>
        <w:tc>
          <w:tcPr>
            <w:tcW w:type="dxa" w:w="2880"/>
            <w:vAlign w:val="center"/>
          </w:tcPr>
          <w:p>
            <w:r/>
            <w:r>
              <w:rPr>
                <w:rFonts w:ascii="Aptos" w:hAnsi="Aptos"/>
                <w:b w:val="0"/>
                <w:sz w:val="15"/>
              </w:rPr>
              <w:t>Base regulatoria del ciclo de certificación</w:t>
            </w:r>
          </w:p>
        </w:tc>
        <w:tc>
          <w:tcPr>
            <w:tcW w:type="dxa" w:w="4320"/>
            <w:vAlign w:val="center"/>
          </w:tcPr>
          <w:p>
            <w:r/>
            <w:r>
              <w:rPr>
                <w:rFonts w:ascii="Aptos" w:hAnsi="Aptos"/>
                <w:b w:val="0"/>
                <w:sz w:val="15"/>
              </w:rPr>
              <w:t>Solicitud, revisión, prevención, auditoría, plan de acción, renovación, RDA, verificaciones, plazos y obligaciones.</w:t>
            </w:r>
          </w:p>
        </w:tc>
      </w:tr>
      <w:tr>
        <w:tc>
          <w:tcPr>
            <w:tcW w:type="dxa" w:w="2880"/>
            <w:vAlign w:val="center"/>
          </w:tcPr>
          <w:p>
            <w:r/>
            <w:r>
              <w:rPr>
                <w:rFonts w:ascii="Aptos" w:hAnsi="Aptos"/>
                <w:b w:val="0"/>
                <w:sz w:val="15"/>
              </w:rPr>
              <w:t>NMX-AA-162-SCFI-2012.pdf</w:t>
            </w:r>
          </w:p>
        </w:tc>
        <w:tc>
          <w:tcPr>
            <w:tcW w:type="dxa" w:w="2880"/>
            <w:vAlign w:val="center"/>
          </w:tcPr>
          <w:p>
            <w:r/>
            <w:r>
              <w:rPr>
                <w:rFonts w:ascii="Aptos" w:hAnsi="Aptos"/>
                <w:b w:val="0"/>
                <w:sz w:val="15"/>
              </w:rPr>
              <w:t>Base de auditoría y evidencia</w:t>
            </w:r>
          </w:p>
        </w:tc>
        <w:tc>
          <w:tcPr>
            <w:tcW w:type="dxa" w:w="4320"/>
            <w:vAlign w:val="center"/>
          </w:tcPr>
          <w:p>
            <w:r/>
            <w:r>
              <w:rPr>
                <w:rFonts w:ascii="Aptos" w:hAnsi="Aptos"/>
                <w:b w:val="0"/>
                <w:sz w:val="15"/>
              </w:rPr>
              <w:t>Materias, evidencias, bitácoras, dictámenes, no conformidades, conservación documental y datos de instalaciones.</w:t>
            </w:r>
          </w:p>
        </w:tc>
      </w:tr>
    </w:tbl>
    <w:p/>
    <w:p>
      <w:pPr>
        <w:pStyle w:val="Heading2"/>
      </w:pPr>
      <w:r>
        <w:t>2.1 Método aplicado</w:t>
      </w:r>
    </w:p>
    <w:p>
      <w:pPr>
        <w:pStyle w:val="ListNumber"/>
        <w:spacing w:after="40"/>
      </w:pPr>
      <w:r>
        <w:t>Separación entre necesidad de negocio, proceso, regla de negocio y requisito tecnológico.</w:t>
      </w:r>
    </w:p>
    <w:p>
      <w:pPr>
        <w:pStyle w:val="ListNumber"/>
        <w:spacing w:after="40"/>
      </w:pPr>
      <w:r>
        <w:t>Identificación de actores y objetos de información recurrentes.</w:t>
      </w:r>
    </w:p>
    <w:p>
      <w:pPr>
        <w:pStyle w:val="ListNumber"/>
        <w:spacing w:after="40"/>
      </w:pPr>
      <w:r>
        <w:t>Reconstrucción del AS-IS a partir de la minuta y de la funcionalidad de inscripción de SAAEL 2.0.</w:t>
      </w:r>
    </w:p>
    <w:p>
      <w:pPr>
        <w:pStyle w:val="ListNumber"/>
        <w:spacing w:after="40"/>
      </w:pPr>
      <w:r>
        <w:t>Diseño conceptual del TO-BE orientado a automatización y control.</w:t>
      </w:r>
    </w:p>
    <w:p>
      <w:pPr>
        <w:pStyle w:val="ListNumber"/>
        <w:spacing w:after="40"/>
      </w:pPr>
      <w:r>
        <w:t>Derivación de requisitos funcionales y no funcionales.</w:t>
      </w:r>
    </w:p>
    <w:p>
      <w:pPr>
        <w:pStyle w:val="ListNumber"/>
        <w:spacing w:after="40"/>
      </w:pPr>
      <w:r>
        <w:t>Identificación de integraciones externas y validaciones automáticas.</w:t>
      </w:r>
    </w:p>
    <w:p>
      <w:pPr>
        <w:pStyle w:val="ListNumber"/>
        <w:spacing w:after="40"/>
      </w:pPr>
      <w:r>
        <w:t>Identificación de puntos que requieren validación funcional antes de desarrollo.</w:t>
      </w:r>
    </w:p>
    <w:tbl>
      <w:tblPr>
        <w:tblStyle w:val="TableGrid"/>
        <w:tblW w:type="auto" w:w="0"/>
        <w:tblLook w:firstColumn="1" w:firstRow="1" w:lastColumn="0" w:lastRow="0" w:noHBand="0" w:noVBand="1" w:val="04A0"/>
      </w:tblPr>
      <w:tblGrid>
        <w:gridCol w:w="10224"/>
      </w:tblGrid>
      <w:tr>
        <w:tc>
          <w:tcPr>
            <w:tcW w:type="dxa" w:w="10224"/>
            <w:shd w:fill="F8F9F9"/>
          </w:tcPr>
          <w:p>
            <w:r>
              <w:rPr>
                <w:b/>
                <w:color w:val="1F4E79"/>
              </w:rPr>
              <w:t xml:space="preserve">Lectura de la minuta: </w:t>
            </w:r>
            <w:r>
              <w:t>La minuta proporcionada se visualiza en 9 páginas y contiene, entre otros, el acuerdo de iniciar formalmente el análisis y levantamiento de requerimientos, así como el listado de AS-IS, TO-BE, requerimientos funcionales/no funcionales, integraciones, seguridad, auditoría, reportes y roles. Las páginas 5 a 9 son especialmente relevantes para esta evaluación.</w:t>
            </w:r>
          </w:p>
        </w:tc>
      </w:tr>
    </w:tbl>
    <w:p/>
    <w:p>
      <w:r>
        <w:br w:type="page"/>
      </w:r>
    </w:p>
    <w:p>
      <w:pPr>
        <w:pStyle w:val="Heading1"/>
      </w:pPr>
      <w:r>
        <w:t>3. Modelo de contexto</w:t>
      </w:r>
    </w:p>
    <w:p>
      <w:r>
        <w:t>El sistema debe concebirse como un núcleo de gestión de trámites y expedientes que recibe información de Empresas, Auditores y personal de PROFEPA, y que consulta o intercambia información con fuentes externas. La minuta identifica expresamente la necesidad de revisar con EMA, CONANP y otras instituciones la existencia de servicios o mecanismos de consulta/validación.</w:t>
      </w:r>
    </w:p>
    <w:p>
      <w:pPr>
        <w:jc w:val="center"/>
      </w:pPr>
      <w:r>
        <w:drawing>
          <wp:inline xmlns:a="http://schemas.openxmlformats.org/drawingml/2006/main" xmlns:pic="http://schemas.openxmlformats.org/drawingml/2006/picture">
            <wp:extent cx="6126480" cy="3775120"/>
            <wp:docPr id="1" name="Picture 1"/>
            <wp:cNvGraphicFramePr>
              <a:graphicFrameLocks noChangeAspect="1"/>
            </wp:cNvGraphicFramePr>
            <a:graphic>
              <a:graphicData uri="http://schemas.openxmlformats.org/drawingml/2006/picture">
                <pic:pic>
                  <pic:nvPicPr>
                    <pic:cNvPr id="0" name="diag_contexto.png"/>
                    <pic:cNvPicPr/>
                  </pic:nvPicPr>
                  <pic:blipFill>
                    <a:blip r:embed="rId11"/>
                    <a:stretch>
                      <a:fillRect/>
                    </a:stretch>
                  </pic:blipFill>
                  <pic:spPr>
                    <a:xfrm>
                      <a:off x="0" y="0"/>
                      <a:ext cx="6126480" cy="3775120"/>
                    </a:xfrm>
                    <a:prstGeom prst="rect"/>
                  </pic:spPr>
                </pic:pic>
              </a:graphicData>
            </a:graphic>
          </wp:inline>
        </w:drawing>
      </w:r>
    </w:p>
    <w:p>
      <w:pPr>
        <w:jc w:val="center"/>
      </w:pPr>
      <w:r>
        <w:rPr>
          <w:i/>
          <w:color w:val="566573"/>
          <w:sz w:val="17"/>
        </w:rPr>
        <w:t>Figura 1. Contexto conceptual de Plataforma Integral de PROFEPA 1.0.</w:t>
      </w:r>
    </w:p>
    <w:p>
      <w:pPr>
        <w:pStyle w:val="Heading2"/>
      </w:pPr>
      <w:r>
        <w:t>3.1 Actores principales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r/>
            <w:r>
              <w:rPr>
                <w:rFonts w:ascii="Aptos" w:hAnsi="Aptos"/>
                <w:b/>
                <w:color w:val="FFFFFF"/>
                <w:sz w:val="16"/>
              </w:rPr>
              <w:t>Actor</w:t>
            </w:r>
          </w:p>
        </w:tc>
        <w:tc>
          <w:tcPr>
            <w:tcW w:type="dxa" w:w="7200"/>
            <w:vAlign w:val="center"/>
            <w:shd w:fill="1F4E79"/>
          </w:tcPr>
          <w:p>
            <w:r/>
            <w:r>
              <w:rPr>
                <w:rFonts w:ascii="Aptos" w:hAnsi="Aptos"/>
                <w:b/>
                <w:color w:val="FFFFFF"/>
                <w:sz w:val="16"/>
              </w:rPr>
              <w:t>Responsabilidad / interacción</w:t>
            </w:r>
          </w:p>
        </w:tc>
      </w:tr>
      <w:tr>
        <w:tc>
          <w:tcPr>
            <w:tcW w:type="dxa" w:w="2880"/>
            <w:vAlign w:val="center"/>
          </w:tcPr>
          <w:p>
            <w:r/>
            <w:r>
              <w:rPr>
                <w:rFonts w:ascii="Aptos" w:hAnsi="Aptos"/>
                <w:b w:val="0"/>
                <w:sz w:val="16"/>
              </w:rPr>
              <w:t>Empresa / Instalación</w:t>
            </w:r>
          </w:p>
        </w:tc>
        <w:tc>
          <w:tcPr>
            <w:tcW w:type="dxa" w:w="7200"/>
            <w:vAlign w:val="center"/>
          </w:tcPr>
          <w:p>
            <w:r/>
            <w:r>
              <w:rPr>
                <w:rFonts w:ascii="Aptos" w:hAnsi="Aptos"/>
                <w:b w:val="0"/>
                <w:sz w:val="16"/>
              </w:rPr>
              <w:t>Captura solicitudes, mantiene datos, aporta evidencias, indicadores y manifestaciones; recibe notificaciones y resoluciones.</w:t>
            </w:r>
          </w:p>
        </w:tc>
      </w:tr>
      <w:tr>
        <w:tc>
          <w:tcPr>
            <w:tcW w:type="dxa" w:w="2880"/>
            <w:vAlign w:val="center"/>
          </w:tcPr>
          <w:p>
            <w:r/>
            <w:r>
              <w:rPr>
                <w:rFonts w:ascii="Aptos" w:hAnsi="Aptos"/>
                <w:b w:val="0"/>
                <w:sz w:val="16"/>
              </w:rPr>
              <w:t>Auditor Ambiental</w:t>
            </w:r>
          </w:p>
        </w:tc>
        <w:tc>
          <w:tcPr>
            <w:tcW w:type="dxa" w:w="7200"/>
            <w:vAlign w:val="center"/>
          </w:tcPr>
          <w:p>
            <w:r/>
            <w:r>
              <w:rPr>
                <w:rFonts w:ascii="Aptos" w:hAnsi="Aptos"/>
                <w:b w:val="0"/>
                <w:sz w:val="16"/>
              </w:rPr>
              <w:t>Participa en auditorías/diagnósticos/verificaciones; aporta dictámenes, evidencias y resultados; requiere expediente y trazabilidad.</w:t>
            </w:r>
          </w:p>
        </w:tc>
      </w:tr>
      <w:tr>
        <w:tc>
          <w:tcPr>
            <w:tcW w:type="dxa" w:w="2880"/>
            <w:vAlign w:val="center"/>
          </w:tcPr>
          <w:p>
            <w:r/>
            <w:r>
              <w:rPr>
                <w:rFonts w:ascii="Aptos" w:hAnsi="Aptos"/>
                <w:b w:val="0"/>
                <w:sz w:val="16"/>
              </w:rPr>
              <w:t>Personal SPA / PROFEPA</w:t>
            </w:r>
          </w:p>
        </w:tc>
        <w:tc>
          <w:tcPr>
            <w:tcW w:type="dxa" w:w="7200"/>
            <w:vAlign w:val="center"/>
          </w:tcPr>
          <w:p>
            <w:r/>
            <w:r>
              <w:rPr>
                <w:rFonts w:ascii="Aptos" w:hAnsi="Aptos"/>
                <w:b w:val="0"/>
                <w:sz w:val="16"/>
              </w:rPr>
              <w:t>Revisa, previene, valida, autoriza, da seguimiento, consulta expedientes y genera reportes.</w:t>
            </w:r>
          </w:p>
        </w:tc>
      </w:tr>
      <w:tr>
        <w:tc>
          <w:tcPr>
            <w:tcW w:type="dxa" w:w="2880"/>
            <w:vAlign w:val="center"/>
          </w:tcPr>
          <w:p>
            <w:r/>
            <w:r>
              <w:rPr>
                <w:rFonts w:ascii="Aptos" w:hAnsi="Aptos"/>
                <w:b w:val="0"/>
                <w:sz w:val="16"/>
              </w:rPr>
              <w:t>Administrador del sistema</w:t>
            </w:r>
          </w:p>
        </w:tc>
        <w:tc>
          <w:tcPr>
            <w:tcW w:type="dxa" w:w="7200"/>
            <w:vAlign w:val="center"/>
          </w:tcPr>
          <w:p>
            <w:r/>
            <w:r>
              <w:rPr>
                <w:rFonts w:ascii="Aptos" w:hAnsi="Aptos"/>
                <w:b w:val="0"/>
                <w:sz w:val="16"/>
              </w:rPr>
              <w:t>Administra usuarios, roles, catálogos, parámetros, reglas, integraciones y configuración.</w:t>
            </w:r>
          </w:p>
        </w:tc>
      </w:tr>
      <w:tr>
        <w:tc>
          <w:tcPr>
            <w:tcW w:type="dxa" w:w="2880"/>
            <w:vAlign w:val="center"/>
          </w:tcPr>
          <w:p>
            <w:r/>
            <w:r>
              <w:rPr>
                <w:rFonts w:ascii="Aptos" w:hAnsi="Aptos"/>
                <w:b w:val="0"/>
                <w:sz w:val="16"/>
              </w:rPr>
              <w:t>Fuentes externas</w:t>
            </w:r>
          </w:p>
        </w:tc>
        <w:tc>
          <w:tcPr>
            <w:tcW w:type="dxa" w:w="7200"/>
            <w:vAlign w:val="center"/>
          </w:tcPr>
          <w:p>
            <w:r/>
            <w:r>
              <w:rPr>
                <w:rFonts w:ascii="Aptos" w:hAnsi="Aptos"/>
                <w:b w:val="0"/>
                <w:sz w:val="16"/>
              </w:rPr>
              <w:t>Proveen datos para validar identidad, acreditación, ubicación, concesiones, áreas protegidas, biodiversidad, padrones y otros datos.</w:t>
            </w:r>
          </w:p>
        </w:tc>
      </w:tr>
    </w:tbl>
    <w:p/>
    <w:p>
      <w:r>
        <w:br w:type="page"/>
      </w:r>
    </w:p>
    <w:p>
      <w:pPr>
        <w:pStyle w:val="Heading1"/>
      </w:pPr>
      <w:r>
        <w:t>4. Análisis del proceso actual (AS-IS)</w:t>
      </w:r>
    </w:p>
    <w:p>
      <w:r>
        <w:t>La minuta identifica un escenario donde parte relevante de las actividades son manuales o semiautomatizadas. Entre las necesidades señaladas se encuentran la reducción de tareas, automatización de envíos y notificaciones, precarga de datos, consultas a fuentes externas, generación de indicadores, seguimiento y trazabilidad.</w:t>
      </w:r>
    </w:p>
    <w:p>
      <w:pPr>
        <w:jc w:val="center"/>
      </w:pPr>
      <w:r>
        <w:drawing>
          <wp:inline xmlns:a="http://schemas.openxmlformats.org/drawingml/2006/main" xmlns:pic="http://schemas.openxmlformats.org/drawingml/2006/picture">
            <wp:extent cx="6126480" cy="3775120"/>
            <wp:docPr id="2" name="Picture 2"/>
            <wp:cNvGraphicFramePr>
              <a:graphicFrameLocks noChangeAspect="1"/>
            </wp:cNvGraphicFramePr>
            <a:graphic>
              <a:graphicData uri="http://schemas.openxmlformats.org/drawingml/2006/picture">
                <pic:pic>
                  <pic:nvPicPr>
                    <pic:cNvPr id="0" name="diag_asis.png"/>
                    <pic:cNvPicPr/>
                  </pic:nvPicPr>
                  <pic:blipFill>
                    <a:blip r:embed="rId12"/>
                    <a:stretch>
                      <a:fillRect/>
                    </a:stretch>
                  </pic:blipFill>
                  <pic:spPr>
                    <a:xfrm>
                      <a:off x="0" y="0"/>
                      <a:ext cx="6126480" cy="3775120"/>
                    </a:xfrm>
                    <a:prstGeom prst="rect"/>
                  </pic:spPr>
                </pic:pic>
              </a:graphicData>
            </a:graphic>
          </wp:inline>
        </w:drawing>
      </w:r>
    </w:p>
    <w:p>
      <w:pPr>
        <w:jc w:val="center"/>
      </w:pPr>
      <w:r>
        <w:rPr>
          <w:i/>
          <w:color w:val="566573"/>
          <w:sz w:val="17"/>
        </w:rPr>
        <w:t>Figura 2. Síntesis del AS-IS identificable a partir de la documentación.</w:t>
      </w:r>
    </w:p>
    <w:p>
      <w:pPr>
        <w:pStyle w:val="Heading2"/>
      </w:pPr>
      <w:r>
        <w:t>4.1 Principales problemas / oportunidades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864"/>
            <w:vAlign w:val="center"/>
            <w:shd w:fill="1F4E79"/>
          </w:tcPr>
          <w:p>
            <w:r/>
            <w:r>
              <w:rPr>
                <w:rFonts w:ascii="Aptos" w:hAnsi="Aptos"/>
                <w:b/>
                <w:color w:val="FFFFFF"/>
                <w:sz w:val="15"/>
              </w:rPr>
              <w:t>ID</w:t>
            </w:r>
          </w:p>
        </w:tc>
        <w:tc>
          <w:tcPr>
            <w:tcW w:type="dxa" w:w="2880"/>
            <w:vAlign w:val="center"/>
            <w:shd w:fill="1F4E79"/>
          </w:tcPr>
          <w:p>
            <w:r/>
            <w:r>
              <w:rPr>
                <w:rFonts w:ascii="Aptos" w:hAnsi="Aptos"/>
                <w:b/>
                <w:color w:val="FFFFFF"/>
                <w:sz w:val="15"/>
              </w:rPr>
              <w:t>Situación</w:t>
            </w:r>
          </w:p>
        </w:tc>
        <w:tc>
          <w:tcPr>
            <w:tcW w:type="dxa" w:w="4608"/>
            <w:vAlign w:val="center"/>
            <w:shd w:fill="1F4E79"/>
          </w:tcPr>
          <w:p>
            <w:r/>
            <w:r>
              <w:rPr>
                <w:rFonts w:ascii="Aptos" w:hAnsi="Aptos"/>
                <w:b/>
                <w:color w:val="FFFFFF"/>
                <w:sz w:val="15"/>
              </w:rPr>
              <w:t>Impacto</w:t>
            </w:r>
          </w:p>
        </w:tc>
        <w:tc>
          <w:tcPr>
            <w:tcW w:type="dxa" w:w="1440"/>
            <w:vAlign w:val="center"/>
            <w:shd w:fill="1F4E79"/>
          </w:tcPr>
          <w:p>
            <w:r/>
            <w:r>
              <w:rPr>
                <w:rFonts w:ascii="Aptos" w:hAnsi="Aptos"/>
                <w:b/>
                <w:color w:val="FFFFFF"/>
                <w:sz w:val="15"/>
              </w:rPr>
              <w:t>Prioridad</w:t>
            </w:r>
          </w:p>
        </w:tc>
      </w:tr>
      <w:tr>
        <w:tc>
          <w:tcPr>
            <w:tcW w:type="dxa" w:w="864"/>
            <w:vAlign w:val="center"/>
          </w:tcPr>
          <w:p>
            <w:r/>
            <w:r>
              <w:rPr>
                <w:rFonts w:ascii="Aptos" w:hAnsi="Aptos"/>
                <w:b w:val="0"/>
                <w:sz w:val="15"/>
              </w:rPr>
              <w:t>P01</w:t>
            </w:r>
          </w:p>
        </w:tc>
        <w:tc>
          <w:tcPr>
            <w:tcW w:type="dxa" w:w="2880"/>
            <w:vAlign w:val="center"/>
          </w:tcPr>
          <w:p>
            <w:r/>
            <w:r>
              <w:rPr>
                <w:rFonts w:ascii="Aptos" w:hAnsi="Aptos"/>
                <w:b w:val="0"/>
                <w:sz w:val="15"/>
              </w:rPr>
              <w:t>Captura repetitiva y manual de datos</w:t>
            </w:r>
          </w:p>
        </w:tc>
        <w:tc>
          <w:tcPr>
            <w:tcW w:type="dxa" w:w="4608"/>
            <w:vAlign w:val="center"/>
          </w:tcPr>
          <w:p>
            <w:r/>
            <w:r>
              <w:rPr>
                <w:rFonts w:ascii="Aptos" w:hAnsi="Aptos"/>
                <w:b w:val="0"/>
                <w:sz w:val="15"/>
              </w:rPr>
              <w:t>Errores, retrabajo y tiempos mayores</w:t>
            </w:r>
          </w:p>
        </w:tc>
        <w:tc>
          <w:tcPr>
            <w:tcW w:type="dxa" w:w="1440"/>
            <w:vAlign w:val="center"/>
          </w:tcPr>
          <w:p>
            <w:r/>
            <w:r>
              <w:rPr>
                <w:rFonts w:ascii="Aptos" w:hAnsi="Aptos"/>
                <w:b w:val="0"/>
                <w:sz w:val="15"/>
              </w:rPr>
              <w:t>Alta</w:t>
            </w:r>
          </w:p>
        </w:tc>
      </w:tr>
      <w:tr>
        <w:tc>
          <w:tcPr>
            <w:tcW w:type="dxa" w:w="864"/>
            <w:vAlign w:val="center"/>
          </w:tcPr>
          <w:p>
            <w:r/>
            <w:r>
              <w:rPr>
                <w:rFonts w:ascii="Aptos" w:hAnsi="Aptos"/>
                <w:b w:val="0"/>
                <w:sz w:val="15"/>
              </w:rPr>
              <w:t>P02</w:t>
            </w:r>
          </w:p>
        </w:tc>
        <w:tc>
          <w:tcPr>
            <w:tcW w:type="dxa" w:w="2880"/>
            <w:vAlign w:val="center"/>
          </w:tcPr>
          <w:p>
            <w:r/>
            <w:r>
              <w:rPr>
                <w:rFonts w:ascii="Aptos" w:hAnsi="Aptos"/>
                <w:b w:val="0"/>
                <w:sz w:val="15"/>
              </w:rPr>
              <w:t>Validaciones externas no integradas</w:t>
            </w:r>
          </w:p>
        </w:tc>
        <w:tc>
          <w:tcPr>
            <w:tcW w:type="dxa" w:w="4608"/>
            <w:vAlign w:val="center"/>
          </w:tcPr>
          <w:p>
            <w:r/>
            <w:r>
              <w:rPr>
                <w:rFonts w:ascii="Aptos" w:hAnsi="Aptos"/>
                <w:b w:val="0"/>
                <w:sz w:val="15"/>
              </w:rPr>
              <w:t>Revisión manual y riesgo de información desactualizada</w:t>
            </w:r>
          </w:p>
        </w:tc>
        <w:tc>
          <w:tcPr>
            <w:tcW w:type="dxa" w:w="1440"/>
            <w:vAlign w:val="center"/>
          </w:tcPr>
          <w:p>
            <w:r/>
            <w:r>
              <w:rPr>
                <w:rFonts w:ascii="Aptos" w:hAnsi="Aptos"/>
                <w:b w:val="0"/>
                <w:sz w:val="15"/>
              </w:rPr>
              <w:t>Alta</w:t>
            </w:r>
          </w:p>
        </w:tc>
      </w:tr>
      <w:tr>
        <w:tc>
          <w:tcPr>
            <w:tcW w:type="dxa" w:w="864"/>
            <w:vAlign w:val="center"/>
          </w:tcPr>
          <w:p>
            <w:r/>
            <w:r>
              <w:rPr>
                <w:rFonts w:ascii="Aptos" w:hAnsi="Aptos"/>
                <w:b w:val="0"/>
                <w:sz w:val="15"/>
              </w:rPr>
              <w:t>P03</w:t>
            </w:r>
          </w:p>
        </w:tc>
        <w:tc>
          <w:tcPr>
            <w:tcW w:type="dxa" w:w="2880"/>
            <w:vAlign w:val="center"/>
          </w:tcPr>
          <w:p>
            <w:r/>
            <w:r>
              <w:rPr>
                <w:rFonts w:ascii="Aptos" w:hAnsi="Aptos"/>
                <w:b w:val="0"/>
                <w:sz w:val="15"/>
              </w:rPr>
              <w:t>Dependencia de documentos PDF externos</w:t>
            </w:r>
          </w:p>
        </w:tc>
        <w:tc>
          <w:tcPr>
            <w:tcW w:type="dxa" w:w="4608"/>
            <w:vAlign w:val="center"/>
          </w:tcPr>
          <w:p>
            <w:r/>
            <w:r>
              <w:rPr>
                <w:rFonts w:ascii="Aptos" w:hAnsi="Aptos"/>
                <w:b w:val="0"/>
                <w:sz w:val="15"/>
              </w:rPr>
              <w:t>Pérdida de estructura de datos y poca reutilización</w:t>
            </w:r>
          </w:p>
        </w:tc>
        <w:tc>
          <w:tcPr>
            <w:tcW w:type="dxa" w:w="1440"/>
            <w:vAlign w:val="center"/>
          </w:tcPr>
          <w:p>
            <w:r/>
            <w:r>
              <w:rPr>
                <w:rFonts w:ascii="Aptos" w:hAnsi="Aptos"/>
                <w:b w:val="0"/>
                <w:sz w:val="15"/>
              </w:rPr>
              <w:t>Alta</w:t>
            </w:r>
          </w:p>
        </w:tc>
      </w:tr>
      <w:tr>
        <w:tc>
          <w:tcPr>
            <w:tcW w:type="dxa" w:w="864"/>
            <w:vAlign w:val="center"/>
          </w:tcPr>
          <w:p>
            <w:r/>
            <w:r>
              <w:rPr>
                <w:rFonts w:ascii="Aptos" w:hAnsi="Aptos"/>
                <w:b w:val="0"/>
                <w:sz w:val="15"/>
              </w:rPr>
              <w:t>P04</w:t>
            </w:r>
          </w:p>
        </w:tc>
        <w:tc>
          <w:tcPr>
            <w:tcW w:type="dxa" w:w="2880"/>
            <w:vAlign w:val="center"/>
          </w:tcPr>
          <w:p>
            <w:r/>
            <w:r>
              <w:rPr>
                <w:rFonts w:ascii="Aptos" w:hAnsi="Aptos"/>
                <w:b w:val="0"/>
                <w:sz w:val="15"/>
              </w:rPr>
              <w:t>Correos/oficios/notificaciones manuales</w:t>
            </w:r>
          </w:p>
        </w:tc>
        <w:tc>
          <w:tcPr>
            <w:tcW w:type="dxa" w:w="4608"/>
            <w:vAlign w:val="center"/>
          </w:tcPr>
          <w:p>
            <w:r/>
            <w:r>
              <w:rPr>
                <w:rFonts w:ascii="Aptos" w:hAnsi="Aptos"/>
                <w:b w:val="0"/>
                <w:sz w:val="15"/>
              </w:rPr>
              <w:t>Riesgo de omisiones y falta de oportunidad</w:t>
            </w:r>
          </w:p>
        </w:tc>
        <w:tc>
          <w:tcPr>
            <w:tcW w:type="dxa" w:w="1440"/>
            <w:vAlign w:val="center"/>
          </w:tcPr>
          <w:p>
            <w:r/>
            <w:r>
              <w:rPr>
                <w:rFonts w:ascii="Aptos" w:hAnsi="Aptos"/>
                <w:b w:val="0"/>
                <w:sz w:val="15"/>
              </w:rPr>
              <w:t>Alta</w:t>
            </w:r>
          </w:p>
        </w:tc>
      </w:tr>
      <w:tr>
        <w:tc>
          <w:tcPr>
            <w:tcW w:type="dxa" w:w="864"/>
            <w:vAlign w:val="center"/>
          </w:tcPr>
          <w:p>
            <w:r/>
            <w:r>
              <w:rPr>
                <w:rFonts w:ascii="Aptos" w:hAnsi="Aptos"/>
                <w:b w:val="0"/>
                <w:sz w:val="15"/>
              </w:rPr>
              <w:t>P05</w:t>
            </w:r>
          </w:p>
        </w:tc>
        <w:tc>
          <w:tcPr>
            <w:tcW w:type="dxa" w:w="2880"/>
            <w:vAlign w:val="center"/>
          </w:tcPr>
          <w:p>
            <w:r/>
            <w:r>
              <w:rPr>
                <w:rFonts w:ascii="Aptos" w:hAnsi="Aptos"/>
                <w:b w:val="0"/>
                <w:sz w:val="15"/>
              </w:rPr>
              <w:t>Trazabilidad dispersa</w:t>
            </w:r>
          </w:p>
        </w:tc>
        <w:tc>
          <w:tcPr>
            <w:tcW w:type="dxa" w:w="4608"/>
            <w:vAlign w:val="center"/>
          </w:tcPr>
          <w:p>
            <w:r/>
            <w:r>
              <w:rPr>
                <w:rFonts w:ascii="Aptos" w:hAnsi="Aptos"/>
                <w:b w:val="0"/>
                <w:sz w:val="15"/>
              </w:rPr>
              <w:t>Dificultad para auditoría y reconstrucción del expediente</w:t>
            </w:r>
          </w:p>
        </w:tc>
        <w:tc>
          <w:tcPr>
            <w:tcW w:type="dxa" w:w="1440"/>
            <w:vAlign w:val="center"/>
          </w:tcPr>
          <w:p>
            <w:r/>
            <w:r>
              <w:rPr>
                <w:rFonts w:ascii="Aptos" w:hAnsi="Aptos"/>
                <w:b w:val="0"/>
                <w:sz w:val="15"/>
              </w:rPr>
              <w:t>Alta</w:t>
            </w:r>
          </w:p>
        </w:tc>
      </w:tr>
      <w:tr>
        <w:tc>
          <w:tcPr>
            <w:tcW w:type="dxa" w:w="864"/>
            <w:vAlign w:val="center"/>
          </w:tcPr>
          <w:p>
            <w:r/>
            <w:r>
              <w:rPr>
                <w:rFonts w:ascii="Aptos" w:hAnsi="Aptos"/>
                <w:b w:val="0"/>
                <w:sz w:val="15"/>
              </w:rPr>
              <w:t>P06</w:t>
            </w:r>
          </w:p>
        </w:tc>
        <w:tc>
          <w:tcPr>
            <w:tcW w:type="dxa" w:w="2880"/>
            <w:vAlign w:val="center"/>
          </w:tcPr>
          <w:p>
            <w:r/>
            <w:r>
              <w:rPr>
                <w:rFonts w:ascii="Aptos" w:hAnsi="Aptos"/>
                <w:b w:val="0"/>
                <w:sz w:val="15"/>
              </w:rPr>
              <w:t>Reglas y parámetros poco visibles/parametrizables</w:t>
            </w:r>
          </w:p>
        </w:tc>
        <w:tc>
          <w:tcPr>
            <w:tcW w:type="dxa" w:w="4608"/>
            <w:vAlign w:val="center"/>
          </w:tcPr>
          <w:p>
            <w:r/>
            <w:r>
              <w:rPr>
                <w:rFonts w:ascii="Aptos" w:hAnsi="Aptos"/>
                <w:b w:val="0"/>
                <w:sz w:val="15"/>
              </w:rPr>
              <w:t>Dependencia de cambios de código</w:t>
            </w:r>
          </w:p>
        </w:tc>
        <w:tc>
          <w:tcPr>
            <w:tcW w:type="dxa" w:w="1440"/>
            <w:vAlign w:val="center"/>
          </w:tcPr>
          <w:p>
            <w:r/>
            <w:r>
              <w:rPr>
                <w:rFonts w:ascii="Aptos" w:hAnsi="Aptos"/>
                <w:b w:val="0"/>
                <w:sz w:val="15"/>
              </w:rPr>
              <w:t>Media-Alta</w:t>
            </w:r>
          </w:p>
        </w:tc>
      </w:tr>
      <w:tr>
        <w:tc>
          <w:tcPr>
            <w:tcW w:type="dxa" w:w="864"/>
            <w:vAlign w:val="center"/>
          </w:tcPr>
          <w:p>
            <w:r/>
            <w:r>
              <w:rPr>
                <w:rFonts w:ascii="Aptos" w:hAnsi="Aptos"/>
                <w:b w:val="0"/>
                <w:sz w:val="15"/>
              </w:rPr>
              <w:t>P07</w:t>
            </w:r>
          </w:p>
        </w:tc>
        <w:tc>
          <w:tcPr>
            <w:tcW w:type="dxa" w:w="2880"/>
            <w:vAlign w:val="center"/>
          </w:tcPr>
          <w:p>
            <w:r/>
            <w:r>
              <w:rPr>
                <w:rFonts w:ascii="Aptos" w:hAnsi="Aptos"/>
                <w:b w:val="0"/>
                <w:sz w:val="15"/>
              </w:rPr>
              <w:t>Reportes que dependen de consolidación manual</w:t>
            </w:r>
          </w:p>
        </w:tc>
        <w:tc>
          <w:tcPr>
            <w:tcW w:type="dxa" w:w="4608"/>
            <w:vAlign w:val="center"/>
          </w:tcPr>
          <w:p>
            <w:r/>
            <w:r>
              <w:rPr>
                <w:rFonts w:ascii="Aptos" w:hAnsi="Aptos"/>
                <w:b w:val="0"/>
                <w:sz w:val="15"/>
              </w:rPr>
              <w:t>Tiempo operativo y menor oportunidad de información</w:t>
            </w:r>
          </w:p>
        </w:tc>
        <w:tc>
          <w:tcPr>
            <w:tcW w:type="dxa" w:w="1440"/>
            <w:vAlign w:val="center"/>
          </w:tcPr>
          <w:p>
            <w:r/>
            <w:r>
              <w:rPr>
                <w:rFonts w:ascii="Aptos" w:hAnsi="Aptos"/>
                <w:b w:val="0"/>
                <w:sz w:val="15"/>
              </w:rPr>
              <w:t>Alta</w:t>
            </w:r>
          </w:p>
        </w:tc>
      </w:tr>
      <w:tr>
        <w:tc>
          <w:tcPr>
            <w:tcW w:type="dxa" w:w="864"/>
            <w:vAlign w:val="center"/>
          </w:tcPr>
          <w:p>
            <w:r/>
            <w:r>
              <w:rPr>
                <w:rFonts w:ascii="Aptos" w:hAnsi="Aptos"/>
                <w:b w:val="0"/>
                <w:sz w:val="15"/>
              </w:rPr>
              <w:t>P08</w:t>
            </w:r>
          </w:p>
        </w:tc>
        <w:tc>
          <w:tcPr>
            <w:tcW w:type="dxa" w:w="2880"/>
            <w:vAlign w:val="center"/>
          </w:tcPr>
          <w:p>
            <w:r/>
            <w:r>
              <w:rPr>
                <w:rFonts w:ascii="Aptos" w:hAnsi="Aptos"/>
                <w:b w:val="0"/>
                <w:sz w:val="15"/>
              </w:rPr>
              <w:t>Procesos con participación humana en puntos que podrían automatizarse</w:t>
            </w:r>
          </w:p>
        </w:tc>
        <w:tc>
          <w:tcPr>
            <w:tcW w:type="dxa" w:w="4608"/>
            <w:vAlign w:val="center"/>
          </w:tcPr>
          <w:p>
            <w:r/>
            <w:r>
              <w:rPr>
                <w:rFonts w:ascii="Aptos" w:hAnsi="Aptos"/>
                <w:b w:val="0"/>
                <w:sz w:val="15"/>
              </w:rPr>
              <w:t>Costo operativo sin valor agregado</w:t>
            </w:r>
          </w:p>
        </w:tc>
        <w:tc>
          <w:tcPr>
            <w:tcW w:type="dxa" w:w="1440"/>
            <w:vAlign w:val="center"/>
          </w:tcPr>
          <w:p>
            <w:r/>
            <w:r>
              <w:rPr>
                <w:rFonts w:ascii="Aptos" w:hAnsi="Aptos"/>
                <w:b w:val="0"/>
                <w:sz w:val="15"/>
              </w:rPr>
              <w:t>Media-Alta</w:t>
            </w:r>
          </w:p>
        </w:tc>
      </w:tr>
    </w:tbl>
    <w:p/>
    <w:p>
      <w:r>
        <w:br w:type="page"/>
      </w:r>
    </w:p>
    <w:p>
      <w:pPr>
        <w:pStyle w:val="Heading1"/>
      </w:pPr>
      <w:r>
        <w:t>5. Modelo TO-BE propuesto</w:t>
      </w:r>
    </w:p>
    <w:p>
      <w:r>
        <w:t>La propuesta es evolucionar hacia un modelo de gestión basado en expediente electrónico, procesos configurables, motor de reglas, integraciones, gestor documental, notificaciones y auditoría. El objetivo no es digitalizar cada paso manual existente, sino rediseñar el proceso para eliminar pasos sin valor.</w:t>
      </w:r>
    </w:p>
    <w:p>
      <w:pPr>
        <w:jc w:val="center"/>
      </w:pPr>
      <w:r>
        <w:drawing>
          <wp:inline xmlns:a="http://schemas.openxmlformats.org/drawingml/2006/main" xmlns:pic="http://schemas.openxmlformats.org/drawingml/2006/picture">
            <wp:extent cx="6126480" cy="3768956"/>
            <wp:docPr id="3" name="Picture 3"/>
            <wp:cNvGraphicFramePr>
              <a:graphicFrameLocks noChangeAspect="1"/>
            </wp:cNvGraphicFramePr>
            <a:graphic>
              <a:graphicData uri="http://schemas.openxmlformats.org/drawingml/2006/picture">
                <pic:pic>
                  <pic:nvPicPr>
                    <pic:cNvPr id="0" name="diag_tobe.png"/>
                    <pic:cNvPicPr/>
                  </pic:nvPicPr>
                  <pic:blipFill>
                    <a:blip r:embed="rId13"/>
                    <a:stretch>
                      <a:fillRect/>
                    </a:stretch>
                  </pic:blipFill>
                  <pic:spPr>
                    <a:xfrm>
                      <a:off x="0" y="0"/>
                      <a:ext cx="6126480" cy="3768956"/>
                    </a:xfrm>
                    <a:prstGeom prst="rect"/>
                  </pic:spPr>
                </pic:pic>
              </a:graphicData>
            </a:graphic>
          </wp:inline>
        </w:drawing>
      </w:r>
    </w:p>
    <w:p>
      <w:pPr>
        <w:jc w:val="center"/>
      </w:pPr>
      <w:r>
        <w:rPr>
          <w:i/>
          <w:color w:val="566573"/>
          <w:sz w:val="17"/>
        </w:rPr>
        <w:t>Figura 3. Proceso TO-BE conceptual.</w:t>
      </w:r>
    </w:p>
    <w:p>
      <w:pPr>
        <w:pStyle w:val="Heading2"/>
      </w:pPr>
      <w:r>
        <w:t>5.1 Principios de diseño</w:t>
      </w:r>
    </w:p>
    <w:p>
      <w:pPr>
        <w:pStyle w:val="ListBullet"/>
        <w:spacing w:after="40"/>
      </w:pPr>
      <w:r>
        <w:t>Captura única y reutilización de información.</w:t>
      </w:r>
    </w:p>
    <w:p>
      <w:pPr>
        <w:pStyle w:val="ListBullet"/>
        <w:spacing w:after="40"/>
      </w:pPr>
      <w:r>
        <w:t>Validación automática antes de permitir avanzar de etapa.</w:t>
      </w:r>
    </w:p>
    <w:p>
      <w:pPr>
        <w:pStyle w:val="ListBullet"/>
        <w:spacing w:after="40"/>
      </w:pPr>
      <w:r>
        <w:t>Precarga de datos cuando exista una fuente institucional confiable.</w:t>
      </w:r>
    </w:p>
    <w:p>
      <w:pPr>
        <w:pStyle w:val="ListBullet"/>
        <w:spacing w:after="40"/>
      </w:pPr>
      <w:r>
        <w:t>Separación entre datos estructurados y documentos/evidencias.</w:t>
      </w:r>
    </w:p>
    <w:p>
      <w:pPr>
        <w:pStyle w:val="ListBullet"/>
        <w:spacing w:after="40"/>
      </w:pPr>
      <w:r>
        <w:t>Motor de reglas y parámetros administrables.</w:t>
      </w:r>
    </w:p>
    <w:p>
      <w:pPr>
        <w:pStyle w:val="ListBullet"/>
        <w:spacing w:after="40"/>
      </w:pPr>
      <w:r>
        <w:t>Estados de trámite explícitos y controlados.</w:t>
      </w:r>
    </w:p>
    <w:p>
      <w:pPr>
        <w:pStyle w:val="ListBullet"/>
        <w:spacing w:after="40"/>
      </w:pPr>
      <w:r>
        <w:t>Notificaciones generadas por eventos de negocio.</w:t>
      </w:r>
    </w:p>
    <w:p>
      <w:pPr>
        <w:pStyle w:val="ListBullet"/>
        <w:spacing w:after="40"/>
      </w:pPr>
      <w:r>
        <w:t>Expediente único por asunto/trámite, con versiones y evidencias.</w:t>
      </w:r>
    </w:p>
    <w:p>
      <w:pPr>
        <w:pStyle w:val="ListBullet"/>
        <w:spacing w:after="40"/>
      </w:pPr>
      <w:r>
        <w:t>Bitácora inmutable de acciones relevantes.</w:t>
      </w:r>
    </w:p>
    <w:p>
      <w:pPr>
        <w:pStyle w:val="ListBullet"/>
        <w:spacing w:after="40"/>
      </w:pPr>
      <w:r>
        <w:t>Roles y permisos por función, materia, trámite y operación.</w:t>
      </w:r>
    </w:p>
    <w:p>
      <w:pPr>
        <w:pStyle w:val="ListBullet"/>
        <w:spacing w:after="40"/>
      </w:pPr>
      <w:r>
        <w:t>Diseño API-first para integraciones.</w:t>
      </w:r>
    </w:p>
    <w:p>
      <w:pPr>
        <w:pStyle w:val="ListBullet"/>
        <w:spacing w:after="40"/>
      </w:pPr>
      <w:r>
        <w:t>Reportes derivados de datos operativos, no de consolidaciones manuales.</w:t>
      </w:r>
    </w:p>
    <w:p>
      <w:r>
        <w:br w:type="page"/>
      </w:r>
    </w:p>
    <w:p>
      <w:pPr>
        <w:pStyle w:val="Heading1"/>
      </w:pPr>
      <w:r>
        <w:t>6. Requerimientos funcionales principales</w:t>
      </w:r>
    </w:p>
    <w:p>
      <w:r>
        <w:t>La siguiente matriz constituye una primera línea base para el levantamiento. Los requisitos FR-xx son derivados de la documentación y deben ser validados en sesiones funcionales. La numeración está diseñada para facilitar posteriormente la trazabilidad requisito → proceso → caso de uso → prueba.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08"/>
            <w:vAlign w:val="center"/>
            <w:shd w:fill="1F4E79"/>
          </w:tcPr>
          <w:p>
            <w:r/>
            <w:r>
              <w:rPr>
                <w:rFonts w:ascii="Aptos" w:hAnsi="Aptos"/>
                <w:b/>
                <w:color w:val="FFFFFF"/>
                <w:sz w:val="14"/>
              </w:rPr>
              <w:t>ID</w:t>
            </w:r>
          </w:p>
        </w:tc>
        <w:tc>
          <w:tcPr>
            <w:tcW w:type="dxa" w:w="2448"/>
            <w:vAlign w:val="center"/>
            <w:shd w:fill="1F4E79"/>
          </w:tcPr>
          <w:p>
            <w:r/>
            <w:r>
              <w:rPr>
                <w:rFonts w:ascii="Aptos" w:hAnsi="Aptos"/>
                <w:b/>
                <w:color w:val="FFFFFF"/>
                <w:sz w:val="14"/>
              </w:rPr>
              <w:t>Funcionalidad</w:t>
            </w:r>
          </w:p>
        </w:tc>
        <w:tc>
          <w:tcPr>
            <w:tcW w:type="dxa" w:w="5760"/>
            <w:vAlign w:val="center"/>
            <w:shd w:fill="1F4E79"/>
          </w:tcPr>
          <w:p>
            <w:r/>
            <w:r>
              <w:rPr>
                <w:rFonts w:ascii="Aptos" w:hAnsi="Aptos"/>
                <w:b/>
                <w:color w:val="FFFFFF"/>
                <w:sz w:val="14"/>
              </w:rPr>
              <w:t>Descripción</w:t>
            </w:r>
          </w:p>
        </w:tc>
        <w:tc>
          <w:tcPr>
            <w:tcW w:type="dxa" w:w="1008"/>
            <w:vAlign w:val="center"/>
            <w:shd w:fill="1F4E79"/>
          </w:tcPr>
          <w:p>
            <w:r/>
            <w:r>
              <w:rPr>
                <w:rFonts w:ascii="Aptos" w:hAnsi="Aptos"/>
                <w:b/>
                <w:color w:val="FFFFFF"/>
                <w:sz w:val="14"/>
              </w:rPr>
              <w:t>Prioridad</w:t>
            </w:r>
          </w:p>
        </w:tc>
      </w:tr>
      <w:tr>
        <w:tc>
          <w:tcPr>
            <w:tcW w:type="dxa" w:w="1008"/>
            <w:vAlign w:val="center"/>
          </w:tcPr>
          <w:p>
            <w:r/>
            <w:r>
              <w:rPr>
                <w:rFonts w:ascii="Aptos" w:hAnsi="Aptos"/>
                <w:b w:val="0"/>
                <w:sz w:val="14"/>
              </w:rPr>
              <w:t>FR-001</w:t>
            </w:r>
          </w:p>
        </w:tc>
        <w:tc>
          <w:tcPr>
            <w:tcW w:type="dxa" w:w="2448"/>
            <w:vAlign w:val="center"/>
          </w:tcPr>
          <w:p>
            <w:r/>
            <w:r>
              <w:rPr>
                <w:rFonts w:ascii="Aptos" w:hAnsi="Aptos"/>
                <w:b w:val="0"/>
                <w:sz w:val="14"/>
              </w:rPr>
              <w:t>Administración de usuarios y perfiles</w:t>
            </w:r>
          </w:p>
        </w:tc>
        <w:tc>
          <w:tcPr>
            <w:tcW w:type="dxa" w:w="5760"/>
            <w:vAlign w:val="center"/>
          </w:tcPr>
          <w:p>
            <w:r/>
            <w:r>
              <w:rPr>
                <w:rFonts w:ascii="Aptos" w:hAnsi="Aptos"/>
                <w:b w:val="0"/>
                <w:sz w:val="14"/>
              </w:rPr>
              <w:t>Alta, consulta, modificación, bloqueo y recuperación de acceso para Empresa, Auditor, personal PROFEPA y administradores.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FR-002</w:t>
            </w:r>
          </w:p>
        </w:tc>
        <w:tc>
          <w:tcPr>
            <w:tcW w:type="dxa" w:w="2448"/>
            <w:vAlign w:val="center"/>
          </w:tcPr>
          <w:p>
            <w:r/>
            <w:r>
              <w:rPr>
                <w:rFonts w:ascii="Aptos" w:hAnsi="Aptos"/>
                <w:b w:val="0"/>
                <w:sz w:val="14"/>
              </w:rPr>
              <w:t>Roles y permisos</w:t>
            </w:r>
          </w:p>
        </w:tc>
        <w:tc>
          <w:tcPr>
            <w:tcW w:type="dxa" w:w="5760"/>
            <w:vAlign w:val="center"/>
          </w:tcPr>
          <w:p>
            <w:r/>
            <w:r>
              <w:rPr>
                <w:rFonts w:ascii="Aptos" w:hAnsi="Aptos"/>
                <w:b w:val="0"/>
                <w:sz w:val="14"/>
              </w:rPr>
              <w:t>Definir permisos por rol, función, trámite, expediente y acción; soportar consulta de solo lectura para supervisión/auditoría.</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FR-003</w:t>
            </w:r>
          </w:p>
        </w:tc>
        <w:tc>
          <w:tcPr>
            <w:tcW w:type="dxa" w:w="2448"/>
            <w:vAlign w:val="center"/>
          </w:tcPr>
          <w:p>
            <w:r/>
            <w:r>
              <w:rPr>
                <w:rFonts w:ascii="Aptos" w:hAnsi="Aptos"/>
                <w:b w:val="0"/>
                <w:sz w:val="14"/>
              </w:rPr>
              <w:t>Registro de Empresa e Instalación</w:t>
            </w:r>
          </w:p>
        </w:tc>
        <w:tc>
          <w:tcPr>
            <w:tcW w:type="dxa" w:w="5760"/>
            <w:vAlign w:val="center"/>
          </w:tcPr>
          <w:p>
            <w:r/>
            <w:r>
              <w:rPr>
                <w:rFonts w:ascii="Aptos" w:hAnsi="Aptos"/>
                <w:b w:val="0"/>
                <w:sz w:val="14"/>
              </w:rPr>
              <w:t>Mantener datos generales, domicilio, actividad, instalación y relaciones con certificados/trámites.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FR-004</w:t>
            </w:r>
          </w:p>
        </w:tc>
        <w:tc>
          <w:tcPr>
            <w:tcW w:type="dxa" w:w="2448"/>
            <w:vAlign w:val="center"/>
          </w:tcPr>
          <w:p>
            <w:r/>
            <w:r>
              <w:rPr>
                <w:rFonts w:ascii="Aptos" w:hAnsi="Aptos"/>
                <w:b w:val="0"/>
                <w:sz w:val="14"/>
              </w:rPr>
              <w:t>Registro de Auditor Ambiental</w:t>
            </w:r>
          </w:p>
        </w:tc>
        <w:tc>
          <w:tcPr>
            <w:tcW w:type="dxa" w:w="5760"/>
            <w:vAlign w:val="center"/>
          </w:tcPr>
          <w:p>
            <w:r/>
            <w:r>
              <w:rPr>
                <w:rFonts w:ascii="Aptos" w:hAnsi="Aptos"/>
                <w:b w:val="0"/>
                <w:sz w:val="14"/>
              </w:rPr>
              <w:t>Mantener acreditación, aprobación, vigencia, coordinadores, especialistas y materias.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FR-005</w:t>
            </w:r>
          </w:p>
        </w:tc>
        <w:tc>
          <w:tcPr>
            <w:tcW w:type="dxa" w:w="2448"/>
            <w:vAlign w:val="center"/>
          </w:tcPr>
          <w:p>
            <w:r/>
            <w:r>
              <w:rPr>
                <w:rFonts w:ascii="Aptos" w:hAnsi="Aptos"/>
                <w:b w:val="0"/>
                <w:sz w:val="14"/>
              </w:rPr>
              <w:t>Gestión de inscripción</w:t>
            </w:r>
          </w:p>
        </w:tc>
        <w:tc>
          <w:tcPr>
            <w:tcW w:type="dxa" w:w="5760"/>
            <w:vAlign w:val="center"/>
          </w:tcPr>
          <w:p>
            <w:r/>
            <w:r>
              <w:rPr>
                <w:rFonts w:ascii="Aptos" w:hAnsi="Aptos"/>
                <w:b w:val="0"/>
                <w:sz w:val="14"/>
              </w:rPr>
              <w:t>Digitalizar el flujo de inscripción existente, incluyendo persona física/moral, documentos, selección de auditor y acuse.</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FR-006</w:t>
            </w:r>
          </w:p>
        </w:tc>
        <w:tc>
          <w:tcPr>
            <w:tcW w:type="dxa" w:w="2448"/>
            <w:vAlign w:val="center"/>
          </w:tcPr>
          <w:p>
            <w:r/>
            <w:r>
              <w:rPr>
                <w:rFonts w:ascii="Aptos" w:hAnsi="Aptos"/>
                <w:b w:val="0"/>
                <w:sz w:val="14"/>
              </w:rPr>
              <w:t>Gestión de solicitudes</w:t>
            </w:r>
          </w:p>
        </w:tc>
        <w:tc>
          <w:tcPr>
            <w:tcW w:type="dxa" w:w="5760"/>
            <w:vAlign w:val="center"/>
          </w:tcPr>
          <w:p>
            <w:r/>
            <w:r>
              <w:rPr>
                <w:rFonts w:ascii="Aptos" w:hAnsi="Aptos"/>
                <w:b w:val="0"/>
                <w:sz w:val="14"/>
              </w:rPr>
              <w:t>Crear, editar, validar, enviar, prevenir, subsanar, rechazar, autorizar y cerrar solicitudes.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FR-007</w:t>
            </w:r>
          </w:p>
        </w:tc>
        <w:tc>
          <w:tcPr>
            <w:tcW w:type="dxa" w:w="2448"/>
            <w:vAlign w:val="center"/>
          </w:tcPr>
          <w:p>
            <w:r/>
            <w:r>
              <w:rPr>
                <w:rFonts w:ascii="Aptos" w:hAnsi="Aptos"/>
                <w:b w:val="0"/>
                <w:sz w:val="14"/>
              </w:rPr>
              <w:t>Gestión de expediente electrónico</w:t>
            </w:r>
          </w:p>
        </w:tc>
        <w:tc>
          <w:tcPr>
            <w:tcW w:type="dxa" w:w="5760"/>
            <w:vAlign w:val="center"/>
          </w:tcPr>
          <w:p>
            <w:r/>
            <w:r>
              <w:rPr>
                <w:rFonts w:ascii="Aptos" w:hAnsi="Aptos"/>
                <w:b w:val="0"/>
                <w:sz w:val="14"/>
              </w:rPr>
              <w:t>Integrar datos, documentos, evidencias, actuaciones, comunicaciones, resoluciones y versiones.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FR-008</w:t>
            </w:r>
          </w:p>
        </w:tc>
        <w:tc>
          <w:tcPr>
            <w:tcW w:type="dxa" w:w="2448"/>
            <w:vAlign w:val="center"/>
          </w:tcPr>
          <w:p>
            <w:r/>
            <w:r>
              <w:rPr>
                <w:rFonts w:ascii="Aptos" w:hAnsi="Aptos"/>
                <w:b w:val="0"/>
                <w:sz w:val="14"/>
              </w:rPr>
              <w:t>Carga y validación documental</w:t>
            </w:r>
          </w:p>
        </w:tc>
        <w:tc>
          <w:tcPr>
            <w:tcW w:type="dxa" w:w="5760"/>
            <w:vAlign w:val="center"/>
          </w:tcPr>
          <w:p>
            <w:r/>
            <w:r>
              <w:rPr>
                <w:rFonts w:ascii="Aptos" w:hAnsi="Aptos"/>
                <w:b w:val="0"/>
                <w:sz w:val="14"/>
              </w:rPr>
              <w:t>Permitir carga, clasificación, metadatos, vigencia, legibilidad, versión, firma y asociación a requisito.</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FR-009</w:t>
            </w:r>
          </w:p>
        </w:tc>
        <w:tc>
          <w:tcPr>
            <w:tcW w:type="dxa" w:w="2448"/>
            <w:vAlign w:val="center"/>
          </w:tcPr>
          <w:p>
            <w:r/>
            <w:r>
              <w:rPr>
                <w:rFonts w:ascii="Aptos" w:hAnsi="Aptos"/>
                <w:b w:val="0"/>
                <w:sz w:val="14"/>
              </w:rPr>
              <w:t>Catálogos y parámetros</w:t>
            </w:r>
          </w:p>
        </w:tc>
        <w:tc>
          <w:tcPr>
            <w:tcW w:type="dxa" w:w="5760"/>
            <w:vAlign w:val="center"/>
          </w:tcPr>
          <w:p>
            <w:r/>
            <w:r>
              <w:rPr>
                <w:rFonts w:ascii="Aptos" w:hAnsi="Aptos"/>
                <w:b w:val="0"/>
                <w:sz w:val="14"/>
              </w:rPr>
              <w:t>Administrar catálogos CMAP/SCIAN, materias, tipos de trámite, tipos de evidencia, estados, plazos y otros parámetros.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FR-010</w:t>
            </w:r>
          </w:p>
        </w:tc>
        <w:tc>
          <w:tcPr>
            <w:tcW w:type="dxa" w:w="2448"/>
            <w:vAlign w:val="center"/>
          </w:tcPr>
          <w:p>
            <w:r/>
            <w:r>
              <w:rPr>
                <w:rFonts w:ascii="Aptos" w:hAnsi="Aptos"/>
                <w:b w:val="0"/>
                <w:sz w:val="14"/>
              </w:rPr>
              <w:t>Validaciones automáticas</w:t>
            </w:r>
          </w:p>
        </w:tc>
        <w:tc>
          <w:tcPr>
            <w:tcW w:type="dxa" w:w="5760"/>
            <w:vAlign w:val="center"/>
          </w:tcPr>
          <w:p>
            <w:r/>
            <w:r>
              <w:rPr>
                <w:rFonts w:ascii="Aptos" w:hAnsi="Aptos"/>
                <w:b w:val="0"/>
                <w:sz w:val="14"/>
              </w:rPr>
              <w:t>Ejecutar reglas de obligatoriedad, consistencia, vigencia, duplicidad y relaciones entre datos.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FR-011</w:t>
            </w:r>
          </w:p>
        </w:tc>
        <w:tc>
          <w:tcPr>
            <w:tcW w:type="dxa" w:w="2448"/>
            <w:vAlign w:val="center"/>
          </w:tcPr>
          <w:p>
            <w:r/>
            <w:r>
              <w:rPr>
                <w:rFonts w:ascii="Aptos" w:hAnsi="Aptos"/>
                <w:b w:val="0"/>
                <w:sz w:val="14"/>
              </w:rPr>
              <w:t>Precarga de información</w:t>
            </w:r>
          </w:p>
        </w:tc>
        <w:tc>
          <w:tcPr>
            <w:tcW w:type="dxa" w:w="5760"/>
            <w:vAlign w:val="center"/>
          </w:tcPr>
          <w:p>
            <w:r/>
            <w:r>
              <w:rPr>
                <w:rFonts w:ascii="Aptos" w:hAnsi="Aptos"/>
                <w:b w:val="0"/>
                <w:sz w:val="14"/>
              </w:rPr>
              <w:t>Prellenar datos desde fuentes autorizadas, evitando recaptura.</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FR-012</w:t>
            </w:r>
          </w:p>
        </w:tc>
        <w:tc>
          <w:tcPr>
            <w:tcW w:type="dxa" w:w="2448"/>
            <w:vAlign w:val="center"/>
          </w:tcPr>
          <w:p>
            <w:r/>
            <w:r>
              <w:rPr>
                <w:rFonts w:ascii="Aptos" w:hAnsi="Aptos"/>
                <w:b w:val="0"/>
                <w:sz w:val="14"/>
              </w:rPr>
              <w:t>Validación geográfica</w:t>
            </w:r>
          </w:p>
        </w:tc>
        <w:tc>
          <w:tcPr>
            <w:tcW w:type="dxa" w:w="5760"/>
            <w:vAlign w:val="center"/>
          </w:tcPr>
          <w:p>
            <w:r/>
            <w:r>
              <w:rPr>
                <w:rFonts w:ascii="Aptos" w:hAnsi="Aptos"/>
                <w:b w:val="0"/>
                <w:sz w:val="14"/>
              </w:rPr>
              <w:t>Capturar coordenadas/poligonal y validar ubicación respecto de fuentes geográficas institucionales cuando exista servicio.</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FR-013</w:t>
            </w:r>
          </w:p>
        </w:tc>
        <w:tc>
          <w:tcPr>
            <w:tcW w:type="dxa" w:w="2448"/>
            <w:vAlign w:val="center"/>
          </w:tcPr>
          <w:p>
            <w:r/>
            <w:r>
              <w:rPr>
                <w:rFonts w:ascii="Aptos" w:hAnsi="Aptos"/>
                <w:b w:val="0"/>
                <w:sz w:val="14"/>
              </w:rPr>
              <w:t>Integración con fuentes externas</w:t>
            </w:r>
          </w:p>
        </w:tc>
        <w:tc>
          <w:tcPr>
            <w:tcW w:type="dxa" w:w="5760"/>
            <w:vAlign w:val="center"/>
          </w:tcPr>
          <w:p>
            <w:r/>
            <w:r>
              <w:rPr>
                <w:rFonts w:ascii="Aptos" w:hAnsi="Aptos"/>
                <w:b w:val="0"/>
                <w:sz w:val="14"/>
              </w:rPr>
              <w:t>Consultar y registrar resultado de servicios de EMA, CONANP, CONABIO, CONAGUA, SEMARNAT, SEPOMEX y otros autorizados.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FR-014</w:t>
            </w:r>
          </w:p>
        </w:tc>
        <w:tc>
          <w:tcPr>
            <w:tcW w:type="dxa" w:w="2448"/>
            <w:vAlign w:val="center"/>
          </w:tcPr>
          <w:p>
            <w:r/>
            <w:r>
              <w:rPr>
                <w:rFonts w:ascii="Aptos" w:hAnsi="Aptos"/>
                <w:b w:val="0"/>
                <w:sz w:val="14"/>
              </w:rPr>
              <w:t>Gestión de auditoría/diagnóstico</w:t>
            </w:r>
          </w:p>
        </w:tc>
        <w:tc>
          <w:tcPr>
            <w:tcW w:type="dxa" w:w="5760"/>
            <w:vAlign w:val="center"/>
          </w:tcPr>
          <w:p>
            <w:r/>
            <w:r>
              <w:rPr>
                <w:rFonts w:ascii="Aptos" w:hAnsi="Aptos"/>
                <w:b w:val="0"/>
                <w:sz w:val="14"/>
              </w:rPr>
              <w:t>Registrar planeación, participantes, materias, evidencias, hallazgos, conformidades, no conformidades y dictámenes.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FR-015</w:t>
            </w:r>
          </w:p>
        </w:tc>
        <w:tc>
          <w:tcPr>
            <w:tcW w:type="dxa" w:w="2448"/>
            <w:vAlign w:val="center"/>
          </w:tcPr>
          <w:p>
            <w:r/>
            <w:r>
              <w:rPr>
                <w:rFonts w:ascii="Aptos" w:hAnsi="Aptos"/>
                <w:b w:val="0"/>
                <w:sz w:val="14"/>
              </w:rPr>
              <w:t>Gestión de Plan de Acción</w:t>
            </w:r>
          </w:p>
        </w:tc>
        <w:tc>
          <w:tcPr>
            <w:tcW w:type="dxa" w:w="5760"/>
            <w:vAlign w:val="center"/>
          </w:tcPr>
          <w:p>
            <w:r/>
            <w:r>
              <w:rPr>
                <w:rFonts w:ascii="Aptos" w:hAnsi="Aptos"/>
                <w:b w:val="0"/>
                <w:sz w:val="14"/>
              </w:rPr>
              <w:t>Registrar medidas preventivas/correctivas, responsables, fechas, prioridades, avances, evidencias y verificaciones.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FR-016</w:t>
            </w:r>
          </w:p>
        </w:tc>
        <w:tc>
          <w:tcPr>
            <w:tcW w:type="dxa" w:w="2448"/>
            <w:vAlign w:val="center"/>
          </w:tcPr>
          <w:p>
            <w:r/>
            <w:r>
              <w:rPr>
                <w:rFonts w:ascii="Aptos" w:hAnsi="Aptos"/>
                <w:b w:val="0"/>
                <w:sz w:val="14"/>
              </w:rPr>
              <w:t>Gestión RDA</w:t>
            </w:r>
          </w:p>
        </w:tc>
        <w:tc>
          <w:tcPr>
            <w:tcW w:type="dxa" w:w="5760"/>
            <w:vAlign w:val="center"/>
          </w:tcPr>
          <w:p>
            <w:r/>
            <w:r>
              <w:rPr>
                <w:rFonts w:ascii="Aptos" w:hAnsi="Aptos"/>
                <w:b w:val="0"/>
                <w:sz w:val="14"/>
              </w:rPr>
              <w:t>Capturar diagnóstico básico, generalidades, situación de instalación, sistema de gestión, indicadores y anexos.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FR-017</w:t>
            </w:r>
          </w:p>
        </w:tc>
        <w:tc>
          <w:tcPr>
            <w:tcW w:type="dxa" w:w="2448"/>
            <w:vAlign w:val="center"/>
          </w:tcPr>
          <w:p>
            <w:r/>
            <w:r>
              <w:rPr>
                <w:rFonts w:ascii="Aptos" w:hAnsi="Aptos"/>
                <w:b w:val="0"/>
                <w:sz w:val="14"/>
              </w:rPr>
              <w:t>Indicadores ambientales</w:t>
            </w:r>
          </w:p>
        </w:tc>
        <w:tc>
          <w:tcPr>
            <w:tcW w:type="dxa" w:w="5760"/>
            <w:vAlign w:val="center"/>
          </w:tcPr>
          <w:p>
            <w:r/>
            <w:r>
              <w:rPr>
                <w:rFonts w:ascii="Aptos" w:hAnsi="Aptos"/>
                <w:b w:val="0"/>
                <w:sz w:val="14"/>
              </w:rPr>
              <w:t>Registrar indicadores específicos y particulares, periodicidad, valores, unidades, metas, tendencias y comparativos.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FR-018</w:t>
            </w:r>
          </w:p>
        </w:tc>
        <w:tc>
          <w:tcPr>
            <w:tcW w:type="dxa" w:w="2448"/>
            <w:vAlign w:val="center"/>
          </w:tcPr>
          <w:p>
            <w:r/>
            <w:r>
              <w:rPr>
                <w:rFonts w:ascii="Aptos" w:hAnsi="Aptos"/>
                <w:b w:val="0"/>
                <w:sz w:val="14"/>
              </w:rPr>
              <w:t>Renovación por RDA</w:t>
            </w:r>
          </w:p>
        </w:tc>
        <w:tc>
          <w:tcPr>
            <w:tcW w:type="dxa" w:w="5760"/>
            <w:vAlign w:val="center"/>
          </w:tcPr>
          <w:p>
            <w:r/>
            <w:r>
              <w:rPr>
                <w:rFonts w:ascii="Aptos" w:hAnsi="Aptos"/>
                <w:b w:val="0"/>
                <w:sz w:val="14"/>
              </w:rPr>
              <w:t>Validar condiciones de elegibilidad, presentar RDA, revisar, prevenir, subsanar y resolver.</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FR-019</w:t>
            </w:r>
          </w:p>
        </w:tc>
        <w:tc>
          <w:tcPr>
            <w:tcW w:type="dxa" w:w="2448"/>
            <w:vAlign w:val="center"/>
          </w:tcPr>
          <w:p>
            <w:r/>
            <w:r>
              <w:rPr>
                <w:rFonts w:ascii="Aptos" w:hAnsi="Aptos"/>
                <w:b w:val="0"/>
                <w:sz w:val="14"/>
              </w:rPr>
              <w:t>Seguimiento de plazos</w:t>
            </w:r>
          </w:p>
        </w:tc>
        <w:tc>
          <w:tcPr>
            <w:tcW w:type="dxa" w:w="5760"/>
            <w:vAlign w:val="center"/>
          </w:tcPr>
          <w:p>
            <w:r/>
            <w:r>
              <w:rPr>
                <w:rFonts w:ascii="Aptos" w:hAnsi="Aptos"/>
                <w:b w:val="0"/>
                <w:sz w:val="14"/>
              </w:rPr>
              <w:t>Calcular y controlar vencimientos, fechas límite, días hábiles y eventos que cambian el calendario.</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FR-020</w:t>
            </w:r>
          </w:p>
        </w:tc>
        <w:tc>
          <w:tcPr>
            <w:tcW w:type="dxa" w:w="2448"/>
            <w:vAlign w:val="center"/>
          </w:tcPr>
          <w:p>
            <w:r/>
            <w:r>
              <w:rPr>
                <w:rFonts w:ascii="Aptos" w:hAnsi="Aptos"/>
                <w:b w:val="0"/>
                <w:sz w:val="14"/>
              </w:rPr>
              <w:t>Notificaciones</w:t>
            </w:r>
          </w:p>
        </w:tc>
        <w:tc>
          <w:tcPr>
            <w:tcW w:type="dxa" w:w="5760"/>
            <w:vAlign w:val="center"/>
          </w:tcPr>
          <w:p>
            <w:r/>
            <w:r>
              <w:rPr>
                <w:rFonts w:ascii="Aptos" w:hAnsi="Aptos"/>
                <w:b w:val="0"/>
                <w:sz w:val="14"/>
              </w:rPr>
              <w:t>Enviar correos y alertas por eventos: recepción, prevención, cambio de estado, vencimiento, resolución y selección de auditor.</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FR-021</w:t>
            </w:r>
          </w:p>
        </w:tc>
        <w:tc>
          <w:tcPr>
            <w:tcW w:type="dxa" w:w="2448"/>
            <w:vAlign w:val="center"/>
          </w:tcPr>
          <w:p>
            <w:r/>
            <w:r>
              <w:rPr>
                <w:rFonts w:ascii="Aptos" w:hAnsi="Aptos"/>
                <w:b w:val="0"/>
                <w:sz w:val="14"/>
              </w:rPr>
              <w:t>Buzón / mensajería</w:t>
            </w:r>
          </w:p>
        </w:tc>
        <w:tc>
          <w:tcPr>
            <w:tcW w:type="dxa" w:w="5760"/>
            <w:vAlign w:val="center"/>
          </w:tcPr>
          <w:p>
            <w:r/>
            <w:r>
              <w:rPr>
                <w:rFonts w:ascii="Aptos" w:hAnsi="Aptos"/>
                <w:b w:val="0"/>
                <w:sz w:val="14"/>
              </w:rPr>
              <w:t>Centralizar comunicaciones y alertas del trámite, con historial consultable.</w:t>
            </w:r>
          </w:p>
        </w:tc>
        <w:tc>
          <w:tcPr>
            <w:tcW w:type="dxa" w:w="1008"/>
            <w:vAlign w:val="center"/>
          </w:tcPr>
          <w:p>
            <w:r/>
            <w:r>
              <w:rPr>
                <w:rFonts w:ascii="Aptos" w:hAnsi="Aptos"/>
                <w:b w:val="0"/>
                <w:sz w:val="14"/>
              </w:rPr>
              <w:t>Media-Alta</w:t>
            </w:r>
          </w:p>
        </w:tc>
      </w:tr>
      <w:tr>
        <w:tc>
          <w:tcPr>
            <w:tcW w:type="dxa" w:w="1008"/>
            <w:vAlign w:val="center"/>
          </w:tcPr>
          <w:p>
            <w:r/>
            <w:r>
              <w:rPr>
                <w:rFonts w:ascii="Aptos" w:hAnsi="Aptos"/>
                <w:b w:val="0"/>
                <w:sz w:val="14"/>
              </w:rPr>
              <w:t>FR-022</w:t>
            </w:r>
          </w:p>
        </w:tc>
        <w:tc>
          <w:tcPr>
            <w:tcW w:type="dxa" w:w="2448"/>
            <w:vAlign w:val="center"/>
          </w:tcPr>
          <w:p>
            <w:r/>
            <w:r>
              <w:rPr>
                <w:rFonts w:ascii="Aptos" w:hAnsi="Aptos"/>
                <w:b w:val="0"/>
                <w:sz w:val="14"/>
              </w:rPr>
              <w:t>Bitácora de operación</w:t>
            </w:r>
          </w:p>
        </w:tc>
        <w:tc>
          <w:tcPr>
            <w:tcW w:type="dxa" w:w="5760"/>
            <w:vAlign w:val="center"/>
          </w:tcPr>
          <w:p>
            <w:r/>
            <w:r>
              <w:rPr>
                <w:rFonts w:ascii="Aptos" w:hAnsi="Aptos"/>
                <w:b w:val="0"/>
                <w:sz w:val="14"/>
              </w:rPr>
              <w:t>Registrar acciones de usuarios y del sistema, incluyendo fecha, hora, usuario, objeto, evento y resultado.</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FR-023</w:t>
            </w:r>
          </w:p>
        </w:tc>
        <w:tc>
          <w:tcPr>
            <w:tcW w:type="dxa" w:w="2448"/>
            <w:vAlign w:val="center"/>
          </w:tcPr>
          <w:p>
            <w:r/>
            <w:r>
              <w:rPr>
                <w:rFonts w:ascii="Aptos" w:hAnsi="Aptos"/>
                <w:b w:val="0"/>
                <w:sz w:val="14"/>
              </w:rPr>
              <w:t>Auditoría de expediente</w:t>
            </w:r>
          </w:p>
        </w:tc>
        <w:tc>
          <w:tcPr>
            <w:tcW w:type="dxa" w:w="5760"/>
            <w:vAlign w:val="center"/>
          </w:tcPr>
          <w:p>
            <w:r/>
            <w:r>
              <w:rPr>
                <w:rFonts w:ascii="Aptos" w:hAnsi="Aptos"/>
                <w:b w:val="0"/>
                <w:sz w:val="14"/>
              </w:rPr>
              <w:t>Permitir consulta histórica de versiones y acciones, con usuarios de solo lectura.</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FR-024</w:t>
            </w:r>
          </w:p>
        </w:tc>
        <w:tc>
          <w:tcPr>
            <w:tcW w:type="dxa" w:w="2448"/>
            <w:vAlign w:val="center"/>
          </w:tcPr>
          <w:p>
            <w:r/>
            <w:r>
              <w:rPr>
                <w:rFonts w:ascii="Aptos" w:hAnsi="Aptos"/>
                <w:b w:val="0"/>
                <w:sz w:val="14"/>
              </w:rPr>
              <w:t>Reportes e indicadores institucionales</w:t>
            </w:r>
          </w:p>
        </w:tc>
        <w:tc>
          <w:tcPr>
            <w:tcW w:type="dxa" w:w="5760"/>
            <w:vAlign w:val="center"/>
          </w:tcPr>
          <w:p>
            <w:r/>
            <w:r>
              <w:rPr>
                <w:rFonts w:ascii="Aptos" w:hAnsi="Aptos"/>
                <w:b w:val="0"/>
                <w:sz w:val="14"/>
              </w:rPr>
              <w:t>Generar reportes operativos, ejecutivos y regulatorios a partir de datos estructurados.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FR-025</w:t>
            </w:r>
          </w:p>
        </w:tc>
        <w:tc>
          <w:tcPr>
            <w:tcW w:type="dxa" w:w="2448"/>
            <w:vAlign w:val="center"/>
          </w:tcPr>
          <w:p>
            <w:r/>
            <w:r>
              <w:rPr>
                <w:rFonts w:ascii="Aptos" w:hAnsi="Aptos"/>
                <w:b w:val="0"/>
                <w:sz w:val="14"/>
              </w:rPr>
              <w:t>Tableros de seguimiento</w:t>
            </w:r>
          </w:p>
        </w:tc>
        <w:tc>
          <w:tcPr>
            <w:tcW w:type="dxa" w:w="5760"/>
            <w:vAlign w:val="center"/>
          </w:tcPr>
          <w:p>
            <w:r/>
            <w:r>
              <w:rPr>
                <w:rFonts w:ascii="Aptos" w:hAnsi="Aptos"/>
                <w:b w:val="0"/>
                <w:sz w:val="14"/>
              </w:rPr>
              <w:t>Mostrar cargas de trabajo, trámites por estado, vencimientos, indicadores y excepciones.</w:t>
            </w:r>
          </w:p>
        </w:tc>
        <w:tc>
          <w:tcPr>
            <w:tcW w:type="dxa" w:w="1008"/>
            <w:vAlign w:val="center"/>
          </w:tcPr>
          <w:p>
            <w:r/>
            <w:r>
              <w:rPr>
                <w:rFonts w:ascii="Aptos" w:hAnsi="Aptos"/>
                <w:b w:val="0"/>
                <w:sz w:val="14"/>
              </w:rPr>
              <w:t>Media-Alta</w:t>
            </w:r>
          </w:p>
        </w:tc>
      </w:tr>
      <w:tr>
        <w:tc>
          <w:tcPr>
            <w:tcW w:type="dxa" w:w="1008"/>
            <w:vAlign w:val="center"/>
          </w:tcPr>
          <w:p>
            <w:r/>
            <w:r>
              <w:rPr>
                <w:rFonts w:ascii="Aptos" w:hAnsi="Aptos"/>
                <w:b w:val="0"/>
                <w:sz w:val="14"/>
              </w:rPr>
              <w:t>FR-026</w:t>
            </w:r>
          </w:p>
        </w:tc>
        <w:tc>
          <w:tcPr>
            <w:tcW w:type="dxa" w:w="2448"/>
            <w:vAlign w:val="center"/>
          </w:tcPr>
          <w:p>
            <w:r/>
            <w:r>
              <w:rPr>
                <w:rFonts w:ascii="Aptos" w:hAnsi="Aptos"/>
                <w:b w:val="0"/>
                <w:sz w:val="14"/>
              </w:rPr>
              <w:t>Firma / validación de documentos</w:t>
            </w:r>
          </w:p>
        </w:tc>
        <w:tc>
          <w:tcPr>
            <w:tcW w:type="dxa" w:w="5760"/>
            <w:vAlign w:val="center"/>
          </w:tcPr>
          <w:p>
            <w:r/>
            <w:r>
              <w:rPr>
                <w:rFonts w:ascii="Aptos" w:hAnsi="Aptos"/>
                <w:b w:val="0"/>
                <w:sz w:val="14"/>
              </w:rPr>
              <w:t>Gestionar documentos firmados y su relación con actuaciones, resoluciones o dictámenes.</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FR-027</w:t>
            </w:r>
          </w:p>
        </w:tc>
        <w:tc>
          <w:tcPr>
            <w:tcW w:type="dxa" w:w="2448"/>
            <w:vAlign w:val="center"/>
          </w:tcPr>
          <w:p>
            <w:r/>
            <w:r>
              <w:rPr>
                <w:rFonts w:ascii="Aptos" w:hAnsi="Aptos"/>
                <w:b w:val="0"/>
                <w:sz w:val="14"/>
              </w:rPr>
              <w:t>Búsqueda transversal</w:t>
            </w:r>
          </w:p>
        </w:tc>
        <w:tc>
          <w:tcPr>
            <w:tcW w:type="dxa" w:w="5760"/>
            <w:vAlign w:val="center"/>
          </w:tcPr>
          <w:p>
            <w:r/>
            <w:r>
              <w:rPr>
                <w:rFonts w:ascii="Aptos" w:hAnsi="Aptos"/>
                <w:b w:val="0"/>
                <w:sz w:val="14"/>
              </w:rPr>
              <w:t>Buscar por empresa, instalación, certificado, trámite, auditor, materia, indicador, documento y estado.</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FR-028</w:t>
            </w:r>
          </w:p>
        </w:tc>
        <w:tc>
          <w:tcPr>
            <w:tcW w:type="dxa" w:w="2448"/>
            <w:vAlign w:val="center"/>
          </w:tcPr>
          <w:p>
            <w:r/>
            <w:r>
              <w:rPr>
                <w:rFonts w:ascii="Aptos" w:hAnsi="Aptos"/>
                <w:b w:val="0"/>
                <w:sz w:val="14"/>
              </w:rPr>
              <w:t>Gestión de excepciones</w:t>
            </w:r>
          </w:p>
        </w:tc>
        <w:tc>
          <w:tcPr>
            <w:tcW w:type="dxa" w:w="5760"/>
            <w:vAlign w:val="center"/>
          </w:tcPr>
          <w:p>
            <w:r/>
            <w:r>
              <w:rPr>
                <w:rFonts w:ascii="Aptos" w:hAnsi="Aptos"/>
                <w:b w:val="0"/>
                <w:sz w:val="14"/>
              </w:rPr>
              <w:t>Registrar excepciones, justificaciones, autorizaciones y efectos sobre el flujo.</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FR-029</w:t>
            </w:r>
          </w:p>
        </w:tc>
        <w:tc>
          <w:tcPr>
            <w:tcW w:type="dxa" w:w="2448"/>
            <w:vAlign w:val="center"/>
          </w:tcPr>
          <w:p>
            <w:r/>
            <w:r>
              <w:rPr>
                <w:rFonts w:ascii="Aptos" w:hAnsi="Aptos"/>
                <w:b w:val="0"/>
                <w:sz w:val="14"/>
              </w:rPr>
              <w:t>Administración de reglas</w:t>
            </w:r>
          </w:p>
        </w:tc>
        <w:tc>
          <w:tcPr>
            <w:tcW w:type="dxa" w:w="5760"/>
            <w:vAlign w:val="center"/>
          </w:tcPr>
          <w:p>
            <w:r/>
            <w:r>
              <w:rPr>
                <w:rFonts w:ascii="Aptos" w:hAnsi="Aptos"/>
                <w:b w:val="0"/>
                <w:sz w:val="14"/>
              </w:rPr>
              <w:t>Permitir parametrizar reglas que no requieran cambio estructural de software.</w:t>
            </w:r>
          </w:p>
        </w:tc>
        <w:tc>
          <w:tcPr>
            <w:tcW w:type="dxa" w:w="1008"/>
            <w:vAlign w:val="center"/>
          </w:tcPr>
          <w:p>
            <w:r/>
            <w:r>
              <w:rPr>
                <w:rFonts w:ascii="Aptos" w:hAnsi="Aptos"/>
                <w:b w:val="0"/>
                <w:sz w:val="14"/>
              </w:rPr>
              <w:t>Alta</w:t>
            </w:r>
          </w:p>
        </w:tc>
      </w:tr>
      <w:tr>
        <w:tc>
          <w:tcPr>
            <w:tcW w:type="dxa" w:w="1008"/>
            <w:vAlign w:val="center"/>
          </w:tcPr>
          <w:p>
            <w:r/>
            <w:r>
              <w:rPr>
                <w:rFonts w:ascii="Aptos" w:hAnsi="Aptos"/>
                <w:b w:val="0"/>
                <w:sz w:val="14"/>
              </w:rPr>
              <w:t>FR-030</w:t>
            </w:r>
          </w:p>
        </w:tc>
        <w:tc>
          <w:tcPr>
            <w:tcW w:type="dxa" w:w="2448"/>
            <w:vAlign w:val="center"/>
          </w:tcPr>
          <w:p>
            <w:r/>
            <w:r>
              <w:rPr>
                <w:rFonts w:ascii="Aptos" w:hAnsi="Aptos"/>
                <w:b w:val="0"/>
                <w:sz w:val="14"/>
              </w:rPr>
              <w:t>Archivo y conservación</w:t>
            </w:r>
          </w:p>
        </w:tc>
        <w:tc>
          <w:tcPr>
            <w:tcW w:type="dxa" w:w="5760"/>
            <w:vAlign w:val="center"/>
          </w:tcPr>
          <w:p>
            <w:r/>
            <w:r>
              <w:rPr>
                <w:rFonts w:ascii="Aptos" w:hAnsi="Aptos"/>
                <w:b w:val="0"/>
                <w:sz w:val="14"/>
              </w:rPr>
              <w:t>Controlar conservación documental, versiones y disponibilidad de evidencias según política institucional y normativa aplicable.</w:t>
            </w:r>
          </w:p>
        </w:tc>
        <w:tc>
          <w:tcPr>
            <w:tcW w:type="dxa" w:w="1008"/>
            <w:vAlign w:val="center"/>
          </w:tcPr>
          <w:p>
            <w:r/>
            <w:r>
              <w:rPr>
                <w:rFonts w:ascii="Aptos" w:hAnsi="Aptos"/>
                <w:b w:val="0"/>
                <w:sz w:val="14"/>
              </w:rPr>
              <w:t>Alta</w:t>
            </w:r>
          </w:p>
        </w:tc>
      </w:tr>
    </w:tbl>
    <w:p/>
    <w:p>
      <w:r>
        <w:br w:type="page"/>
      </w:r>
    </w:p>
    <w:p>
      <w:pPr>
        <w:pStyle w:val="Heading1"/>
      </w:pPr>
      <w:r>
        <w:t>7. Requerimientos funcionales específicos para RDA y desempeño ambiental</w:t>
      </w:r>
    </w:p>
    <w:p>
      <w:pPr>
        <w:jc w:val="center"/>
      </w:pPr>
      <w:r>
        <w:drawing>
          <wp:inline xmlns:a="http://schemas.openxmlformats.org/drawingml/2006/main" xmlns:pic="http://schemas.openxmlformats.org/drawingml/2006/picture">
            <wp:extent cx="6126480" cy="3629080"/>
            <wp:docPr id="4" name="Picture 4"/>
            <wp:cNvGraphicFramePr>
              <a:graphicFrameLocks noChangeAspect="1"/>
            </wp:cNvGraphicFramePr>
            <a:graphic>
              <a:graphicData uri="http://schemas.openxmlformats.org/drawingml/2006/picture">
                <pic:pic>
                  <pic:nvPicPr>
                    <pic:cNvPr id="0" name="diag_rda.png"/>
                    <pic:cNvPicPr/>
                  </pic:nvPicPr>
                  <pic:blipFill>
                    <a:blip r:embed="rId14"/>
                    <a:stretch>
                      <a:fillRect/>
                    </a:stretch>
                  </pic:blipFill>
                  <pic:spPr>
                    <a:xfrm>
                      <a:off x="0" y="0"/>
                      <a:ext cx="6126480" cy="3629080"/>
                    </a:xfrm>
                    <a:prstGeom prst="rect"/>
                  </pic:spPr>
                </pic:pic>
              </a:graphicData>
            </a:graphic>
          </wp:inline>
        </w:drawing>
      </w:r>
    </w:p>
    <w:p>
      <w:pPr>
        <w:jc w:val="center"/>
      </w:pPr>
      <w:r>
        <w:rPr>
          <w:i/>
          <w:color w:val="566573"/>
          <w:sz w:val="17"/>
        </w:rPr>
        <w:t>Figura 4. Flujo conceptual de renovación mediante RDA.</w:t>
      </w:r>
    </w:p>
    <w:p>
      <w:r>
        <w:t>La NMX-AA-163-SCFI-2012 establece que el RDA integra diagnóstico básico, generalidades de la empresa, situación de la instalación certificada, sistema de gestión ambiental, indicadores y anexo fotográfico/documental. También requiere evidencia actualizada y contempla actualización anual de indicadores. El Reglamento establece que la vía RDA aplica cuando la empresa alcanzó el máximo nivel de desempeño y fija condiciones adicionales para conservar esa vía.</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1F4E79"/>
          </w:tcPr>
          <w:p>
            <w:r/>
            <w:r>
              <w:rPr>
                <w:rFonts w:ascii="Aptos" w:hAnsi="Aptos"/>
                <w:b/>
                <w:color w:val="FFFFFF"/>
                <w:sz w:val="15"/>
              </w:rPr>
              <w:t>ID</w:t>
            </w:r>
          </w:p>
        </w:tc>
        <w:tc>
          <w:tcPr>
            <w:tcW w:type="dxa" w:w="2448"/>
            <w:vAlign w:val="center"/>
            <w:shd w:fill="1F4E79"/>
          </w:tcPr>
          <w:p>
            <w:r/>
            <w:r>
              <w:rPr>
                <w:rFonts w:ascii="Aptos" w:hAnsi="Aptos"/>
                <w:b/>
                <w:color w:val="FFFFFF"/>
                <w:sz w:val="15"/>
              </w:rPr>
              <w:t>Área</w:t>
            </w:r>
          </w:p>
        </w:tc>
        <w:tc>
          <w:tcPr>
            <w:tcW w:type="dxa" w:w="6768"/>
            <w:vAlign w:val="center"/>
            <w:shd w:fill="1F4E79"/>
          </w:tcPr>
          <w:p>
            <w:r/>
            <w:r>
              <w:rPr>
                <w:rFonts w:ascii="Aptos" w:hAnsi="Aptos"/>
                <w:b/>
                <w:color w:val="FFFFFF"/>
                <w:sz w:val="15"/>
              </w:rPr>
              <w:t>Requerimiento</w:t>
            </w:r>
          </w:p>
        </w:tc>
      </w:tr>
      <w:tr>
        <w:tc>
          <w:tcPr>
            <w:tcW w:type="dxa" w:w="1152"/>
            <w:vAlign w:val="center"/>
          </w:tcPr>
          <w:p>
            <w:r/>
            <w:r>
              <w:rPr>
                <w:rFonts w:ascii="Aptos" w:hAnsi="Aptos"/>
                <w:b w:val="0"/>
                <w:sz w:val="15"/>
              </w:rPr>
              <w:t>RDA-01</w:t>
            </w:r>
          </w:p>
        </w:tc>
        <w:tc>
          <w:tcPr>
            <w:tcW w:type="dxa" w:w="2448"/>
            <w:vAlign w:val="center"/>
          </w:tcPr>
          <w:p>
            <w:r/>
            <w:r>
              <w:rPr>
                <w:rFonts w:ascii="Aptos" w:hAnsi="Aptos"/>
                <w:b w:val="0"/>
                <w:sz w:val="15"/>
              </w:rPr>
              <w:t>Elegibilidad</w:t>
            </w:r>
          </w:p>
        </w:tc>
        <w:tc>
          <w:tcPr>
            <w:tcW w:type="dxa" w:w="6768"/>
            <w:vAlign w:val="center"/>
          </w:tcPr>
          <w:p>
            <w:r/>
            <w:r>
              <w:rPr>
                <w:rFonts w:ascii="Aptos" w:hAnsi="Aptos"/>
                <w:b w:val="0"/>
                <w:sz w:val="15"/>
              </w:rPr>
              <w:t>Validar que la empresa tenga certificado vigente y máximo nivel de desempeño correspondiente.</w:t>
            </w:r>
          </w:p>
        </w:tc>
      </w:tr>
      <w:tr>
        <w:tc>
          <w:tcPr>
            <w:tcW w:type="dxa" w:w="1152"/>
            <w:vAlign w:val="center"/>
          </w:tcPr>
          <w:p>
            <w:r/>
            <w:r>
              <w:rPr>
                <w:rFonts w:ascii="Aptos" w:hAnsi="Aptos"/>
                <w:b w:val="0"/>
                <w:sz w:val="15"/>
              </w:rPr>
              <w:t>RDA-02</w:t>
            </w:r>
          </w:p>
        </w:tc>
        <w:tc>
          <w:tcPr>
            <w:tcW w:type="dxa" w:w="2448"/>
            <w:vAlign w:val="center"/>
          </w:tcPr>
          <w:p>
            <w:r/>
            <w:r>
              <w:rPr>
                <w:rFonts w:ascii="Aptos" w:hAnsi="Aptos"/>
                <w:b w:val="0"/>
                <w:sz w:val="15"/>
              </w:rPr>
              <w:t>Histórico</w:t>
            </w:r>
          </w:p>
        </w:tc>
        <w:tc>
          <w:tcPr>
            <w:tcW w:type="dxa" w:w="6768"/>
            <w:vAlign w:val="center"/>
          </w:tcPr>
          <w:p>
            <w:r/>
            <w:r>
              <w:rPr>
                <w:rFonts w:ascii="Aptos" w:hAnsi="Aptos"/>
                <w:b w:val="0"/>
                <w:sz w:val="15"/>
              </w:rPr>
              <w:t>Gestionar histórico continuo de indicadores y periodo requerido.</w:t>
            </w:r>
          </w:p>
        </w:tc>
      </w:tr>
      <w:tr>
        <w:tc>
          <w:tcPr>
            <w:tcW w:type="dxa" w:w="1152"/>
            <w:vAlign w:val="center"/>
          </w:tcPr>
          <w:p>
            <w:r/>
            <w:r>
              <w:rPr>
                <w:rFonts w:ascii="Aptos" w:hAnsi="Aptos"/>
                <w:b w:val="0"/>
                <w:sz w:val="15"/>
              </w:rPr>
              <w:t>RDA-03</w:t>
            </w:r>
          </w:p>
        </w:tc>
        <w:tc>
          <w:tcPr>
            <w:tcW w:type="dxa" w:w="2448"/>
            <w:vAlign w:val="center"/>
          </w:tcPr>
          <w:p>
            <w:r/>
            <w:r>
              <w:rPr>
                <w:rFonts w:ascii="Aptos" w:hAnsi="Aptos"/>
                <w:b w:val="0"/>
                <w:sz w:val="15"/>
              </w:rPr>
              <w:t>Manifestaciones</w:t>
            </w:r>
          </w:p>
        </w:tc>
        <w:tc>
          <w:tcPr>
            <w:tcW w:type="dxa" w:w="6768"/>
            <w:vAlign w:val="center"/>
          </w:tcPr>
          <w:p>
            <w:r/>
            <w:r>
              <w:rPr>
                <w:rFonts w:ascii="Aptos" w:hAnsi="Aptos"/>
                <w:b w:val="0"/>
                <w:sz w:val="15"/>
              </w:rPr>
              <w:t>Registrar las manifestaciones normativas requeridas y sus evidencias.</w:t>
            </w:r>
          </w:p>
        </w:tc>
      </w:tr>
      <w:tr>
        <w:tc>
          <w:tcPr>
            <w:tcW w:type="dxa" w:w="1152"/>
            <w:vAlign w:val="center"/>
          </w:tcPr>
          <w:p>
            <w:r/>
            <w:r>
              <w:rPr>
                <w:rFonts w:ascii="Aptos" w:hAnsi="Aptos"/>
                <w:b w:val="0"/>
                <w:sz w:val="15"/>
              </w:rPr>
              <w:t>RDA-04</w:t>
            </w:r>
          </w:p>
        </w:tc>
        <w:tc>
          <w:tcPr>
            <w:tcW w:type="dxa" w:w="2448"/>
            <w:vAlign w:val="center"/>
          </w:tcPr>
          <w:p>
            <w:r/>
            <w:r>
              <w:rPr>
                <w:rFonts w:ascii="Aptos" w:hAnsi="Aptos"/>
                <w:b w:val="0"/>
                <w:sz w:val="15"/>
              </w:rPr>
              <w:t>Sistema ambiental</w:t>
            </w:r>
          </w:p>
        </w:tc>
        <w:tc>
          <w:tcPr>
            <w:tcW w:type="dxa" w:w="6768"/>
            <w:vAlign w:val="center"/>
          </w:tcPr>
          <w:p>
            <w:r/>
            <w:r>
              <w:rPr>
                <w:rFonts w:ascii="Aptos" w:hAnsi="Aptos"/>
                <w:b w:val="0"/>
                <w:sz w:val="15"/>
              </w:rPr>
              <w:t>Registrar evidencia del funcionamiento del sistema de gestión/administración ambiental.</w:t>
            </w:r>
          </w:p>
        </w:tc>
      </w:tr>
      <w:tr>
        <w:tc>
          <w:tcPr>
            <w:tcW w:type="dxa" w:w="1152"/>
            <w:vAlign w:val="center"/>
          </w:tcPr>
          <w:p>
            <w:r/>
            <w:r>
              <w:rPr>
                <w:rFonts w:ascii="Aptos" w:hAnsi="Aptos"/>
                <w:b w:val="0"/>
                <w:sz w:val="15"/>
              </w:rPr>
              <w:t>RDA-05</w:t>
            </w:r>
          </w:p>
        </w:tc>
        <w:tc>
          <w:tcPr>
            <w:tcW w:type="dxa" w:w="2448"/>
            <w:vAlign w:val="center"/>
          </w:tcPr>
          <w:p>
            <w:r/>
            <w:r>
              <w:rPr>
                <w:rFonts w:ascii="Aptos" w:hAnsi="Aptos"/>
                <w:b w:val="0"/>
                <w:sz w:val="15"/>
              </w:rPr>
              <w:t>Indicadores específicos</w:t>
            </w:r>
          </w:p>
        </w:tc>
        <w:tc>
          <w:tcPr>
            <w:tcW w:type="dxa" w:w="6768"/>
            <w:vAlign w:val="center"/>
          </w:tcPr>
          <w:p>
            <w:r/>
            <w:r>
              <w:rPr>
                <w:rFonts w:ascii="Aptos" w:hAnsi="Aptos"/>
                <w:b w:val="0"/>
                <w:sz w:val="15"/>
              </w:rPr>
              <w:t>Gestionar consumo de agua, descargas, energía, combustibles y residuos por unidad de producción, con justificación cuando no aplique.</w:t>
            </w:r>
          </w:p>
        </w:tc>
      </w:tr>
      <w:tr>
        <w:tc>
          <w:tcPr>
            <w:tcW w:type="dxa" w:w="1152"/>
            <w:vAlign w:val="center"/>
          </w:tcPr>
          <w:p>
            <w:r/>
            <w:r>
              <w:rPr>
                <w:rFonts w:ascii="Aptos" w:hAnsi="Aptos"/>
                <w:b w:val="0"/>
                <w:sz w:val="15"/>
              </w:rPr>
              <w:t>RDA-06</w:t>
            </w:r>
          </w:p>
        </w:tc>
        <w:tc>
          <w:tcPr>
            <w:tcW w:type="dxa" w:w="2448"/>
            <w:vAlign w:val="center"/>
          </w:tcPr>
          <w:p>
            <w:r/>
            <w:r>
              <w:rPr>
                <w:rFonts w:ascii="Aptos" w:hAnsi="Aptos"/>
                <w:b w:val="0"/>
                <w:sz w:val="15"/>
              </w:rPr>
              <w:t>Indicadores particulares</w:t>
            </w:r>
          </w:p>
        </w:tc>
        <w:tc>
          <w:tcPr>
            <w:tcW w:type="dxa" w:w="6768"/>
            <w:vAlign w:val="center"/>
          </w:tcPr>
          <w:p>
            <w:r/>
            <w:r>
              <w:rPr>
                <w:rFonts w:ascii="Aptos" w:hAnsi="Aptos"/>
                <w:b w:val="0"/>
                <w:sz w:val="15"/>
              </w:rPr>
              <w:t>Gestionar indicadores propios de la empresa, sus características, valores y tendencia.</w:t>
            </w:r>
          </w:p>
        </w:tc>
      </w:tr>
      <w:tr>
        <w:tc>
          <w:tcPr>
            <w:tcW w:type="dxa" w:w="1152"/>
            <w:vAlign w:val="center"/>
          </w:tcPr>
          <w:p>
            <w:r/>
            <w:r>
              <w:rPr>
                <w:rFonts w:ascii="Aptos" w:hAnsi="Aptos"/>
                <w:b w:val="0"/>
                <w:sz w:val="15"/>
              </w:rPr>
              <w:t>RDA-07</w:t>
            </w:r>
          </w:p>
        </w:tc>
        <w:tc>
          <w:tcPr>
            <w:tcW w:type="dxa" w:w="2448"/>
            <w:vAlign w:val="center"/>
          </w:tcPr>
          <w:p>
            <w:r/>
            <w:r>
              <w:rPr>
                <w:rFonts w:ascii="Aptos" w:hAnsi="Aptos"/>
                <w:b w:val="0"/>
                <w:sz w:val="15"/>
              </w:rPr>
              <w:t>Comparativos</w:t>
            </w:r>
          </w:p>
        </w:tc>
        <w:tc>
          <w:tcPr>
            <w:tcW w:type="dxa" w:w="6768"/>
            <w:vAlign w:val="center"/>
          </w:tcPr>
          <w:p>
            <w:r/>
            <w:r>
              <w:rPr>
                <w:rFonts w:ascii="Aptos" w:hAnsi="Aptos"/>
                <w:b w:val="0"/>
                <w:sz w:val="15"/>
              </w:rPr>
              <w:t>Generar tabla y gráfica por indicador para determinar mantenimiento o mejora.</w:t>
            </w:r>
          </w:p>
        </w:tc>
      </w:tr>
      <w:tr>
        <w:tc>
          <w:tcPr>
            <w:tcW w:type="dxa" w:w="1152"/>
            <w:vAlign w:val="center"/>
          </w:tcPr>
          <w:p>
            <w:r/>
            <w:r>
              <w:rPr>
                <w:rFonts w:ascii="Aptos" w:hAnsi="Aptos"/>
                <w:b w:val="0"/>
                <w:sz w:val="15"/>
              </w:rPr>
              <w:t>RDA-08</w:t>
            </w:r>
          </w:p>
        </w:tc>
        <w:tc>
          <w:tcPr>
            <w:tcW w:type="dxa" w:w="2448"/>
            <w:vAlign w:val="center"/>
          </w:tcPr>
          <w:p>
            <w:r/>
            <w:r>
              <w:rPr>
                <w:rFonts w:ascii="Aptos" w:hAnsi="Aptos"/>
                <w:b w:val="0"/>
                <w:sz w:val="15"/>
              </w:rPr>
              <w:t>Evidencias</w:t>
            </w:r>
          </w:p>
        </w:tc>
        <w:tc>
          <w:tcPr>
            <w:tcW w:type="dxa" w:w="6768"/>
            <w:vAlign w:val="center"/>
          </w:tcPr>
          <w:p>
            <w:r/>
            <w:r>
              <w:rPr>
                <w:rFonts w:ascii="Aptos" w:hAnsi="Aptos"/>
                <w:b w:val="0"/>
                <w:sz w:val="15"/>
              </w:rPr>
              <w:t>Asociar fotografías y documentos de respaldo a secciones, requisitos e indicadores.</w:t>
            </w:r>
          </w:p>
        </w:tc>
      </w:tr>
      <w:tr>
        <w:tc>
          <w:tcPr>
            <w:tcW w:type="dxa" w:w="1152"/>
            <w:vAlign w:val="center"/>
          </w:tcPr>
          <w:p>
            <w:r/>
            <w:r>
              <w:rPr>
                <w:rFonts w:ascii="Aptos" w:hAnsi="Aptos"/>
                <w:b w:val="0"/>
                <w:sz w:val="15"/>
              </w:rPr>
              <w:t>RDA-09</w:t>
            </w:r>
          </w:p>
        </w:tc>
        <w:tc>
          <w:tcPr>
            <w:tcW w:type="dxa" w:w="2448"/>
            <w:vAlign w:val="center"/>
          </w:tcPr>
          <w:p>
            <w:r/>
            <w:r>
              <w:rPr>
                <w:rFonts w:ascii="Aptos" w:hAnsi="Aptos"/>
                <w:b w:val="0"/>
                <w:sz w:val="15"/>
              </w:rPr>
              <w:t>Revisión</w:t>
            </w:r>
          </w:p>
        </w:tc>
        <w:tc>
          <w:tcPr>
            <w:tcW w:type="dxa" w:w="6768"/>
            <w:vAlign w:val="center"/>
          </w:tcPr>
          <w:p>
            <w:r/>
            <w:r>
              <w:rPr>
                <w:rFonts w:ascii="Aptos" w:hAnsi="Aptos"/>
                <w:b w:val="0"/>
                <w:sz w:val="15"/>
              </w:rPr>
              <w:t>Permitir prevención, subsanación y resolución con control de plazos.</w:t>
            </w:r>
          </w:p>
        </w:tc>
      </w:tr>
      <w:tr>
        <w:tc>
          <w:tcPr>
            <w:tcW w:type="dxa" w:w="1152"/>
            <w:vAlign w:val="center"/>
          </w:tcPr>
          <w:p>
            <w:r/>
            <w:r>
              <w:rPr>
                <w:rFonts w:ascii="Aptos" w:hAnsi="Aptos"/>
                <w:b w:val="0"/>
                <w:sz w:val="15"/>
              </w:rPr>
              <w:t>RDA-10</w:t>
            </w:r>
          </w:p>
        </w:tc>
        <w:tc>
          <w:tcPr>
            <w:tcW w:type="dxa" w:w="2448"/>
            <w:vAlign w:val="center"/>
          </w:tcPr>
          <w:p>
            <w:r/>
            <w:r>
              <w:rPr>
                <w:rFonts w:ascii="Aptos" w:hAnsi="Aptos"/>
                <w:b w:val="0"/>
                <w:sz w:val="15"/>
              </w:rPr>
              <w:t>Seguimiento anual</w:t>
            </w:r>
          </w:p>
        </w:tc>
        <w:tc>
          <w:tcPr>
            <w:tcW w:type="dxa" w:w="6768"/>
            <w:vAlign w:val="center"/>
          </w:tcPr>
          <w:p>
            <w:r/>
            <w:r>
              <w:rPr>
                <w:rFonts w:ascii="Aptos" w:hAnsi="Aptos"/>
                <w:b w:val="0"/>
                <w:sz w:val="15"/>
              </w:rPr>
              <w:t>Generar tareas/eventos para actualización anual durante la vigencia del certificado.</w:t>
            </w:r>
          </w:p>
        </w:tc>
      </w:tr>
      <w:tr>
        <w:tc>
          <w:tcPr>
            <w:tcW w:type="dxa" w:w="1152"/>
            <w:vAlign w:val="center"/>
          </w:tcPr>
          <w:p>
            <w:r/>
            <w:r>
              <w:rPr>
                <w:rFonts w:ascii="Aptos" w:hAnsi="Aptos"/>
                <w:b w:val="0"/>
                <w:sz w:val="15"/>
              </w:rPr>
              <w:t>RDA-11</w:t>
            </w:r>
          </w:p>
        </w:tc>
        <w:tc>
          <w:tcPr>
            <w:tcW w:type="dxa" w:w="2448"/>
            <w:vAlign w:val="center"/>
          </w:tcPr>
          <w:p>
            <w:r/>
            <w:r>
              <w:rPr>
                <w:rFonts w:ascii="Aptos" w:hAnsi="Aptos"/>
                <w:b w:val="0"/>
                <w:sz w:val="15"/>
              </w:rPr>
              <w:t>Control de vía RDA</w:t>
            </w:r>
          </w:p>
        </w:tc>
        <w:tc>
          <w:tcPr>
            <w:tcW w:type="dxa" w:w="6768"/>
            <w:vAlign w:val="center"/>
          </w:tcPr>
          <w:p>
            <w:r/>
            <w:r>
              <w:rPr>
                <w:rFonts w:ascii="Aptos" w:hAnsi="Aptos"/>
                <w:b w:val="0"/>
                <w:sz w:val="15"/>
              </w:rPr>
              <w:t>Registrar las condiciones que podrían hacer perder el derecho a la siguiente renovación por RDA.</w:t>
            </w:r>
          </w:p>
        </w:tc>
      </w:tr>
      <w:tr>
        <w:tc>
          <w:tcPr>
            <w:tcW w:type="dxa" w:w="1152"/>
            <w:vAlign w:val="center"/>
          </w:tcPr>
          <w:p>
            <w:r/>
            <w:r>
              <w:rPr>
                <w:rFonts w:ascii="Aptos" w:hAnsi="Aptos"/>
                <w:b w:val="0"/>
                <w:sz w:val="15"/>
              </w:rPr>
              <w:t>RDA-12</w:t>
            </w:r>
          </w:p>
        </w:tc>
        <w:tc>
          <w:tcPr>
            <w:tcW w:type="dxa" w:w="2448"/>
            <w:vAlign w:val="center"/>
          </w:tcPr>
          <w:p>
            <w:r/>
            <w:r>
              <w:rPr>
                <w:rFonts w:ascii="Aptos" w:hAnsi="Aptos"/>
                <w:b w:val="0"/>
                <w:sz w:val="15"/>
              </w:rPr>
              <w:t>Historial de renovaciones</w:t>
            </w:r>
          </w:p>
        </w:tc>
        <w:tc>
          <w:tcPr>
            <w:tcW w:type="dxa" w:w="6768"/>
            <w:vAlign w:val="center"/>
          </w:tcPr>
          <w:p>
            <w:r/>
            <w:r>
              <w:rPr>
                <w:rFonts w:ascii="Aptos" w:hAnsi="Aptos"/>
                <w:b w:val="0"/>
                <w:sz w:val="15"/>
              </w:rPr>
              <w:t>Controlar el número de renovaciones consecutivas por RDA y disparar la necesidad de diagnóstico cuando corresponda.</w:t>
            </w:r>
          </w:p>
        </w:tc>
      </w:tr>
    </w:tbl>
    <w:p/>
    <w:tbl>
      <w:tblPr>
        <w:tblStyle w:val="TableGrid"/>
        <w:tblW w:type="auto" w:w="0"/>
        <w:tblLook w:firstColumn="1" w:firstRow="1" w:lastColumn="0" w:lastRow="0" w:noHBand="0" w:noVBand="1" w:val="04A0"/>
      </w:tblPr>
      <w:tblGrid>
        <w:gridCol w:w="10224"/>
      </w:tblGrid>
      <w:tr>
        <w:tc>
          <w:tcPr>
            <w:tcW w:type="dxa" w:w="10224"/>
            <w:shd w:fill="F8F9F9"/>
          </w:tcPr>
          <w:p>
            <w:r>
              <w:rPr>
                <w:b/>
                <w:color w:val="1F4E79"/>
              </w:rPr>
              <w:t xml:space="preserve">Base normativa: </w:t>
            </w:r>
            <w:r>
              <w:t>La NMX-AA-163 indica, entre otros elementos, seis componentes del RDA y exige indicadores específicos y particulares, conclusiones de comportamiento y evidencia documental/fotográfica. La norma también señala la actualización anual de indicadores durante la vigencia.</w:t>
            </w:r>
          </w:p>
        </w:tc>
      </w:tr>
    </w:tbl>
    <w:p/>
    <w:p>
      <w:r>
        <w:br w:type="page"/>
      </w:r>
    </w:p>
    <w:p>
      <w:pPr>
        <w:pStyle w:val="Heading1"/>
      </w:pPr>
      <w:r>
        <w:t>8. Reglas de negocio principales</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1F4E79"/>
          </w:tcPr>
          <w:p>
            <w:r/>
            <w:r>
              <w:rPr>
                <w:rFonts w:ascii="Aptos" w:hAnsi="Aptos"/>
                <w:b/>
                <w:color w:val="FFFFFF"/>
                <w:sz w:val="15"/>
              </w:rPr>
              <w:t>ID</w:t>
            </w:r>
          </w:p>
        </w:tc>
        <w:tc>
          <w:tcPr>
            <w:tcW w:type="dxa" w:w="2160"/>
            <w:vAlign w:val="center"/>
            <w:shd w:fill="1F4E79"/>
          </w:tcPr>
          <w:p>
            <w:r/>
            <w:r>
              <w:rPr>
                <w:rFonts w:ascii="Aptos" w:hAnsi="Aptos"/>
                <w:b/>
                <w:color w:val="FFFFFF"/>
                <w:sz w:val="15"/>
              </w:rPr>
              <w:t>Regla</w:t>
            </w:r>
          </w:p>
        </w:tc>
        <w:tc>
          <w:tcPr>
            <w:tcW w:type="dxa" w:w="7056"/>
            <w:vAlign w:val="center"/>
            <w:shd w:fill="1F4E79"/>
          </w:tcPr>
          <w:p>
            <w:r/>
            <w:r>
              <w:rPr>
                <w:rFonts w:ascii="Aptos" w:hAnsi="Aptos"/>
                <w:b/>
                <w:color w:val="FFFFFF"/>
                <w:sz w:val="15"/>
              </w:rPr>
              <w:t>Descripción</w:t>
            </w:r>
          </w:p>
        </w:tc>
      </w:tr>
      <w:tr>
        <w:tc>
          <w:tcPr>
            <w:tcW w:type="dxa" w:w="1152"/>
            <w:vAlign w:val="center"/>
          </w:tcPr>
          <w:p>
            <w:r/>
            <w:r>
              <w:rPr>
                <w:rFonts w:ascii="Aptos" w:hAnsi="Aptos"/>
                <w:b w:val="0"/>
                <w:sz w:val="15"/>
              </w:rPr>
              <w:t>RN-001</w:t>
            </w:r>
          </w:p>
        </w:tc>
        <w:tc>
          <w:tcPr>
            <w:tcW w:type="dxa" w:w="2160"/>
            <w:vAlign w:val="center"/>
          </w:tcPr>
          <w:p>
            <w:r/>
            <w:r>
              <w:rPr>
                <w:rFonts w:ascii="Aptos" w:hAnsi="Aptos"/>
                <w:b w:val="0"/>
                <w:sz w:val="15"/>
              </w:rPr>
              <w:t>No avanzar</w:t>
            </w:r>
          </w:p>
        </w:tc>
        <w:tc>
          <w:tcPr>
            <w:tcW w:type="dxa" w:w="7056"/>
            <w:vAlign w:val="center"/>
          </w:tcPr>
          <w:p>
            <w:r/>
            <w:r>
              <w:rPr>
                <w:rFonts w:ascii="Aptos" w:hAnsi="Aptos"/>
                <w:b w:val="0"/>
                <w:sz w:val="15"/>
              </w:rPr>
              <w:t>No permitir avance cuando falten datos o documentos obligatorios.</w:t>
            </w:r>
          </w:p>
        </w:tc>
      </w:tr>
      <w:tr>
        <w:tc>
          <w:tcPr>
            <w:tcW w:type="dxa" w:w="1152"/>
            <w:vAlign w:val="center"/>
          </w:tcPr>
          <w:p>
            <w:r/>
            <w:r>
              <w:rPr>
                <w:rFonts w:ascii="Aptos" w:hAnsi="Aptos"/>
                <w:b w:val="0"/>
                <w:sz w:val="15"/>
              </w:rPr>
              <w:t>RN-002</w:t>
            </w:r>
          </w:p>
        </w:tc>
        <w:tc>
          <w:tcPr>
            <w:tcW w:type="dxa" w:w="2160"/>
            <w:vAlign w:val="center"/>
          </w:tcPr>
          <w:p>
            <w:r/>
            <w:r>
              <w:rPr>
                <w:rFonts w:ascii="Aptos" w:hAnsi="Aptos"/>
                <w:b w:val="0"/>
                <w:sz w:val="15"/>
              </w:rPr>
              <w:t>Perfil</w:t>
            </w:r>
          </w:p>
        </w:tc>
        <w:tc>
          <w:tcPr>
            <w:tcW w:type="dxa" w:w="7056"/>
            <w:vAlign w:val="center"/>
          </w:tcPr>
          <w:p>
            <w:r/>
            <w:r>
              <w:rPr>
                <w:rFonts w:ascii="Aptos" w:hAnsi="Aptos"/>
                <w:b w:val="0"/>
                <w:sz w:val="15"/>
              </w:rPr>
              <w:t>El perfil del usuario determina el flujo y los datos requeridos.</w:t>
            </w:r>
          </w:p>
        </w:tc>
      </w:tr>
      <w:tr>
        <w:tc>
          <w:tcPr>
            <w:tcW w:type="dxa" w:w="1152"/>
            <w:vAlign w:val="center"/>
          </w:tcPr>
          <w:p>
            <w:r/>
            <w:r>
              <w:rPr>
                <w:rFonts w:ascii="Aptos" w:hAnsi="Aptos"/>
                <w:b w:val="0"/>
                <w:sz w:val="15"/>
              </w:rPr>
              <w:t>RN-003</w:t>
            </w:r>
          </w:p>
        </w:tc>
        <w:tc>
          <w:tcPr>
            <w:tcW w:type="dxa" w:w="2160"/>
            <w:vAlign w:val="center"/>
          </w:tcPr>
          <w:p>
            <w:r/>
            <w:r>
              <w:rPr>
                <w:rFonts w:ascii="Aptos" w:hAnsi="Aptos"/>
                <w:b w:val="0"/>
                <w:sz w:val="15"/>
              </w:rPr>
              <w:t>Auditor aprobado</w:t>
            </w:r>
          </w:p>
        </w:tc>
        <w:tc>
          <w:tcPr>
            <w:tcW w:type="dxa" w:w="7056"/>
            <w:vAlign w:val="center"/>
          </w:tcPr>
          <w:p>
            <w:r/>
            <w:r>
              <w:rPr>
                <w:rFonts w:ascii="Aptos" w:hAnsi="Aptos"/>
                <w:b w:val="0"/>
                <w:sz w:val="15"/>
              </w:rPr>
              <w:t>La selección/participación de un Auditor debe validar su acreditación/aprobación y vigencia.</w:t>
            </w:r>
          </w:p>
        </w:tc>
      </w:tr>
      <w:tr>
        <w:tc>
          <w:tcPr>
            <w:tcW w:type="dxa" w:w="1152"/>
            <w:vAlign w:val="center"/>
          </w:tcPr>
          <w:p>
            <w:r/>
            <w:r>
              <w:rPr>
                <w:rFonts w:ascii="Aptos" w:hAnsi="Aptos"/>
                <w:b w:val="0"/>
                <w:sz w:val="15"/>
              </w:rPr>
              <w:t>RN-004</w:t>
            </w:r>
          </w:p>
        </w:tc>
        <w:tc>
          <w:tcPr>
            <w:tcW w:type="dxa" w:w="2160"/>
            <w:vAlign w:val="center"/>
          </w:tcPr>
          <w:p>
            <w:r/>
            <w:r>
              <w:rPr>
                <w:rFonts w:ascii="Aptos" w:hAnsi="Aptos"/>
                <w:b w:val="0"/>
                <w:sz w:val="15"/>
              </w:rPr>
              <w:t>Vigencia certificado</w:t>
            </w:r>
          </w:p>
        </w:tc>
        <w:tc>
          <w:tcPr>
            <w:tcW w:type="dxa" w:w="7056"/>
            <w:vAlign w:val="center"/>
          </w:tcPr>
          <w:p>
            <w:r/>
            <w:r>
              <w:rPr>
                <w:rFonts w:ascii="Aptos" w:hAnsi="Aptos"/>
                <w:b w:val="0"/>
                <w:sz w:val="15"/>
              </w:rPr>
              <w:t>Las operaciones de renovación deben considerar la fecha de vencimiento y los plazos aplicables.</w:t>
            </w:r>
          </w:p>
        </w:tc>
      </w:tr>
      <w:tr>
        <w:tc>
          <w:tcPr>
            <w:tcW w:type="dxa" w:w="1152"/>
            <w:vAlign w:val="center"/>
          </w:tcPr>
          <w:p>
            <w:r/>
            <w:r>
              <w:rPr>
                <w:rFonts w:ascii="Aptos" w:hAnsi="Aptos"/>
                <w:b w:val="0"/>
                <w:sz w:val="15"/>
              </w:rPr>
              <w:t>RN-005</w:t>
            </w:r>
          </w:p>
        </w:tc>
        <w:tc>
          <w:tcPr>
            <w:tcW w:type="dxa" w:w="2160"/>
            <w:vAlign w:val="center"/>
          </w:tcPr>
          <w:p>
            <w:r/>
            <w:r>
              <w:rPr>
                <w:rFonts w:ascii="Aptos" w:hAnsi="Aptos"/>
                <w:b w:val="0"/>
                <w:sz w:val="15"/>
              </w:rPr>
              <w:t>Prevención</w:t>
            </w:r>
          </w:p>
        </w:tc>
        <w:tc>
          <w:tcPr>
            <w:tcW w:type="dxa" w:w="7056"/>
            <w:vAlign w:val="center"/>
          </w:tcPr>
          <w:p>
            <w:r/>
            <w:r>
              <w:rPr>
                <w:rFonts w:ascii="Aptos" w:hAnsi="Aptos"/>
                <w:b w:val="0"/>
                <w:sz w:val="15"/>
              </w:rPr>
              <w:t>Una prevención debe generar estado, fecha de notificación, plazo, respuesta y resolución.</w:t>
            </w:r>
          </w:p>
        </w:tc>
      </w:tr>
      <w:tr>
        <w:tc>
          <w:tcPr>
            <w:tcW w:type="dxa" w:w="1152"/>
            <w:vAlign w:val="center"/>
          </w:tcPr>
          <w:p>
            <w:r/>
            <w:r>
              <w:rPr>
                <w:rFonts w:ascii="Aptos" w:hAnsi="Aptos"/>
                <w:b w:val="0"/>
                <w:sz w:val="15"/>
              </w:rPr>
              <w:t>RN-006</w:t>
            </w:r>
          </w:p>
        </w:tc>
        <w:tc>
          <w:tcPr>
            <w:tcW w:type="dxa" w:w="2160"/>
            <w:vAlign w:val="center"/>
          </w:tcPr>
          <w:p>
            <w:r/>
            <w:r>
              <w:rPr>
                <w:rFonts w:ascii="Aptos" w:hAnsi="Aptos"/>
                <w:b w:val="0"/>
                <w:sz w:val="15"/>
              </w:rPr>
              <w:t>Días hábiles</w:t>
            </w:r>
          </w:p>
        </w:tc>
        <w:tc>
          <w:tcPr>
            <w:tcW w:type="dxa" w:w="7056"/>
            <w:vAlign w:val="center"/>
          </w:tcPr>
          <w:p>
            <w:r/>
            <w:r>
              <w:rPr>
                <w:rFonts w:ascii="Aptos" w:hAnsi="Aptos"/>
                <w:b w:val="0"/>
                <w:sz w:val="15"/>
              </w:rPr>
              <w:t>Los plazos regulatorios deben calcularse con calendario configurable y excepciones institucionales.</w:t>
            </w:r>
          </w:p>
        </w:tc>
      </w:tr>
      <w:tr>
        <w:tc>
          <w:tcPr>
            <w:tcW w:type="dxa" w:w="1152"/>
            <w:vAlign w:val="center"/>
          </w:tcPr>
          <w:p>
            <w:r/>
            <w:r>
              <w:rPr>
                <w:rFonts w:ascii="Aptos" w:hAnsi="Aptos"/>
                <w:b w:val="0"/>
                <w:sz w:val="15"/>
              </w:rPr>
              <w:t>RN-007</w:t>
            </w:r>
          </w:p>
        </w:tc>
        <w:tc>
          <w:tcPr>
            <w:tcW w:type="dxa" w:w="2160"/>
            <w:vAlign w:val="center"/>
          </w:tcPr>
          <w:p>
            <w:r/>
            <w:r>
              <w:rPr>
                <w:rFonts w:ascii="Aptos" w:hAnsi="Aptos"/>
                <w:b w:val="0"/>
                <w:sz w:val="15"/>
              </w:rPr>
              <w:t>RDA elegible</w:t>
            </w:r>
          </w:p>
        </w:tc>
        <w:tc>
          <w:tcPr>
            <w:tcW w:type="dxa" w:w="7056"/>
            <w:vAlign w:val="center"/>
          </w:tcPr>
          <w:p>
            <w:r/>
            <w:r>
              <w:rPr>
                <w:rFonts w:ascii="Aptos" w:hAnsi="Aptos"/>
                <w:b w:val="0"/>
                <w:sz w:val="15"/>
              </w:rPr>
              <w:t>La vía RDA requiere máximo nivel de desempeño y demás condiciones normativas.</w:t>
            </w:r>
          </w:p>
        </w:tc>
      </w:tr>
      <w:tr>
        <w:tc>
          <w:tcPr>
            <w:tcW w:type="dxa" w:w="1152"/>
            <w:vAlign w:val="center"/>
          </w:tcPr>
          <w:p>
            <w:r/>
            <w:r>
              <w:rPr>
                <w:rFonts w:ascii="Aptos" w:hAnsi="Aptos"/>
                <w:b w:val="0"/>
                <w:sz w:val="15"/>
              </w:rPr>
              <w:t>RN-008</w:t>
            </w:r>
          </w:p>
        </w:tc>
        <w:tc>
          <w:tcPr>
            <w:tcW w:type="dxa" w:w="2160"/>
            <w:vAlign w:val="center"/>
          </w:tcPr>
          <w:p>
            <w:r/>
            <w:r>
              <w:rPr>
                <w:rFonts w:ascii="Aptos" w:hAnsi="Aptos"/>
                <w:b w:val="0"/>
                <w:sz w:val="15"/>
              </w:rPr>
              <w:t>Indicadores anuales</w:t>
            </w:r>
          </w:p>
        </w:tc>
        <w:tc>
          <w:tcPr>
            <w:tcW w:type="dxa" w:w="7056"/>
            <w:vAlign w:val="center"/>
          </w:tcPr>
          <w:p>
            <w:r/>
            <w:r>
              <w:rPr>
                <w:rFonts w:ascii="Aptos" w:hAnsi="Aptos"/>
                <w:b w:val="0"/>
                <w:sz w:val="15"/>
              </w:rPr>
              <w:t>Durante la vigencia de un certificado por RDA debe controlarse la entrega anual de indicadores.</w:t>
            </w:r>
          </w:p>
        </w:tc>
      </w:tr>
      <w:tr>
        <w:tc>
          <w:tcPr>
            <w:tcW w:type="dxa" w:w="1152"/>
            <w:vAlign w:val="center"/>
          </w:tcPr>
          <w:p>
            <w:r/>
            <w:r>
              <w:rPr>
                <w:rFonts w:ascii="Aptos" w:hAnsi="Aptos"/>
                <w:b w:val="0"/>
                <w:sz w:val="15"/>
              </w:rPr>
              <w:t>RN-009</w:t>
            </w:r>
          </w:p>
        </w:tc>
        <w:tc>
          <w:tcPr>
            <w:tcW w:type="dxa" w:w="2160"/>
            <w:vAlign w:val="center"/>
          </w:tcPr>
          <w:p>
            <w:r/>
            <w:r>
              <w:rPr>
                <w:rFonts w:ascii="Aptos" w:hAnsi="Aptos"/>
                <w:b w:val="0"/>
                <w:sz w:val="15"/>
              </w:rPr>
              <w:t>Pérdida de vía RDA</w:t>
            </w:r>
          </w:p>
        </w:tc>
        <w:tc>
          <w:tcPr>
            <w:tcW w:type="dxa" w:w="7056"/>
            <w:vAlign w:val="center"/>
          </w:tcPr>
          <w:p>
            <w:r/>
            <w:r>
              <w:rPr>
                <w:rFonts w:ascii="Aptos" w:hAnsi="Aptos"/>
                <w:b w:val="0"/>
                <w:sz w:val="15"/>
              </w:rPr>
              <w:t>Incumplimientos o medidas de urgente aplicación pueden cambiar la vía de renovación y generar necesidad de diagnóstico.</w:t>
            </w:r>
          </w:p>
        </w:tc>
      </w:tr>
      <w:tr>
        <w:tc>
          <w:tcPr>
            <w:tcW w:type="dxa" w:w="1152"/>
            <w:vAlign w:val="center"/>
          </w:tcPr>
          <w:p>
            <w:r/>
            <w:r>
              <w:rPr>
                <w:rFonts w:ascii="Aptos" w:hAnsi="Aptos"/>
                <w:b w:val="0"/>
                <w:sz w:val="15"/>
              </w:rPr>
              <w:t>RN-010</w:t>
            </w:r>
          </w:p>
        </w:tc>
        <w:tc>
          <w:tcPr>
            <w:tcW w:type="dxa" w:w="2160"/>
            <w:vAlign w:val="center"/>
          </w:tcPr>
          <w:p>
            <w:r/>
            <w:r>
              <w:rPr>
                <w:rFonts w:ascii="Aptos" w:hAnsi="Aptos"/>
                <w:b w:val="0"/>
                <w:sz w:val="15"/>
              </w:rPr>
              <w:t>No conformidad</w:t>
            </w:r>
          </w:p>
        </w:tc>
        <w:tc>
          <w:tcPr>
            <w:tcW w:type="dxa" w:w="7056"/>
            <w:vAlign w:val="center"/>
          </w:tcPr>
          <w:p>
            <w:r/>
            <w:r>
              <w:rPr>
                <w:rFonts w:ascii="Aptos" w:hAnsi="Aptos"/>
                <w:b w:val="0"/>
                <w:sz w:val="15"/>
              </w:rPr>
              <w:t>Una no conformidad debe quedar asociada a materia, requisito/parámetro, evidencia y, en su caso, acción.</w:t>
            </w:r>
          </w:p>
        </w:tc>
      </w:tr>
      <w:tr>
        <w:tc>
          <w:tcPr>
            <w:tcW w:type="dxa" w:w="1152"/>
            <w:vAlign w:val="center"/>
          </w:tcPr>
          <w:p>
            <w:r/>
            <w:r>
              <w:rPr>
                <w:rFonts w:ascii="Aptos" w:hAnsi="Aptos"/>
                <w:b w:val="0"/>
                <w:sz w:val="15"/>
              </w:rPr>
              <w:t>RN-011</w:t>
            </w:r>
          </w:p>
        </w:tc>
        <w:tc>
          <w:tcPr>
            <w:tcW w:type="dxa" w:w="2160"/>
            <w:vAlign w:val="center"/>
          </w:tcPr>
          <w:p>
            <w:r/>
            <w:r>
              <w:rPr>
                <w:rFonts w:ascii="Aptos" w:hAnsi="Aptos"/>
                <w:b w:val="0"/>
                <w:sz w:val="15"/>
              </w:rPr>
              <w:t>Plan de Acción</w:t>
            </w:r>
          </w:p>
        </w:tc>
        <w:tc>
          <w:tcPr>
            <w:tcW w:type="dxa" w:w="7056"/>
            <w:vAlign w:val="center"/>
          </w:tcPr>
          <w:p>
            <w:r/>
            <w:r>
              <w:rPr>
                <w:rFonts w:ascii="Aptos" w:hAnsi="Aptos"/>
                <w:b w:val="0"/>
                <w:sz w:val="15"/>
              </w:rPr>
              <w:t>Cada acción debe tener responsable, plazo, prioridad, tipo, evidencia y estado.</w:t>
            </w:r>
          </w:p>
        </w:tc>
      </w:tr>
      <w:tr>
        <w:tc>
          <w:tcPr>
            <w:tcW w:type="dxa" w:w="1152"/>
            <w:vAlign w:val="center"/>
          </w:tcPr>
          <w:p>
            <w:r/>
            <w:r>
              <w:rPr>
                <w:rFonts w:ascii="Aptos" w:hAnsi="Aptos"/>
                <w:b w:val="0"/>
                <w:sz w:val="15"/>
              </w:rPr>
              <w:t>RN-012</w:t>
            </w:r>
          </w:p>
        </w:tc>
        <w:tc>
          <w:tcPr>
            <w:tcW w:type="dxa" w:w="2160"/>
            <w:vAlign w:val="center"/>
          </w:tcPr>
          <w:p>
            <w:r/>
            <w:r>
              <w:rPr>
                <w:rFonts w:ascii="Aptos" w:hAnsi="Aptos"/>
                <w:b w:val="0"/>
                <w:sz w:val="15"/>
              </w:rPr>
              <w:t>Integración</w:t>
            </w:r>
          </w:p>
        </w:tc>
        <w:tc>
          <w:tcPr>
            <w:tcW w:type="dxa" w:w="7056"/>
            <w:vAlign w:val="center"/>
          </w:tcPr>
          <w:p>
            <w:r/>
            <w:r>
              <w:rPr>
                <w:rFonts w:ascii="Aptos" w:hAnsi="Aptos"/>
                <w:b w:val="0"/>
                <w:sz w:val="15"/>
              </w:rPr>
              <w:t>Toda consulta externa debe guardar fuente, fecha/hora, resultado y, cuando aplique, identificador de transacción.</w:t>
            </w:r>
          </w:p>
        </w:tc>
      </w:tr>
      <w:tr>
        <w:tc>
          <w:tcPr>
            <w:tcW w:type="dxa" w:w="1152"/>
            <w:vAlign w:val="center"/>
          </w:tcPr>
          <w:p>
            <w:r/>
            <w:r>
              <w:rPr>
                <w:rFonts w:ascii="Aptos" w:hAnsi="Aptos"/>
                <w:b w:val="0"/>
                <w:sz w:val="15"/>
              </w:rPr>
              <w:t>RN-013</w:t>
            </w:r>
          </w:p>
        </w:tc>
        <w:tc>
          <w:tcPr>
            <w:tcW w:type="dxa" w:w="2160"/>
            <w:vAlign w:val="center"/>
          </w:tcPr>
          <w:p>
            <w:r/>
            <w:r>
              <w:rPr>
                <w:rFonts w:ascii="Aptos" w:hAnsi="Aptos"/>
                <w:b w:val="0"/>
                <w:sz w:val="15"/>
              </w:rPr>
              <w:t>Documento</w:t>
            </w:r>
          </w:p>
        </w:tc>
        <w:tc>
          <w:tcPr>
            <w:tcW w:type="dxa" w:w="7056"/>
            <w:vAlign w:val="center"/>
          </w:tcPr>
          <w:p>
            <w:r/>
            <w:r>
              <w:rPr>
                <w:rFonts w:ascii="Aptos" w:hAnsi="Aptos"/>
                <w:b w:val="0"/>
                <w:sz w:val="15"/>
              </w:rPr>
              <w:t>Los documentos deben conservar metadatos, versión y relación con el requisito o actuación que respaldan.</w:t>
            </w:r>
          </w:p>
        </w:tc>
      </w:tr>
      <w:tr>
        <w:tc>
          <w:tcPr>
            <w:tcW w:type="dxa" w:w="1152"/>
            <w:vAlign w:val="center"/>
          </w:tcPr>
          <w:p>
            <w:r/>
            <w:r>
              <w:rPr>
                <w:rFonts w:ascii="Aptos" w:hAnsi="Aptos"/>
                <w:b w:val="0"/>
                <w:sz w:val="15"/>
              </w:rPr>
              <w:t>RN-014</w:t>
            </w:r>
          </w:p>
        </w:tc>
        <w:tc>
          <w:tcPr>
            <w:tcW w:type="dxa" w:w="2160"/>
            <w:vAlign w:val="center"/>
          </w:tcPr>
          <w:p>
            <w:r/>
            <w:r>
              <w:rPr>
                <w:rFonts w:ascii="Aptos" w:hAnsi="Aptos"/>
                <w:b w:val="0"/>
                <w:sz w:val="15"/>
              </w:rPr>
              <w:t>Auditoría</w:t>
            </w:r>
          </w:p>
        </w:tc>
        <w:tc>
          <w:tcPr>
            <w:tcW w:type="dxa" w:w="7056"/>
            <w:vAlign w:val="center"/>
          </w:tcPr>
          <w:p>
            <w:r/>
            <w:r>
              <w:rPr>
                <w:rFonts w:ascii="Aptos" w:hAnsi="Aptos"/>
                <w:b w:val="0"/>
                <w:sz w:val="15"/>
              </w:rPr>
              <w:t>Las acciones críticas deben generar eventos de bitácora no editables por usuarios operativos.</w:t>
            </w:r>
          </w:p>
        </w:tc>
      </w:tr>
      <w:tr>
        <w:tc>
          <w:tcPr>
            <w:tcW w:type="dxa" w:w="1152"/>
            <w:vAlign w:val="center"/>
          </w:tcPr>
          <w:p>
            <w:r/>
            <w:r>
              <w:rPr>
                <w:rFonts w:ascii="Aptos" w:hAnsi="Aptos"/>
                <w:b w:val="0"/>
                <w:sz w:val="15"/>
              </w:rPr>
              <w:t>RN-015</w:t>
            </w:r>
          </w:p>
        </w:tc>
        <w:tc>
          <w:tcPr>
            <w:tcW w:type="dxa" w:w="2160"/>
            <w:vAlign w:val="center"/>
          </w:tcPr>
          <w:p>
            <w:r/>
            <w:r>
              <w:rPr>
                <w:rFonts w:ascii="Aptos" w:hAnsi="Aptos"/>
                <w:b w:val="0"/>
                <w:sz w:val="15"/>
              </w:rPr>
              <w:t>Solo lectura</w:t>
            </w:r>
          </w:p>
        </w:tc>
        <w:tc>
          <w:tcPr>
            <w:tcW w:type="dxa" w:w="7056"/>
            <w:vAlign w:val="center"/>
          </w:tcPr>
          <w:p>
            <w:r/>
            <w:r>
              <w:rPr>
                <w:rFonts w:ascii="Aptos" w:hAnsi="Aptos"/>
                <w:b w:val="0"/>
                <w:sz w:val="15"/>
              </w:rPr>
              <w:t>Los usuarios de supervisión/auditoría deben poder consultar sin modificar información.</w:t>
            </w:r>
          </w:p>
        </w:tc>
      </w:tr>
      <w:tr>
        <w:tc>
          <w:tcPr>
            <w:tcW w:type="dxa" w:w="1152"/>
            <w:vAlign w:val="center"/>
          </w:tcPr>
          <w:p>
            <w:r/>
            <w:r>
              <w:rPr>
                <w:rFonts w:ascii="Aptos" w:hAnsi="Aptos"/>
                <w:b w:val="0"/>
                <w:sz w:val="15"/>
              </w:rPr>
              <w:t>RN-016</w:t>
            </w:r>
          </w:p>
        </w:tc>
        <w:tc>
          <w:tcPr>
            <w:tcW w:type="dxa" w:w="2160"/>
            <w:vAlign w:val="center"/>
          </w:tcPr>
          <w:p>
            <w:r/>
            <w:r>
              <w:rPr>
                <w:rFonts w:ascii="Aptos" w:hAnsi="Aptos"/>
                <w:b w:val="0"/>
                <w:sz w:val="15"/>
              </w:rPr>
              <w:t>Excepciones</w:t>
            </w:r>
          </w:p>
        </w:tc>
        <w:tc>
          <w:tcPr>
            <w:tcW w:type="dxa" w:w="7056"/>
            <w:vAlign w:val="center"/>
          </w:tcPr>
          <w:p>
            <w:r/>
            <w:r>
              <w:rPr>
                <w:rFonts w:ascii="Aptos" w:hAnsi="Aptos"/>
                <w:b w:val="0"/>
                <w:sz w:val="15"/>
              </w:rPr>
              <w:t>Toda excepción debe registrar causa, justificación, responsable y autorización cuando corresponda.</w:t>
            </w:r>
          </w:p>
        </w:tc>
      </w:tr>
      <w:tr>
        <w:tc>
          <w:tcPr>
            <w:tcW w:type="dxa" w:w="1152"/>
            <w:vAlign w:val="center"/>
          </w:tcPr>
          <w:p>
            <w:r/>
            <w:r>
              <w:rPr>
                <w:rFonts w:ascii="Aptos" w:hAnsi="Aptos"/>
                <w:b w:val="0"/>
                <w:sz w:val="15"/>
              </w:rPr>
              <w:t>RN-017</w:t>
            </w:r>
          </w:p>
        </w:tc>
        <w:tc>
          <w:tcPr>
            <w:tcW w:type="dxa" w:w="2160"/>
            <w:vAlign w:val="center"/>
          </w:tcPr>
          <w:p>
            <w:r/>
            <w:r>
              <w:rPr>
                <w:rFonts w:ascii="Aptos" w:hAnsi="Aptos"/>
                <w:b w:val="0"/>
                <w:sz w:val="15"/>
              </w:rPr>
              <w:t>Instalación</w:t>
            </w:r>
          </w:p>
        </w:tc>
        <w:tc>
          <w:tcPr>
            <w:tcW w:type="dxa" w:w="7056"/>
            <w:vAlign w:val="center"/>
          </w:tcPr>
          <w:p>
            <w:r/>
            <w:r>
              <w:rPr>
                <w:rFonts w:ascii="Aptos" w:hAnsi="Aptos"/>
                <w:b w:val="0"/>
                <w:sz w:val="15"/>
              </w:rPr>
              <w:t>Los datos de instalación deben ser independientes de la persona/empresa cuando el proceso lo requiera, permitiendo relaciones históricas.</w:t>
            </w:r>
          </w:p>
        </w:tc>
      </w:tr>
      <w:tr>
        <w:tc>
          <w:tcPr>
            <w:tcW w:type="dxa" w:w="1152"/>
            <w:vAlign w:val="center"/>
          </w:tcPr>
          <w:p>
            <w:r/>
            <w:r>
              <w:rPr>
                <w:rFonts w:ascii="Aptos" w:hAnsi="Aptos"/>
                <w:b w:val="0"/>
                <w:sz w:val="15"/>
              </w:rPr>
              <w:t>RN-018</w:t>
            </w:r>
          </w:p>
        </w:tc>
        <w:tc>
          <w:tcPr>
            <w:tcW w:type="dxa" w:w="2160"/>
            <w:vAlign w:val="center"/>
          </w:tcPr>
          <w:p>
            <w:r/>
            <w:r>
              <w:rPr>
                <w:rFonts w:ascii="Aptos" w:hAnsi="Aptos"/>
                <w:b w:val="0"/>
                <w:sz w:val="15"/>
              </w:rPr>
              <w:t>Parametrización</w:t>
            </w:r>
          </w:p>
        </w:tc>
        <w:tc>
          <w:tcPr>
            <w:tcW w:type="dxa" w:w="7056"/>
            <w:vAlign w:val="center"/>
          </w:tcPr>
          <w:p>
            <w:r/>
            <w:r>
              <w:rPr>
                <w:rFonts w:ascii="Aptos" w:hAnsi="Aptos"/>
                <w:b w:val="0"/>
                <w:sz w:val="15"/>
              </w:rPr>
              <w:t>Plazos, catálogos, textos de notificación y reglas cambiantes deben ser parametrizables cuando sea viable.</w:t>
            </w:r>
          </w:p>
        </w:tc>
      </w:tr>
    </w:tbl>
    <w:p/>
    <w:p>
      <w:r>
        <w:br w:type="page"/>
      </w:r>
    </w:p>
    <w:p>
      <w:pPr>
        <w:pStyle w:val="Heading1"/>
      </w:pPr>
      <w:r>
        <w:t>9. Requerimientos no funcionales</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1F4E79"/>
          </w:tcPr>
          <w:p>
            <w:r/>
            <w:r>
              <w:rPr>
                <w:rFonts w:ascii="Aptos" w:hAnsi="Aptos"/>
                <w:b/>
                <w:color w:val="FFFFFF"/>
                <w:sz w:val="15"/>
              </w:rPr>
              <w:t>ID</w:t>
            </w:r>
          </w:p>
        </w:tc>
        <w:tc>
          <w:tcPr>
            <w:tcW w:type="dxa" w:w="2160"/>
            <w:vAlign w:val="center"/>
            <w:shd w:fill="1F4E79"/>
          </w:tcPr>
          <w:p>
            <w:r/>
            <w:r>
              <w:rPr>
                <w:rFonts w:ascii="Aptos" w:hAnsi="Aptos"/>
                <w:b/>
                <w:color w:val="FFFFFF"/>
                <w:sz w:val="15"/>
              </w:rPr>
              <w:t>Categoría</w:t>
            </w:r>
          </w:p>
        </w:tc>
        <w:tc>
          <w:tcPr>
            <w:tcW w:type="dxa" w:w="7056"/>
            <w:vAlign w:val="center"/>
            <w:shd w:fill="1F4E79"/>
          </w:tcPr>
          <w:p>
            <w:r/>
            <w:r>
              <w:rPr>
                <w:rFonts w:ascii="Aptos" w:hAnsi="Aptos"/>
                <w:b/>
                <w:color w:val="FFFFFF"/>
                <w:sz w:val="15"/>
              </w:rPr>
              <w:t>Requisito</w:t>
            </w:r>
          </w:p>
        </w:tc>
      </w:tr>
      <w:tr>
        <w:tc>
          <w:tcPr>
            <w:tcW w:type="dxa" w:w="1152"/>
            <w:vAlign w:val="center"/>
          </w:tcPr>
          <w:p>
            <w:r/>
            <w:r>
              <w:rPr>
                <w:rFonts w:ascii="Aptos" w:hAnsi="Aptos"/>
                <w:b w:val="0"/>
                <w:sz w:val="15"/>
              </w:rPr>
              <w:t>NFR-01</w:t>
            </w:r>
          </w:p>
        </w:tc>
        <w:tc>
          <w:tcPr>
            <w:tcW w:type="dxa" w:w="2160"/>
            <w:vAlign w:val="center"/>
          </w:tcPr>
          <w:p>
            <w:r/>
            <w:r>
              <w:rPr>
                <w:rFonts w:ascii="Aptos" w:hAnsi="Aptos"/>
                <w:b w:val="0"/>
                <w:sz w:val="15"/>
              </w:rPr>
              <w:t>Seguridad</w:t>
            </w:r>
          </w:p>
        </w:tc>
        <w:tc>
          <w:tcPr>
            <w:tcW w:type="dxa" w:w="7056"/>
            <w:vAlign w:val="center"/>
          </w:tcPr>
          <w:p>
            <w:r/>
            <w:r>
              <w:rPr>
                <w:rFonts w:ascii="Aptos" w:hAnsi="Aptos"/>
                <w:b w:val="0"/>
                <w:sz w:val="15"/>
              </w:rPr>
              <w:t>Autenticación robusta, control de sesiones, autorización por rol/permiso y protección de información sensible.</w:t>
            </w:r>
          </w:p>
        </w:tc>
      </w:tr>
      <w:tr>
        <w:tc>
          <w:tcPr>
            <w:tcW w:type="dxa" w:w="1152"/>
            <w:vAlign w:val="center"/>
          </w:tcPr>
          <w:p>
            <w:r/>
            <w:r>
              <w:rPr>
                <w:rFonts w:ascii="Aptos" w:hAnsi="Aptos"/>
                <w:b w:val="0"/>
                <w:sz w:val="15"/>
              </w:rPr>
              <w:t>NFR-02</w:t>
            </w:r>
          </w:p>
        </w:tc>
        <w:tc>
          <w:tcPr>
            <w:tcW w:type="dxa" w:w="2160"/>
            <w:vAlign w:val="center"/>
          </w:tcPr>
          <w:p>
            <w:r/>
            <w:r>
              <w:rPr>
                <w:rFonts w:ascii="Aptos" w:hAnsi="Aptos"/>
                <w:b w:val="0"/>
                <w:sz w:val="15"/>
              </w:rPr>
              <w:t>Trazabilidad</w:t>
            </w:r>
          </w:p>
        </w:tc>
        <w:tc>
          <w:tcPr>
            <w:tcW w:type="dxa" w:w="7056"/>
            <w:vAlign w:val="center"/>
          </w:tcPr>
          <w:p>
            <w:r/>
            <w:r>
              <w:rPr>
                <w:rFonts w:ascii="Aptos" w:hAnsi="Aptos"/>
                <w:b w:val="0"/>
                <w:sz w:val="15"/>
              </w:rPr>
              <w:t>Toda operación crítica debe quedar registrada con usuario, fecha/hora, objeto, acción y resultado.</w:t>
            </w:r>
          </w:p>
        </w:tc>
      </w:tr>
      <w:tr>
        <w:tc>
          <w:tcPr>
            <w:tcW w:type="dxa" w:w="1152"/>
            <w:vAlign w:val="center"/>
          </w:tcPr>
          <w:p>
            <w:r/>
            <w:r>
              <w:rPr>
                <w:rFonts w:ascii="Aptos" w:hAnsi="Aptos"/>
                <w:b w:val="0"/>
                <w:sz w:val="15"/>
              </w:rPr>
              <w:t>NFR-03</w:t>
            </w:r>
          </w:p>
        </w:tc>
        <w:tc>
          <w:tcPr>
            <w:tcW w:type="dxa" w:w="2160"/>
            <w:vAlign w:val="center"/>
          </w:tcPr>
          <w:p>
            <w:r/>
            <w:r>
              <w:rPr>
                <w:rFonts w:ascii="Aptos" w:hAnsi="Aptos"/>
                <w:b w:val="0"/>
                <w:sz w:val="15"/>
              </w:rPr>
              <w:t>Disponibilidad</w:t>
            </w:r>
          </w:p>
        </w:tc>
        <w:tc>
          <w:tcPr>
            <w:tcW w:type="dxa" w:w="7056"/>
            <w:vAlign w:val="center"/>
          </w:tcPr>
          <w:p>
            <w:r/>
            <w:r>
              <w:rPr>
                <w:rFonts w:ascii="Aptos" w:hAnsi="Aptos"/>
                <w:b w:val="0"/>
                <w:sz w:val="15"/>
              </w:rPr>
              <w:t>Definir niveles objetivo de disponibilidad, ventanas de mantenimiento y continuidad operativa.</w:t>
            </w:r>
          </w:p>
        </w:tc>
      </w:tr>
      <w:tr>
        <w:tc>
          <w:tcPr>
            <w:tcW w:type="dxa" w:w="1152"/>
            <w:vAlign w:val="center"/>
          </w:tcPr>
          <w:p>
            <w:r/>
            <w:r>
              <w:rPr>
                <w:rFonts w:ascii="Aptos" w:hAnsi="Aptos"/>
                <w:b w:val="0"/>
                <w:sz w:val="15"/>
              </w:rPr>
              <w:t>NFR-04</w:t>
            </w:r>
          </w:p>
        </w:tc>
        <w:tc>
          <w:tcPr>
            <w:tcW w:type="dxa" w:w="2160"/>
            <w:vAlign w:val="center"/>
          </w:tcPr>
          <w:p>
            <w:r/>
            <w:r>
              <w:rPr>
                <w:rFonts w:ascii="Aptos" w:hAnsi="Aptos"/>
                <w:b w:val="0"/>
                <w:sz w:val="15"/>
              </w:rPr>
              <w:t>Rendimiento</w:t>
            </w:r>
          </w:p>
        </w:tc>
        <w:tc>
          <w:tcPr>
            <w:tcW w:type="dxa" w:w="7056"/>
            <w:vAlign w:val="center"/>
          </w:tcPr>
          <w:p>
            <w:r/>
            <w:r>
              <w:rPr>
                <w:rFonts w:ascii="Aptos" w:hAnsi="Aptos"/>
                <w:b w:val="0"/>
                <w:sz w:val="15"/>
              </w:rPr>
              <w:t>Definir tiempos objetivo para consultas, captura, carga documental y operaciones integradas.</w:t>
            </w:r>
          </w:p>
        </w:tc>
      </w:tr>
      <w:tr>
        <w:tc>
          <w:tcPr>
            <w:tcW w:type="dxa" w:w="1152"/>
            <w:vAlign w:val="center"/>
          </w:tcPr>
          <w:p>
            <w:r/>
            <w:r>
              <w:rPr>
                <w:rFonts w:ascii="Aptos" w:hAnsi="Aptos"/>
                <w:b w:val="0"/>
                <w:sz w:val="15"/>
              </w:rPr>
              <w:t>NFR-05</w:t>
            </w:r>
          </w:p>
        </w:tc>
        <w:tc>
          <w:tcPr>
            <w:tcW w:type="dxa" w:w="2160"/>
            <w:vAlign w:val="center"/>
          </w:tcPr>
          <w:p>
            <w:r/>
            <w:r>
              <w:rPr>
                <w:rFonts w:ascii="Aptos" w:hAnsi="Aptos"/>
                <w:b w:val="0"/>
                <w:sz w:val="15"/>
              </w:rPr>
              <w:t>Interoperabilidad</w:t>
            </w:r>
          </w:p>
        </w:tc>
        <w:tc>
          <w:tcPr>
            <w:tcW w:type="dxa" w:w="7056"/>
            <w:vAlign w:val="center"/>
          </w:tcPr>
          <w:p>
            <w:r/>
            <w:r>
              <w:rPr>
                <w:rFonts w:ascii="Aptos" w:hAnsi="Aptos"/>
                <w:b w:val="0"/>
                <w:sz w:val="15"/>
              </w:rPr>
              <w:t>APIs/servicios documentados, versionados y con manejo estandarizado de errores.</w:t>
            </w:r>
          </w:p>
        </w:tc>
      </w:tr>
      <w:tr>
        <w:tc>
          <w:tcPr>
            <w:tcW w:type="dxa" w:w="1152"/>
            <w:vAlign w:val="center"/>
          </w:tcPr>
          <w:p>
            <w:r/>
            <w:r>
              <w:rPr>
                <w:rFonts w:ascii="Aptos" w:hAnsi="Aptos"/>
                <w:b w:val="0"/>
                <w:sz w:val="15"/>
              </w:rPr>
              <w:t>NFR-06</w:t>
            </w:r>
          </w:p>
        </w:tc>
        <w:tc>
          <w:tcPr>
            <w:tcW w:type="dxa" w:w="2160"/>
            <w:vAlign w:val="center"/>
          </w:tcPr>
          <w:p>
            <w:r/>
            <w:r>
              <w:rPr>
                <w:rFonts w:ascii="Aptos" w:hAnsi="Aptos"/>
                <w:b w:val="0"/>
                <w:sz w:val="15"/>
              </w:rPr>
              <w:t>Escalabilidad</w:t>
            </w:r>
          </w:p>
        </w:tc>
        <w:tc>
          <w:tcPr>
            <w:tcW w:type="dxa" w:w="7056"/>
            <w:vAlign w:val="center"/>
          </w:tcPr>
          <w:p>
            <w:r/>
            <w:r>
              <w:rPr>
                <w:rFonts w:ascii="Aptos" w:hAnsi="Aptos"/>
                <w:b w:val="0"/>
                <w:sz w:val="15"/>
              </w:rPr>
              <w:t>Capacidad de crecer en trámites, expedientes, documentos, indicadores y usuarios.</w:t>
            </w:r>
          </w:p>
        </w:tc>
      </w:tr>
      <w:tr>
        <w:tc>
          <w:tcPr>
            <w:tcW w:type="dxa" w:w="1152"/>
            <w:vAlign w:val="center"/>
          </w:tcPr>
          <w:p>
            <w:r/>
            <w:r>
              <w:rPr>
                <w:rFonts w:ascii="Aptos" w:hAnsi="Aptos"/>
                <w:b w:val="0"/>
                <w:sz w:val="15"/>
              </w:rPr>
              <w:t>NFR-07</w:t>
            </w:r>
          </w:p>
        </w:tc>
        <w:tc>
          <w:tcPr>
            <w:tcW w:type="dxa" w:w="2160"/>
            <w:vAlign w:val="center"/>
          </w:tcPr>
          <w:p>
            <w:r/>
            <w:r>
              <w:rPr>
                <w:rFonts w:ascii="Aptos" w:hAnsi="Aptos"/>
                <w:b w:val="0"/>
                <w:sz w:val="15"/>
              </w:rPr>
              <w:t>Respaldo</w:t>
            </w:r>
          </w:p>
        </w:tc>
        <w:tc>
          <w:tcPr>
            <w:tcW w:type="dxa" w:w="7056"/>
            <w:vAlign w:val="center"/>
          </w:tcPr>
          <w:p>
            <w:r/>
            <w:r>
              <w:rPr>
                <w:rFonts w:ascii="Aptos" w:hAnsi="Aptos"/>
                <w:b w:val="0"/>
                <w:sz w:val="15"/>
              </w:rPr>
              <w:t>Copias de seguridad, recuperación y pruebas periódicas de restauración.</w:t>
            </w:r>
          </w:p>
        </w:tc>
      </w:tr>
      <w:tr>
        <w:tc>
          <w:tcPr>
            <w:tcW w:type="dxa" w:w="1152"/>
            <w:vAlign w:val="center"/>
          </w:tcPr>
          <w:p>
            <w:r/>
            <w:r>
              <w:rPr>
                <w:rFonts w:ascii="Aptos" w:hAnsi="Aptos"/>
                <w:b w:val="0"/>
                <w:sz w:val="15"/>
              </w:rPr>
              <w:t>NFR-08</w:t>
            </w:r>
          </w:p>
        </w:tc>
        <w:tc>
          <w:tcPr>
            <w:tcW w:type="dxa" w:w="2160"/>
            <w:vAlign w:val="center"/>
          </w:tcPr>
          <w:p>
            <w:r/>
            <w:r>
              <w:rPr>
                <w:rFonts w:ascii="Aptos" w:hAnsi="Aptos"/>
                <w:b w:val="0"/>
                <w:sz w:val="15"/>
              </w:rPr>
              <w:t>Recuperación</w:t>
            </w:r>
          </w:p>
        </w:tc>
        <w:tc>
          <w:tcPr>
            <w:tcW w:type="dxa" w:w="7056"/>
            <w:vAlign w:val="center"/>
          </w:tcPr>
          <w:p>
            <w:r/>
            <w:r>
              <w:rPr>
                <w:rFonts w:ascii="Aptos" w:hAnsi="Aptos"/>
                <w:b w:val="0"/>
                <w:sz w:val="15"/>
              </w:rPr>
              <w:t>Definir RPO/RTO para componentes críticos.</w:t>
            </w:r>
          </w:p>
        </w:tc>
      </w:tr>
      <w:tr>
        <w:tc>
          <w:tcPr>
            <w:tcW w:type="dxa" w:w="1152"/>
            <w:vAlign w:val="center"/>
          </w:tcPr>
          <w:p>
            <w:r/>
            <w:r>
              <w:rPr>
                <w:rFonts w:ascii="Aptos" w:hAnsi="Aptos"/>
                <w:b w:val="0"/>
                <w:sz w:val="15"/>
              </w:rPr>
              <w:t>NFR-09</w:t>
            </w:r>
          </w:p>
        </w:tc>
        <w:tc>
          <w:tcPr>
            <w:tcW w:type="dxa" w:w="2160"/>
            <w:vAlign w:val="center"/>
          </w:tcPr>
          <w:p>
            <w:r/>
            <w:r>
              <w:rPr>
                <w:rFonts w:ascii="Aptos" w:hAnsi="Aptos"/>
                <w:b w:val="0"/>
                <w:sz w:val="15"/>
              </w:rPr>
              <w:t>Protección documental</w:t>
            </w:r>
          </w:p>
        </w:tc>
        <w:tc>
          <w:tcPr>
            <w:tcW w:type="dxa" w:w="7056"/>
            <w:vAlign w:val="center"/>
          </w:tcPr>
          <w:p>
            <w:r/>
            <w:r>
              <w:rPr>
                <w:rFonts w:ascii="Aptos" w:hAnsi="Aptos"/>
                <w:b w:val="0"/>
                <w:sz w:val="15"/>
              </w:rPr>
              <w:t>Integridad, control de versiones, hash/huella cuando proceda, acceso restringido y conservación.</w:t>
            </w:r>
          </w:p>
        </w:tc>
      </w:tr>
      <w:tr>
        <w:tc>
          <w:tcPr>
            <w:tcW w:type="dxa" w:w="1152"/>
            <w:vAlign w:val="center"/>
          </w:tcPr>
          <w:p>
            <w:r/>
            <w:r>
              <w:rPr>
                <w:rFonts w:ascii="Aptos" w:hAnsi="Aptos"/>
                <w:b w:val="0"/>
                <w:sz w:val="15"/>
              </w:rPr>
              <w:t>NFR-10</w:t>
            </w:r>
          </w:p>
        </w:tc>
        <w:tc>
          <w:tcPr>
            <w:tcW w:type="dxa" w:w="2160"/>
            <w:vAlign w:val="center"/>
          </w:tcPr>
          <w:p>
            <w:r/>
            <w:r>
              <w:rPr>
                <w:rFonts w:ascii="Aptos" w:hAnsi="Aptos"/>
                <w:b w:val="0"/>
                <w:sz w:val="15"/>
              </w:rPr>
              <w:t>Accesibilidad</w:t>
            </w:r>
          </w:p>
        </w:tc>
        <w:tc>
          <w:tcPr>
            <w:tcW w:type="dxa" w:w="7056"/>
            <w:vAlign w:val="center"/>
          </w:tcPr>
          <w:p>
            <w:r/>
            <w:r>
              <w:rPr>
                <w:rFonts w:ascii="Aptos" w:hAnsi="Aptos"/>
                <w:b w:val="0"/>
                <w:sz w:val="15"/>
              </w:rPr>
              <w:t>Interfaces accesibles y compatibles con estándares institucionales aplicables.</w:t>
            </w:r>
          </w:p>
        </w:tc>
      </w:tr>
      <w:tr>
        <w:tc>
          <w:tcPr>
            <w:tcW w:type="dxa" w:w="1152"/>
            <w:vAlign w:val="center"/>
          </w:tcPr>
          <w:p>
            <w:r/>
            <w:r>
              <w:rPr>
                <w:rFonts w:ascii="Aptos" w:hAnsi="Aptos"/>
                <w:b w:val="0"/>
                <w:sz w:val="15"/>
              </w:rPr>
              <w:t>NFR-11</w:t>
            </w:r>
          </w:p>
        </w:tc>
        <w:tc>
          <w:tcPr>
            <w:tcW w:type="dxa" w:w="2160"/>
            <w:vAlign w:val="center"/>
          </w:tcPr>
          <w:p>
            <w:r/>
            <w:r>
              <w:rPr>
                <w:rFonts w:ascii="Aptos" w:hAnsi="Aptos"/>
                <w:b w:val="0"/>
                <w:sz w:val="15"/>
              </w:rPr>
              <w:t>Mantenibilidad</w:t>
            </w:r>
          </w:p>
        </w:tc>
        <w:tc>
          <w:tcPr>
            <w:tcW w:type="dxa" w:w="7056"/>
            <w:vAlign w:val="center"/>
          </w:tcPr>
          <w:p>
            <w:r/>
            <w:r>
              <w:rPr>
                <w:rFonts w:ascii="Aptos" w:hAnsi="Aptos"/>
                <w:b w:val="0"/>
                <w:sz w:val="15"/>
              </w:rPr>
              <w:t>Arquitectura modular, parametrización y documentación técnica.</w:t>
            </w:r>
          </w:p>
        </w:tc>
      </w:tr>
      <w:tr>
        <w:tc>
          <w:tcPr>
            <w:tcW w:type="dxa" w:w="1152"/>
            <w:vAlign w:val="center"/>
          </w:tcPr>
          <w:p>
            <w:r/>
            <w:r>
              <w:rPr>
                <w:rFonts w:ascii="Aptos" w:hAnsi="Aptos"/>
                <w:b w:val="0"/>
                <w:sz w:val="15"/>
              </w:rPr>
              <w:t>NFR-12</w:t>
            </w:r>
          </w:p>
        </w:tc>
        <w:tc>
          <w:tcPr>
            <w:tcW w:type="dxa" w:w="2160"/>
            <w:vAlign w:val="center"/>
          </w:tcPr>
          <w:p>
            <w:r/>
            <w:r>
              <w:rPr>
                <w:rFonts w:ascii="Aptos" w:hAnsi="Aptos"/>
                <w:b w:val="0"/>
                <w:sz w:val="15"/>
              </w:rPr>
              <w:t>Observabilidad</w:t>
            </w:r>
          </w:p>
        </w:tc>
        <w:tc>
          <w:tcPr>
            <w:tcW w:type="dxa" w:w="7056"/>
            <w:vAlign w:val="center"/>
          </w:tcPr>
          <w:p>
            <w:r/>
            <w:r>
              <w:rPr>
                <w:rFonts w:ascii="Aptos" w:hAnsi="Aptos"/>
                <w:b w:val="0"/>
                <w:sz w:val="15"/>
              </w:rPr>
              <w:t>Monitoreo de servicios, integraciones, colas, errores y tareas programadas.</w:t>
            </w:r>
          </w:p>
        </w:tc>
      </w:tr>
      <w:tr>
        <w:tc>
          <w:tcPr>
            <w:tcW w:type="dxa" w:w="1152"/>
            <w:vAlign w:val="center"/>
          </w:tcPr>
          <w:p>
            <w:r/>
            <w:r>
              <w:rPr>
                <w:rFonts w:ascii="Aptos" w:hAnsi="Aptos"/>
                <w:b w:val="0"/>
                <w:sz w:val="15"/>
              </w:rPr>
              <w:t>NFR-13</w:t>
            </w:r>
          </w:p>
        </w:tc>
        <w:tc>
          <w:tcPr>
            <w:tcW w:type="dxa" w:w="2160"/>
            <w:vAlign w:val="center"/>
          </w:tcPr>
          <w:p>
            <w:r/>
            <w:r>
              <w:rPr>
                <w:rFonts w:ascii="Aptos" w:hAnsi="Aptos"/>
                <w:b w:val="0"/>
                <w:sz w:val="15"/>
              </w:rPr>
              <w:t>Compatibilidad</w:t>
            </w:r>
          </w:p>
        </w:tc>
        <w:tc>
          <w:tcPr>
            <w:tcW w:type="dxa" w:w="7056"/>
            <w:vAlign w:val="center"/>
          </w:tcPr>
          <w:p>
            <w:r/>
            <w:r>
              <w:rPr>
                <w:rFonts w:ascii="Aptos" w:hAnsi="Aptos"/>
                <w:b w:val="0"/>
                <w:sz w:val="15"/>
              </w:rPr>
              <w:t>Compatibilidad con infraestructura institucional y navegadores soportados.</w:t>
            </w:r>
          </w:p>
        </w:tc>
      </w:tr>
      <w:tr>
        <w:tc>
          <w:tcPr>
            <w:tcW w:type="dxa" w:w="1152"/>
            <w:vAlign w:val="center"/>
          </w:tcPr>
          <w:p>
            <w:r/>
            <w:r>
              <w:rPr>
                <w:rFonts w:ascii="Aptos" w:hAnsi="Aptos"/>
                <w:b w:val="0"/>
                <w:sz w:val="15"/>
              </w:rPr>
              <w:t>NFR-14</w:t>
            </w:r>
          </w:p>
        </w:tc>
        <w:tc>
          <w:tcPr>
            <w:tcW w:type="dxa" w:w="2160"/>
            <w:vAlign w:val="center"/>
          </w:tcPr>
          <w:p>
            <w:r/>
            <w:r>
              <w:rPr>
                <w:rFonts w:ascii="Aptos" w:hAnsi="Aptos"/>
                <w:b w:val="0"/>
                <w:sz w:val="15"/>
              </w:rPr>
              <w:t>Auditoría</w:t>
            </w:r>
          </w:p>
        </w:tc>
        <w:tc>
          <w:tcPr>
            <w:tcW w:type="dxa" w:w="7056"/>
            <w:vAlign w:val="center"/>
          </w:tcPr>
          <w:p>
            <w:r/>
            <w:r>
              <w:rPr>
                <w:rFonts w:ascii="Aptos" w:hAnsi="Aptos"/>
                <w:b w:val="0"/>
                <w:sz w:val="15"/>
              </w:rPr>
              <w:t>Capacidad de reconstruir la historia del trámite sin alterar el registro histórico.</w:t>
            </w:r>
          </w:p>
        </w:tc>
      </w:tr>
      <w:tr>
        <w:tc>
          <w:tcPr>
            <w:tcW w:type="dxa" w:w="1152"/>
            <w:vAlign w:val="center"/>
          </w:tcPr>
          <w:p>
            <w:r/>
            <w:r>
              <w:rPr>
                <w:rFonts w:ascii="Aptos" w:hAnsi="Aptos"/>
                <w:b w:val="0"/>
                <w:sz w:val="15"/>
              </w:rPr>
              <w:t>NFR-15</w:t>
            </w:r>
          </w:p>
        </w:tc>
        <w:tc>
          <w:tcPr>
            <w:tcW w:type="dxa" w:w="2160"/>
            <w:vAlign w:val="center"/>
          </w:tcPr>
          <w:p>
            <w:r/>
            <w:r>
              <w:rPr>
                <w:rFonts w:ascii="Aptos" w:hAnsi="Aptos"/>
                <w:b w:val="0"/>
                <w:sz w:val="15"/>
              </w:rPr>
              <w:t>Confidencialidad</w:t>
            </w:r>
          </w:p>
        </w:tc>
        <w:tc>
          <w:tcPr>
            <w:tcW w:type="dxa" w:w="7056"/>
            <w:vAlign w:val="center"/>
          </w:tcPr>
          <w:p>
            <w:r/>
            <w:r>
              <w:rPr>
                <w:rFonts w:ascii="Aptos" w:hAnsi="Aptos"/>
                <w:b w:val="0"/>
                <w:sz w:val="15"/>
              </w:rPr>
              <w:t>Separación de expedientes y permisos; control de documentos con información reservada/confidencial según corresponda.</w:t>
            </w:r>
          </w:p>
        </w:tc>
      </w:tr>
    </w:tbl>
    <w:p/>
    <w:p>
      <w:r>
        <w:br w:type="page"/>
      </w:r>
    </w:p>
    <w:p>
      <w:pPr>
        <w:pStyle w:val="Heading1"/>
      </w:pPr>
      <w:r>
        <w:t>10. Integraciones e interoperabilidad</w:t>
      </w:r>
    </w:p>
    <w:p>
      <w:pPr>
        <w:jc w:val="center"/>
      </w:pPr>
      <w:r>
        <w:drawing>
          <wp:inline xmlns:a="http://schemas.openxmlformats.org/drawingml/2006/main" xmlns:pic="http://schemas.openxmlformats.org/drawingml/2006/picture">
            <wp:extent cx="6126480" cy="3775120"/>
            <wp:docPr id="5" name="Picture 5"/>
            <wp:cNvGraphicFramePr>
              <a:graphicFrameLocks noChangeAspect="1"/>
            </wp:cNvGraphicFramePr>
            <a:graphic>
              <a:graphicData uri="http://schemas.openxmlformats.org/drawingml/2006/picture">
                <pic:pic>
                  <pic:nvPicPr>
                    <pic:cNvPr id="0" name="diag_integraciones.png"/>
                    <pic:cNvPicPr/>
                  </pic:nvPicPr>
                  <pic:blipFill>
                    <a:blip r:embed="rId15"/>
                    <a:stretch>
                      <a:fillRect/>
                    </a:stretch>
                  </pic:blipFill>
                  <pic:spPr>
                    <a:xfrm>
                      <a:off x="0" y="0"/>
                      <a:ext cx="6126480" cy="3775120"/>
                    </a:xfrm>
                    <a:prstGeom prst="rect"/>
                  </pic:spPr>
                </pic:pic>
              </a:graphicData>
            </a:graphic>
          </wp:inline>
        </w:drawing>
      </w:r>
    </w:p>
    <w:p>
      <w:pPr>
        <w:jc w:val="center"/>
      </w:pPr>
      <w:r>
        <w:rPr>
          <w:i/>
          <w:color w:val="566573"/>
          <w:sz w:val="17"/>
        </w:rPr>
        <w:t>Figura 5. Arquitectura conceptual de integraciones.</w:t>
      </w:r>
    </w:p>
    <w:p>
      <w:r>
        <w:t>La minuta plantea revisar con EMA la existencia de una plataforma para consultar y validar acreditaciones de laboratorios y auditores; con CONANP la validación de ubicación respecto de áreas protegidas; y considerar otras fuentes como CONABIO, CONAGUA y SEMARNAT. También se plantea precargar información de domicilio a partir del código postal mediante SEPOMEX.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08"/>
            <w:vAlign w:val="center"/>
            <w:shd w:fill="1F4E79"/>
          </w:tcPr>
          <w:p>
            <w:r/>
            <w:r>
              <w:rPr>
                <w:rFonts w:ascii="Aptos" w:hAnsi="Aptos"/>
                <w:b/>
                <w:color w:val="FFFFFF"/>
                <w:sz w:val="15"/>
              </w:rPr>
              <w:t>ID</w:t>
            </w:r>
          </w:p>
        </w:tc>
        <w:tc>
          <w:tcPr>
            <w:tcW w:type="dxa" w:w="2160"/>
            <w:vAlign w:val="center"/>
            <w:shd w:fill="1F4E79"/>
          </w:tcPr>
          <w:p>
            <w:r/>
            <w:r>
              <w:rPr>
                <w:rFonts w:ascii="Aptos" w:hAnsi="Aptos"/>
                <w:b/>
                <w:color w:val="FFFFFF"/>
                <w:sz w:val="15"/>
              </w:rPr>
              <w:t>Fuente</w:t>
            </w:r>
          </w:p>
        </w:tc>
        <w:tc>
          <w:tcPr>
            <w:tcW w:type="dxa" w:w="2880"/>
            <w:vAlign w:val="center"/>
            <w:shd w:fill="1F4E79"/>
          </w:tcPr>
          <w:p>
            <w:r/>
            <w:r>
              <w:rPr>
                <w:rFonts w:ascii="Aptos" w:hAnsi="Aptos"/>
                <w:b/>
                <w:color w:val="FFFFFF"/>
                <w:sz w:val="15"/>
              </w:rPr>
              <w:t>Datos</w:t>
            </w:r>
          </w:p>
        </w:tc>
        <w:tc>
          <w:tcPr>
            <w:tcW w:type="dxa" w:w="4320"/>
            <w:vAlign w:val="center"/>
            <w:shd w:fill="1F4E79"/>
          </w:tcPr>
          <w:p>
            <w:r/>
            <w:r>
              <w:rPr>
                <w:rFonts w:ascii="Aptos" w:hAnsi="Aptos"/>
                <w:b/>
                <w:color w:val="FFFFFF"/>
                <w:sz w:val="15"/>
              </w:rPr>
              <w:t>Uso</w:t>
            </w:r>
          </w:p>
        </w:tc>
      </w:tr>
      <w:tr>
        <w:tc>
          <w:tcPr>
            <w:tcW w:type="dxa" w:w="1008"/>
            <w:vAlign w:val="center"/>
          </w:tcPr>
          <w:p>
            <w:r/>
            <w:r>
              <w:rPr>
                <w:rFonts w:ascii="Aptos" w:hAnsi="Aptos"/>
                <w:b w:val="0"/>
                <w:sz w:val="15"/>
              </w:rPr>
              <w:t>INT-01</w:t>
            </w:r>
          </w:p>
        </w:tc>
        <w:tc>
          <w:tcPr>
            <w:tcW w:type="dxa" w:w="2160"/>
            <w:vAlign w:val="center"/>
          </w:tcPr>
          <w:p>
            <w:r/>
            <w:r>
              <w:rPr>
                <w:rFonts w:ascii="Aptos" w:hAnsi="Aptos"/>
                <w:b w:val="0"/>
                <w:sz w:val="15"/>
              </w:rPr>
              <w:t>EMA</w:t>
            </w:r>
          </w:p>
        </w:tc>
        <w:tc>
          <w:tcPr>
            <w:tcW w:type="dxa" w:w="2880"/>
            <w:vAlign w:val="center"/>
          </w:tcPr>
          <w:p>
            <w:r/>
            <w:r>
              <w:rPr>
                <w:rFonts w:ascii="Aptos" w:hAnsi="Aptos"/>
                <w:b w:val="0"/>
                <w:sz w:val="15"/>
              </w:rPr>
              <w:t>Auditores/laboratorios</w:t>
            </w:r>
          </w:p>
        </w:tc>
        <w:tc>
          <w:tcPr>
            <w:tcW w:type="dxa" w:w="4320"/>
            <w:vAlign w:val="center"/>
          </w:tcPr>
          <w:p>
            <w:r/>
            <w:r>
              <w:rPr>
                <w:rFonts w:ascii="Aptos" w:hAnsi="Aptos"/>
                <w:b w:val="0"/>
                <w:sz w:val="15"/>
              </w:rPr>
              <w:t>Validar acreditación, aprobación, vigencia y condición.</w:t>
            </w:r>
          </w:p>
        </w:tc>
      </w:tr>
      <w:tr>
        <w:tc>
          <w:tcPr>
            <w:tcW w:type="dxa" w:w="1008"/>
            <w:vAlign w:val="center"/>
          </w:tcPr>
          <w:p>
            <w:r/>
            <w:r>
              <w:rPr>
                <w:rFonts w:ascii="Aptos" w:hAnsi="Aptos"/>
                <w:b w:val="0"/>
                <w:sz w:val="15"/>
              </w:rPr>
              <w:t>INT-02</w:t>
            </w:r>
          </w:p>
        </w:tc>
        <w:tc>
          <w:tcPr>
            <w:tcW w:type="dxa" w:w="2160"/>
            <w:vAlign w:val="center"/>
          </w:tcPr>
          <w:p>
            <w:r/>
            <w:r>
              <w:rPr>
                <w:rFonts w:ascii="Aptos" w:hAnsi="Aptos"/>
                <w:b w:val="0"/>
                <w:sz w:val="15"/>
              </w:rPr>
              <w:t>CONANP</w:t>
            </w:r>
          </w:p>
        </w:tc>
        <w:tc>
          <w:tcPr>
            <w:tcW w:type="dxa" w:w="2880"/>
            <w:vAlign w:val="center"/>
          </w:tcPr>
          <w:p>
            <w:r/>
            <w:r>
              <w:rPr>
                <w:rFonts w:ascii="Aptos" w:hAnsi="Aptos"/>
                <w:b w:val="0"/>
                <w:sz w:val="15"/>
              </w:rPr>
              <w:t>Áreas naturales protegidas</w:t>
            </w:r>
          </w:p>
        </w:tc>
        <w:tc>
          <w:tcPr>
            <w:tcW w:type="dxa" w:w="4320"/>
            <w:vAlign w:val="center"/>
          </w:tcPr>
          <w:p>
            <w:r/>
            <w:r>
              <w:rPr>
                <w:rFonts w:ascii="Aptos" w:hAnsi="Aptos"/>
                <w:b w:val="0"/>
                <w:sz w:val="15"/>
              </w:rPr>
              <w:t>Validar ubicación/polígono respecto de áreas protegidas.</w:t>
            </w:r>
          </w:p>
        </w:tc>
      </w:tr>
      <w:tr>
        <w:tc>
          <w:tcPr>
            <w:tcW w:type="dxa" w:w="1008"/>
            <w:vAlign w:val="center"/>
          </w:tcPr>
          <w:p>
            <w:r/>
            <w:r>
              <w:rPr>
                <w:rFonts w:ascii="Aptos" w:hAnsi="Aptos"/>
                <w:b w:val="0"/>
                <w:sz w:val="15"/>
              </w:rPr>
              <w:t>INT-03</w:t>
            </w:r>
          </w:p>
        </w:tc>
        <w:tc>
          <w:tcPr>
            <w:tcW w:type="dxa" w:w="2160"/>
            <w:vAlign w:val="center"/>
          </w:tcPr>
          <w:p>
            <w:r/>
            <w:r>
              <w:rPr>
                <w:rFonts w:ascii="Aptos" w:hAnsi="Aptos"/>
                <w:b w:val="0"/>
                <w:sz w:val="15"/>
              </w:rPr>
              <w:t>CONABIO</w:t>
            </w:r>
          </w:p>
        </w:tc>
        <w:tc>
          <w:tcPr>
            <w:tcW w:type="dxa" w:w="2880"/>
            <w:vAlign w:val="center"/>
          </w:tcPr>
          <w:p>
            <w:r/>
            <w:r>
              <w:rPr>
                <w:rFonts w:ascii="Aptos" w:hAnsi="Aptos"/>
                <w:b w:val="0"/>
                <w:sz w:val="15"/>
              </w:rPr>
              <w:t>Biodiversidad</w:t>
            </w:r>
          </w:p>
        </w:tc>
        <w:tc>
          <w:tcPr>
            <w:tcW w:type="dxa" w:w="4320"/>
            <w:vAlign w:val="center"/>
          </w:tcPr>
          <w:p>
            <w:r/>
            <w:r>
              <w:rPr>
                <w:rFonts w:ascii="Aptos" w:hAnsi="Aptos"/>
                <w:b w:val="0"/>
                <w:sz w:val="15"/>
              </w:rPr>
              <w:t>Consultar información relevante para análisis/validación.</w:t>
            </w:r>
          </w:p>
        </w:tc>
      </w:tr>
      <w:tr>
        <w:tc>
          <w:tcPr>
            <w:tcW w:type="dxa" w:w="1008"/>
            <w:vAlign w:val="center"/>
          </w:tcPr>
          <w:p>
            <w:r/>
            <w:r>
              <w:rPr>
                <w:rFonts w:ascii="Aptos" w:hAnsi="Aptos"/>
                <w:b w:val="0"/>
                <w:sz w:val="15"/>
              </w:rPr>
              <w:t>INT-04</w:t>
            </w:r>
          </w:p>
        </w:tc>
        <w:tc>
          <w:tcPr>
            <w:tcW w:type="dxa" w:w="2160"/>
            <w:vAlign w:val="center"/>
          </w:tcPr>
          <w:p>
            <w:r/>
            <w:r>
              <w:rPr>
                <w:rFonts w:ascii="Aptos" w:hAnsi="Aptos"/>
                <w:b w:val="0"/>
                <w:sz w:val="15"/>
              </w:rPr>
              <w:t>CONAGUA</w:t>
            </w:r>
          </w:p>
        </w:tc>
        <w:tc>
          <w:tcPr>
            <w:tcW w:type="dxa" w:w="2880"/>
            <w:vAlign w:val="center"/>
          </w:tcPr>
          <w:p>
            <w:r/>
            <w:r>
              <w:rPr>
                <w:rFonts w:ascii="Aptos" w:hAnsi="Aptos"/>
                <w:b w:val="0"/>
                <w:sz w:val="15"/>
              </w:rPr>
              <w:t>Concesiones y pozos</w:t>
            </w:r>
          </w:p>
        </w:tc>
        <w:tc>
          <w:tcPr>
            <w:tcW w:type="dxa" w:w="4320"/>
            <w:vAlign w:val="center"/>
          </w:tcPr>
          <w:p>
            <w:r/>
            <w:r>
              <w:rPr>
                <w:rFonts w:ascii="Aptos" w:hAnsi="Aptos"/>
                <w:b w:val="0"/>
                <w:sz w:val="15"/>
              </w:rPr>
              <w:t>Consultar concesiones, vigencias, pozos, coordenadas y volúmenes autorizados cuando aplique.</w:t>
            </w:r>
          </w:p>
        </w:tc>
      </w:tr>
      <w:tr>
        <w:tc>
          <w:tcPr>
            <w:tcW w:type="dxa" w:w="1008"/>
            <w:vAlign w:val="center"/>
          </w:tcPr>
          <w:p>
            <w:r/>
            <w:r>
              <w:rPr>
                <w:rFonts w:ascii="Aptos" w:hAnsi="Aptos"/>
                <w:b w:val="0"/>
                <w:sz w:val="15"/>
              </w:rPr>
              <w:t>INT-05</w:t>
            </w:r>
          </w:p>
        </w:tc>
        <w:tc>
          <w:tcPr>
            <w:tcW w:type="dxa" w:w="2160"/>
            <w:vAlign w:val="center"/>
          </w:tcPr>
          <w:p>
            <w:r/>
            <w:r>
              <w:rPr>
                <w:rFonts w:ascii="Aptos" w:hAnsi="Aptos"/>
                <w:b w:val="0"/>
                <w:sz w:val="15"/>
              </w:rPr>
              <w:t>SEMARNAT</w:t>
            </w:r>
          </w:p>
        </w:tc>
        <w:tc>
          <w:tcPr>
            <w:tcW w:type="dxa" w:w="2880"/>
            <w:vAlign w:val="center"/>
          </w:tcPr>
          <w:p>
            <w:r/>
            <w:r>
              <w:rPr>
                <w:rFonts w:ascii="Aptos" w:hAnsi="Aptos"/>
                <w:b w:val="0"/>
                <w:sz w:val="15"/>
              </w:rPr>
              <w:t>Padrones/autorizaciones</w:t>
            </w:r>
          </w:p>
        </w:tc>
        <w:tc>
          <w:tcPr>
            <w:tcW w:type="dxa" w:w="4320"/>
            <w:vAlign w:val="center"/>
          </w:tcPr>
          <w:p>
            <w:r/>
            <w:r>
              <w:rPr>
                <w:rFonts w:ascii="Aptos" w:hAnsi="Aptos"/>
                <w:b w:val="0"/>
                <w:sz w:val="15"/>
              </w:rPr>
              <w:t>Consultar información ambiental institucional, residuos, autorizaciones y otros padrones aplicables.</w:t>
            </w:r>
          </w:p>
        </w:tc>
      </w:tr>
      <w:tr>
        <w:tc>
          <w:tcPr>
            <w:tcW w:type="dxa" w:w="1008"/>
            <w:vAlign w:val="center"/>
          </w:tcPr>
          <w:p>
            <w:r/>
            <w:r>
              <w:rPr>
                <w:rFonts w:ascii="Aptos" w:hAnsi="Aptos"/>
                <w:b w:val="0"/>
                <w:sz w:val="15"/>
              </w:rPr>
              <w:t>INT-06</w:t>
            </w:r>
          </w:p>
        </w:tc>
        <w:tc>
          <w:tcPr>
            <w:tcW w:type="dxa" w:w="2160"/>
            <w:vAlign w:val="center"/>
          </w:tcPr>
          <w:p>
            <w:r/>
            <w:r>
              <w:rPr>
                <w:rFonts w:ascii="Aptos" w:hAnsi="Aptos"/>
                <w:b w:val="0"/>
                <w:sz w:val="15"/>
              </w:rPr>
              <w:t>SEPOMEX</w:t>
            </w:r>
          </w:p>
        </w:tc>
        <w:tc>
          <w:tcPr>
            <w:tcW w:type="dxa" w:w="2880"/>
            <w:vAlign w:val="center"/>
          </w:tcPr>
          <w:p>
            <w:r/>
            <w:r>
              <w:rPr>
                <w:rFonts w:ascii="Aptos" w:hAnsi="Aptos"/>
                <w:b w:val="0"/>
                <w:sz w:val="15"/>
              </w:rPr>
              <w:t>Domicilios</w:t>
            </w:r>
          </w:p>
        </w:tc>
        <w:tc>
          <w:tcPr>
            <w:tcW w:type="dxa" w:w="4320"/>
            <w:vAlign w:val="center"/>
          </w:tcPr>
          <w:p>
            <w:r/>
            <w:r>
              <w:rPr>
                <w:rFonts w:ascii="Aptos" w:hAnsi="Aptos"/>
                <w:b w:val="0"/>
                <w:sz w:val="15"/>
              </w:rPr>
              <w:t>Precargar colonia, municipio/alcaldía y entidad a partir de código postal, sujeto a disponibilidad y autorización.</w:t>
            </w:r>
          </w:p>
        </w:tc>
      </w:tr>
      <w:tr>
        <w:tc>
          <w:tcPr>
            <w:tcW w:type="dxa" w:w="1008"/>
            <w:vAlign w:val="center"/>
          </w:tcPr>
          <w:p>
            <w:r/>
            <w:r>
              <w:rPr>
                <w:rFonts w:ascii="Aptos" w:hAnsi="Aptos"/>
                <w:b w:val="0"/>
                <w:sz w:val="15"/>
              </w:rPr>
              <w:t>INT-07</w:t>
            </w:r>
          </w:p>
        </w:tc>
        <w:tc>
          <w:tcPr>
            <w:tcW w:type="dxa" w:w="2160"/>
            <w:vAlign w:val="center"/>
          </w:tcPr>
          <w:p>
            <w:r/>
            <w:r>
              <w:rPr>
                <w:rFonts w:ascii="Aptos" w:hAnsi="Aptos"/>
                <w:b w:val="0"/>
                <w:sz w:val="15"/>
              </w:rPr>
              <w:t>Catálogos CMAP/SCIAN</w:t>
            </w:r>
          </w:p>
        </w:tc>
        <w:tc>
          <w:tcPr>
            <w:tcW w:type="dxa" w:w="2880"/>
            <w:vAlign w:val="center"/>
          </w:tcPr>
          <w:p>
            <w:r/>
            <w:r>
              <w:rPr>
                <w:rFonts w:ascii="Aptos" w:hAnsi="Aptos"/>
                <w:b w:val="0"/>
                <w:sz w:val="15"/>
              </w:rPr>
              <w:t>Clasificación de actividad</w:t>
            </w:r>
          </w:p>
        </w:tc>
        <w:tc>
          <w:tcPr>
            <w:tcW w:type="dxa" w:w="4320"/>
            <w:vAlign w:val="center"/>
          </w:tcPr>
          <w:p>
            <w:r/>
            <w:r>
              <w:rPr>
                <w:rFonts w:ascii="Aptos" w:hAnsi="Aptos"/>
                <w:b w:val="0"/>
                <w:sz w:val="15"/>
              </w:rPr>
              <w:t>Precargar/validar giro o actividad y determinar atención institucional cuando corresponda.</w:t>
            </w:r>
          </w:p>
        </w:tc>
      </w:tr>
      <w:tr>
        <w:tc>
          <w:tcPr>
            <w:tcW w:type="dxa" w:w="1008"/>
            <w:vAlign w:val="center"/>
          </w:tcPr>
          <w:p>
            <w:r/>
            <w:r>
              <w:rPr>
                <w:rFonts w:ascii="Aptos" w:hAnsi="Aptos"/>
                <w:b w:val="0"/>
                <w:sz w:val="15"/>
              </w:rPr>
              <w:t>INT-08</w:t>
            </w:r>
          </w:p>
        </w:tc>
        <w:tc>
          <w:tcPr>
            <w:tcW w:type="dxa" w:w="2160"/>
            <w:vAlign w:val="center"/>
          </w:tcPr>
          <w:p>
            <w:r/>
            <w:r>
              <w:rPr>
                <w:rFonts w:ascii="Aptos" w:hAnsi="Aptos"/>
                <w:b w:val="0"/>
                <w:sz w:val="15"/>
              </w:rPr>
              <w:t>Otros</w:t>
            </w:r>
          </w:p>
        </w:tc>
        <w:tc>
          <w:tcPr>
            <w:tcW w:type="dxa" w:w="2880"/>
            <w:vAlign w:val="center"/>
          </w:tcPr>
          <w:p>
            <w:r/>
            <w:r>
              <w:rPr>
                <w:rFonts w:ascii="Aptos" w:hAnsi="Aptos"/>
                <w:b w:val="0"/>
                <w:sz w:val="15"/>
              </w:rPr>
              <w:t>Fuentes futuras</w:t>
            </w:r>
          </w:p>
        </w:tc>
        <w:tc>
          <w:tcPr>
            <w:tcW w:type="dxa" w:w="4320"/>
            <w:vAlign w:val="center"/>
          </w:tcPr>
          <w:p>
            <w:r/>
            <w:r>
              <w:rPr>
                <w:rFonts w:ascii="Aptos" w:hAnsi="Aptos"/>
                <w:b w:val="0"/>
                <w:sz w:val="15"/>
              </w:rPr>
              <w:t>Diseñar una capa reutilizable para incorporar nuevas fuentes sin rediseñar los procesos.</w:t>
            </w:r>
          </w:p>
        </w:tc>
      </w:tr>
    </w:tbl>
    <w:p/>
    <w:tbl>
      <w:tblPr>
        <w:tblStyle w:val="TableGrid"/>
        <w:tblW w:type="auto" w:w="0"/>
        <w:tblLook w:firstColumn="1" w:firstRow="1" w:lastColumn="0" w:lastRow="0" w:noHBand="0" w:noVBand="1" w:val="04A0"/>
      </w:tblPr>
      <w:tblGrid>
        <w:gridCol w:w="10224"/>
      </w:tblGrid>
      <w:tr>
        <w:tc>
          <w:tcPr>
            <w:tcW w:type="dxa" w:w="10224"/>
            <w:shd w:fill="F8F9F9"/>
          </w:tcPr>
          <w:p>
            <w:r>
              <w:rPr>
                <w:b/>
                <w:color w:val="1F4E79"/>
              </w:rPr>
              <w:t xml:space="preserve">Criterio de diseño: </w:t>
            </w:r>
            <w:r>
              <w:t>Cada integración deberá tener contrato de servicio, autenticación, límites de consumo, timeout, reintentos, manejo de indisponibilidad y bitácora. El resultado de una consulta externa debe conservarse como evidencia de la validación realizada en ese momento.</w:t>
            </w:r>
          </w:p>
        </w:tc>
      </w:tr>
    </w:tbl>
    <w:p/>
    <w:p>
      <w:r>
        <w:br w:type="page"/>
      </w:r>
    </w:p>
    <w:p>
      <w:pPr>
        <w:pStyle w:val="Heading1"/>
      </w:pPr>
      <w:r>
        <w:t>11. Mapa de procesos y módulos funcionales</w:t>
      </w:r>
    </w:p>
    <w:p>
      <w:pPr>
        <w:jc w:val="center"/>
      </w:pPr>
      <w:r>
        <w:drawing>
          <wp:inline xmlns:a="http://schemas.openxmlformats.org/drawingml/2006/main" xmlns:pic="http://schemas.openxmlformats.org/drawingml/2006/picture">
            <wp:extent cx="6126480" cy="3768956"/>
            <wp:docPr id="6" name="Picture 6"/>
            <wp:cNvGraphicFramePr>
              <a:graphicFrameLocks noChangeAspect="1"/>
            </wp:cNvGraphicFramePr>
            <a:graphic>
              <a:graphicData uri="http://schemas.openxmlformats.org/drawingml/2006/picture">
                <pic:pic>
                  <pic:nvPicPr>
                    <pic:cNvPr id="0" name="diag_mapa_procesos.png"/>
                    <pic:cNvPicPr/>
                  </pic:nvPicPr>
                  <pic:blipFill>
                    <a:blip r:embed="rId16"/>
                    <a:stretch>
                      <a:fillRect/>
                    </a:stretch>
                  </pic:blipFill>
                  <pic:spPr>
                    <a:xfrm>
                      <a:off x="0" y="0"/>
                      <a:ext cx="6126480" cy="3768956"/>
                    </a:xfrm>
                    <a:prstGeom prst="rect"/>
                  </pic:spPr>
                </pic:pic>
              </a:graphicData>
            </a:graphic>
          </wp:inline>
        </w:drawing>
      </w:r>
    </w:p>
    <w:p>
      <w:pPr>
        <w:jc w:val="center"/>
      </w:pPr>
      <w:r>
        <w:rPr>
          <w:i/>
          <w:color w:val="566573"/>
          <w:sz w:val="17"/>
        </w:rPr>
        <w:t>Figura 6. Mapa funcional propuesto.</w:t>
      </w:r>
    </w:p>
    <w:p>
      <w:r>
        <w:t>El mapa sugiere una separación entre capacidades transversales y procesos de negocio. Esta separación reduce duplicidad y permite que inscripción, certificación, renovación, auditoría y RDA compartan expediente, usuarios, documentos, reglas, notificaciones y auditoría.</w:t>
      </w:r>
    </w:p>
    <w:p>
      <w:r>
        <w:br w:type="page"/>
      </w:r>
    </w:p>
    <w:p>
      <w:pPr>
        <w:pStyle w:val="Heading1"/>
      </w:pPr>
      <w:r>
        <w:t>12. Trazabilidad, auditoría y expediente electrónico</w:t>
      </w:r>
    </w:p>
    <w:p>
      <w:pPr>
        <w:jc w:val="center"/>
      </w:pPr>
      <w:r>
        <w:drawing>
          <wp:inline xmlns:a="http://schemas.openxmlformats.org/drawingml/2006/main" xmlns:pic="http://schemas.openxmlformats.org/drawingml/2006/picture">
            <wp:extent cx="6126480" cy="3768956"/>
            <wp:docPr id="7" name="Picture 7"/>
            <wp:cNvGraphicFramePr>
              <a:graphicFrameLocks noChangeAspect="1"/>
            </wp:cNvGraphicFramePr>
            <a:graphic>
              <a:graphicData uri="http://schemas.openxmlformats.org/drawingml/2006/picture">
                <pic:pic>
                  <pic:nvPicPr>
                    <pic:cNvPr id="0" name="diag_trazabilidad.png"/>
                    <pic:cNvPicPr/>
                  </pic:nvPicPr>
                  <pic:blipFill>
                    <a:blip r:embed="rId17"/>
                    <a:stretch>
                      <a:fillRect/>
                    </a:stretch>
                  </pic:blipFill>
                  <pic:spPr>
                    <a:xfrm>
                      <a:off x="0" y="0"/>
                      <a:ext cx="6126480" cy="3768956"/>
                    </a:xfrm>
                    <a:prstGeom prst="rect"/>
                  </pic:spPr>
                </pic:pic>
              </a:graphicData>
            </a:graphic>
          </wp:inline>
        </w:drawing>
      </w:r>
    </w:p>
    <w:p>
      <w:pPr>
        <w:jc w:val="center"/>
      </w:pPr>
      <w:r>
        <w:rPr>
          <w:i/>
          <w:color w:val="566573"/>
          <w:sz w:val="17"/>
        </w:rPr>
        <w:t>Figura 7. Modelo de trazabilidad.</w:t>
      </w:r>
    </w:p>
    <w:p>
      <w:r>
        <w:t>La trazabilidad debe permitir reconstruir una decisión administrativa o técnica. No basta con almacenar el estado actual; se requiere conservar el historial de eventos y la relación entre datos, documentos y decisiones.</w:t>
      </w:r>
    </w:p>
    <w:p>
      <w:pPr>
        <w:pStyle w:val="ListBullet"/>
        <w:spacing w:after="40"/>
      </w:pPr>
      <w:r>
        <w:t>Identificador único de expediente y de trámite.</w:t>
      </w:r>
    </w:p>
    <w:p>
      <w:pPr>
        <w:pStyle w:val="ListBullet"/>
        <w:spacing w:after="40"/>
      </w:pPr>
      <w:r>
        <w:t>Historial de estados y transiciones.</w:t>
      </w:r>
    </w:p>
    <w:p>
      <w:pPr>
        <w:pStyle w:val="ListBullet"/>
        <w:spacing w:after="40"/>
      </w:pPr>
      <w:r>
        <w:t>Usuario/rol que ejecutó cada acción.</w:t>
      </w:r>
    </w:p>
    <w:p>
      <w:pPr>
        <w:pStyle w:val="ListBullet"/>
        <w:spacing w:after="40"/>
      </w:pPr>
      <w:r>
        <w:t>Fecha y hora institucional.</w:t>
      </w:r>
    </w:p>
    <w:p>
      <w:pPr>
        <w:pStyle w:val="ListBullet"/>
        <w:spacing w:after="40"/>
      </w:pPr>
      <w:r>
        <w:t>Objeto afectado y versión anterior/nueva cuando corresponda.</w:t>
      </w:r>
    </w:p>
    <w:p>
      <w:pPr>
        <w:pStyle w:val="ListBullet"/>
        <w:spacing w:after="40"/>
      </w:pPr>
      <w:r>
        <w:t>Resultado de validaciones automáticas y consultas externas.</w:t>
      </w:r>
    </w:p>
    <w:p>
      <w:pPr>
        <w:pStyle w:val="ListBullet"/>
        <w:spacing w:after="40"/>
      </w:pPr>
      <w:r>
        <w:t>Documentos/evidencias relacionados.</w:t>
      </w:r>
    </w:p>
    <w:p>
      <w:pPr>
        <w:pStyle w:val="ListBullet"/>
        <w:spacing w:after="40"/>
      </w:pPr>
      <w:r>
        <w:t>Notificaciones emitidas y acuses.</w:t>
      </w:r>
    </w:p>
    <w:p>
      <w:pPr>
        <w:pStyle w:val="ListBullet"/>
        <w:spacing w:after="40"/>
      </w:pPr>
      <w:r>
        <w:t>Resoluciones, dictámenes y firmas.</w:t>
      </w:r>
    </w:p>
    <w:p>
      <w:pPr>
        <w:pStyle w:val="ListBullet"/>
        <w:spacing w:after="40"/>
      </w:pPr>
      <w:r>
        <w:t>Registro de excepciones y autorizaciones.</w:t>
      </w:r>
    </w:p>
    <w:p>
      <w:r>
        <w:br w:type="page"/>
      </w:r>
    </w:p>
    <w:p>
      <w:pPr>
        <w:pStyle w:val="Heading1"/>
      </w:pPr>
      <w:r>
        <w:t>13. Entidades de información que deben considerarse</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r/>
            <w:r>
              <w:rPr>
                <w:rFonts w:ascii="Aptos" w:hAnsi="Aptos"/>
                <w:b/>
                <w:color w:val="FFFFFF"/>
                <w:sz w:val="15"/>
              </w:rPr>
              <w:t>Entidad</w:t>
            </w:r>
          </w:p>
        </w:tc>
        <w:tc>
          <w:tcPr>
            <w:tcW w:type="dxa" w:w="7200"/>
            <w:vAlign w:val="center"/>
            <w:shd w:fill="1F4E79"/>
          </w:tcPr>
          <w:p>
            <w:r/>
            <w:r>
              <w:rPr>
                <w:rFonts w:ascii="Aptos" w:hAnsi="Aptos"/>
                <w:b/>
                <w:color w:val="FFFFFF"/>
                <w:sz w:val="15"/>
              </w:rPr>
              <w:t>Contenido mínimo conceptual</w:t>
            </w:r>
          </w:p>
        </w:tc>
      </w:tr>
      <w:tr>
        <w:tc>
          <w:tcPr>
            <w:tcW w:type="dxa" w:w="2880"/>
            <w:vAlign w:val="center"/>
          </w:tcPr>
          <w:p>
            <w:r/>
            <w:r>
              <w:rPr>
                <w:rFonts w:ascii="Aptos" w:hAnsi="Aptos"/>
                <w:b w:val="0"/>
                <w:sz w:val="15"/>
              </w:rPr>
              <w:t>Empresa</w:t>
            </w:r>
          </w:p>
        </w:tc>
        <w:tc>
          <w:tcPr>
            <w:tcW w:type="dxa" w:w="7200"/>
            <w:vAlign w:val="center"/>
          </w:tcPr>
          <w:p>
            <w:r/>
            <w:r>
              <w:rPr>
                <w:rFonts w:ascii="Aptos" w:hAnsi="Aptos"/>
                <w:b w:val="0"/>
                <w:sz w:val="15"/>
              </w:rPr>
              <w:t>Identidad, razón social, RFC, representación, contactos y relaciones.</w:t>
            </w:r>
          </w:p>
        </w:tc>
      </w:tr>
      <w:tr>
        <w:tc>
          <w:tcPr>
            <w:tcW w:type="dxa" w:w="2880"/>
            <w:vAlign w:val="center"/>
          </w:tcPr>
          <w:p>
            <w:r/>
            <w:r>
              <w:rPr>
                <w:rFonts w:ascii="Aptos" w:hAnsi="Aptos"/>
                <w:b w:val="0"/>
                <w:sz w:val="15"/>
              </w:rPr>
              <w:t>Instalación</w:t>
            </w:r>
          </w:p>
        </w:tc>
        <w:tc>
          <w:tcPr>
            <w:tcW w:type="dxa" w:w="7200"/>
            <w:vAlign w:val="center"/>
          </w:tcPr>
          <w:p>
            <w:r/>
            <w:r>
              <w:rPr>
                <w:rFonts w:ascii="Aptos" w:hAnsi="Aptos"/>
                <w:b w:val="0"/>
                <w:sz w:val="15"/>
              </w:rPr>
              <w:t>Ubicación, coordenadas/polígono, actividad, características y situación histórica.</w:t>
            </w:r>
          </w:p>
        </w:tc>
      </w:tr>
      <w:tr>
        <w:tc>
          <w:tcPr>
            <w:tcW w:type="dxa" w:w="2880"/>
            <w:vAlign w:val="center"/>
          </w:tcPr>
          <w:p>
            <w:r/>
            <w:r>
              <w:rPr>
                <w:rFonts w:ascii="Aptos" w:hAnsi="Aptos"/>
                <w:b w:val="0"/>
                <w:sz w:val="15"/>
              </w:rPr>
              <w:t>Auditor Ambiental</w:t>
            </w:r>
          </w:p>
        </w:tc>
        <w:tc>
          <w:tcPr>
            <w:tcW w:type="dxa" w:w="7200"/>
            <w:vAlign w:val="center"/>
          </w:tcPr>
          <w:p>
            <w:r/>
            <w:r>
              <w:rPr>
                <w:rFonts w:ascii="Aptos" w:hAnsi="Aptos"/>
                <w:b w:val="0"/>
                <w:sz w:val="15"/>
              </w:rPr>
              <w:t>Unidad de verificación, aprobación, acreditación, vigencia, especialistas y materias.</w:t>
            </w:r>
          </w:p>
        </w:tc>
      </w:tr>
      <w:tr>
        <w:tc>
          <w:tcPr>
            <w:tcW w:type="dxa" w:w="2880"/>
            <w:vAlign w:val="center"/>
          </w:tcPr>
          <w:p>
            <w:r/>
            <w:r>
              <w:rPr>
                <w:rFonts w:ascii="Aptos" w:hAnsi="Aptos"/>
                <w:b w:val="0"/>
                <w:sz w:val="15"/>
              </w:rPr>
              <w:t>Usuario</w:t>
            </w:r>
          </w:p>
        </w:tc>
        <w:tc>
          <w:tcPr>
            <w:tcW w:type="dxa" w:w="7200"/>
            <w:vAlign w:val="center"/>
          </w:tcPr>
          <w:p>
            <w:r/>
            <w:r>
              <w:rPr>
                <w:rFonts w:ascii="Aptos" w:hAnsi="Aptos"/>
                <w:b w:val="0"/>
                <w:sz w:val="15"/>
              </w:rPr>
              <w:t>Identidad de acceso y relación con actor/organización.</w:t>
            </w:r>
          </w:p>
        </w:tc>
      </w:tr>
      <w:tr>
        <w:tc>
          <w:tcPr>
            <w:tcW w:type="dxa" w:w="2880"/>
            <w:vAlign w:val="center"/>
          </w:tcPr>
          <w:p>
            <w:r/>
            <w:r>
              <w:rPr>
                <w:rFonts w:ascii="Aptos" w:hAnsi="Aptos"/>
                <w:b w:val="0"/>
                <w:sz w:val="15"/>
              </w:rPr>
              <w:t>Rol / Permiso</w:t>
            </w:r>
          </w:p>
        </w:tc>
        <w:tc>
          <w:tcPr>
            <w:tcW w:type="dxa" w:w="7200"/>
            <w:vAlign w:val="center"/>
          </w:tcPr>
          <w:p>
            <w:r/>
            <w:r>
              <w:rPr>
                <w:rFonts w:ascii="Aptos" w:hAnsi="Aptos"/>
                <w:b w:val="0"/>
                <w:sz w:val="15"/>
              </w:rPr>
              <w:t>Autorizaciones para operar dentro del sistema.</w:t>
            </w:r>
          </w:p>
        </w:tc>
      </w:tr>
      <w:tr>
        <w:tc>
          <w:tcPr>
            <w:tcW w:type="dxa" w:w="2880"/>
            <w:vAlign w:val="center"/>
          </w:tcPr>
          <w:p>
            <w:r/>
            <w:r>
              <w:rPr>
                <w:rFonts w:ascii="Aptos" w:hAnsi="Aptos"/>
                <w:b w:val="0"/>
                <w:sz w:val="15"/>
              </w:rPr>
              <w:t>Certificado</w:t>
            </w:r>
          </w:p>
        </w:tc>
        <w:tc>
          <w:tcPr>
            <w:tcW w:type="dxa" w:w="7200"/>
            <w:vAlign w:val="center"/>
          </w:tcPr>
          <w:p>
            <w:r/>
            <w:r>
              <w:rPr>
                <w:rFonts w:ascii="Aptos" w:hAnsi="Aptos"/>
                <w:b w:val="0"/>
                <w:sz w:val="15"/>
              </w:rPr>
              <w:t>Tipo, nivel, vigencia, instalación, estado y renovaciones.</w:t>
            </w:r>
          </w:p>
        </w:tc>
      </w:tr>
      <w:tr>
        <w:tc>
          <w:tcPr>
            <w:tcW w:type="dxa" w:w="2880"/>
            <w:vAlign w:val="center"/>
          </w:tcPr>
          <w:p>
            <w:r/>
            <w:r>
              <w:rPr>
                <w:rFonts w:ascii="Aptos" w:hAnsi="Aptos"/>
                <w:b w:val="0"/>
                <w:sz w:val="15"/>
              </w:rPr>
              <w:t>Solicitud / Trámite</w:t>
            </w:r>
          </w:p>
        </w:tc>
        <w:tc>
          <w:tcPr>
            <w:tcW w:type="dxa" w:w="7200"/>
            <w:vAlign w:val="center"/>
          </w:tcPr>
          <w:p>
            <w:r/>
            <w:r>
              <w:rPr>
                <w:rFonts w:ascii="Aptos" w:hAnsi="Aptos"/>
                <w:b w:val="0"/>
                <w:sz w:val="15"/>
              </w:rPr>
              <w:t>Tipo, modalidad, fechas, estado, responsable, plazos y resolución.</w:t>
            </w:r>
          </w:p>
        </w:tc>
      </w:tr>
      <w:tr>
        <w:tc>
          <w:tcPr>
            <w:tcW w:type="dxa" w:w="2880"/>
            <w:vAlign w:val="center"/>
          </w:tcPr>
          <w:p>
            <w:r/>
            <w:r>
              <w:rPr>
                <w:rFonts w:ascii="Aptos" w:hAnsi="Aptos"/>
                <w:b w:val="0"/>
                <w:sz w:val="15"/>
              </w:rPr>
              <w:t>Expediente</w:t>
            </w:r>
          </w:p>
        </w:tc>
        <w:tc>
          <w:tcPr>
            <w:tcW w:type="dxa" w:w="7200"/>
            <w:vAlign w:val="center"/>
          </w:tcPr>
          <w:p>
            <w:r/>
            <w:r>
              <w:rPr>
                <w:rFonts w:ascii="Aptos" w:hAnsi="Aptos"/>
                <w:b w:val="0"/>
                <w:sz w:val="15"/>
              </w:rPr>
              <w:t>Contenedor lógico de documentos, datos y actuaciones.</w:t>
            </w:r>
          </w:p>
        </w:tc>
      </w:tr>
      <w:tr>
        <w:tc>
          <w:tcPr>
            <w:tcW w:type="dxa" w:w="2880"/>
            <w:vAlign w:val="center"/>
          </w:tcPr>
          <w:p>
            <w:r/>
            <w:r>
              <w:rPr>
                <w:rFonts w:ascii="Aptos" w:hAnsi="Aptos"/>
                <w:b w:val="0"/>
                <w:sz w:val="15"/>
              </w:rPr>
              <w:t>Documento / Evidencia</w:t>
            </w:r>
          </w:p>
        </w:tc>
        <w:tc>
          <w:tcPr>
            <w:tcW w:type="dxa" w:w="7200"/>
            <w:vAlign w:val="center"/>
          </w:tcPr>
          <w:p>
            <w:r/>
            <w:r>
              <w:rPr>
                <w:rFonts w:ascii="Aptos" w:hAnsi="Aptos"/>
                <w:b w:val="0"/>
                <w:sz w:val="15"/>
              </w:rPr>
              <w:t>Archivo, tipo, versión, metadatos, vigencia, firma y relación con requisito.</w:t>
            </w:r>
          </w:p>
        </w:tc>
      </w:tr>
      <w:tr>
        <w:tc>
          <w:tcPr>
            <w:tcW w:type="dxa" w:w="2880"/>
            <w:vAlign w:val="center"/>
          </w:tcPr>
          <w:p>
            <w:r/>
            <w:r>
              <w:rPr>
                <w:rFonts w:ascii="Aptos" w:hAnsi="Aptos"/>
                <w:b w:val="0"/>
                <w:sz w:val="15"/>
              </w:rPr>
              <w:t>Materia</w:t>
            </w:r>
          </w:p>
        </w:tc>
        <w:tc>
          <w:tcPr>
            <w:tcW w:type="dxa" w:w="7200"/>
            <w:vAlign w:val="center"/>
          </w:tcPr>
          <w:p>
            <w:r/>
            <w:r>
              <w:rPr>
                <w:rFonts w:ascii="Aptos" w:hAnsi="Aptos"/>
                <w:b w:val="0"/>
                <w:sz w:val="15"/>
              </w:rPr>
              <w:t>Agua, aire/ruido, suelo, residuos, energía, recursos, riesgo, gestión, emergencias, etc.</w:t>
            </w:r>
          </w:p>
        </w:tc>
      </w:tr>
      <w:tr>
        <w:tc>
          <w:tcPr>
            <w:tcW w:type="dxa" w:w="2880"/>
            <w:vAlign w:val="center"/>
          </w:tcPr>
          <w:p>
            <w:r/>
            <w:r>
              <w:rPr>
                <w:rFonts w:ascii="Aptos" w:hAnsi="Aptos"/>
                <w:b w:val="0"/>
                <w:sz w:val="15"/>
              </w:rPr>
              <w:t>Indicador</w:t>
            </w:r>
          </w:p>
        </w:tc>
        <w:tc>
          <w:tcPr>
            <w:tcW w:type="dxa" w:w="7200"/>
            <w:vAlign w:val="center"/>
          </w:tcPr>
          <w:p>
            <w:r/>
            <w:r>
              <w:rPr>
                <w:rFonts w:ascii="Aptos" w:hAnsi="Aptos"/>
                <w:b w:val="0"/>
                <w:sz w:val="15"/>
              </w:rPr>
              <w:t>Tipo, unidad, periodo, valor, meta, fuente, tendencia y evidencia.</w:t>
            </w:r>
          </w:p>
        </w:tc>
      </w:tr>
      <w:tr>
        <w:tc>
          <w:tcPr>
            <w:tcW w:type="dxa" w:w="2880"/>
            <w:vAlign w:val="center"/>
          </w:tcPr>
          <w:p>
            <w:r/>
            <w:r>
              <w:rPr>
                <w:rFonts w:ascii="Aptos" w:hAnsi="Aptos"/>
                <w:b w:val="0"/>
                <w:sz w:val="15"/>
              </w:rPr>
              <w:t>No Conformidad</w:t>
            </w:r>
          </w:p>
        </w:tc>
        <w:tc>
          <w:tcPr>
            <w:tcW w:type="dxa" w:w="7200"/>
            <w:vAlign w:val="center"/>
          </w:tcPr>
          <w:p>
            <w:r/>
            <w:r>
              <w:rPr>
                <w:rFonts w:ascii="Aptos" w:hAnsi="Aptos"/>
                <w:b w:val="0"/>
                <w:sz w:val="15"/>
              </w:rPr>
              <w:t>Materia, requisito, evidencia, severidad/prioridad, estado y acciones asociadas.</w:t>
            </w:r>
          </w:p>
        </w:tc>
      </w:tr>
      <w:tr>
        <w:tc>
          <w:tcPr>
            <w:tcW w:type="dxa" w:w="2880"/>
            <w:vAlign w:val="center"/>
          </w:tcPr>
          <w:p>
            <w:r/>
            <w:r>
              <w:rPr>
                <w:rFonts w:ascii="Aptos" w:hAnsi="Aptos"/>
                <w:b w:val="0"/>
                <w:sz w:val="15"/>
              </w:rPr>
              <w:t>Plan de Acción</w:t>
            </w:r>
          </w:p>
        </w:tc>
        <w:tc>
          <w:tcPr>
            <w:tcW w:type="dxa" w:w="7200"/>
            <w:vAlign w:val="center"/>
          </w:tcPr>
          <w:p>
            <w:r/>
            <w:r>
              <w:rPr>
                <w:rFonts w:ascii="Aptos" w:hAnsi="Aptos"/>
                <w:b w:val="0"/>
                <w:sz w:val="15"/>
              </w:rPr>
              <w:t>Acción, tipo, responsable, fechas, prioridad, avance y evidencia.</w:t>
            </w:r>
          </w:p>
        </w:tc>
      </w:tr>
      <w:tr>
        <w:tc>
          <w:tcPr>
            <w:tcW w:type="dxa" w:w="2880"/>
            <w:vAlign w:val="center"/>
          </w:tcPr>
          <w:p>
            <w:r/>
            <w:r>
              <w:rPr>
                <w:rFonts w:ascii="Aptos" w:hAnsi="Aptos"/>
                <w:b w:val="0"/>
                <w:sz w:val="15"/>
              </w:rPr>
              <w:t>Prevención</w:t>
            </w:r>
          </w:p>
        </w:tc>
        <w:tc>
          <w:tcPr>
            <w:tcW w:type="dxa" w:w="7200"/>
            <w:vAlign w:val="center"/>
          </w:tcPr>
          <w:p>
            <w:r/>
            <w:r>
              <w:rPr>
                <w:rFonts w:ascii="Aptos" w:hAnsi="Aptos"/>
                <w:b w:val="0"/>
                <w:sz w:val="15"/>
              </w:rPr>
              <w:t>Observación, fecha, plazo, respuesta, estado y resolución.</w:t>
            </w:r>
          </w:p>
        </w:tc>
      </w:tr>
      <w:tr>
        <w:tc>
          <w:tcPr>
            <w:tcW w:type="dxa" w:w="2880"/>
            <w:vAlign w:val="center"/>
          </w:tcPr>
          <w:p>
            <w:r/>
            <w:r>
              <w:rPr>
                <w:rFonts w:ascii="Aptos" w:hAnsi="Aptos"/>
                <w:b w:val="0"/>
                <w:sz w:val="15"/>
              </w:rPr>
              <w:t>Notificación</w:t>
            </w:r>
          </w:p>
        </w:tc>
        <w:tc>
          <w:tcPr>
            <w:tcW w:type="dxa" w:w="7200"/>
            <w:vAlign w:val="center"/>
          </w:tcPr>
          <w:p>
            <w:r/>
            <w:r>
              <w:rPr>
                <w:rFonts w:ascii="Aptos" w:hAnsi="Aptos"/>
                <w:b w:val="0"/>
                <w:sz w:val="15"/>
              </w:rPr>
              <w:t>Evento, destinatario, canal, fecha, contenido, acuse y estado.</w:t>
            </w:r>
          </w:p>
        </w:tc>
      </w:tr>
      <w:tr>
        <w:tc>
          <w:tcPr>
            <w:tcW w:type="dxa" w:w="2880"/>
            <w:vAlign w:val="center"/>
          </w:tcPr>
          <w:p>
            <w:r/>
            <w:r>
              <w:rPr>
                <w:rFonts w:ascii="Aptos" w:hAnsi="Aptos"/>
                <w:b w:val="0"/>
                <w:sz w:val="15"/>
              </w:rPr>
              <w:t>Integración / Consulta externa</w:t>
            </w:r>
          </w:p>
        </w:tc>
        <w:tc>
          <w:tcPr>
            <w:tcW w:type="dxa" w:w="7200"/>
            <w:vAlign w:val="center"/>
          </w:tcPr>
          <w:p>
            <w:r/>
            <w:r>
              <w:rPr>
                <w:rFonts w:ascii="Aptos" w:hAnsi="Aptos"/>
                <w:b w:val="0"/>
                <w:sz w:val="15"/>
              </w:rPr>
              <w:t>Fuente, fecha, petición, respuesta, resultado y evidencia.</w:t>
            </w:r>
          </w:p>
        </w:tc>
      </w:tr>
      <w:tr>
        <w:tc>
          <w:tcPr>
            <w:tcW w:type="dxa" w:w="2880"/>
            <w:vAlign w:val="center"/>
          </w:tcPr>
          <w:p>
            <w:r/>
            <w:r>
              <w:rPr>
                <w:rFonts w:ascii="Aptos" w:hAnsi="Aptos"/>
                <w:b w:val="0"/>
                <w:sz w:val="15"/>
              </w:rPr>
              <w:t>Evento de auditoría</w:t>
            </w:r>
          </w:p>
        </w:tc>
        <w:tc>
          <w:tcPr>
            <w:tcW w:type="dxa" w:w="7200"/>
            <w:vAlign w:val="center"/>
          </w:tcPr>
          <w:p>
            <w:r/>
            <w:r>
              <w:rPr>
                <w:rFonts w:ascii="Aptos" w:hAnsi="Aptos"/>
                <w:b w:val="0"/>
                <w:sz w:val="15"/>
              </w:rPr>
              <w:t>Usuario, acción, objeto, fecha/hora, IP/sistema y resultado, según política.</w:t>
            </w:r>
          </w:p>
        </w:tc>
      </w:tr>
      <w:tr>
        <w:tc>
          <w:tcPr>
            <w:tcW w:type="dxa" w:w="2880"/>
            <w:vAlign w:val="center"/>
          </w:tcPr>
          <w:p>
            <w:r/>
            <w:r>
              <w:rPr>
                <w:rFonts w:ascii="Aptos" w:hAnsi="Aptos"/>
                <w:b w:val="0"/>
                <w:sz w:val="15"/>
              </w:rPr>
              <w:t>Catálogo / Parámetro</w:t>
            </w:r>
          </w:p>
        </w:tc>
        <w:tc>
          <w:tcPr>
            <w:tcW w:type="dxa" w:w="7200"/>
            <w:vAlign w:val="center"/>
          </w:tcPr>
          <w:p>
            <w:r/>
            <w:r>
              <w:rPr>
                <w:rFonts w:ascii="Aptos" w:hAnsi="Aptos"/>
                <w:b w:val="0"/>
                <w:sz w:val="15"/>
              </w:rPr>
              <w:t>Valor, vigencia, versión, fuente y responsable de administración.</w:t>
            </w:r>
          </w:p>
        </w:tc>
      </w:tr>
    </w:tbl>
    <w:p/>
    <w:p>
      <w:r>
        <w:br w:type="page"/>
      </w:r>
    </w:p>
    <w:p>
      <w:pPr>
        <w:pStyle w:val="Heading1"/>
      </w:pPr>
      <w:r>
        <w:t>14. Casos de uso prioritarios para la siguiente fase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08"/>
            <w:vAlign w:val="center"/>
            <w:shd w:fill="1F4E79"/>
          </w:tcPr>
          <w:p>
            <w:r/>
            <w:r>
              <w:rPr>
                <w:rFonts w:ascii="Aptos" w:hAnsi="Aptos"/>
                <w:b/>
                <w:color w:val="FFFFFF"/>
                <w:sz w:val="15"/>
              </w:rPr>
              <w:t>ID</w:t>
            </w:r>
          </w:p>
        </w:tc>
        <w:tc>
          <w:tcPr>
            <w:tcW w:type="dxa" w:w="2880"/>
            <w:vAlign w:val="center"/>
            <w:shd w:fill="1F4E79"/>
          </w:tcPr>
          <w:p>
            <w:r/>
            <w:r>
              <w:rPr>
                <w:rFonts w:ascii="Aptos" w:hAnsi="Aptos"/>
                <w:b/>
                <w:color w:val="FFFFFF"/>
                <w:sz w:val="15"/>
              </w:rPr>
              <w:t>Caso de uso</w:t>
            </w:r>
          </w:p>
        </w:tc>
        <w:tc>
          <w:tcPr>
            <w:tcW w:type="dxa" w:w="2448"/>
            <w:vAlign w:val="center"/>
            <w:shd w:fill="1F4E79"/>
          </w:tcPr>
          <w:p>
            <w:r/>
            <w:r>
              <w:rPr>
                <w:rFonts w:ascii="Aptos" w:hAnsi="Aptos"/>
                <w:b/>
                <w:color w:val="FFFFFF"/>
                <w:sz w:val="15"/>
              </w:rPr>
              <w:t>Actor</w:t>
            </w:r>
          </w:p>
        </w:tc>
        <w:tc>
          <w:tcPr>
            <w:tcW w:type="dxa" w:w="4320"/>
            <w:vAlign w:val="center"/>
            <w:shd w:fill="1F4E79"/>
          </w:tcPr>
          <w:p>
            <w:r/>
            <w:r>
              <w:rPr>
                <w:rFonts w:ascii="Aptos" w:hAnsi="Aptos"/>
                <w:b/>
                <w:color w:val="FFFFFF"/>
                <w:sz w:val="15"/>
              </w:rPr>
              <w:t>Objetivo</w:t>
            </w:r>
          </w:p>
        </w:tc>
      </w:tr>
      <w:tr>
        <w:tc>
          <w:tcPr>
            <w:tcW w:type="dxa" w:w="1008"/>
            <w:vAlign w:val="center"/>
          </w:tcPr>
          <w:p>
            <w:r/>
            <w:r>
              <w:rPr>
                <w:rFonts w:ascii="Aptos" w:hAnsi="Aptos"/>
                <w:b w:val="0"/>
                <w:sz w:val="15"/>
              </w:rPr>
              <w:t>CU-01</w:t>
            </w:r>
          </w:p>
        </w:tc>
        <w:tc>
          <w:tcPr>
            <w:tcW w:type="dxa" w:w="2880"/>
            <w:vAlign w:val="center"/>
          </w:tcPr>
          <w:p>
            <w:r/>
            <w:r>
              <w:rPr>
                <w:rFonts w:ascii="Aptos" w:hAnsi="Aptos"/>
                <w:b w:val="0"/>
                <w:sz w:val="15"/>
              </w:rPr>
              <w:t>Inscribir Empresa</w:t>
            </w:r>
          </w:p>
        </w:tc>
        <w:tc>
          <w:tcPr>
            <w:tcW w:type="dxa" w:w="2448"/>
            <w:vAlign w:val="center"/>
          </w:tcPr>
          <w:p>
            <w:r/>
            <w:r>
              <w:rPr>
                <w:rFonts w:ascii="Aptos" w:hAnsi="Aptos"/>
                <w:b w:val="0"/>
                <w:sz w:val="15"/>
              </w:rPr>
              <w:t>Empresa</w:t>
            </w:r>
          </w:p>
        </w:tc>
        <w:tc>
          <w:tcPr>
            <w:tcW w:type="dxa" w:w="4320"/>
            <w:vAlign w:val="center"/>
          </w:tcPr>
          <w:p>
            <w:r/>
            <w:r>
              <w:rPr>
                <w:rFonts w:ascii="Aptos" w:hAnsi="Aptos"/>
                <w:b w:val="0"/>
                <w:sz w:val="15"/>
              </w:rPr>
              <w:t>Capturar datos, documentos, domicilio, actividad, auditor y obtener acuse/acceso.</w:t>
            </w:r>
          </w:p>
        </w:tc>
      </w:tr>
      <w:tr>
        <w:tc>
          <w:tcPr>
            <w:tcW w:type="dxa" w:w="1008"/>
            <w:vAlign w:val="center"/>
          </w:tcPr>
          <w:p>
            <w:r/>
            <w:r>
              <w:rPr>
                <w:rFonts w:ascii="Aptos" w:hAnsi="Aptos"/>
                <w:b w:val="0"/>
                <w:sz w:val="15"/>
              </w:rPr>
              <w:t>CU-02</w:t>
            </w:r>
          </w:p>
        </w:tc>
        <w:tc>
          <w:tcPr>
            <w:tcW w:type="dxa" w:w="2880"/>
            <w:vAlign w:val="center"/>
          </w:tcPr>
          <w:p>
            <w:r/>
            <w:r>
              <w:rPr>
                <w:rFonts w:ascii="Aptos" w:hAnsi="Aptos"/>
                <w:b w:val="0"/>
                <w:sz w:val="15"/>
              </w:rPr>
              <w:t>Inscribir Auditor</w:t>
            </w:r>
          </w:p>
        </w:tc>
        <w:tc>
          <w:tcPr>
            <w:tcW w:type="dxa" w:w="2448"/>
            <w:vAlign w:val="center"/>
          </w:tcPr>
          <w:p>
            <w:r/>
            <w:r>
              <w:rPr>
                <w:rFonts w:ascii="Aptos" w:hAnsi="Aptos"/>
                <w:b w:val="0"/>
                <w:sz w:val="15"/>
              </w:rPr>
              <w:t>Auditor</w:t>
            </w:r>
          </w:p>
        </w:tc>
        <w:tc>
          <w:tcPr>
            <w:tcW w:type="dxa" w:w="4320"/>
            <w:vAlign w:val="center"/>
          </w:tcPr>
          <w:p>
            <w:r/>
            <w:r>
              <w:rPr>
                <w:rFonts w:ascii="Aptos" w:hAnsi="Aptos"/>
                <w:b w:val="0"/>
                <w:sz w:val="15"/>
              </w:rPr>
              <w:t>Registrar datos, acreditación/aprobación, domicilio y obtener acceso.</w:t>
            </w:r>
          </w:p>
        </w:tc>
      </w:tr>
      <w:tr>
        <w:tc>
          <w:tcPr>
            <w:tcW w:type="dxa" w:w="1008"/>
            <w:vAlign w:val="center"/>
          </w:tcPr>
          <w:p>
            <w:r/>
            <w:r>
              <w:rPr>
                <w:rFonts w:ascii="Aptos" w:hAnsi="Aptos"/>
                <w:b w:val="0"/>
                <w:sz w:val="15"/>
              </w:rPr>
              <w:t>CU-03</w:t>
            </w:r>
          </w:p>
        </w:tc>
        <w:tc>
          <w:tcPr>
            <w:tcW w:type="dxa" w:w="2880"/>
            <w:vAlign w:val="center"/>
          </w:tcPr>
          <w:p>
            <w:r/>
            <w:r>
              <w:rPr>
                <w:rFonts w:ascii="Aptos" w:hAnsi="Aptos"/>
                <w:b w:val="0"/>
                <w:sz w:val="15"/>
              </w:rPr>
              <w:t>Iniciar trámite</w:t>
            </w:r>
          </w:p>
        </w:tc>
        <w:tc>
          <w:tcPr>
            <w:tcW w:type="dxa" w:w="2448"/>
            <w:vAlign w:val="center"/>
          </w:tcPr>
          <w:p>
            <w:r/>
            <w:r>
              <w:rPr>
                <w:rFonts w:ascii="Aptos" w:hAnsi="Aptos"/>
                <w:b w:val="0"/>
                <w:sz w:val="15"/>
              </w:rPr>
              <w:t>Empresa / PROFEPA</w:t>
            </w:r>
          </w:p>
        </w:tc>
        <w:tc>
          <w:tcPr>
            <w:tcW w:type="dxa" w:w="4320"/>
            <w:vAlign w:val="center"/>
          </w:tcPr>
          <w:p>
            <w:r/>
            <w:r>
              <w:rPr>
                <w:rFonts w:ascii="Aptos" w:hAnsi="Aptos"/>
                <w:b w:val="0"/>
                <w:sz w:val="15"/>
              </w:rPr>
              <w:t>Crear solicitud y asociar instalación/certificado.</w:t>
            </w:r>
          </w:p>
        </w:tc>
      </w:tr>
      <w:tr>
        <w:tc>
          <w:tcPr>
            <w:tcW w:type="dxa" w:w="1008"/>
            <w:vAlign w:val="center"/>
          </w:tcPr>
          <w:p>
            <w:r/>
            <w:r>
              <w:rPr>
                <w:rFonts w:ascii="Aptos" w:hAnsi="Aptos"/>
                <w:b w:val="0"/>
                <w:sz w:val="15"/>
              </w:rPr>
              <w:t>CU-04</w:t>
            </w:r>
          </w:p>
        </w:tc>
        <w:tc>
          <w:tcPr>
            <w:tcW w:type="dxa" w:w="2880"/>
            <w:vAlign w:val="center"/>
          </w:tcPr>
          <w:p>
            <w:r/>
            <w:r>
              <w:rPr>
                <w:rFonts w:ascii="Aptos" w:hAnsi="Aptos"/>
                <w:b w:val="0"/>
                <w:sz w:val="15"/>
              </w:rPr>
              <w:t>Validar información</w:t>
            </w:r>
          </w:p>
        </w:tc>
        <w:tc>
          <w:tcPr>
            <w:tcW w:type="dxa" w:w="2448"/>
            <w:vAlign w:val="center"/>
          </w:tcPr>
          <w:p>
            <w:r/>
            <w:r>
              <w:rPr>
                <w:rFonts w:ascii="Aptos" w:hAnsi="Aptos"/>
                <w:b w:val="0"/>
                <w:sz w:val="15"/>
              </w:rPr>
              <w:t>Sistema / PROFEPA</w:t>
            </w:r>
          </w:p>
        </w:tc>
        <w:tc>
          <w:tcPr>
            <w:tcW w:type="dxa" w:w="4320"/>
            <w:vAlign w:val="center"/>
          </w:tcPr>
          <w:p>
            <w:r/>
            <w:r>
              <w:rPr>
                <w:rFonts w:ascii="Aptos" w:hAnsi="Aptos"/>
                <w:b w:val="0"/>
                <w:sz w:val="15"/>
              </w:rPr>
              <w:t>Ejecutar reglas y consultas externas.</w:t>
            </w:r>
          </w:p>
        </w:tc>
      </w:tr>
      <w:tr>
        <w:tc>
          <w:tcPr>
            <w:tcW w:type="dxa" w:w="1008"/>
            <w:vAlign w:val="center"/>
          </w:tcPr>
          <w:p>
            <w:r/>
            <w:r>
              <w:rPr>
                <w:rFonts w:ascii="Aptos" w:hAnsi="Aptos"/>
                <w:b w:val="0"/>
                <w:sz w:val="15"/>
              </w:rPr>
              <w:t>CU-05</w:t>
            </w:r>
          </w:p>
        </w:tc>
        <w:tc>
          <w:tcPr>
            <w:tcW w:type="dxa" w:w="2880"/>
            <w:vAlign w:val="center"/>
          </w:tcPr>
          <w:p>
            <w:r/>
            <w:r>
              <w:rPr>
                <w:rFonts w:ascii="Aptos" w:hAnsi="Aptos"/>
                <w:b w:val="0"/>
                <w:sz w:val="15"/>
              </w:rPr>
              <w:t>Revisar expediente</w:t>
            </w:r>
          </w:p>
        </w:tc>
        <w:tc>
          <w:tcPr>
            <w:tcW w:type="dxa" w:w="2448"/>
            <w:vAlign w:val="center"/>
          </w:tcPr>
          <w:p>
            <w:r/>
            <w:r>
              <w:rPr>
                <w:rFonts w:ascii="Aptos" w:hAnsi="Aptos"/>
                <w:b w:val="0"/>
                <w:sz w:val="15"/>
              </w:rPr>
              <w:t>Personal SPA</w:t>
            </w:r>
          </w:p>
        </w:tc>
        <w:tc>
          <w:tcPr>
            <w:tcW w:type="dxa" w:w="4320"/>
            <w:vAlign w:val="center"/>
          </w:tcPr>
          <w:p>
            <w:r/>
            <w:r>
              <w:rPr>
                <w:rFonts w:ascii="Aptos" w:hAnsi="Aptos"/>
                <w:b w:val="0"/>
                <w:sz w:val="15"/>
              </w:rPr>
              <w:t>Consultar expediente, evidencias y resultados de validación.</w:t>
            </w:r>
          </w:p>
        </w:tc>
      </w:tr>
      <w:tr>
        <w:tc>
          <w:tcPr>
            <w:tcW w:type="dxa" w:w="1008"/>
            <w:vAlign w:val="center"/>
          </w:tcPr>
          <w:p>
            <w:r/>
            <w:r>
              <w:rPr>
                <w:rFonts w:ascii="Aptos" w:hAnsi="Aptos"/>
                <w:b w:val="0"/>
                <w:sz w:val="15"/>
              </w:rPr>
              <w:t>CU-06</w:t>
            </w:r>
          </w:p>
        </w:tc>
        <w:tc>
          <w:tcPr>
            <w:tcW w:type="dxa" w:w="2880"/>
            <w:vAlign w:val="center"/>
          </w:tcPr>
          <w:p>
            <w:r/>
            <w:r>
              <w:rPr>
                <w:rFonts w:ascii="Aptos" w:hAnsi="Aptos"/>
                <w:b w:val="0"/>
                <w:sz w:val="15"/>
              </w:rPr>
              <w:t>Emitir prevención</w:t>
            </w:r>
          </w:p>
        </w:tc>
        <w:tc>
          <w:tcPr>
            <w:tcW w:type="dxa" w:w="2448"/>
            <w:vAlign w:val="center"/>
          </w:tcPr>
          <w:p>
            <w:r/>
            <w:r>
              <w:rPr>
                <w:rFonts w:ascii="Aptos" w:hAnsi="Aptos"/>
                <w:b w:val="0"/>
                <w:sz w:val="15"/>
              </w:rPr>
              <w:t>Personal SPA</w:t>
            </w:r>
          </w:p>
        </w:tc>
        <w:tc>
          <w:tcPr>
            <w:tcW w:type="dxa" w:w="4320"/>
            <w:vAlign w:val="center"/>
          </w:tcPr>
          <w:p>
            <w:r/>
            <w:r>
              <w:rPr>
                <w:rFonts w:ascii="Aptos" w:hAnsi="Aptos"/>
                <w:b w:val="0"/>
                <w:sz w:val="15"/>
              </w:rPr>
              <w:t>Registrar observaciones, notificar y controlar plazo.</w:t>
            </w:r>
          </w:p>
        </w:tc>
      </w:tr>
      <w:tr>
        <w:tc>
          <w:tcPr>
            <w:tcW w:type="dxa" w:w="1008"/>
            <w:vAlign w:val="center"/>
          </w:tcPr>
          <w:p>
            <w:r/>
            <w:r>
              <w:rPr>
                <w:rFonts w:ascii="Aptos" w:hAnsi="Aptos"/>
                <w:b w:val="0"/>
                <w:sz w:val="15"/>
              </w:rPr>
              <w:t>CU-07</w:t>
            </w:r>
          </w:p>
        </w:tc>
        <w:tc>
          <w:tcPr>
            <w:tcW w:type="dxa" w:w="2880"/>
            <w:vAlign w:val="center"/>
          </w:tcPr>
          <w:p>
            <w:r/>
            <w:r>
              <w:rPr>
                <w:rFonts w:ascii="Aptos" w:hAnsi="Aptos"/>
                <w:b w:val="0"/>
                <w:sz w:val="15"/>
              </w:rPr>
              <w:t>Subsanar prevención</w:t>
            </w:r>
          </w:p>
        </w:tc>
        <w:tc>
          <w:tcPr>
            <w:tcW w:type="dxa" w:w="2448"/>
            <w:vAlign w:val="center"/>
          </w:tcPr>
          <w:p>
            <w:r/>
            <w:r>
              <w:rPr>
                <w:rFonts w:ascii="Aptos" w:hAnsi="Aptos"/>
                <w:b w:val="0"/>
                <w:sz w:val="15"/>
              </w:rPr>
              <w:t>Empresa</w:t>
            </w:r>
          </w:p>
        </w:tc>
        <w:tc>
          <w:tcPr>
            <w:tcW w:type="dxa" w:w="4320"/>
            <w:vAlign w:val="center"/>
          </w:tcPr>
          <w:p>
            <w:r/>
            <w:r>
              <w:rPr>
                <w:rFonts w:ascii="Aptos" w:hAnsi="Aptos"/>
                <w:b w:val="0"/>
                <w:sz w:val="15"/>
              </w:rPr>
              <w:t>Corregir datos/documentos y reenviar.</w:t>
            </w:r>
          </w:p>
        </w:tc>
      </w:tr>
      <w:tr>
        <w:tc>
          <w:tcPr>
            <w:tcW w:type="dxa" w:w="1008"/>
            <w:vAlign w:val="center"/>
          </w:tcPr>
          <w:p>
            <w:r/>
            <w:r>
              <w:rPr>
                <w:rFonts w:ascii="Aptos" w:hAnsi="Aptos"/>
                <w:b w:val="0"/>
                <w:sz w:val="15"/>
              </w:rPr>
              <w:t>CU-08</w:t>
            </w:r>
          </w:p>
        </w:tc>
        <w:tc>
          <w:tcPr>
            <w:tcW w:type="dxa" w:w="2880"/>
            <w:vAlign w:val="center"/>
          </w:tcPr>
          <w:p>
            <w:r/>
            <w:r>
              <w:rPr>
                <w:rFonts w:ascii="Aptos" w:hAnsi="Aptos"/>
                <w:b w:val="0"/>
                <w:sz w:val="15"/>
              </w:rPr>
              <w:t>Gestionar auditoría</w:t>
            </w:r>
          </w:p>
        </w:tc>
        <w:tc>
          <w:tcPr>
            <w:tcW w:type="dxa" w:w="2448"/>
            <w:vAlign w:val="center"/>
          </w:tcPr>
          <w:p>
            <w:r/>
            <w:r>
              <w:rPr>
                <w:rFonts w:ascii="Aptos" w:hAnsi="Aptos"/>
                <w:b w:val="0"/>
                <w:sz w:val="15"/>
              </w:rPr>
              <w:t>Auditor</w:t>
            </w:r>
          </w:p>
        </w:tc>
        <w:tc>
          <w:tcPr>
            <w:tcW w:type="dxa" w:w="4320"/>
            <w:vAlign w:val="center"/>
          </w:tcPr>
          <w:p>
            <w:r/>
            <w:r>
              <w:rPr>
                <w:rFonts w:ascii="Aptos" w:hAnsi="Aptos"/>
                <w:b w:val="0"/>
                <w:sz w:val="15"/>
              </w:rPr>
              <w:t>Registrar actividades, materias, evidencias, hallazgos y dictamen.</w:t>
            </w:r>
          </w:p>
        </w:tc>
      </w:tr>
      <w:tr>
        <w:tc>
          <w:tcPr>
            <w:tcW w:type="dxa" w:w="1008"/>
            <w:vAlign w:val="center"/>
          </w:tcPr>
          <w:p>
            <w:r/>
            <w:r>
              <w:rPr>
                <w:rFonts w:ascii="Aptos" w:hAnsi="Aptos"/>
                <w:b w:val="0"/>
                <w:sz w:val="15"/>
              </w:rPr>
              <w:t>CU-09</w:t>
            </w:r>
          </w:p>
        </w:tc>
        <w:tc>
          <w:tcPr>
            <w:tcW w:type="dxa" w:w="2880"/>
            <w:vAlign w:val="center"/>
          </w:tcPr>
          <w:p>
            <w:r/>
            <w:r>
              <w:rPr>
                <w:rFonts w:ascii="Aptos" w:hAnsi="Aptos"/>
                <w:b w:val="0"/>
                <w:sz w:val="15"/>
              </w:rPr>
              <w:t>Gestionar RDA</w:t>
            </w:r>
          </w:p>
        </w:tc>
        <w:tc>
          <w:tcPr>
            <w:tcW w:type="dxa" w:w="2448"/>
            <w:vAlign w:val="center"/>
          </w:tcPr>
          <w:p>
            <w:r/>
            <w:r>
              <w:rPr>
                <w:rFonts w:ascii="Aptos" w:hAnsi="Aptos"/>
                <w:b w:val="0"/>
                <w:sz w:val="15"/>
              </w:rPr>
              <w:t>Empresa</w:t>
            </w:r>
          </w:p>
        </w:tc>
        <w:tc>
          <w:tcPr>
            <w:tcW w:type="dxa" w:w="4320"/>
            <w:vAlign w:val="center"/>
          </w:tcPr>
          <w:p>
            <w:r/>
            <w:r>
              <w:rPr>
                <w:rFonts w:ascii="Aptos" w:hAnsi="Aptos"/>
                <w:b w:val="0"/>
                <w:sz w:val="15"/>
              </w:rPr>
              <w:t>Capturar RDA, indicadores, manifestaciones y evidencias.</w:t>
            </w:r>
          </w:p>
        </w:tc>
      </w:tr>
      <w:tr>
        <w:tc>
          <w:tcPr>
            <w:tcW w:type="dxa" w:w="1008"/>
            <w:vAlign w:val="center"/>
          </w:tcPr>
          <w:p>
            <w:r/>
            <w:r>
              <w:rPr>
                <w:rFonts w:ascii="Aptos" w:hAnsi="Aptos"/>
                <w:b w:val="0"/>
                <w:sz w:val="15"/>
              </w:rPr>
              <w:t>CU-10</w:t>
            </w:r>
          </w:p>
        </w:tc>
        <w:tc>
          <w:tcPr>
            <w:tcW w:type="dxa" w:w="2880"/>
            <w:vAlign w:val="center"/>
          </w:tcPr>
          <w:p>
            <w:r/>
            <w:r>
              <w:rPr>
                <w:rFonts w:ascii="Aptos" w:hAnsi="Aptos"/>
                <w:b w:val="0"/>
                <w:sz w:val="15"/>
              </w:rPr>
              <w:t>Revisar RDA</w:t>
            </w:r>
          </w:p>
        </w:tc>
        <w:tc>
          <w:tcPr>
            <w:tcW w:type="dxa" w:w="2448"/>
            <w:vAlign w:val="center"/>
          </w:tcPr>
          <w:p>
            <w:r/>
            <w:r>
              <w:rPr>
                <w:rFonts w:ascii="Aptos" w:hAnsi="Aptos"/>
                <w:b w:val="0"/>
                <w:sz w:val="15"/>
              </w:rPr>
              <w:t>PROFEPA</w:t>
            </w:r>
          </w:p>
        </w:tc>
        <w:tc>
          <w:tcPr>
            <w:tcW w:type="dxa" w:w="4320"/>
            <w:vAlign w:val="center"/>
          </w:tcPr>
          <w:p>
            <w:r/>
            <w:r>
              <w:rPr>
                <w:rFonts w:ascii="Aptos" w:hAnsi="Aptos"/>
                <w:b w:val="0"/>
                <w:sz w:val="15"/>
              </w:rPr>
              <w:t>Validar contenido, evidencias, indicadores y condiciones.</w:t>
            </w:r>
          </w:p>
        </w:tc>
      </w:tr>
      <w:tr>
        <w:tc>
          <w:tcPr>
            <w:tcW w:type="dxa" w:w="1008"/>
            <w:vAlign w:val="center"/>
          </w:tcPr>
          <w:p>
            <w:r/>
            <w:r>
              <w:rPr>
                <w:rFonts w:ascii="Aptos" w:hAnsi="Aptos"/>
                <w:b w:val="0"/>
                <w:sz w:val="15"/>
              </w:rPr>
              <w:t>CU-11</w:t>
            </w:r>
          </w:p>
        </w:tc>
        <w:tc>
          <w:tcPr>
            <w:tcW w:type="dxa" w:w="2880"/>
            <w:vAlign w:val="center"/>
          </w:tcPr>
          <w:p>
            <w:r/>
            <w:r>
              <w:rPr>
                <w:rFonts w:ascii="Aptos" w:hAnsi="Aptos"/>
                <w:b w:val="0"/>
                <w:sz w:val="15"/>
              </w:rPr>
              <w:t>Actualizar indicadores anuales</w:t>
            </w:r>
          </w:p>
        </w:tc>
        <w:tc>
          <w:tcPr>
            <w:tcW w:type="dxa" w:w="2448"/>
            <w:vAlign w:val="center"/>
          </w:tcPr>
          <w:p>
            <w:r/>
            <w:r>
              <w:rPr>
                <w:rFonts w:ascii="Aptos" w:hAnsi="Aptos"/>
                <w:b w:val="0"/>
                <w:sz w:val="15"/>
              </w:rPr>
              <w:t>Empresa</w:t>
            </w:r>
          </w:p>
        </w:tc>
        <w:tc>
          <w:tcPr>
            <w:tcW w:type="dxa" w:w="4320"/>
            <w:vAlign w:val="center"/>
          </w:tcPr>
          <w:p>
            <w:r/>
            <w:r>
              <w:rPr>
                <w:rFonts w:ascii="Aptos" w:hAnsi="Aptos"/>
                <w:b w:val="0"/>
                <w:sz w:val="15"/>
              </w:rPr>
              <w:t>Capturar y presentar indicadores dentro del periodo requerido.</w:t>
            </w:r>
          </w:p>
        </w:tc>
      </w:tr>
      <w:tr>
        <w:tc>
          <w:tcPr>
            <w:tcW w:type="dxa" w:w="1008"/>
            <w:vAlign w:val="center"/>
          </w:tcPr>
          <w:p>
            <w:r/>
            <w:r>
              <w:rPr>
                <w:rFonts w:ascii="Aptos" w:hAnsi="Aptos"/>
                <w:b w:val="0"/>
                <w:sz w:val="15"/>
              </w:rPr>
              <w:t>CU-12</w:t>
            </w:r>
          </w:p>
        </w:tc>
        <w:tc>
          <w:tcPr>
            <w:tcW w:type="dxa" w:w="2880"/>
            <w:vAlign w:val="center"/>
          </w:tcPr>
          <w:p>
            <w:r/>
            <w:r>
              <w:rPr>
                <w:rFonts w:ascii="Aptos" w:hAnsi="Aptos"/>
                <w:b w:val="0"/>
                <w:sz w:val="15"/>
              </w:rPr>
              <w:t>Dar seguimiento</w:t>
            </w:r>
          </w:p>
        </w:tc>
        <w:tc>
          <w:tcPr>
            <w:tcW w:type="dxa" w:w="2448"/>
            <w:vAlign w:val="center"/>
          </w:tcPr>
          <w:p>
            <w:r/>
            <w:r>
              <w:rPr>
                <w:rFonts w:ascii="Aptos" w:hAnsi="Aptos"/>
                <w:b w:val="0"/>
                <w:sz w:val="15"/>
              </w:rPr>
              <w:t>PROFEPA</w:t>
            </w:r>
          </w:p>
        </w:tc>
        <w:tc>
          <w:tcPr>
            <w:tcW w:type="dxa" w:w="4320"/>
            <w:vAlign w:val="center"/>
          </w:tcPr>
          <w:p>
            <w:r/>
            <w:r>
              <w:rPr>
                <w:rFonts w:ascii="Aptos" w:hAnsi="Aptos"/>
                <w:b w:val="0"/>
                <w:sz w:val="15"/>
              </w:rPr>
              <w:t>Controlar plazos, tareas, verificaciones y compromisos.</w:t>
            </w:r>
          </w:p>
        </w:tc>
      </w:tr>
      <w:tr>
        <w:tc>
          <w:tcPr>
            <w:tcW w:type="dxa" w:w="1008"/>
            <w:vAlign w:val="center"/>
          </w:tcPr>
          <w:p>
            <w:r/>
            <w:r>
              <w:rPr>
                <w:rFonts w:ascii="Aptos" w:hAnsi="Aptos"/>
                <w:b w:val="0"/>
                <w:sz w:val="15"/>
              </w:rPr>
              <w:t>CU-13</w:t>
            </w:r>
          </w:p>
        </w:tc>
        <w:tc>
          <w:tcPr>
            <w:tcW w:type="dxa" w:w="2880"/>
            <w:vAlign w:val="center"/>
          </w:tcPr>
          <w:p>
            <w:r/>
            <w:r>
              <w:rPr>
                <w:rFonts w:ascii="Aptos" w:hAnsi="Aptos"/>
                <w:b w:val="0"/>
                <w:sz w:val="15"/>
              </w:rPr>
              <w:t>Emitir resolución/certificado</w:t>
            </w:r>
          </w:p>
        </w:tc>
        <w:tc>
          <w:tcPr>
            <w:tcW w:type="dxa" w:w="2448"/>
            <w:vAlign w:val="center"/>
          </w:tcPr>
          <w:p>
            <w:r/>
            <w:r>
              <w:rPr>
                <w:rFonts w:ascii="Aptos" w:hAnsi="Aptos"/>
                <w:b w:val="0"/>
                <w:sz w:val="15"/>
              </w:rPr>
              <w:t>PROFEPA</w:t>
            </w:r>
          </w:p>
        </w:tc>
        <w:tc>
          <w:tcPr>
            <w:tcW w:type="dxa" w:w="4320"/>
            <w:vAlign w:val="center"/>
          </w:tcPr>
          <w:p>
            <w:r/>
            <w:r>
              <w:rPr>
                <w:rFonts w:ascii="Aptos" w:hAnsi="Aptos"/>
                <w:b w:val="0"/>
                <w:sz w:val="15"/>
              </w:rPr>
              <w:t>Formalizar decisión y actualizar vigencia/estado.</w:t>
            </w:r>
          </w:p>
        </w:tc>
      </w:tr>
      <w:tr>
        <w:tc>
          <w:tcPr>
            <w:tcW w:type="dxa" w:w="1008"/>
            <w:vAlign w:val="center"/>
          </w:tcPr>
          <w:p>
            <w:r/>
            <w:r>
              <w:rPr>
                <w:rFonts w:ascii="Aptos" w:hAnsi="Aptos"/>
                <w:b w:val="0"/>
                <w:sz w:val="15"/>
              </w:rPr>
              <w:t>CU-14</w:t>
            </w:r>
          </w:p>
        </w:tc>
        <w:tc>
          <w:tcPr>
            <w:tcW w:type="dxa" w:w="2880"/>
            <w:vAlign w:val="center"/>
          </w:tcPr>
          <w:p>
            <w:r/>
            <w:r>
              <w:rPr>
                <w:rFonts w:ascii="Aptos" w:hAnsi="Aptos"/>
                <w:b w:val="0"/>
                <w:sz w:val="15"/>
              </w:rPr>
              <w:t>Consultar trazabilidad</w:t>
            </w:r>
          </w:p>
        </w:tc>
        <w:tc>
          <w:tcPr>
            <w:tcW w:type="dxa" w:w="2448"/>
            <w:vAlign w:val="center"/>
          </w:tcPr>
          <w:p>
            <w:r/>
            <w:r>
              <w:rPr>
                <w:rFonts w:ascii="Aptos" w:hAnsi="Aptos"/>
                <w:b w:val="0"/>
                <w:sz w:val="15"/>
              </w:rPr>
              <w:t>Supervisor/Auditor</w:t>
            </w:r>
          </w:p>
        </w:tc>
        <w:tc>
          <w:tcPr>
            <w:tcW w:type="dxa" w:w="4320"/>
            <w:vAlign w:val="center"/>
          </w:tcPr>
          <w:p>
            <w:r/>
            <w:r>
              <w:rPr>
                <w:rFonts w:ascii="Aptos" w:hAnsi="Aptos"/>
                <w:b w:val="0"/>
                <w:sz w:val="15"/>
              </w:rPr>
              <w:t>Reconstruir historial sin modificarlo.</w:t>
            </w:r>
          </w:p>
        </w:tc>
      </w:tr>
      <w:tr>
        <w:tc>
          <w:tcPr>
            <w:tcW w:type="dxa" w:w="1008"/>
            <w:vAlign w:val="center"/>
          </w:tcPr>
          <w:p>
            <w:r/>
            <w:r>
              <w:rPr>
                <w:rFonts w:ascii="Aptos" w:hAnsi="Aptos"/>
                <w:b w:val="0"/>
                <w:sz w:val="15"/>
              </w:rPr>
              <w:t>CU-15</w:t>
            </w:r>
          </w:p>
        </w:tc>
        <w:tc>
          <w:tcPr>
            <w:tcW w:type="dxa" w:w="2880"/>
            <w:vAlign w:val="center"/>
          </w:tcPr>
          <w:p>
            <w:r/>
            <w:r>
              <w:rPr>
                <w:rFonts w:ascii="Aptos" w:hAnsi="Aptos"/>
                <w:b w:val="0"/>
                <w:sz w:val="15"/>
              </w:rPr>
              <w:t>Generar reporte</w:t>
            </w:r>
          </w:p>
        </w:tc>
        <w:tc>
          <w:tcPr>
            <w:tcW w:type="dxa" w:w="2448"/>
            <w:vAlign w:val="center"/>
          </w:tcPr>
          <w:p>
            <w:r/>
            <w:r>
              <w:rPr>
                <w:rFonts w:ascii="Aptos" w:hAnsi="Aptos"/>
                <w:b w:val="0"/>
                <w:sz w:val="15"/>
              </w:rPr>
              <w:t>Usuario autorizado</w:t>
            </w:r>
          </w:p>
        </w:tc>
        <w:tc>
          <w:tcPr>
            <w:tcW w:type="dxa" w:w="4320"/>
            <w:vAlign w:val="center"/>
          </w:tcPr>
          <w:p>
            <w:r/>
            <w:r>
              <w:rPr>
                <w:rFonts w:ascii="Aptos" w:hAnsi="Aptos"/>
                <w:b w:val="0"/>
                <w:sz w:val="15"/>
              </w:rPr>
              <w:t>Obtener información operativa, ejecutiva o regulatoria.</w:t>
            </w:r>
          </w:p>
        </w:tc>
      </w:tr>
    </w:tbl>
    <w:p/>
    <w:p>
      <w:r>
        <w:br w:type="page"/>
      </w:r>
    </w:p>
    <w:p>
      <w:pPr>
        <w:pStyle w:val="Heading1"/>
      </w:pPr>
      <w:r>
        <w:t>15. Priorización recomendada</w:t>
      </w:r>
    </w:p>
    <w:p>
      <w:r>
        <w:t>Se recomienda una estrategia por capacidades, no por pantallas.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9"/>
          </w:tcPr>
          <w:p>
            <w:r/>
            <w:r>
              <w:rPr>
                <w:rFonts w:ascii="Aptos" w:hAnsi="Aptos"/>
                <w:b/>
                <w:color w:val="FFFFFF"/>
                <w:sz w:val="15"/>
              </w:rPr>
              <w:t>Fase</w:t>
            </w:r>
          </w:p>
        </w:tc>
        <w:tc>
          <w:tcPr>
            <w:tcW w:type="dxa" w:w="4320"/>
            <w:vAlign w:val="center"/>
            <w:shd w:fill="1F4E79"/>
          </w:tcPr>
          <w:p>
            <w:r/>
            <w:r>
              <w:rPr>
                <w:rFonts w:ascii="Aptos" w:hAnsi="Aptos"/>
                <w:b/>
                <w:color w:val="FFFFFF"/>
                <w:sz w:val="15"/>
              </w:rPr>
              <w:t>Capacidades</w:t>
            </w:r>
          </w:p>
        </w:tc>
        <w:tc>
          <w:tcPr>
            <w:tcW w:type="dxa" w:w="3600"/>
            <w:vAlign w:val="center"/>
            <w:shd w:fill="1F4E79"/>
          </w:tcPr>
          <w:p>
            <w:r/>
            <w:r>
              <w:rPr>
                <w:rFonts w:ascii="Aptos" w:hAnsi="Aptos"/>
                <w:b/>
                <w:color w:val="FFFFFF"/>
                <w:sz w:val="15"/>
              </w:rPr>
              <w:t>Resultado esperado</w:t>
            </w:r>
          </w:p>
        </w:tc>
      </w:tr>
      <w:tr>
        <w:tc>
          <w:tcPr>
            <w:tcW w:type="dxa" w:w="2160"/>
            <w:vAlign w:val="center"/>
          </w:tcPr>
          <w:p>
            <w:r/>
            <w:r>
              <w:rPr>
                <w:rFonts w:ascii="Aptos" w:hAnsi="Aptos"/>
                <w:b w:val="0"/>
                <w:sz w:val="15"/>
              </w:rPr>
              <w:t>Fase 0 — Descubrimiento</w:t>
            </w:r>
          </w:p>
        </w:tc>
        <w:tc>
          <w:tcPr>
            <w:tcW w:type="dxa" w:w="4320"/>
            <w:vAlign w:val="center"/>
          </w:tcPr>
          <w:p>
            <w:r/>
            <w:r>
              <w:rPr>
                <w:rFonts w:ascii="Aptos" w:hAnsi="Aptos"/>
                <w:b w:val="0"/>
                <w:sz w:val="15"/>
              </w:rPr>
              <w:t>Inventario AS-IS, procesos, actores, reglas, datos, integraciones y normativa aplicable</w:t>
            </w:r>
          </w:p>
        </w:tc>
        <w:tc>
          <w:tcPr>
            <w:tcW w:type="dxa" w:w="3600"/>
            <w:vAlign w:val="center"/>
          </w:tcPr>
          <w:p>
            <w:r/>
            <w:r>
              <w:rPr>
                <w:rFonts w:ascii="Aptos" w:hAnsi="Aptos"/>
                <w:b w:val="0"/>
                <w:sz w:val="15"/>
              </w:rPr>
              <w:t>Línea base validada y catálogo de requerimientos.</w:t>
            </w:r>
          </w:p>
        </w:tc>
      </w:tr>
      <w:tr>
        <w:tc>
          <w:tcPr>
            <w:tcW w:type="dxa" w:w="2160"/>
            <w:vAlign w:val="center"/>
          </w:tcPr>
          <w:p>
            <w:r/>
            <w:r>
              <w:rPr>
                <w:rFonts w:ascii="Aptos" w:hAnsi="Aptos"/>
                <w:b w:val="0"/>
                <w:sz w:val="15"/>
              </w:rPr>
              <w:t>Fase 1 — Núcleo</w:t>
            </w:r>
          </w:p>
        </w:tc>
        <w:tc>
          <w:tcPr>
            <w:tcW w:type="dxa" w:w="4320"/>
            <w:vAlign w:val="center"/>
          </w:tcPr>
          <w:p>
            <w:r/>
            <w:r>
              <w:rPr>
                <w:rFonts w:ascii="Aptos" w:hAnsi="Aptos"/>
                <w:b w:val="0"/>
                <w:sz w:val="15"/>
              </w:rPr>
              <w:t>Usuarios, roles, empresas, instalaciones, auditores, catálogos, expediente, documentos, bitácora</w:t>
            </w:r>
          </w:p>
        </w:tc>
        <w:tc>
          <w:tcPr>
            <w:tcW w:type="dxa" w:w="3600"/>
            <w:vAlign w:val="center"/>
          </w:tcPr>
          <w:p>
            <w:r/>
            <w:r>
              <w:rPr>
                <w:rFonts w:ascii="Aptos" w:hAnsi="Aptos"/>
                <w:b w:val="0"/>
                <w:sz w:val="15"/>
              </w:rPr>
              <w:t>Plataforma transversal reutilizable.</w:t>
            </w:r>
          </w:p>
        </w:tc>
      </w:tr>
      <w:tr>
        <w:tc>
          <w:tcPr>
            <w:tcW w:type="dxa" w:w="2160"/>
            <w:vAlign w:val="center"/>
          </w:tcPr>
          <w:p>
            <w:r/>
            <w:r>
              <w:rPr>
                <w:rFonts w:ascii="Aptos" w:hAnsi="Aptos"/>
                <w:b w:val="0"/>
                <w:sz w:val="15"/>
              </w:rPr>
              <w:t>Fase 2 — Trámites</w:t>
            </w:r>
          </w:p>
        </w:tc>
        <w:tc>
          <w:tcPr>
            <w:tcW w:type="dxa" w:w="4320"/>
            <w:vAlign w:val="center"/>
          </w:tcPr>
          <w:p>
            <w:r/>
            <w:r>
              <w:rPr>
                <w:rFonts w:ascii="Aptos" w:hAnsi="Aptos"/>
                <w:b w:val="0"/>
                <w:sz w:val="15"/>
              </w:rPr>
              <w:t>Solicitud, validación, prevención, subsanación, resolución y notificaciones</w:t>
            </w:r>
          </w:p>
        </w:tc>
        <w:tc>
          <w:tcPr>
            <w:tcW w:type="dxa" w:w="3600"/>
            <w:vAlign w:val="center"/>
          </w:tcPr>
          <w:p>
            <w:r/>
            <w:r>
              <w:rPr>
                <w:rFonts w:ascii="Aptos" w:hAnsi="Aptos"/>
                <w:b w:val="0"/>
                <w:sz w:val="15"/>
              </w:rPr>
              <w:t>Digitalización integral del ciclo de trámite.</w:t>
            </w:r>
          </w:p>
        </w:tc>
      </w:tr>
      <w:tr>
        <w:tc>
          <w:tcPr>
            <w:tcW w:type="dxa" w:w="2160"/>
            <w:vAlign w:val="center"/>
          </w:tcPr>
          <w:p>
            <w:r/>
            <w:r>
              <w:rPr>
                <w:rFonts w:ascii="Aptos" w:hAnsi="Aptos"/>
                <w:b w:val="0"/>
                <w:sz w:val="15"/>
              </w:rPr>
              <w:t>Fase 3 — Auditoría/RDA</w:t>
            </w:r>
          </w:p>
        </w:tc>
        <w:tc>
          <w:tcPr>
            <w:tcW w:type="dxa" w:w="4320"/>
            <w:vAlign w:val="center"/>
          </w:tcPr>
          <w:p>
            <w:r/>
            <w:r>
              <w:rPr>
                <w:rFonts w:ascii="Aptos" w:hAnsi="Aptos"/>
                <w:b w:val="0"/>
                <w:sz w:val="15"/>
              </w:rPr>
              <w:t>Auditoría, evidencias, indicadores, RDA, renovación y seguimiento anual</w:t>
            </w:r>
          </w:p>
        </w:tc>
        <w:tc>
          <w:tcPr>
            <w:tcW w:type="dxa" w:w="3600"/>
            <w:vAlign w:val="center"/>
          </w:tcPr>
          <w:p>
            <w:r/>
            <w:r>
              <w:rPr>
                <w:rFonts w:ascii="Aptos" w:hAnsi="Aptos"/>
                <w:b w:val="0"/>
                <w:sz w:val="15"/>
              </w:rPr>
              <w:t>Cobertura de los procesos sustantivos prioritarios.</w:t>
            </w:r>
          </w:p>
        </w:tc>
      </w:tr>
      <w:tr>
        <w:tc>
          <w:tcPr>
            <w:tcW w:type="dxa" w:w="2160"/>
            <w:vAlign w:val="center"/>
          </w:tcPr>
          <w:p>
            <w:r/>
            <w:r>
              <w:rPr>
                <w:rFonts w:ascii="Aptos" w:hAnsi="Aptos"/>
                <w:b w:val="0"/>
                <w:sz w:val="15"/>
              </w:rPr>
              <w:t>Fase 4 — Integraciones</w:t>
            </w:r>
          </w:p>
        </w:tc>
        <w:tc>
          <w:tcPr>
            <w:tcW w:type="dxa" w:w="4320"/>
            <w:vAlign w:val="center"/>
          </w:tcPr>
          <w:p>
            <w:r/>
            <w:r>
              <w:rPr>
                <w:rFonts w:ascii="Aptos" w:hAnsi="Aptos"/>
                <w:b w:val="0"/>
                <w:sz w:val="15"/>
              </w:rPr>
              <w:t>EMA, CONANP, CONABIO, CONAGUA, SEMARNAT, SEPOMEX y otras</w:t>
            </w:r>
          </w:p>
        </w:tc>
        <w:tc>
          <w:tcPr>
            <w:tcW w:type="dxa" w:w="3600"/>
            <w:vAlign w:val="center"/>
          </w:tcPr>
          <w:p>
            <w:r/>
            <w:r>
              <w:rPr>
                <w:rFonts w:ascii="Aptos" w:hAnsi="Aptos"/>
                <w:b w:val="0"/>
                <w:sz w:val="15"/>
              </w:rPr>
              <w:t>Validaciones y precarga automáticas.</w:t>
            </w:r>
          </w:p>
        </w:tc>
      </w:tr>
      <w:tr>
        <w:tc>
          <w:tcPr>
            <w:tcW w:type="dxa" w:w="2160"/>
            <w:vAlign w:val="center"/>
          </w:tcPr>
          <w:p>
            <w:r/>
            <w:r>
              <w:rPr>
                <w:rFonts w:ascii="Aptos" w:hAnsi="Aptos"/>
                <w:b w:val="0"/>
                <w:sz w:val="15"/>
              </w:rPr>
              <w:t>Fase 5 — Analítica</w:t>
            </w:r>
          </w:p>
        </w:tc>
        <w:tc>
          <w:tcPr>
            <w:tcW w:type="dxa" w:w="4320"/>
            <w:vAlign w:val="center"/>
          </w:tcPr>
          <w:p>
            <w:r/>
            <w:r>
              <w:rPr>
                <w:rFonts w:ascii="Aptos" w:hAnsi="Aptos"/>
                <w:b w:val="0"/>
                <w:sz w:val="15"/>
              </w:rPr>
              <w:t>Tableros, indicadores de gestión, explotación histórica</w:t>
            </w:r>
          </w:p>
        </w:tc>
        <w:tc>
          <w:tcPr>
            <w:tcW w:type="dxa" w:w="3600"/>
            <w:vAlign w:val="center"/>
          </w:tcPr>
          <w:p>
            <w:r/>
            <w:r>
              <w:rPr>
                <w:rFonts w:ascii="Aptos" w:hAnsi="Aptos"/>
                <w:b w:val="0"/>
                <w:sz w:val="15"/>
              </w:rPr>
              <w:t>Información oportuna para supervisión y dirección.</w:t>
            </w:r>
          </w:p>
        </w:tc>
      </w:tr>
    </w:tbl>
    <w:p/>
    <w:p>
      <w:r>
        <w:br w:type="page"/>
      </w:r>
    </w:p>
    <w:p>
      <w:pPr>
        <w:pStyle w:val="Heading1"/>
      </w:pPr>
      <w:r>
        <w:t>16. Vacíos y temas que deben resolverse antes del desarrollo</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1F4E79"/>
          </w:tcPr>
          <w:p>
            <w:r/>
            <w:r>
              <w:rPr>
                <w:rFonts w:ascii="Aptos" w:hAnsi="Aptos"/>
                <w:b/>
                <w:color w:val="FFFFFF"/>
                <w:sz w:val="15"/>
              </w:rPr>
              <w:t>ID</w:t>
            </w:r>
          </w:p>
        </w:tc>
        <w:tc>
          <w:tcPr>
            <w:tcW w:type="dxa" w:w="2880"/>
            <w:vAlign w:val="center"/>
            <w:shd w:fill="1F4E79"/>
          </w:tcPr>
          <w:p>
            <w:r/>
            <w:r>
              <w:rPr>
                <w:rFonts w:ascii="Aptos" w:hAnsi="Aptos"/>
                <w:b/>
                <w:color w:val="FFFFFF"/>
                <w:sz w:val="15"/>
              </w:rPr>
              <w:t>Tema</w:t>
            </w:r>
          </w:p>
        </w:tc>
        <w:tc>
          <w:tcPr>
            <w:tcW w:type="dxa" w:w="6192"/>
            <w:vAlign w:val="center"/>
            <w:shd w:fill="1F4E79"/>
          </w:tcPr>
          <w:p>
            <w:r/>
            <w:r>
              <w:rPr>
                <w:rFonts w:ascii="Aptos" w:hAnsi="Aptos"/>
                <w:b/>
                <w:color w:val="FFFFFF"/>
                <w:sz w:val="15"/>
              </w:rPr>
              <w:t>Definición pendiente</w:t>
            </w:r>
          </w:p>
        </w:tc>
      </w:tr>
      <w:tr>
        <w:tc>
          <w:tcPr>
            <w:tcW w:type="dxa" w:w="1008"/>
            <w:vAlign w:val="center"/>
          </w:tcPr>
          <w:p>
            <w:r/>
            <w:r>
              <w:rPr>
                <w:rFonts w:ascii="Aptos" w:hAnsi="Aptos"/>
                <w:b w:val="0"/>
                <w:sz w:val="15"/>
              </w:rPr>
              <w:t>G-01</w:t>
            </w:r>
          </w:p>
        </w:tc>
        <w:tc>
          <w:tcPr>
            <w:tcW w:type="dxa" w:w="2880"/>
            <w:vAlign w:val="center"/>
          </w:tcPr>
          <w:p>
            <w:r/>
            <w:r>
              <w:rPr>
                <w:rFonts w:ascii="Aptos" w:hAnsi="Aptos"/>
                <w:b w:val="0"/>
                <w:sz w:val="15"/>
              </w:rPr>
              <w:t>Alcance exacto de Plataforma Integral de PROFEPA 1.0</w:t>
            </w:r>
          </w:p>
        </w:tc>
        <w:tc>
          <w:tcPr>
            <w:tcW w:type="dxa" w:w="6192"/>
            <w:vAlign w:val="center"/>
          </w:tcPr>
          <w:p>
            <w:r/>
            <w:r>
              <w:rPr>
                <w:rFonts w:ascii="Aptos" w:hAnsi="Aptos"/>
                <w:b w:val="0"/>
                <w:sz w:val="15"/>
              </w:rPr>
              <w:t>Definir catálogo completo de procesos/trámites incluidos en la primera versión.</w:t>
            </w:r>
          </w:p>
        </w:tc>
      </w:tr>
      <w:tr>
        <w:tc>
          <w:tcPr>
            <w:tcW w:type="dxa" w:w="1008"/>
            <w:vAlign w:val="center"/>
          </w:tcPr>
          <w:p>
            <w:r/>
            <w:r>
              <w:rPr>
                <w:rFonts w:ascii="Aptos" w:hAnsi="Aptos"/>
                <w:b w:val="0"/>
                <w:sz w:val="15"/>
              </w:rPr>
              <w:t>G-02</w:t>
            </w:r>
          </w:p>
        </w:tc>
        <w:tc>
          <w:tcPr>
            <w:tcW w:type="dxa" w:w="2880"/>
            <w:vAlign w:val="center"/>
          </w:tcPr>
          <w:p>
            <w:r/>
            <w:r>
              <w:rPr>
                <w:rFonts w:ascii="Aptos" w:hAnsi="Aptos"/>
                <w:b w:val="0"/>
                <w:sz w:val="15"/>
              </w:rPr>
              <w:t>Normativa vigente</w:t>
            </w:r>
          </w:p>
        </w:tc>
        <w:tc>
          <w:tcPr>
            <w:tcW w:type="dxa" w:w="6192"/>
            <w:vAlign w:val="center"/>
          </w:tcPr>
          <w:p>
            <w:r/>
            <w:r>
              <w:rPr>
                <w:rFonts w:ascii="Aptos" w:hAnsi="Aptos"/>
                <w:b w:val="0"/>
                <w:sz w:val="15"/>
              </w:rPr>
              <w:t>Validar la vigencia y sustitución de las normas/documentos proporcionados antes de convertirlos en reglas.</w:t>
            </w:r>
          </w:p>
        </w:tc>
      </w:tr>
      <w:tr>
        <w:tc>
          <w:tcPr>
            <w:tcW w:type="dxa" w:w="1008"/>
            <w:vAlign w:val="center"/>
          </w:tcPr>
          <w:p>
            <w:r/>
            <w:r>
              <w:rPr>
                <w:rFonts w:ascii="Aptos" w:hAnsi="Aptos"/>
                <w:b w:val="0"/>
                <w:sz w:val="15"/>
              </w:rPr>
              <w:t>G-03</w:t>
            </w:r>
          </w:p>
        </w:tc>
        <w:tc>
          <w:tcPr>
            <w:tcW w:type="dxa" w:w="2880"/>
            <w:vAlign w:val="center"/>
          </w:tcPr>
          <w:p>
            <w:r/>
            <w:r>
              <w:rPr>
                <w:rFonts w:ascii="Aptos" w:hAnsi="Aptos"/>
                <w:b w:val="0"/>
                <w:sz w:val="15"/>
              </w:rPr>
              <w:t>Servicios externos</w:t>
            </w:r>
          </w:p>
        </w:tc>
        <w:tc>
          <w:tcPr>
            <w:tcW w:type="dxa" w:w="6192"/>
            <w:vAlign w:val="center"/>
          </w:tcPr>
          <w:p>
            <w:r/>
            <w:r>
              <w:rPr>
                <w:rFonts w:ascii="Aptos" w:hAnsi="Aptos"/>
                <w:b w:val="0"/>
                <w:sz w:val="15"/>
              </w:rPr>
              <w:t>Confirmar APIs, responsables, autenticación, términos de uso, disponibilidad y datos entregables de cada fuente.</w:t>
            </w:r>
          </w:p>
        </w:tc>
      </w:tr>
      <w:tr>
        <w:tc>
          <w:tcPr>
            <w:tcW w:type="dxa" w:w="1008"/>
            <w:vAlign w:val="center"/>
          </w:tcPr>
          <w:p>
            <w:r/>
            <w:r>
              <w:rPr>
                <w:rFonts w:ascii="Aptos" w:hAnsi="Aptos"/>
                <w:b w:val="0"/>
                <w:sz w:val="15"/>
              </w:rPr>
              <w:t>G-04</w:t>
            </w:r>
          </w:p>
        </w:tc>
        <w:tc>
          <w:tcPr>
            <w:tcW w:type="dxa" w:w="2880"/>
            <w:vAlign w:val="center"/>
          </w:tcPr>
          <w:p>
            <w:r/>
            <w:r>
              <w:rPr>
                <w:rFonts w:ascii="Aptos" w:hAnsi="Aptos"/>
                <w:b w:val="0"/>
                <w:sz w:val="15"/>
              </w:rPr>
              <w:t>Firma electrónica</w:t>
            </w:r>
          </w:p>
        </w:tc>
        <w:tc>
          <w:tcPr>
            <w:tcW w:type="dxa" w:w="6192"/>
            <w:vAlign w:val="center"/>
          </w:tcPr>
          <w:p>
            <w:r/>
            <w:r>
              <w:rPr>
                <w:rFonts w:ascii="Aptos" w:hAnsi="Aptos"/>
                <w:b w:val="0"/>
                <w:sz w:val="15"/>
              </w:rPr>
              <w:t>Definir qué documentos requieren firma, qué tipo de firma y cómo se validará.</w:t>
            </w:r>
          </w:p>
        </w:tc>
      </w:tr>
      <w:tr>
        <w:tc>
          <w:tcPr>
            <w:tcW w:type="dxa" w:w="1008"/>
            <w:vAlign w:val="center"/>
          </w:tcPr>
          <w:p>
            <w:r/>
            <w:r>
              <w:rPr>
                <w:rFonts w:ascii="Aptos" w:hAnsi="Aptos"/>
                <w:b w:val="0"/>
                <w:sz w:val="15"/>
              </w:rPr>
              <w:t>G-05</w:t>
            </w:r>
          </w:p>
        </w:tc>
        <w:tc>
          <w:tcPr>
            <w:tcW w:type="dxa" w:w="2880"/>
            <w:vAlign w:val="center"/>
          </w:tcPr>
          <w:p>
            <w:r/>
            <w:r>
              <w:rPr>
                <w:rFonts w:ascii="Aptos" w:hAnsi="Aptos"/>
                <w:b w:val="0"/>
                <w:sz w:val="15"/>
              </w:rPr>
              <w:t>Calendario de días hábiles</w:t>
            </w:r>
          </w:p>
        </w:tc>
        <w:tc>
          <w:tcPr>
            <w:tcW w:type="dxa" w:w="6192"/>
            <w:vAlign w:val="center"/>
          </w:tcPr>
          <w:p>
            <w:r/>
            <w:r>
              <w:rPr>
                <w:rFonts w:ascii="Aptos" w:hAnsi="Aptos"/>
                <w:b w:val="0"/>
                <w:sz w:val="15"/>
              </w:rPr>
              <w:t>Definir fuente oficial del calendario y manejo de días inhábiles.</w:t>
            </w:r>
          </w:p>
        </w:tc>
      </w:tr>
      <w:tr>
        <w:tc>
          <w:tcPr>
            <w:tcW w:type="dxa" w:w="1008"/>
            <w:vAlign w:val="center"/>
          </w:tcPr>
          <w:p>
            <w:r/>
            <w:r>
              <w:rPr>
                <w:rFonts w:ascii="Aptos" w:hAnsi="Aptos"/>
                <w:b w:val="0"/>
                <w:sz w:val="15"/>
              </w:rPr>
              <w:t>G-06</w:t>
            </w:r>
          </w:p>
        </w:tc>
        <w:tc>
          <w:tcPr>
            <w:tcW w:type="dxa" w:w="2880"/>
            <w:vAlign w:val="center"/>
          </w:tcPr>
          <w:p>
            <w:r/>
            <w:r>
              <w:rPr>
                <w:rFonts w:ascii="Aptos" w:hAnsi="Aptos"/>
                <w:b w:val="0"/>
                <w:sz w:val="15"/>
              </w:rPr>
              <w:t>Clasificación de información</w:t>
            </w:r>
          </w:p>
        </w:tc>
        <w:tc>
          <w:tcPr>
            <w:tcW w:type="dxa" w:w="6192"/>
            <w:vAlign w:val="center"/>
          </w:tcPr>
          <w:p>
            <w:r/>
            <w:r>
              <w:rPr>
                <w:rFonts w:ascii="Aptos" w:hAnsi="Aptos"/>
                <w:b w:val="0"/>
                <w:sz w:val="15"/>
              </w:rPr>
              <w:t>Definir qué datos/documentos son públicos, reservados, confidenciales o de acceso restringido.</w:t>
            </w:r>
          </w:p>
        </w:tc>
      </w:tr>
      <w:tr>
        <w:tc>
          <w:tcPr>
            <w:tcW w:type="dxa" w:w="1008"/>
            <w:vAlign w:val="center"/>
          </w:tcPr>
          <w:p>
            <w:r/>
            <w:r>
              <w:rPr>
                <w:rFonts w:ascii="Aptos" w:hAnsi="Aptos"/>
                <w:b w:val="0"/>
                <w:sz w:val="15"/>
              </w:rPr>
              <w:t>G-07</w:t>
            </w:r>
          </w:p>
        </w:tc>
        <w:tc>
          <w:tcPr>
            <w:tcW w:type="dxa" w:w="2880"/>
            <w:vAlign w:val="center"/>
          </w:tcPr>
          <w:p>
            <w:r/>
            <w:r>
              <w:rPr>
                <w:rFonts w:ascii="Aptos" w:hAnsi="Aptos"/>
                <w:b w:val="0"/>
                <w:sz w:val="15"/>
              </w:rPr>
              <w:t>Conservación</w:t>
            </w:r>
          </w:p>
        </w:tc>
        <w:tc>
          <w:tcPr>
            <w:tcW w:type="dxa" w:w="6192"/>
            <w:vAlign w:val="center"/>
          </w:tcPr>
          <w:p>
            <w:r/>
            <w:r>
              <w:rPr>
                <w:rFonts w:ascii="Aptos" w:hAnsi="Aptos"/>
                <w:b w:val="0"/>
                <w:sz w:val="15"/>
              </w:rPr>
              <w:t>Definir política institucional de retención, transferencia, archivo y disposición documental.</w:t>
            </w:r>
          </w:p>
        </w:tc>
      </w:tr>
      <w:tr>
        <w:tc>
          <w:tcPr>
            <w:tcW w:type="dxa" w:w="1008"/>
            <w:vAlign w:val="center"/>
          </w:tcPr>
          <w:p>
            <w:r/>
            <w:r>
              <w:rPr>
                <w:rFonts w:ascii="Aptos" w:hAnsi="Aptos"/>
                <w:b w:val="0"/>
                <w:sz w:val="15"/>
              </w:rPr>
              <w:t>G-08</w:t>
            </w:r>
          </w:p>
        </w:tc>
        <w:tc>
          <w:tcPr>
            <w:tcW w:type="dxa" w:w="2880"/>
            <w:vAlign w:val="center"/>
          </w:tcPr>
          <w:p>
            <w:r/>
            <w:r>
              <w:rPr>
                <w:rFonts w:ascii="Aptos" w:hAnsi="Aptos"/>
                <w:b w:val="0"/>
                <w:sz w:val="15"/>
              </w:rPr>
              <w:t>Integración con sistemas existentes</w:t>
            </w:r>
          </w:p>
        </w:tc>
        <w:tc>
          <w:tcPr>
            <w:tcW w:type="dxa" w:w="6192"/>
            <w:vAlign w:val="center"/>
          </w:tcPr>
          <w:p>
            <w:r/>
            <w:r>
              <w:rPr>
                <w:rFonts w:ascii="Aptos" w:hAnsi="Aptos"/>
                <w:b w:val="0"/>
                <w:sz w:val="15"/>
              </w:rPr>
              <w:t>Inventariar SAAEL 2.0 y demás sistemas para decidir migración, coexistencia o retiro.</w:t>
            </w:r>
          </w:p>
        </w:tc>
      </w:tr>
      <w:tr>
        <w:tc>
          <w:tcPr>
            <w:tcW w:type="dxa" w:w="1008"/>
            <w:vAlign w:val="center"/>
          </w:tcPr>
          <w:p>
            <w:r/>
            <w:r>
              <w:rPr>
                <w:rFonts w:ascii="Aptos" w:hAnsi="Aptos"/>
                <w:b w:val="0"/>
                <w:sz w:val="15"/>
              </w:rPr>
              <w:t>G-09</w:t>
            </w:r>
          </w:p>
        </w:tc>
        <w:tc>
          <w:tcPr>
            <w:tcW w:type="dxa" w:w="2880"/>
            <w:vAlign w:val="center"/>
          </w:tcPr>
          <w:p>
            <w:r/>
            <w:r>
              <w:rPr>
                <w:rFonts w:ascii="Aptos" w:hAnsi="Aptos"/>
                <w:b w:val="0"/>
                <w:sz w:val="15"/>
              </w:rPr>
              <w:t>Firma y documentos históricos</w:t>
            </w:r>
          </w:p>
        </w:tc>
        <w:tc>
          <w:tcPr>
            <w:tcW w:type="dxa" w:w="6192"/>
            <w:vAlign w:val="center"/>
          </w:tcPr>
          <w:p>
            <w:r/>
            <w:r>
              <w:rPr>
                <w:rFonts w:ascii="Aptos" w:hAnsi="Aptos"/>
                <w:b w:val="0"/>
                <w:sz w:val="15"/>
              </w:rPr>
              <w:t>Definir migración y validez de documentos/firmas existentes.</w:t>
            </w:r>
          </w:p>
        </w:tc>
      </w:tr>
      <w:tr>
        <w:tc>
          <w:tcPr>
            <w:tcW w:type="dxa" w:w="1008"/>
            <w:vAlign w:val="center"/>
          </w:tcPr>
          <w:p>
            <w:r/>
            <w:r>
              <w:rPr>
                <w:rFonts w:ascii="Aptos" w:hAnsi="Aptos"/>
                <w:b w:val="0"/>
                <w:sz w:val="15"/>
              </w:rPr>
              <w:t>G-10</w:t>
            </w:r>
          </w:p>
        </w:tc>
        <w:tc>
          <w:tcPr>
            <w:tcW w:type="dxa" w:w="2880"/>
            <w:vAlign w:val="center"/>
          </w:tcPr>
          <w:p>
            <w:r/>
            <w:r>
              <w:rPr>
                <w:rFonts w:ascii="Aptos" w:hAnsi="Aptos"/>
                <w:b w:val="0"/>
                <w:sz w:val="15"/>
              </w:rPr>
              <w:t>Modelo organizacional</w:t>
            </w:r>
          </w:p>
        </w:tc>
        <w:tc>
          <w:tcPr>
            <w:tcW w:type="dxa" w:w="6192"/>
            <w:vAlign w:val="center"/>
          </w:tcPr>
          <w:p>
            <w:r/>
            <w:r>
              <w:rPr>
                <w:rFonts w:ascii="Aptos" w:hAnsi="Aptos"/>
                <w:b w:val="0"/>
                <w:sz w:val="15"/>
              </w:rPr>
              <w:t>Definir unidades administrativas, delegaciones, ámbitos territoriales y segregación de funciones.</w:t>
            </w:r>
          </w:p>
        </w:tc>
      </w:tr>
      <w:tr>
        <w:tc>
          <w:tcPr>
            <w:tcW w:type="dxa" w:w="1008"/>
            <w:vAlign w:val="center"/>
          </w:tcPr>
          <w:p>
            <w:r/>
            <w:r>
              <w:rPr>
                <w:rFonts w:ascii="Aptos" w:hAnsi="Aptos"/>
                <w:b w:val="0"/>
                <w:sz w:val="15"/>
              </w:rPr>
              <w:t>G-11</w:t>
            </w:r>
          </w:p>
        </w:tc>
        <w:tc>
          <w:tcPr>
            <w:tcW w:type="dxa" w:w="2880"/>
            <w:vAlign w:val="center"/>
          </w:tcPr>
          <w:p>
            <w:r/>
            <w:r>
              <w:rPr>
                <w:rFonts w:ascii="Aptos" w:hAnsi="Aptos"/>
                <w:b w:val="0"/>
                <w:sz w:val="15"/>
              </w:rPr>
              <w:t>Reglas parametrizables</w:t>
            </w:r>
          </w:p>
        </w:tc>
        <w:tc>
          <w:tcPr>
            <w:tcW w:type="dxa" w:w="6192"/>
            <w:vAlign w:val="center"/>
          </w:tcPr>
          <w:p>
            <w:r/>
            <w:r>
              <w:rPr>
                <w:rFonts w:ascii="Aptos" w:hAnsi="Aptos"/>
                <w:b w:val="0"/>
                <w:sz w:val="15"/>
              </w:rPr>
              <w:t>Identificar qué reglas pueden cambiar por configuración y cuáles requieren cambio de software.</w:t>
            </w:r>
          </w:p>
        </w:tc>
      </w:tr>
      <w:tr>
        <w:tc>
          <w:tcPr>
            <w:tcW w:type="dxa" w:w="1008"/>
            <w:vAlign w:val="center"/>
          </w:tcPr>
          <w:p>
            <w:r/>
            <w:r>
              <w:rPr>
                <w:rFonts w:ascii="Aptos" w:hAnsi="Aptos"/>
                <w:b w:val="0"/>
                <w:sz w:val="15"/>
              </w:rPr>
              <w:t>G-12</w:t>
            </w:r>
          </w:p>
        </w:tc>
        <w:tc>
          <w:tcPr>
            <w:tcW w:type="dxa" w:w="2880"/>
            <w:vAlign w:val="center"/>
          </w:tcPr>
          <w:p>
            <w:r/>
            <w:r>
              <w:rPr>
                <w:rFonts w:ascii="Aptos" w:hAnsi="Aptos"/>
                <w:b w:val="0"/>
                <w:sz w:val="15"/>
              </w:rPr>
              <w:t>Indicadores institucionales</w:t>
            </w:r>
          </w:p>
        </w:tc>
        <w:tc>
          <w:tcPr>
            <w:tcW w:type="dxa" w:w="6192"/>
            <w:vAlign w:val="center"/>
          </w:tcPr>
          <w:p>
            <w:r/>
            <w:r>
              <w:rPr>
                <w:rFonts w:ascii="Aptos" w:hAnsi="Aptos"/>
                <w:b w:val="0"/>
                <w:sz w:val="15"/>
              </w:rPr>
              <w:t>Definir catálogo oficial, fórmulas, periodicidad, fuentes, metas y responsables.</w:t>
            </w:r>
          </w:p>
        </w:tc>
      </w:tr>
      <w:tr>
        <w:tc>
          <w:tcPr>
            <w:tcW w:type="dxa" w:w="1008"/>
            <w:vAlign w:val="center"/>
          </w:tcPr>
          <w:p>
            <w:r/>
            <w:r>
              <w:rPr>
                <w:rFonts w:ascii="Aptos" w:hAnsi="Aptos"/>
                <w:b w:val="0"/>
                <w:sz w:val="15"/>
              </w:rPr>
              <w:t>G-13</w:t>
            </w:r>
          </w:p>
        </w:tc>
        <w:tc>
          <w:tcPr>
            <w:tcW w:type="dxa" w:w="2880"/>
            <w:vAlign w:val="center"/>
          </w:tcPr>
          <w:p>
            <w:r/>
            <w:r>
              <w:rPr>
                <w:rFonts w:ascii="Aptos" w:hAnsi="Aptos"/>
                <w:b w:val="0"/>
                <w:sz w:val="15"/>
              </w:rPr>
              <w:t>Excepciones</w:t>
            </w:r>
          </w:p>
        </w:tc>
        <w:tc>
          <w:tcPr>
            <w:tcW w:type="dxa" w:w="6192"/>
            <w:vAlign w:val="center"/>
          </w:tcPr>
          <w:p>
            <w:r/>
            <w:r>
              <w:rPr>
                <w:rFonts w:ascii="Aptos" w:hAnsi="Aptos"/>
                <w:b w:val="0"/>
                <w:sz w:val="15"/>
              </w:rPr>
              <w:t>Catalogar excepciones de negocio y su tratamiento formal.</w:t>
            </w:r>
          </w:p>
        </w:tc>
      </w:tr>
      <w:tr>
        <w:tc>
          <w:tcPr>
            <w:tcW w:type="dxa" w:w="1008"/>
            <w:vAlign w:val="center"/>
          </w:tcPr>
          <w:p>
            <w:r/>
            <w:r>
              <w:rPr>
                <w:rFonts w:ascii="Aptos" w:hAnsi="Aptos"/>
                <w:b w:val="0"/>
                <w:sz w:val="15"/>
              </w:rPr>
              <w:t>G-14</w:t>
            </w:r>
          </w:p>
        </w:tc>
        <w:tc>
          <w:tcPr>
            <w:tcW w:type="dxa" w:w="2880"/>
            <w:vAlign w:val="center"/>
          </w:tcPr>
          <w:p>
            <w:r/>
            <w:r>
              <w:rPr>
                <w:rFonts w:ascii="Aptos" w:hAnsi="Aptos"/>
                <w:b w:val="0"/>
                <w:sz w:val="15"/>
              </w:rPr>
              <w:t>SLA operativo</w:t>
            </w:r>
          </w:p>
        </w:tc>
        <w:tc>
          <w:tcPr>
            <w:tcW w:type="dxa" w:w="6192"/>
            <w:vAlign w:val="center"/>
          </w:tcPr>
          <w:p>
            <w:r/>
            <w:r>
              <w:rPr>
                <w:rFonts w:ascii="Aptos" w:hAnsi="Aptos"/>
                <w:b w:val="0"/>
                <w:sz w:val="15"/>
              </w:rPr>
              <w:t>Definir tiempos de atención internos además de los plazos regulatorios.</w:t>
            </w:r>
          </w:p>
        </w:tc>
      </w:tr>
    </w:tbl>
    <w:p/>
    <w:p>
      <w:r>
        <w:br w:type="page"/>
      </w:r>
    </w:p>
    <w:p>
      <w:pPr>
        <w:pStyle w:val="Heading1"/>
      </w:pPr>
      <w:r>
        <w:t>17. Recomendaciones para iniciar formalmente el levantamiento</w:t>
      </w:r>
    </w:p>
    <w:p>
      <w:pPr>
        <w:pStyle w:val="ListNumber"/>
        <w:spacing w:after="40"/>
      </w:pPr>
      <w:r>
        <w:t>Validar el mapa de procesos de alto nivel con la SPA y separar claramente procesos, subprocesos y trámites.</w:t>
      </w:r>
    </w:p>
    <w:p>
      <w:pPr>
        <w:pStyle w:val="ListNumber"/>
        <w:spacing w:after="40"/>
      </w:pPr>
      <w:r>
        <w:t>Seleccionar 3 a 5 procesos prioritarios y documentarlos en AS-IS con responsables reales, entradas, salidas, reglas, excepciones y tiempos.</w:t>
      </w:r>
    </w:p>
    <w:p>
      <w:pPr>
        <w:pStyle w:val="ListNumber"/>
        <w:spacing w:after="40"/>
      </w:pPr>
      <w:r>
        <w:t>Para cada proceso, elaborar TO-BE y decidir explícitamente qué se elimina, qué se simplifica, qué se automatiza y qué permanece manual.</w:t>
      </w:r>
    </w:p>
    <w:p>
      <w:pPr>
        <w:pStyle w:val="ListNumber"/>
        <w:spacing w:after="40"/>
      </w:pPr>
      <w:r>
        <w:t>Construir un catálogo de requisitos funcionales con criterios de aceptación.</w:t>
      </w:r>
    </w:p>
    <w:p>
      <w:pPr>
        <w:pStyle w:val="ListNumber"/>
        <w:spacing w:after="40"/>
      </w:pPr>
      <w:r>
        <w:t>Construir un catálogo de reglas de negocio independiente del diseño de pantallas.</w:t>
      </w:r>
    </w:p>
    <w:p>
      <w:pPr>
        <w:pStyle w:val="ListNumber"/>
        <w:spacing w:after="40"/>
      </w:pPr>
      <w:r>
        <w:t>Definir el modelo conceptual de datos antes de diseñar formularios.</w:t>
      </w:r>
    </w:p>
    <w:p>
      <w:pPr>
        <w:pStyle w:val="ListNumber"/>
        <w:spacing w:after="40"/>
      </w:pPr>
      <w:r>
        <w:t>Confirmar las integraciones y obtener especificaciones técnicas de las fuentes externas.</w:t>
      </w:r>
    </w:p>
    <w:p>
      <w:pPr>
        <w:pStyle w:val="ListNumber"/>
        <w:spacing w:after="40"/>
      </w:pPr>
      <w:r>
        <w:t>Definir el expediente electrónico y la estrategia documental.</w:t>
      </w:r>
    </w:p>
    <w:p>
      <w:pPr>
        <w:pStyle w:val="ListNumber"/>
        <w:spacing w:after="40"/>
      </w:pPr>
      <w:r>
        <w:t>Definir el modelo de seguridad, roles, segregación de funciones y auditoría.</w:t>
      </w:r>
    </w:p>
    <w:p>
      <w:pPr>
        <w:pStyle w:val="ListNumber"/>
        <w:spacing w:after="40"/>
      </w:pPr>
      <w:r>
        <w:t>Definir una estrategia de migración/convivencia con SAAEL 2.0.</w:t>
      </w:r>
    </w:p>
    <w:p>
      <w:pPr>
        <w:pStyle w:val="ListNumber"/>
        <w:spacing w:after="40"/>
      </w:pPr>
      <w:r>
        <w:t>Convertir los requisitos prioritarios en casos de uso, historias de usuario o especificaciones funcionales detalladas.</w:t>
      </w:r>
    </w:p>
    <w:p>
      <w:pPr>
        <w:pStyle w:val="ListNumber"/>
        <w:spacing w:after="40"/>
      </w:pPr>
      <w:r>
        <w:t>Preparar una matriz de trazabilidad requisito–proceso–regla–caso de uso–prueba.</w:t>
      </w:r>
    </w:p>
    <w:tbl>
      <w:tblPr>
        <w:tblStyle w:val="TableGrid"/>
        <w:tblW w:type="auto" w:w="0"/>
        <w:tblLook w:firstColumn="1" w:firstRow="1" w:lastColumn="0" w:lastRow="0" w:noHBand="0" w:noVBand="1" w:val="04A0"/>
      </w:tblPr>
      <w:tblGrid>
        <w:gridCol w:w="10224"/>
      </w:tblGrid>
      <w:tr>
        <w:tc>
          <w:tcPr>
            <w:tcW w:type="dxa" w:w="10224"/>
            <w:shd w:fill="F8F9F9"/>
          </w:tcPr>
          <w:p>
            <w:r>
              <w:rPr>
                <w:b/>
                <w:color w:val="1F4E79"/>
              </w:rPr>
              <w:t xml:space="preserve">Criterio de cierre de análisis: </w:t>
            </w:r>
            <w:r>
              <w:t>El objetivo de esta etapa no debe ser producir de inmediato pantallas. La salida correcta de la etapa de análisis es una definición verificable de procesos, datos, reglas, roles, integraciones, requisitos y criterios de aceptación.</w:t>
            </w:r>
          </w:p>
        </w:tc>
      </w:tr>
    </w:tbl>
    <w:p/>
    <w:p>
      <w:r>
        <w:br w:type="page"/>
      </w:r>
    </w:p>
    <w:p>
      <w:pPr>
        <w:pStyle w:val="Heading1"/>
      </w:pPr>
      <w:r>
        <w:t>18. Evidencia documental considerada</w:t>
      </w:r>
    </w:p>
    <w:p>
      <w:r>
        <w:t>Principales puntos que sustentan las conclusiones:</w:t>
      </w:r>
    </w:p>
    <w:p>
      <w:pPr>
        <w:pStyle w:val="ListBullet"/>
        <w:spacing w:after="40"/>
      </w:pPr>
      <w:r>
        <w:t>La minuta identifica la necesidad de comprender el proceso actual AS-IS mediante actores, entradas, salidas, actividades e interacciones, y de identificar información obligatoria/opcional, validaciones, aprobaciones, rechazos, inconsistencias, plazos y excepciones.</w:t>
      </w:r>
    </w:p>
    <w:p>
      <w:pPr>
        <w:pStyle w:val="ListBullet"/>
        <w:spacing w:after="40"/>
      </w:pPr>
      <w:r>
        <w:t>La minuta plantea optimizar entradas mediante precarga, automatizar actividades manuales, automatizar correos/oficios/notificaciones, generar indicadores, fortalecer seguimiento y trazabilidad, y considerar usuarios de solo lectura y bitácoras.</w:t>
      </w:r>
    </w:p>
    <w:p>
      <w:pPr>
        <w:pStyle w:val="ListBullet"/>
        <w:spacing w:after="40"/>
      </w:pPr>
      <w:r>
        <w:t>El documento de inscripción SAAEL 2.0 muestra flujos por perfil, captura de datos, domicilio/geografía, modalidad, giro, selección de auditor, carga y previsualización documental, acuse, correos y claves de acceso.</w:t>
      </w:r>
    </w:p>
    <w:p>
      <w:pPr>
        <w:pStyle w:val="ListBullet"/>
        <w:spacing w:after="40"/>
      </w:pPr>
      <w:r>
        <w:t>La NMX-AA-163 define el RDA y sus componentes: diagnóstico básico, generalidades, situación de la instalación, sistema de gestión ambiental, indicadores y anexos.</w:t>
      </w:r>
    </w:p>
    <w:p>
      <w:pPr>
        <w:pStyle w:val="ListBullet"/>
        <w:spacing w:after="40"/>
      </w:pPr>
      <w:r>
        <w:t>El Reglamento establece etapas de certificación, renovación, condiciones para RDA, revisión y prevención, plazos, seguimiento anual de indicadores y consecuencias por incumplimiento.</w:t>
      </w:r>
    </w:p>
    <w:p>
      <w:pPr>
        <w:pStyle w:val="ListBullet"/>
        <w:spacing w:after="40"/>
      </w:pPr>
      <w:r>
        <w:t>La NMX-AA-162 aporta la necesidad de manejar evidencia, bitácoras, registros, dictámenes, no conformidades y conservación de documentación.</w:t>
      </w:r>
    </w:p>
    <w:tbl>
      <w:tblPr>
        <w:tblStyle w:val="TableGrid"/>
        <w:tblW w:type="auto" w:w="0"/>
        <w:tblLook w:firstColumn="1" w:firstRow="1" w:lastColumn="0" w:lastRow="0" w:noHBand="0" w:noVBand="1" w:val="04A0"/>
      </w:tblPr>
      <w:tblGrid>
        <w:gridCol w:w="10224"/>
      </w:tblGrid>
      <w:tr>
        <w:tc>
          <w:tcPr>
            <w:tcW w:type="dxa" w:w="10224"/>
            <w:shd w:fill="F8F9F9"/>
          </w:tcPr>
          <w:p>
            <w:r>
              <w:rPr>
                <w:b/>
                <w:color w:val="1F4E79"/>
              </w:rPr>
              <w:t xml:space="preserve">Referencias: </w:t>
            </w:r>
            <w:r>
              <w:t>Citas de referencia en los archivos: Reglamento, artículos 11–26 y 45–46; NMX-AA-163, apartados 4.1–4.4 y Apéndice Normativo A.1–A.6; NMX-AA-162, capítulos relativos a auditoría, evidencia y apéndices de formatos. La numeración exacta de artículos/páginas debe conservarse como referencia durante la validación jurídica/funcional.</w:t>
            </w:r>
          </w:p>
        </w:tc>
      </w:tr>
    </w:tbl>
    <w:p/>
    <w:p>
      <w:r>
        <w:br w:type="page"/>
      </w:r>
    </w:p>
    <w:p>
      <w:pPr>
        <w:pStyle w:val="Heading1"/>
      </w:pPr>
      <w:r>
        <w:t>19. Dictamen de análisis</w:t>
      </w:r>
    </w:p>
    <w:p>
      <w:r>
        <w:t>Con base en la documentación proporcionada, existe suficiente materia para iniciar formalmente la etapa de análisis y levantamiento de requerimientos de Plataforma Integral de PROFEPA 1.0. La necesidad principal no es únicamente modernizar la interfaz de SAAEL 2.0, sino transformar el modelo operativo hacia una plataforma que gestione procesos regulatorios ambientales de punta a punta.</w:t>
      </w:r>
    </w:p>
    <w:p>
      <w:r>
        <w:t>La línea base recomendada para la siguiente fase es: (1) mapa de procesos, (2) catálogo de actores, (3) modelo de información, (4) catálogo de reglas, (5) catálogo de requerimientos funcionales y no funcionales, (6) matriz de integraciones, (7) modelo de expediente electrónico, (8) seguridad y auditoría, y (9) criterios de aceptación. Una vez aprobados estos elementos, podrá iniciarse el diseño funcional y técnico con un riesgo considerablemente menor.</w:t>
      </w:r>
    </w:p>
    <w:p>
      <w:pPr>
        <w:jc w:val="center"/>
      </w:pPr>
      <w:r>
        <w:rPr>
          <w:b/>
          <w:color w:val="1F4E79"/>
        </w:rPr>
        <w:br/>
        <w:t>FIN DEL DOCUMENTO</w:t>
      </w:r>
    </w:p>
    <w:p>
      <w:r>
        <w:br w:type="page"/>
      </w:r>
    </w:p>
    <w:p>
      <w:pPr>
        <w:pStyle w:val="Heading1"/>
      </w:pPr>
      <w:r>
        <w:t>20. Actualización derivada de las minutas de seguimiento</w:t>
      </w:r>
    </w:p>
    <w:p>
      <w:r>
        <w:t>Esta sección consolida los elementos nuevos o precisados en las Minutas No. 02 y No. 03. No sustituye el levantamiento AS-IS/TO-BE; establece una línea de trabajo para convertir los acuerdos en requisitos verificables.</w:t>
      </w:r>
    </w:p>
    <w:p>
      <w:pPr>
        <w:pStyle w:val="Heading2"/>
      </w:pPr>
      <w:r>
        <w:t>20.1 Acuerdos y decisiones que deben incorporarse al análisis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center"/>
            <w:shd w:fill="404040"/>
          </w:tcPr>
          <w:p>
            <w:pPr>
              <w:jc w:val="left"/>
            </w:pPr>
            <w:r/>
            <w:r>
              <w:rPr>
                <w:b/>
                <w:color w:val="FFFFFF"/>
                <w:sz w:val="16"/>
              </w:rPr>
              <w:t>ID</w:t>
            </w:r>
          </w:p>
        </w:tc>
        <w:tc>
          <w:tcPr>
            <w:tcW w:type="dxa" w:w="1800"/>
            <w:vAlign w:val="center"/>
            <w:shd w:fill="404040"/>
          </w:tcPr>
          <w:p>
            <w:pPr>
              <w:jc w:val="left"/>
            </w:pPr>
            <w:r/>
            <w:r>
              <w:rPr>
                <w:b/>
                <w:color w:val="FFFFFF"/>
                <w:sz w:val="16"/>
              </w:rPr>
              <w:t>Tema</w:t>
            </w:r>
          </w:p>
        </w:tc>
        <w:tc>
          <w:tcPr>
            <w:tcW w:type="dxa" w:w="6768"/>
            <w:vAlign w:val="center"/>
            <w:shd w:fill="404040"/>
          </w:tcPr>
          <w:p>
            <w:pPr>
              <w:jc w:val="left"/>
            </w:pPr>
            <w:r/>
            <w:r>
              <w:rPr>
                <w:b/>
                <w:color w:val="FFFFFF"/>
                <w:sz w:val="16"/>
              </w:rPr>
              <w:t>Incorporación al análisis</w:t>
            </w:r>
          </w:p>
        </w:tc>
        <w:tc>
          <w:tcPr>
            <w:tcW w:type="dxa" w:w="1800"/>
            <w:vAlign w:val="center"/>
            <w:shd w:fill="404040"/>
          </w:tcPr>
          <w:p>
            <w:pPr>
              <w:jc w:val="left"/>
            </w:pPr>
            <w:r/>
            <w:r>
              <w:rPr>
                <w:b/>
                <w:color w:val="FFFFFF"/>
                <w:sz w:val="16"/>
              </w:rPr>
              <w:t>Prioridad/estado</w:t>
            </w:r>
          </w:p>
        </w:tc>
      </w:tr>
      <w:tr>
        <w:tc>
          <w:tcPr>
            <w:tcW w:type="dxa" w:w="792"/>
            <w:vAlign w:val="center"/>
            <w:shd w:fill="F2F2F2"/>
          </w:tcPr>
          <w:p>
            <w:pPr>
              <w:jc w:val="left"/>
            </w:pPr>
            <w:r/>
            <w:r>
              <w:rPr>
                <w:b w:val="0"/>
                <w:sz w:val="16"/>
              </w:rPr>
              <w:t>M-01</w:t>
            </w:r>
          </w:p>
        </w:tc>
        <w:tc>
          <w:tcPr>
            <w:tcW w:type="dxa" w:w="1800"/>
            <w:vAlign w:val="center"/>
            <w:shd w:fill="F2F2F2"/>
          </w:tcPr>
          <w:p>
            <w:pPr>
              <w:jc w:val="left"/>
            </w:pPr>
            <w:r/>
            <w:r>
              <w:rPr>
                <w:b w:val="0"/>
                <w:sz w:val="16"/>
              </w:rPr>
              <w:t>Interoperabilidad con EMA</w:t>
            </w:r>
          </w:p>
        </w:tc>
        <w:tc>
          <w:tcPr>
            <w:tcW w:type="dxa" w:w="6768"/>
            <w:vAlign w:val="center"/>
            <w:shd w:fill="F2F2F2"/>
          </w:tcPr>
          <w:p>
            <w:pPr>
              <w:jc w:val="left"/>
            </w:pPr>
            <w:r/>
            <w:r>
              <w:rPr>
                <w:b w:val="0"/>
                <w:sz w:val="16"/>
              </w:rPr>
              <w:t>Investigar una plataforma/servicio que permita consultar y validar acreditaciones emitidas a auditores y las aprobaciones requeridas por PROFEPA, procurando que la validación pueda ejecutarse automáticamente entre sistemas.</w:t>
            </w:r>
          </w:p>
        </w:tc>
        <w:tc>
          <w:tcPr>
            <w:tcW w:type="dxa" w:w="1800"/>
            <w:vAlign w:val="center"/>
            <w:shd w:fill="F2F2F2"/>
          </w:tcPr>
          <w:p>
            <w:pPr>
              <w:jc w:val="left"/>
            </w:pPr>
            <w:r/>
            <w:r>
              <w:rPr>
                <w:b w:val="0"/>
                <w:sz w:val="16"/>
              </w:rPr>
              <w:t>Alta / sujeto a factibilidad</w:t>
            </w:r>
          </w:p>
        </w:tc>
      </w:tr>
      <w:tr>
        <w:tc>
          <w:tcPr>
            <w:tcW w:type="dxa" w:w="792"/>
            <w:vAlign w:val="center"/>
          </w:tcPr>
          <w:p>
            <w:pPr>
              <w:jc w:val="left"/>
            </w:pPr>
            <w:r/>
            <w:r>
              <w:rPr>
                <w:b w:val="0"/>
                <w:sz w:val="16"/>
              </w:rPr>
              <w:t>M-02</w:t>
            </w:r>
          </w:p>
        </w:tc>
        <w:tc>
          <w:tcPr>
            <w:tcW w:type="dxa" w:w="1800"/>
            <w:vAlign w:val="center"/>
          </w:tcPr>
          <w:p>
            <w:pPr>
              <w:jc w:val="left"/>
            </w:pPr>
            <w:r/>
            <w:r>
              <w:rPr>
                <w:b w:val="0"/>
                <w:sz w:val="16"/>
              </w:rPr>
              <w:t>Interoperabilidad con CONANP</w:t>
            </w:r>
          </w:p>
        </w:tc>
        <w:tc>
          <w:tcPr>
            <w:tcW w:type="dxa" w:w="6768"/>
            <w:vAlign w:val="center"/>
          </w:tcPr>
          <w:p>
            <w:pPr>
              <w:jc w:val="left"/>
            </w:pPr>
            <w:r/>
            <w:r>
              <w:rPr>
                <w:b w:val="0"/>
                <w:sz w:val="16"/>
              </w:rPr>
              <w:t>Consultar/validar si un domicilio o coordenadas de instalación se encuentran dentro de un área protegida y automatizar el intercambio cuando exista servicio disponible.</w:t>
            </w:r>
          </w:p>
        </w:tc>
        <w:tc>
          <w:tcPr>
            <w:tcW w:type="dxa" w:w="1800"/>
            <w:vAlign w:val="center"/>
          </w:tcPr>
          <w:p>
            <w:pPr>
              <w:jc w:val="left"/>
            </w:pPr>
            <w:r/>
            <w:r>
              <w:rPr>
                <w:b w:val="0"/>
                <w:sz w:val="16"/>
              </w:rPr>
              <w:t>Alta / sujeto a factibilidad</w:t>
            </w:r>
          </w:p>
        </w:tc>
      </w:tr>
      <w:tr>
        <w:tc>
          <w:tcPr>
            <w:tcW w:type="dxa" w:w="792"/>
            <w:vAlign w:val="center"/>
            <w:shd w:fill="F2F2F2"/>
          </w:tcPr>
          <w:p>
            <w:pPr>
              <w:jc w:val="left"/>
            </w:pPr>
            <w:r/>
            <w:r>
              <w:rPr>
                <w:b w:val="0"/>
                <w:sz w:val="16"/>
              </w:rPr>
              <w:t>M-03</w:t>
            </w:r>
          </w:p>
        </w:tc>
        <w:tc>
          <w:tcPr>
            <w:tcW w:type="dxa" w:w="1800"/>
            <w:vAlign w:val="center"/>
            <w:shd w:fill="F2F2F2"/>
          </w:tcPr>
          <w:p>
            <w:pPr>
              <w:jc w:val="left"/>
            </w:pPr>
            <w:r/>
            <w:r>
              <w:rPr>
                <w:b w:val="0"/>
                <w:sz w:val="16"/>
              </w:rPr>
              <w:t>Catálogos SCIAN/CMAP</w:t>
            </w:r>
          </w:p>
        </w:tc>
        <w:tc>
          <w:tcPr>
            <w:tcW w:type="dxa" w:w="6768"/>
            <w:vAlign w:val="center"/>
            <w:shd w:fill="F2F2F2"/>
          </w:tcPr>
          <w:p>
            <w:pPr>
              <w:jc w:val="left"/>
            </w:pPr>
            <w:r/>
            <w:r>
              <w:rPr>
                <w:b w:val="0"/>
                <w:sz w:val="16"/>
              </w:rPr>
              <w:t>La nueva plataforma debe utilizar catálogos de clasificación de actividad como componente de datos y reglas, evitando catálogos embebidos en pantallas.</w:t>
            </w:r>
          </w:p>
        </w:tc>
        <w:tc>
          <w:tcPr>
            <w:tcW w:type="dxa" w:w="1800"/>
            <w:vAlign w:val="center"/>
            <w:shd w:fill="F2F2F2"/>
          </w:tcPr>
          <w:p>
            <w:pPr>
              <w:jc w:val="left"/>
            </w:pPr>
            <w:r/>
            <w:r>
              <w:rPr>
                <w:b w:val="0"/>
                <w:sz w:val="16"/>
              </w:rPr>
              <w:t>Alta</w:t>
            </w:r>
          </w:p>
        </w:tc>
      </w:tr>
      <w:tr>
        <w:tc>
          <w:tcPr>
            <w:tcW w:type="dxa" w:w="792"/>
            <w:vAlign w:val="center"/>
          </w:tcPr>
          <w:p>
            <w:pPr>
              <w:jc w:val="left"/>
            </w:pPr>
            <w:r/>
            <w:r>
              <w:rPr>
                <w:b w:val="0"/>
                <w:sz w:val="16"/>
              </w:rPr>
              <w:t>M-04</w:t>
            </w:r>
          </w:p>
        </w:tc>
        <w:tc>
          <w:tcPr>
            <w:tcW w:type="dxa" w:w="1800"/>
            <w:vAlign w:val="center"/>
          </w:tcPr>
          <w:p>
            <w:pPr>
              <w:jc w:val="left"/>
            </w:pPr>
            <w:r/>
            <w:r>
              <w:rPr>
                <w:b w:val="0"/>
                <w:sz w:val="16"/>
              </w:rPr>
              <w:t>Folios</w:t>
            </w:r>
          </w:p>
        </w:tc>
        <w:tc>
          <w:tcPr>
            <w:tcW w:type="dxa" w:w="6768"/>
            <w:vAlign w:val="center"/>
          </w:tcPr>
          <w:p>
            <w:pPr>
              <w:jc w:val="left"/>
            </w:pPr>
            <w:r/>
            <w:r>
              <w:rPr>
                <w:b w:val="0"/>
                <w:sz w:val="16"/>
              </w:rPr>
              <w:t>Revisar el esquema de folios para considerar prefijos, confirmación del número de trámite y atributos como tipo, año y ubicación, según definición funcional.</w:t>
            </w:r>
          </w:p>
        </w:tc>
        <w:tc>
          <w:tcPr>
            <w:tcW w:type="dxa" w:w="1800"/>
            <w:vAlign w:val="center"/>
          </w:tcPr>
          <w:p>
            <w:pPr>
              <w:jc w:val="left"/>
            </w:pPr>
            <w:r/>
            <w:r>
              <w:rPr>
                <w:b w:val="0"/>
                <w:sz w:val="16"/>
              </w:rPr>
              <w:t>Alta</w:t>
            </w:r>
          </w:p>
        </w:tc>
      </w:tr>
      <w:tr>
        <w:tc>
          <w:tcPr>
            <w:tcW w:type="dxa" w:w="792"/>
            <w:vAlign w:val="center"/>
            <w:shd w:fill="F2F2F2"/>
          </w:tcPr>
          <w:p>
            <w:pPr>
              <w:jc w:val="left"/>
            </w:pPr>
            <w:r/>
            <w:r>
              <w:rPr>
                <w:b w:val="0"/>
                <w:sz w:val="16"/>
              </w:rPr>
              <w:t>M-05</w:t>
            </w:r>
          </w:p>
        </w:tc>
        <w:tc>
          <w:tcPr>
            <w:tcW w:type="dxa" w:w="1800"/>
            <w:vAlign w:val="center"/>
            <w:shd w:fill="F2F2F2"/>
          </w:tcPr>
          <w:p>
            <w:pPr>
              <w:jc w:val="left"/>
            </w:pPr>
            <w:r/>
            <w:r>
              <w:rPr>
                <w:b w:val="0"/>
                <w:sz w:val="16"/>
              </w:rPr>
              <w:t>Auditor ↔ empresa</w:t>
            </w:r>
          </w:p>
        </w:tc>
        <w:tc>
          <w:tcPr>
            <w:tcW w:type="dxa" w:w="6768"/>
            <w:vAlign w:val="center"/>
            <w:shd w:fill="F2F2F2"/>
          </w:tcPr>
          <w:p>
            <w:pPr>
              <w:jc w:val="left"/>
            </w:pPr>
            <w:r/>
            <w:r>
              <w:rPr>
                <w:b w:val="0"/>
                <w:sz w:val="16"/>
              </w:rPr>
              <w:t>Analizar una dinámica más flexible de interacción/selección entre auditor y empresa, con reglas de elegibilidad y trazabilidad.</w:t>
            </w:r>
          </w:p>
        </w:tc>
        <w:tc>
          <w:tcPr>
            <w:tcW w:type="dxa" w:w="1800"/>
            <w:vAlign w:val="center"/>
            <w:shd w:fill="F2F2F2"/>
          </w:tcPr>
          <w:p>
            <w:pPr>
              <w:jc w:val="left"/>
            </w:pPr>
            <w:r/>
            <w:r>
              <w:rPr>
                <w:b w:val="0"/>
                <w:sz w:val="16"/>
              </w:rPr>
              <w:t>Alta</w:t>
            </w:r>
          </w:p>
        </w:tc>
      </w:tr>
      <w:tr>
        <w:tc>
          <w:tcPr>
            <w:tcW w:type="dxa" w:w="792"/>
            <w:vAlign w:val="center"/>
          </w:tcPr>
          <w:p>
            <w:pPr>
              <w:jc w:val="left"/>
            </w:pPr>
            <w:r/>
            <w:r>
              <w:rPr>
                <w:b w:val="0"/>
                <w:sz w:val="16"/>
              </w:rPr>
              <w:t>M-06</w:t>
            </w:r>
          </w:p>
        </w:tc>
        <w:tc>
          <w:tcPr>
            <w:tcW w:type="dxa" w:w="1800"/>
            <w:vAlign w:val="center"/>
          </w:tcPr>
          <w:p>
            <w:pPr>
              <w:jc w:val="left"/>
            </w:pPr>
            <w:r/>
            <w:r>
              <w:rPr>
                <w:b w:val="0"/>
                <w:sz w:val="16"/>
              </w:rPr>
              <w:t>Eliminación de valor</w:t>
            </w:r>
          </w:p>
        </w:tc>
        <w:tc>
          <w:tcPr>
            <w:tcW w:type="dxa" w:w="6768"/>
            <w:vAlign w:val="center"/>
          </w:tcPr>
          <w:p>
            <w:pPr>
              <w:jc w:val="left"/>
            </w:pPr>
            <w:r/>
            <w:r>
              <w:rPr>
                <w:b w:val="0"/>
                <w:sz w:val="16"/>
              </w:rPr>
              <w:t>No replicar actividades que actualmente son manuales o en papel si no agregan valor; rediseñar el proceso TO-BE antes de automatizar.</w:t>
            </w:r>
          </w:p>
        </w:tc>
        <w:tc>
          <w:tcPr>
            <w:tcW w:type="dxa" w:w="1800"/>
            <w:vAlign w:val="center"/>
          </w:tcPr>
          <w:p>
            <w:pPr>
              <w:jc w:val="left"/>
            </w:pPr>
            <w:r/>
            <w:r>
              <w:rPr>
                <w:b w:val="0"/>
                <w:sz w:val="16"/>
              </w:rPr>
              <w:t>Alta</w:t>
            </w:r>
          </w:p>
        </w:tc>
      </w:tr>
      <w:tr>
        <w:tc>
          <w:tcPr>
            <w:tcW w:type="dxa" w:w="792"/>
            <w:vAlign w:val="center"/>
            <w:shd w:fill="F2F2F2"/>
          </w:tcPr>
          <w:p>
            <w:pPr>
              <w:jc w:val="left"/>
            </w:pPr>
            <w:r/>
            <w:r>
              <w:rPr>
                <w:b w:val="0"/>
                <w:sz w:val="16"/>
              </w:rPr>
              <w:t>M-07</w:t>
            </w:r>
          </w:p>
        </w:tc>
        <w:tc>
          <w:tcPr>
            <w:tcW w:type="dxa" w:w="1800"/>
            <w:vAlign w:val="center"/>
            <w:shd w:fill="F2F2F2"/>
          </w:tcPr>
          <w:p>
            <w:pPr>
              <w:jc w:val="left"/>
            </w:pPr>
            <w:r/>
            <w:r>
              <w:rPr>
                <w:b w:val="0"/>
                <w:sz w:val="16"/>
              </w:rPr>
              <w:t>MULTIREGION</w:t>
            </w:r>
          </w:p>
        </w:tc>
        <w:tc>
          <w:tcPr>
            <w:tcW w:type="dxa" w:w="6768"/>
            <w:vAlign w:val="center"/>
            <w:shd w:fill="F2F2F2"/>
          </w:tcPr>
          <w:p>
            <w:pPr>
              <w:jc w:val="left"/>
            </w:pPr>
            <w:r/>
            <w:r>
              <w:rPr>
                <w:b w:val="0"/>
                <w:sz w:val="16"/>
              </w:rPr>
              <w:t>La minuta señala que ya no existen solicitudes MULTIREGION; esta funcionalidad no debe trasladarse automáticamente a la nueva plataforma sin justificación de negocio.</w:t>
            </w:r>
          </w:p>
        </w:tc>
        <w:tc>
          <w:tcPr>
            <w:tcW w:type="dxa" w:w="1800"/>
            <w:vAlign w:val="center"/>
            <w:shd w:fill="F2F2F2"/>
          </w:tcPr>
          <w:p>
            <w:pPr>
              <w:jc w:val="left"/>
            </w:pPr>
            <w:r/>
            <w:r>
              <w:rPr>
                <w:b w:val="0"/>
                <w:sz w:val="16"/>
              </w:rPr>
              <w:t>Alta / decisión de alcance</w:t>
            </w:r>
          </w:p>
        </w:tc>
      </w:tr>
      <w:tr>
        <w:tc>
          <w:tcPr>
            <w:tcW w:type="dxa" w:w="792"/>
            <w:vAlign w:val="center"/>
          </w:tcPr>
          <w:p>
            <w:pPr>
              <w:jc w:val="left"/>
            </w:pPr>
            <w:r/>
            <w:r>
              <w:rPr>
                <w:b w:val="0"/>
                <w:sz w:val="16"/>
              </w:rPr>
              <w:t>M-08</w:t>
            </w:r>
          </w:p>
        </w:tc>
        <w:tc>
          <w:tcPr>
            <w:tcW w:type="dxa" w:w="1800"/>
            <w:vAlign w:val="center"/>
          </w:tcPr>
          <w:p>
            <w:pPr>
              <w:jc w:val="left"/>
            </w:pPr>
            <w:r/>
            <w:r>
              <w:rPr>
                <w:b w:val="0"/>
                <w:sz w:val="16"/>
              </w:rPr>
              <w:t>Clasificación de información</w:t>
            </w:r>
          </w:p>
        </w:tc>
        <w:tc>
          <w:tcPr>
            <w:tcW w:type="dxa" w:w="6768"/>
            <w:vAlign w:val="center"/>
          </w:tcPr>
          <w:p>
            <w:pPr>
              <w:jc w:val="left"/>
            </w:pPr>
            <w:r/>
            <w:r>
              <w:rPr>
                <w:b w:val="0"/>
                <w:sz w:val="16"/>
              </w:rPr>
              <w:t>Definir desde el diseño qué campos/documentos serán públicos, confidenciales, reservados o restringidos, incluyendo pruebas de exposición de información.</w:t>
            </w:r>
          </w:p>
        </w:tc>
        <w:tc>
          <w:tcPr>
            <w:tcW w:type="dxa" w:w="1800"/>
            <w:vAlign w:val="center"/>
          </w:tcPr>
          <w:p>
            <w:pPr>
              <w:jc w:val="left"/>
            </w:pPr>
            <w:r/>
            <w:r>
              <w:rPr>
                <w:b w:val="0"/>
                <w:sz w:val="16"/>
              </w:rPr>
              <w:t>Alta</w:t>
            </w:r>
          </w:p>
        </w:tc>
      </w:tr>
      <w:tr>
        <w:tc>
          <w:tcPr>
            <w:tcW w:type="dxa" w:w="792"/>
            <w:vAlign w:val="center"/>
            <w:shd w:fill="F2F2F2"/>
          </w:tcPr>
          <w:p>
            <w:pPr>
              <w:jc w:val="left"/>
            </w:pPr>
            <w:r/>
            <w:r>
              <w:rPr>
                <w:b w:val="0"/>
                <w:sz w:val="16"/>
              </w:rPr>
              <w:t>M-09</w:t>
            </w:r>
          </w:p>
        </w:tc>
        <w:tc>
          <w:tcPr>
            <w:tcW w:type="dxa" w:w="1800"/>
            <w:vAlign w:val="center"/>
            <w:shd w:fill="F2F2F2"/>
          </w:tcPr>
          <w:p>
            <w:pPr>
              <w:jc w:val="left"/>
            </w:pPr>
            <w:r/>
            <w:r>
              <w:rPr>
                <w:b w:val="0"/>
                <w:sz w:val="16"/>
              </w:rPr>
              <w:t>Evaluación de auditores</w:t>
            </w:r>
          </w:p>
        </w:tc>
        <w:tc>
          <w:tcPr>
            <w:tcW w:type="dxa" w:w="6768"/>
            <w:vAlign w:val="center"/>
            <w:shd w:fill="F2F2F2"/>
          </w:tcPr>
          <w:p>
            <w:pPr>
              <w:jc w:val="left"/>
            </w:pPr>
            <w:r/>
            <w:r>
              <w:rPr>
                <w:b w:val="0"/>
                <w:sz w:val="16"/>
              </w:rPr>
              <w:t>Considerar un mecanismo para que empresas califiquen a auditores ambientales y definir tratamiento/publicidad de esa información.</w:t>
            </w:r>
          </w:p>
        </w:tc>
        <w:tc>
          <w:tcPr>
            <w:tcW w:type="dxa" w:w="1800"/>
            <w:vAlign w:val="center"/>
            <w:shd w:fill="F2F2F2"/>
          </w:tcPr>
          <w:p>
            <w:pPr>
              <w:jc w:val="left"/>
            </w:pPr>
            <w:r/>
            <w:r>
              <w:rPr>
                <w:b w:val="0"/>
                <w:sz w:val="16"/>
              </w:rPr>
              <w:t>Media / decisión de política</w:t>
            </w:r>
          </w:p>
        </w:tc>
      </w:tr>
      <w:tr>
        <w:tc>
          <w:tcPr>
            <w:tcW w:type="dxa" w:w="792"/>
            <w:vAlign w:val="center"/>
          </w:tcPr>
          <w:p>
            <w:pPr>
              <w:jc w:val="left"/>
            </w:pPr>
            <w:r/>
            <w:r>
              <w:rPr>
                <w:b w:val="0"/>
                <w:sz w:val="16"/>
              </w:rPr>
              <w:t>M-10</w:t>
            </w:r>
          </w:p>
        </w:tc>
        <w:tc>
          <w:tcPr>
            <w:tcW w:type="dxa" w:w="1800"/>
            <w:vAlign w:val="center"/>
          </w:tcPr>
          <w:p>
            <w:pPr>
              <w:jc w:val="left"/>
            </w:pPr>
            <w:r/>
            <w:r>
              <w:rPr>
                <w:b w:val="0"/>
                <w:sz w:val="16"/>
              </w:rPr>
              <w:t>Actor CFE</w:t>
            </w:r>
          </w:p>
        </w:tc>
        <w:tc>
          <w:tcPr>
            <w:tcW w:type="dxa" w:w="6768"/>
            <w:vAlign w:val="center"/>
          </w:tcPr>
          <w:p>
            <w:pPr>
              <w:jc w:val="left"/>
            </w:pPr>
            <w:r/>
            <w:r>
              <w:rPr>
                <w:b w:val="0"/>
                <w:sz w:val="16"/>
              </w:rPr>
              <w:t>Incorporar a la Comisión Federal de Electricidad como actor/fuente a contactar para determinar si existe información interoperable relevante.</w:t>
            </w:r>
          </w:p>
        </w:tc>
        <w:tc>
          <w:tcPr>
            <w:tcW w:type="dxa" w:w="1800"/>
            <w:vAlign w:val="center"/>
          </w:tcPr>
          <w:p>
            <w:pPr>
              <w:jc w:val="left"/>
            </w:pPr>
            <w:r/>
            <w:r>
              <w:rPr>
                <w:b w:val="0"/>
                <w:sz w:val="16"/>
              </w:rPr>
              <w:t>Media / por validar</w:t>
            </w:r>
          </w:p>
        </w:tc>
      </w:tr>
      <w:tr>
        <w:tc>
          <w:tcPr>
            <w:tcW w:type="dxa" w:w="792"/>
            <w:vAlign w:val="center"/>
            <w:shd w:fill="F2F2F2"/>
          </w:tcPr>
          <w:p>
            <w:pPr>
              <w:jc w:val="left"/>
            </w:pPr>
            <w:r/>
            <w:r>
              <w:rPr>
                <w:b w:val="0"/>
                <w:sz w:val="16"/>
              </w:rPr>
              <w:t>M-11</w:t>
            </w:r>
          </w:p>
        </w:tc>
        <w:tc>
          <w:tcPr>
            <w:tcW w:type="dxa" w:w="1800"/>
            <w:vAlign w:val="center"/>
            <w:shd w:fill="F2F2F2"/>
          </w:tcPr>
          <w:p>
            <w:pPr>
              <w:jc w:val="left"/>
            </w:pPr>
            <w:r/>
            <w:r>
              <w:rPr>
                <w:b w:val="0"/>
                <w:sz w:val="16"/>
              </w:rPr>
              <w:t>Módulo de concertación</w:t>
            </w:r>
          </w:p>
        </w:tc>
        <w:tc>
          <w:tcPr>
            <w:tcW w:type="dxa" w:w="6768"/>
            <w:vAlign w:val="center"/>
            <w:shd w:fill="F2F2F2"/>
          </w:tcPr>
          <w:p>
            <w:pPr>
              <w:jc w:val="left"/>
            </w:pPr>
            <w:r/>
            <w:r>
              <w:rPr>
                <w:b w:val="0"/>
                <w:sz w:val="16"/>
              </w:rPr>
              <w:t>Considerar un módulo específico para convenios de concertación, con expediente, participantes, documentos, estados, firmas y seguimiento.</w:t>
            </w:r>
          </w:p>
        </w:tc>
        <w:tc>
          <w:tcPr>
            <w:tcW w:type="dxa" w:w="1800"/>
            <w:vAlign w:val="center"/>
            <w:shd w:fill="F2F2F2"/>
          </w:tcPr>
          <w:p>
            <w:pPr>
              <w:jc w:val="left"/>
            </w:pPr>
            <w:r/>
            <w:r>
              <w:rPr>
                <w:b w:val="0"/>
                <w:sz w:val="16"/>
              </w:rPr>
              <w:t>Media-Alta</w:t>
            </w:r>
          </w:p>
        </w:tc>
      </w:tr>
      <w:tr>
        <w:tc>
          <w:tcPr>
            <w:tcW w:type="dxa" w:w="792"/>
            <w:vAlign w:val="center"/>
          </w:tcPr>
          <w:p>
            <w:pPr>
              <w:jc w:val="left"/>
            </w:pPr>
            <w:r/>
            <w:r>
              <w:rPr>
                <w:b w:val="0"/>
                <w:sz w:val="16"/>
              </w:rPr>
              <w:t>M-12</w:t>
            </w:r>
          </w:p>
        </w:tc>
        <w:tc>
          <w:tcPr>
            <w:tcW w:type="dxa" w:w="1800"/>
            <w:vAlign w:val="center"/>
          </w:tcPr>
          <w:p>
            <w:pPr>
              <w:jc w:val="left"/>
            </w:pPr>
            <w:r/>
            <w:r>
              <w:rPr>
                <w:b w:val="0"/>
                <w:sz w:val="16"/>
              </w:rPr>
              <w:t>Documentos y FIEL</w:t>
            </w:r>
          </w:p>
        </w:tc>
        <w:tc>
          <w:tcPr>
            <w:tcW w:type="dxa" w:w="6768"/>
            <w:vAlign w:val="center"/>
          </w:tcPr>
          <w:p>
            <w:pPr>
              <w:jc w:val="left"/>
            </w:pPr>
            <w:r/>
            <w:r>
              <w:rPr>
                <w:b w:val="0"/>
                <w:sz w:val="16"/>
              </w:rPr>
              <w:t>Integrar generación de documentos y, cuando jurídicamente corresponda, firma electrónica avanzada de participantes para formalización y notificación.</w:t>
            </w:r>
          </w:p>
        </w:tc>
        <w:tc>
          <w:tcPr>
            <w:tcW w:type="dxa" w:w="1800"/>
            <w:vAlign w:val="center"/>
          </w:tcPr>
          <w:p>
            <w:pPr>
              <w:jc w:val="left"/>
            </w:pPr>
            <w:r/>
            <w:r>
              <w:rPr>
                <w:b w:val="0"/>
                <w:sz w:val="16"/>
              </w:rPr>
              <w:t>Alta / validación jurídica</w:t>
            </w:r>
          </w:p>
        </w:tc>
      </w:tr>
      <w:tr>
        <w:tc>
          <w:tcPr>
            <w:tcW w:type="dxa" w:w="792"/>
            <w:vAlign w:val="center"/>
            <w:shd w:fill="F2F2F2"/>
          </w:tcPr>
          <w:p>
            <w:pPr>
              <w:jc w:val="left"/>
            </w:pPr>
            <w:r/>
            <w:r>
              <w:rPr>
                <w:b w:val="0"/>
                <w:sz w:val="16"/>
              </w:rPr>
              <w:t>M-13</w:t>
            </w:r>
          </w:p>
        </w:tc>
        <w:tc>
          <w:tcPr>
            <w:tcW w:type="dxa" w:w="1800"/>
            <w:vAlign w:val="center"/>
            <w:shd w:fill="F2F2F2"/>
          </w:tcPr>
          <w:p>
            <w:pPr>
              <w:jc w:val="left"/>
            </w:pPr>
            <w:r/>
            <w:r>
              <w:rPr>
                <w:b w:val="0"/>
                <w:sz w:val="16"/>
              </w:rPr>
              <w:t>COA / SEMARNAT</w:t>
            </w:r>
          </w:p>
        </w:tc>
        <w:tc>
          <w:tcPr>
            <w:tcW w:type="dxa" w:w="6768"/>
            <w:vAlign w:val="center"/>
            <w:shd w:fill="F2F2F2"/>
          </w:tcPr>
          <w:p>
            <w:pPr>
              <w:jc w:val="left"/>
            </w:pPr>
            <w:r/>
            <w:r>
              <w:rPr>
                <w:b w:val="0"/>
                <w:sz w:val="16"/>
              </w:rPr>
              <w:t>Evaluar integración con la Cédula de Operación Anual (COA) de SEMARNAT mediante interoperabilidad/microservicios, evitando replicación manual.</w:t>
            </w:r>
          </w:p>
        </w:tc>
        <w:tc>
          <w:tcPr>
            <w:tcW w:type="dxa" w:w="1800"/>
            <w:vAlign w:val="center"/>
            <w:shd w:fill="F2F2F2"/>
          </w:tcPr>
          <w:p>
            <w:pPr>
              <w:jc w:val="left"/>
            </w:pPr>
            <w:r/>
            <w:r>
              <w:rPr>
                <w:b w:val="0"/>
                <w:sz w:val="16"/>
              </w:rPr>
              <w:t>Alta / factibilidad</w:t>
            </w:r>
          </w:p>
        </w:tc>
      </w:tr>
      <w:tr>
        <w:tc>
          <w:tcPr>
            <w:tcW w:type="dxa" w:w="792"/>
            <w:vAlign w:val="center"/>
          </w:tcPr>
          <w:p>
            <w:pPr>
              <w:jc w:val="left"/>
            </w:pPr>
            <w:r/>
            <w:r>
              <w:rPr>
                <w:b w:val="0"/>
                <w:sz w:val="16"/>
              </w:rPr>
              <w:t>M-14</w:t>
            </w:r>
          </w:p>
        </w:tc>
        <w:tc>
          <w:tcPr>
            <w:tcW w:type="dxa" w:w="1800"/>
            <w:vAlign w:val="center"/>
          </w:tcPr>
          <w:p>
            <w:pPr>
              <w:jc w:val="left"/>
            </w:pPr>
            <w:r/>
            <w:r>
              <w:rPr>
                <w:b w:val="0"/>
                <w:sz w:val="16"/>
              </w:rPr>
              <w:t>BI</w:t>
            </w:r>
          </w:p>
        </w:tc>
        <w:tc>
          <w:tcPr>
            <w:tcW w:type="dxa" w:w="6768"/>
            <w:vAlign w:val="center"/>
          </w:tcPr>
          <w:p>
            <w:pPr>
              <w:jc w:val="left"/>
            </w:pPr>
            <w:r/>
            <w:r>
              <w:rPr>
                <w:b w:val="0"/>
                <w:sz w:val="16"/>
              </w:rPr>
              <w:t>Definir estrategia de explotación, reporteo e indicadores mediante una capacidad BI separada del núcleo transaccional.</w:t>
            </w:r>
          </w:p>
        </w:tc>
        <w:tc>
          <w:tcPr>
            <w:tcW w:type="dxa" w:w="1800"/>
            <w:vAlign w:val="center"/>
          </w:tcPr>
          <w:p>
            <w:pPr>
              <w:jc w:val="left"/>
            </w:pPr>
            <w:r/>
            <w:r>
              <w:rPr>
                <w:b w:val="0"/>
                <w:sz w:val="16"/>
              </w:rPr>
              <w:t>Alta</w:t>
            </w:r>
          </w:p>
        </w:tc>
      </w:tr>
      <w:tr>
        <w:tc>
          <w:tcPr>
            <w:tcW w:type="dxa" w:w="792"/>
            <w:vAlign w:val="center"/>
            <w:shd w:fill="F2F2F2"/>
          </w:tcPr>
          <w:p>
            <w:pPr>
              <w:jc w:val="left"/>
            </w:pPr>
            <w:r/>
            <w:r>
              <w:rPr>
                <w:b w:val="0"/>
                <w:sz w:val="16"/>
              </w:rPr>
              <w:t>M-15</w:t>
            </w:r>
          </w:p>
        </w:tc>
        <w:tc>
          <w:tcPr>
            <w:tcW w:type="dxa" w:w="1800"/>
            <w:vAlign w:val="center"/>
            <w:shd w:fill="F2F2F2"/>
          </w:tcPr>
          <w:p>
            <w:pPr>
              <w:jc w:val="left"/>
            </w:pPr>
            <w:r/>
            <w:r>
              <w:rPr>
                <w:b w:val="0"/>
                <w:sz w:val="16"/>
              </w:rPr>
              <w:t>Inventario funcional</w:t>
            </w:r>
          </w:p>
        </w:tc>
        <w:tc>
          <w:tcPr>
            <w:tcW w:type="dxa" w:w="6768"/>
            <w:vAlign w:val="center"/>
            <w:shd w:fill="F2F2F2"/>
          </w:tcPr>
          <w:p>
            <w:pPr>
              <w:jc w:val="left"/>
            </w:pPr>
            <w:r/>
            <w:r>
              <w:rPr>
                <w:b w:val="0"/>
                <w:sz w:val="16"/>
              </w:rPr>
              <w:t>Generar listado de funcionalidades actuales que ya no son útiles/no están vigentes y de nuevas funcionalidades deseadas; usarlo como control de alcance.</w:t>
            </w:r>
          </w:p>
        </w:tc>
        <w:tc>
          <w:tcPr>
            <w:tcW w:type="dxa" w:w="1800"/>
            <w:vAlign w:val="center"/>
            <w:shd w:fill="F2F2F2"/>
          </w:tcPr>
          <w:p>
            <w:pPr>
              <w:jc w:val="left"/>
            </w:pPr>
            <w:r/>
            <w:r>
              <w:rPr>
                <w:b w:val="0"/>
                <w:sz w:val="16"/>
              </w:rPr>
              <w:t>Alta</w:t>
            </w:r>
          </w:p>
        </w:tc>
      </w:tr>
      <w:tr>
        <w:tc>
          <w:tcPr>
            <w:tcW w:type="dxa" w:w="792"/>
            <w:vAlign w:val="center"/>
          </w:tcPr>
          <w:p>
            <w:pPr>
              <w:jc w:val="left"/>
            </w:pPr>
            <w:r/>
            <w:r>
              <w:rPr>
                <w:b w:val="0"/>
                <w:sz w:val="16"/>
              </w:rPr>
              <w:t>M-16</w:t>
            </w:r>
          </w:p>
        </w:tc>
        <w:tc>
          <w:tcPr>
            <w:tcW w:type="dxa" w:w="1800"/>
            <w:vAlign w:val="center"/>
          </w:tcPr>
          <w:p>
            <w:pPr>
              <w:jc w:val="left"/>
            </w:pPr>
            <w:r/>
            <w:r>
              <w:rPr>
                <w:b w:val="0"/>
                <w:sz w:val="16"/>
              </w:rPr>
              <w:t>Actividades externas</w:t>
            </w:r>
          </w:p>
        </w:tc>
        <w:tc>
          <w:tcPr>
            <w:tcW w:type="dxa" w:w="6768"/>
            <w:vAlign w:val="center"/>
          </w:tcPr>
          <w:p>
            <w:pPr>
              <w:jc w:val="left"/>
            </w:pPr>
            <w:r/>
            <w:r>
              <w:rPr>
                <w:b w:val="0"/>
                <w:sz w:val="16"/>
              </w:rPr>
              <w:t>Identificar actividades realizadas fuera del sistema y el mecanismo de control/seguimiento de DGOAPA, para incorporarlos al modelo de proceso integral.</w:t>
            </w:r>
          </w:p>
        </w:tc>
        <w:tc>
          <w:tcPr>
            <w:tcW w:type="dxa" w:w="1800"/>
            <w:vAlign w:val="center"/>
          </w:tcPr>
          <w:p>
            <w:pPr>
              <w:jc w:val="left"/>
            </w:pPr>
            <w:r/>
            <w:r>
              <w:rPr>
                <w:b w:val="0"/>
                <w:sz w:val="16"/>
              </w:rPr>
              <w:t>Alta</w:t>
            </w:r>
          </w:p>
        </w:tc>
      </w:tr>
      <w:tr>
        <w:tc>
          <w:tcPr>
            <w:tcW w:type="dxa" w:w="792"/>
            <w:vAlign w:val="center"/>
            <w:shd w:fill="F2F2F2"/>
          </w:tcPr>
          <w:p>
            <w:pPr>
              <w:jc w:val="left"/>
            </w:pPr>
            <w:r/>
            <w:r>
              <w:rPr>
                <w:b w:val="0"/>
                <w:sz w:val="16"/>
              </w:rPr>
              <w:t>M-17</w:t>
            </w:r>
          </w:p>
        </w:tc>
        <w:tc>
          <w:tcPr>
            <w:tcW w:type="dxa" w:w="1800"/>
            <w:vAlign w:val="center"/>
            <w:shd w:fill="F2F2F2"/>
          </w:tcPr>
          <w:p>
            <w:pPr>
              <w:jc w:val="left"/>
            </w:pPr>
            <w:r/>
            <w:r>
              <w:rPr>
                <w:b w:val="0"/>
                <w:sz w:val="16"/>
              </w:rPr>
              <w:t>Nombre de plataforma</w:t>
            </w:r>
          </w:p>
        </w:tc>
        <w:tc>
          <w:tcPr>
            <w:tcW w:type="dxa" w:w="6768"/>
            <w:vAlign w:val="center"/>
            <w:shd w:fill="F2F2F2"/>
          </w:tcPr>
          <w:p>
            <w:pPr>
              <w:jc w:val="left"/>
            </w:pPr>
            <w:r/>
            <w:r>
              <w:rPr>
                <w:b w:val="0"/>
                <w:sz w:val="16"/>
              </w:rPr>
              <w:t>La minuta plantea valorar un nombre distinto de Plataforma Integral de PROFEPA 1.0; debe tratarse como decisión institucional independiente del diseño técnico.</w:t>
            </w:r>
          </w:p>
        </w:tc>
        <w:tc>
          <w:tcPr>
            <w:tcW w:type="dxa" w:w="1800"/>
            <w:vAlign w:val="center"/>
            <w:shd w:fill="F2F2F2"/>
          </w:tcPr>
          <w:p>
            <w:pPr>
              <w:jc w:val="left"/>
            </w:pPr>
            <w:r/>
            <w:r>
              <w:rPr>
                <w:b w:val="0"/>
                <w:sz w:val="16"/>
              </w:rPr>
              <w:t>Baja / institucional</w:t>
            </w:r>
          </w:p>
        </w:tc>
      </w:tr>
    </w:tbl>
    <w:p/>
    <w:p>
      <w:pPr>
        <w:pStyle w:val="Heading2"/>
      </w:pPr>
      <w:r>
        <w:t>20.2 Implicaciones funcionales nuevas</w:t>
      </w:r>
    </w:p>
    <w:p>
      <w:pPr>
        <w:pStyle w:val="ListBullet"/>
      </w:pPr>
      <w:r>
        <w:t>El catálogo SCIAN/CMAP debe convertirse en una entidad gobernada, versionada y con vigencia; las selecciones de actividad deben quedar asociadas a la empresa/instalación y a la decisión de atención correspondiente.</w:t>
      </w:r>
    </w:p>
    <w:p>
      <w:pPr>
        <w:pStyle w:val="ListBullet"/>
      </w:pPr>
      <w:r>
        <w:t>El folio debe ser una entidad de negocio, no sólo un número de pantalla: debe tener unicidad, trazabilidad, composición configurable y relación con expediente, trámite, ubicación y año.</w:t>
      </w:r>
    </w:p>
    <w:p>
      <w:pPr>
        <w:pStyle w:val="ListBullet"/>
      </w:pPr>
      <w:r>
        <w:t>El expediente debe soportar generación de documentos a partir de plantillas, control de versiones, firma electrónica cuando proceda, evidencia de firma y estado de formalización.</w:t>
      </w:r>
    </w:p>
    <w:p>
      <w:pPr>
        <w:pStyle w:val="ListBullet"/>
      </w:pPr>
      <w:r>
        <w:t>El módulo de concertación debe reutilizar expediente, documentos, participantes, firmas, notificaciones, calendario y auditoría, evitando crear una plataforma paralela.</w:t>
      </w:r>
    </w:p>
    <w:p>
      <w:pPr>
        <w:pStyle w:val="ListBullet"/>
      </w:pPr>
      <w:r>
        <w:t>Las integraciones deben diseñarse como servicios reutilizables. La minuta de COA refuerza el principio de interoperabilidad por microservicios, pero la selección entre API Gateway, ESB, mensajería o integración directa deberá definirse en arquitectura.</w:t>
      </w:r>
    </w:p>
    <w:p>
      <w:pPr>
        <w:pStyle w:val="ListBullet"/>
      </w:pPr>
      <w:r>
        <w:t>El BI no debe consultar indiscriminadamente la base transaccional en producción. Debe existir una capa analítica, modelos semánticos y controles de seguridad que permitan explotación sin comprometer el desempeño ni la integridad operacional.</w:t>
      </w:r>
    </w:p>
    <w:p>
      <w:pPr>
        <w:pStyle w:val="Heading2"/>
      </w:pPr>
      <w:r>
        <w:t>20.3 Requisitos funcionales adicionales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center"/>
            <w:shd w:fill="404040"/>
          </w:tcPr>
          <w:p>
            <w:pPr>
              <w:jc w:val="left"/>
            </w:pPr>
            <w:r/>
            <w:r>
              <w:rPr>
                <w:b/>
                <w:color w:val="FFFFFF"/>
                <w:sz w:val="16"/>
              </w:rPr>
              <w:t>ID</w:t>
            </w:r>
          </w:p>
        </w:tc>
        <w:tc>
          <w:tcPr>
            <w:tcW w:type="dxa" w:w="2088"/>
            <w:vAlign w:val="center"/>
            <w:shd w:fill="404040"/>
          </w:tcPr>
          <w:p>
            <w:pPr>
              <w:jc w:val="left"/>
            </w:pPr>
            <w:r/>
            <w:r>
              <w:rPr>
                <w:b/>
                <w:color w:val="FFFFFF"/>
                <w:sz w:val="16"/>
              </w:rPr>
              <w:t>Funcionalidad</w:t>
            </w:r>
          </w:p>
        </w:tc>
        <w:tc>
          <w:tcPr>
            <w:tcW w:type="dxa" w:w="6768"/>
            <w:vAlign w:val="center"/>
            <w:shd w:fill="404040"/>
          </w:tcPr>
          <w:p>
            <w:pPr>
              <w:jc w:val="left"/>
            </w:pPr>
            <w:r/>
            <w:r>
              <w:rPr>
                <w:b/>
                <w:color w:val="FFFFFF"/>
                <w:sz w:val="16"/>
              </w:rPr>
              <w:t>Descripción</w:t>
            </w:r>
          </w:p>
        </w:tc>
        <w:tc>
          <w:tcPr>
            <w:tcW w:type="dxa" w:w="1512"/>
            <w:vAlign w:val="center"/>
            <w:shd w:fill="404040"/>
          </w:tcPr>
          <w:p>
            <w:pPr>
              <w:jc w:val="left"/>
            </w:pPr>
            <w:r/>
            <w:r>
              <w:rPr>
                <w:b/>
                <w:color w:val="FFFFFF"/>
                <w:sz w:val="16"/>
              </w:rPr>
              <w:t>Prioridad</w:t>
            </w:r>
          </w:p>
        </w:tc>
      </w:tr>
      <w:tr>
        <w:tc>
          <w:tcPr>
            <w:tcW w:type="dxa" w:w="792"/>
            <w:vAlign w:val="center"/>
            <w:shd w:fill="F2F2F2"/>
          </w:tcPr>
          <w:p>
            <w:pPr>
              <w:jc w:val="left"/>
            </w:pPr>
            <w:r/>
            <w:r>
              <w:rPr>
                <w:b w:val="0"/>
                <w:sz w:val="16"/>
              </w:rPr>
              <w:t>FR-031</w:t>
            </w:r>
          </w:p>
        </w:tc>
        <w:tc>
          <w:tcPr>
            <w:tcW w:type="dxa" w:w="2088"/>
            <w:vAlign w:val="center"/>
            <w:shd w:fill="F2F2F2"/>
          </w:tcPr>
          <w:p>
            <w:pPr>
              <w:jc w:val="left"/>
            </w:pPr>
            <w:r/>
            <w:r>
              <w:rPr>
                <w:b w:val="0"/>
                <w:sz w:val="16"/>
              </w:rPr>
              <w:t>Gestión de folios</w:t>
            </w:r>
          </w:p>
        </w:tc>
        <w:tc>
          <w:tcPr>
            <w:tcW w:type="dxa" w:w="6768"/>
            <w:vAlign w:val="center"/>
            <w:shd w:fill="F2F2F2"/>
          </w:tcPr>
          <w:p>
            <w:pPr>
              <w:jc w:val="left"/>
            </w:pPr>
            <w:r/>
            <w:r>
              <w:rPr>
                <w:b w:val="0"/>
                <w:sz w:val="16"/>
              </w:rPr>
              <w:t>Generar/validar folios con reglas de unicidad, prefijo, tipo, año, ubicación y confirmación, según catálogo aprobado.</w:t>
            </w:r>
          </w:p>
        </w:tc>
        <w:tc>
          <w:tcPr>
            <w:tcW w:type="dxa" w:w="1512"/>
            <w:vAlign w:val="center"/>
            <w:shd w:fill="F2F2F2"/>
          </w:tcPr>
          <w:p>
            <w:pPr>
              <w:jc w:val="left"/>
            </w:pPr>
            <w:r/>
            <w:r>
              <w:rPr>
                <w:b w:val="0"/>
                <w:sz w:val="16"/>
              </w:rPr>
              <w:t>Alta</w:t>
            </w:r>
          </w:p>
        </w:tc>
      </w:tr>
      <w:tr>
        <w:tc>
          <w:tcPr>
            <w:tcW w:type="dxa" w:w="792"/>
            <w:vAlign w:val="center"/>
          </w:tcPr>
          <w:p>
            <w:pPr>
              <w:jc w:val="left"/>
            </w:pPr>
            <w:r/>
            <w:r>
              <w:rPr>
                <w:b w:val="0"/>
                <w:sz w:val="16"/>
              </w:rPr>
              <w:t>FR-032</w:t>
            </w:r>
          </w:p>
        </w:tc>
        <w:tc>
          <w:tcPr>
            <w:tcW w:type="dxa" w:w="2088"/>
            <w:vAlign w:val="center"/>
          </w:tcPr>
          <w:p>
            <w:pPr>
              <w:jc w:val="left"/>
            </w:pPr>
            <w:r/>
            <w:r>
              <w:rPr>
                <w:b w:val="0"/>
                <w:sz w:val="16"/>
              </w:rPr>
              <w:t>Catálogos SCIAN/CMAP</w:t>
            </w:r>
          </w:p>
        </w:tc>
        <w:tc>
          <w:tcPr>
            <w:tcW w:type="dxa" w:w="6768"/>
            <w:vAlign w:val="center"/>
          </w:tcPr>
          <w:p>
            <w:pPr>
              <w:jc w:val="left"/>
            </w:pPr>
            <w:r/>
            <w:r>
              <w:rPr>
                <w:b w:val="0"/>
                <w:sz w:val="16"/>
              </w:rPr>
              <w:t>Administrar clasificación de actividad con vigencias, versiones, equivalencias y relación con reglas de atención.</w:t>
            </w:r>
          </w:p>
        </w:tc>
        <w:tc>
          <w:tcPr>
            <w:tcW w:type="dxa" w:w="1512"/>
            <w:vAlign w:val="center"/>
          </w:tcPr>
          <w:p>
            <w:pPr>
              <w:jc w:val="left"/>
            </w:pPr>
            <w:r/>
            <w:r>
              <w:rPr>
                <w:b w:val="0"/>
                <w:sz w:val="16"/>
              </w:rPr>
              <w:t>Alta</w:t>
            </w:r>
          </w:p>
        </w:tc>
      </w:tr>
      <w:tr>
        <w:tc>
          <w:tcPr>
            <w:tcW w:type="dxa" w:w="792"/>
            <w:vAlign w:val="center"/>
            <w:shd w:fill="F2F2F2"/>
          </w:tcPr>
          <w:p>
            <w:pPr>
              <w:jc w:val="left"/>
            </w:pPr>
            <w:r/>
            <w:r>
              <w:rPr>
                <w:b w:val="0"/>
                <w:sz w:val="16"/>
              </w:rPr>
              <w:t>FR-033</w:t>
            </w:r>
          </w:p>
        </w:tc>
        <w:tc>
          <w:tcPr>
            <w:tcW w:type="dxa" w:w="2088"/>
            <w:vAlign w:val="center"/>
            <w:shd w:fill="F2F2F2"/>
          </w:tcPr>
          <w:p>
            <w:pPr>
              <w:jc w:val="left"/>
            </w:pPr>
            <w:r/>
            <w:r>
              <w:rPr>
                <w:b w:val="0"/>
                <w:sz w:val="16"/>
              </w:rPr>
              <w:t>Generación de documentos</w:t>
            </w:r>
          </w:p>
        </w:tc>
        <w:tc>
          <w:tcPr>
            <w:tcW w:type="dxa" w:w="6768"/>
            <w:vAlign w:val="center"/>
            <w:shd w:fill="F2F2F2"/>
          </w:tcPr>
          <w:p>
            <w:pPr>
              <w:jc w:val="left"/>
            </w:pPr>
            <w:r/>
            <w:r>
              <w:rPr>
                <w:b w:val="0"/>
                <w:sz w:val="16"/>
              </w:rPr>
              <w:t>Generar documentos institucionales a partir de plantillas y datos del expediente, con control de versión.</w:t>
            </w:r>
          </w:p>
        </w:tc>
        <w:tc>
          <w:tcPr>
            <w:tcW w:type="dxa" w:w="1512"/>
            <w:vAlign w:val="center"/>
            <w:shd w:fill="F2F2F2"/>
          </w:tcPr>
          <w:p>
            <w:pPr>
              <w:jc w:val="left"/>
            </w:pPr>
            <w:r/>
            <w:r>
              <w:rPr>
                <w:b w:val="0"/>
                <w:sz w:val="16"/>
              </w:rPr>
              <w:t>Alta</w:t>
            </w:r>
          </w:p>
        </w:tc>
      </w:tr>
      <w:tr>
        <w:tc>
          <w:tcPr>
            <w:tcW w:type="dxa" w:w="792"/>
            <w:vAlign w:val="center"/>
          </w:tcPr>
          <w:p>
            <w:pPr>
              <w:jc w:val="left"/>
            </w:pPr>
            <w:r/>
            <w:r>
              <w:rPr>
                <w:b w:val="0"/>
                <w:sz w:val="16"/>
              </w:rPr>
              <w:t>FR-034</w:t>
            </w:r>
          </w:p>
        </w:tc>
        <w:tc>
          <w:tcPr>
            <w:tcW w:type="dxa" w:w="2088"/>
            <w:vAlign w:val="center"/>
          </w:tcPr>
          <w:p>
            <w:pPr>
              <w:jc w:val="left"/>
            </w:pPr>
            <w:r/>
            <w:r>
              <w:rPr>
                <w:b w:val="0"/>
                <w:sz w:val="16"/>
              </w:rPr>
              <w:t>Firma electrónica</w:t>
            </w:r>
          </w:p>
        </w:tc>
        <w:tc>
          <w:tcPr>
            <w:tcW w:type="dxa" w:w="6768"/>
            <w:vAlign w:val="center"/>
          </w:tcPr>
          <w:p>
            <w:pPr>
              <w:jc w:val="left"/>
            </w:pPr>
            <w:r/>
            <w:r>
              <w:rPr>
                <w:b w:val="0"/>
                <w:sz w:val="16"/>
              </w:rPr>
              <w:t>Gestionar documentos que requieran firma electrónica avanzada, evidencias de firma y estado de formalización.</w:t>
            </w:r>
          </w:p>
        </w:tc>
        <w:tc>
          <w:tcPr>
            <w:tcW w:type="dxa" w:w="1512"/>
            <w:vAlign w:val="center"/>
          </w:tcPr>
          <w:p>
            <w:pPr>
              <w:jc w:val="left"/>
            </w:pPr>
            <w:r/>
            <w:r>
              <w:rPr>
                <w:b w:val="0"/>
                <w:sz w:val="16"/>
              </w:rPr>
              <w:t>Alta</w:t>
            </w:r>
          </w:p>
        </w:tc>
      </w:tr>
      <w:tr>
        <w:tc>
          <w:tcPr>
            <w:tcW w:type="dxa" w:w="792"/>
            <w:vAlign w:val="center"/>
            <w:shd w:fill="F2F2F2"/>
          </w:tcPr>
          <w:p>
            <w:pPr>
              <w:jc w:val="left"/>
            </w:pPr>
            <w:r/>
            <w:r>
              <w:rPr>
                <w:b w:val="0"/>
                <w:sz w:val="16"/>
              </w:rPr>
              <w:t>FR-035</w:t>
            </w:r>
          </w:p>
        </w:tc>
        <w:tc>
          <w:tcPr>
            <w:tcW w:type="dxa" w:w="2088"/>
            <w:vAlign w:val="center"/>
            <w:shd w:fill="F2F2F2"/>
          </w:tcPr>
          <w:p>
            <w:pPr>
              <w:jc w:val="left"/>
            </w:pPr>
            <w:r/>
            <w:r>
              <w:rPr>
                <w:b w:val="0"/>
                <w:sz w:val="16"/>
              </w:rPr>
              <w:t>Módulo de concertación</w:t>
            </w:r>
          </w:p>
        </w:tc>
        <w:tc>
          <w:tcPr>
            <w:tcW w:type="dxa" w:w="6768"/>
            <w:vAlign w:val="center"/>
            <w:shd w:fill="F2F2F2"/>
          </w:tcPr>
          <w:p>
            <w:pPr>
              <w:jc w:val="left"/>
            </w:pPr>
            <w:r/>
            <w:r>
              <w:rPr>
                <w:b w:val="0"/>
                <w:sz w:val="16"/>
              </w:rPr>
              <w:t>Gestionar convenios de concertación, participantes, obligaciones, documentos, firmas, vigencia y seguimiento.</w:t>
            </w:r>
          </w:p>
        </w:tc>
        <w:tc>
          <w:tcPr>
            <w:tcW w:type="dxa" w:w="1512"/>
            <w:vAlign w:val="center"/>
            <w:shd w:fill="F2F2F2"/>
          </w:tcPr>
          <w:p>
            <w:pPr>
              <w:jc w:val="left"/>
            </w:pPr>
            <w:r/>
            <w:r>
              <w:rPr>
                <w:b w:val="0"/>
                <w:sz w:val="16"/>
              </w:rPr>
              <w:t>Media-Alta</w:t>
            </w:r>
          </w:p>
        </w:tc>
      </w:tr>
      <w:tr>
        <w:tc>
          <w:tcPr>
            <w:tcW w:type="dxa" w:w="792"/>
            <w:vAlign w:val="center"/>
          </w:tcPr>
          <w:p>
            <w:pPr>
              <w:jc w:val="left"/>
            </w:pPr>
            <w:r/>
            <w:r>
              <w:rPr>
                <w:b w:val="0"/>
                <w:sz w:val="16"/>
              </w:rPr>
              <w:t>FR-036</w:t>
            </w:r>
          </w:p>
        </w:tc>
        <w:tc>
          <w:tcPr>
            <w:tcW w:type="dxa" w:w="2088"/>
            <w:vAlign w:val="center"/>
          </w:tcPr>
          <w:p>
            <w:pPr>
              <w:jc w:val="left"/>
            </w:pPr>
            <w:r/>
            <w:r>
              <w:rPr>
                <w:b w:val="0"/>
                <w:sz w:val="16"/>
              </w:rPr>
              <w:t>Integración COA</w:t>
            </w:r>
          </w:p>
        </w:tc>
        <w:tc>
          <w:tcPr>
            <w:tcW w:type="dxa" w:w="6768"/>
            <w:vAlign w:val="center"/>
          </w:tcPr>
          <w:p>
            <w:pPr>
              <w:jc w:val="left"/>
            </w:pPr>
            <w:r/>
            <w:r>
              <w:rPr>
                <w:b w:val="0"/>
                <w:sz w:val="16"/>
              </w:rPr>
              <w:t>Consultar/intercambiar información con COA/SEMARNAT cuando exista mecanismo autorizado y técnicamente disponible.</w:t>
            </w:r>
          </w:p>
        </w:tc>
        <w:tc>
          <w:tcPr>
            <w:tcW w:type="dxa" w:w="1512"/>
            <w:vAlign w:val="center"/>
          </w:tcPr>
          <w:p>
            <w:pPr>
              <w:jc w:val="left"/>
            </w:pPr>
            <w:r/>
            <w:r>
              <w:rPr>
                <w:b w:val="0"/>
                <w:sz w:val="16"/>
              </w:rPr>
              <w:t>Alta</w:t>
            </w:r>
          </w:p>
        </w:tc>
      </w:tr>
      <w:tr>
        <w:tc>
          <w:tcPr>
            <w:tcW w:type="dxa" w:w="792"/>
            <w:vAlign w:val="center"/>
            <w:shd w:fill="F2F2F2"/>
          </w:tcPr>
          <w:p>
            <w:pPr>
              <w:jc w:val="left"/>
            </w:pPr>
            <w:r/>
            <w:r>
              <w:rPr>
                <w:b w:val="0"/>
                <w:sz w:val="16"/>
              </w:rPr>
              <w:t>FR-037</w:t>
            </w:r>
          </w:p>
        </w:tc>
        <w:tc>
          <w:tcPr>
            <w:tcW w:type="dxa" w:w="2088"/>
            <w:vAlign w:val="center"/>
            <w:shd w:fill="F2F2F2"/>
          </w:tcPr>
          <w:p>
            <w:pPr>
              <w:jc w:val="left"/>
            </w:pPr>
            <w:r/>
            <w:r>
              <w:rPr>
                <w:b w:val="0"/>
                <w:sz w:val="16"/>
              </w:rPr>
              <w:t>Evaluación de auditor</w:t>
            </w:r>
          </w:p>
        </w:tc>
        <w:tc>
          <w:tcPr>
            <w:tcW w:type="dxa" w:w="6768"/>
            <w:vAlign w:val="center"/>
            <w:shd w:fill="F2F2F2"/>
          </w:tcPr>
          <w:p>
            <w:pPr>
              <w:jc w:val="left"/>
            </w:pPr>
            <w:r/>
            <w:r>
              <w:rPr>
                <w:b w:val="0"/>
                <w:sz w:val="16"/>
              </w:rPr>
              <w:t>Registrar evaluación de servicio por parte de la empresa, con reglas de visibilidad y publicación por definir.</w:t>
            </w:r>
          </w:p>
        </w:tc>
        <w:tc>
          <w:tcPr>
            <w:tcW w:type="dxa" w:w="1512"/>
            <w:vAlign w:val="center"/>
            <w:shd w:fill="F2F2F2"/>
          </w:tcPr>
          <w:p>
            <w:pPr>
              <w:jc w:val="left"/>
            </w:pPr>
            <w:r/>
            <w:r>
              <w:rPr>
                <w:b w:val="0"/>
                <w:sz w:val="16"/>
              </w:rPr>
              <w:t>Media</w:t>
            </w:r>
          </w:p>
        </w:tc>
      </w:tr>
      <w:tr>
        <w:tc>
          <w:tcPr>
            <w:tcW w:type="dxa" w:w="792"/>
            <w:vAlign w:val="center"/>
          </w:tcPr>
          <w:p>
            <w:pPr>
              <w:jc w:val="left"/>
            </w:pPr>
            <w:r/>
            <w:r>
              <w:rPr>
                <w:b w:val="0"/>
                <w:sz w:val="16"/>
              </w:rPr>
              <w:t>FR-038</w:t>
            </w:r>
          </w:p>
        </w:tc>
        <w:tc>
          <w:tcPr>
            <w:tcW w:type="dxa" w:w="2088"/>
            <w:vAlign w:val="center"/>
          </w:tcPr>
          <w:p>
            <w:pPr>
              <w:jc w:val="left"/>
            </w:pPr>
            <w:r/>
            <w:r>
              <w:rPr>
                <w:b w:val="0"/>
                <w:sz w:val="16"/>
              </w:rPr>
              <w:t>Inventario de funcionalidad</w:t>
            </w:r>
          </w:p>
        </w:tc>
        <w:tc>
          <w:tcPr>
            <w:tcW w:type="dxa" w:w="6768"/>
            <w:vAlign w:val="center"/>
          </w:tcPr>
          <w:p>
            <w:pPr>
              <w:jc w:val="left"/>
            </w:pPr>
            <w:r/>
            <w:r>
              <w:rPr>
                <w:b w:val="0"/>
                <w:sz w:val="16"/>
              </w:rPr>
              <w:t>Mantener catálogo de funcionalidades vigentes, candidatas a retirar y nuevas funcionalidades, como control de alcance.</w:t>
            </w:r>
          </w:p>
        </w:tc>
        <w:tc>
          <w:tcPr>
            <w:tcW w:type="dxa" w:w="1512"/>
            <w:vAlign w:val="center"/>
          </w:tcPr>
          <w:p>
            <w:pPr>
              <w:jc w:val="left"/>
            </w:pPr>
            <w:r/>
            <w:r>
              <w:rPr>
                <w:b w:val="0"/>
                <w:sz w:val="16"/>
              </w:rPr>
              <w:t>Alta</w:t>
            </w:r>
          </w:p>
        </w:tc>
      </w:tr>
      <w:tr>
        <w:tc>
          <w:tcPr>
            <w:tcW w:type="dxa" w:w="792"/>
            <w:vAlign w:val="center"/>
            <w:shd w:fill="F2F2F2"/>
          </w:tcPr>
          <w:p>
            <w:pPr>
              <w:jc w:val="left"/>
            </w:pPr>
            <w:r/>
            <w:r>
              <w:rPr>
                <w:b w:val="0"/>
                <w:sz w:val="16"/>
              </w:rPr>
              <w:t>FR-039</w:t>
            </w:r>
          </w:p>
        </w:tc>
        <w:tc>
          <w:tcPr>
            <w:tcW w:type="dxa" w:w="2088"/>
            <w:vAlign w:val="center"/>
            <w:shd w:fill="F2F2F2"/>
          </w:tcPr>
          <w:p>
            <w:pPr>
              <w:jc w:val="left"/>
            </w:pPr>
            <w:r/>
            <w:r>
              <w:rPr>
                <w:b w:val="0"/>
                <w:sz w:val="16"/>
              </w:rPr>
              <w:t>Actividades externas</w:t>
            </w:r>
          </w:p>
        </w:tc>
        <w:tc>
          <w:tcPr>
            <w:tcW w:type="dxa" w:w="6768"/>
            <w:vAlign w:val="center"/>
            <w:shd w:fill="F2F2F2"/>
          </w:tcPr>
          <w:p>
            <w:pPr>
              <w:jc w:val="left"/>
            </w:pPr>
            <w:r/>
            <w:r>
              <w:rPr>
                <w:b w:val="0"/>
                <w:sz w:val="16"/>
              </w:rPr>
              <w:t>Registrar o integrar hitos que ocurren fuera de SAAEL y su evidencia/seguimiento institucional.</w:t>
            </w:r>
          </w:p>
        </w:tc>
        <w:tc>
          <w:tcPr>
            <w:tcW w:type="dxa" w:w="1512"/>
            <w:vAlign w:val="center"/>
            <w:shd w:fill="F2F2F2"/>
          </w:tcPr>
          <w:p>
            <w:pPr>
              <w:jc w:val="left"/>
            </w:pPr>
            <w:r/>
            <w:r>
              <w:rPr>
                <w:b w:val="0"/>
                <w:sz w:val="16"/>
              </w:rPr>
              <w:t>Alta</w:t>
            </w:r>
          </w:p>
        </w:tc>
      </w:tr>
      <w:tr>
        <w:tc>
          <w:tcPr>
            <w:tcW w:type="dxa" w:w="792"/>
            <w:vAlign w:val="center"/>
          </w:tcPr>
          <w:p>
            <w:pPr>
              <w:jc w:val="left"/>
            </w:pPr>
            <w:r/>
            <w:r>
              <w:rPr>
                <w:b w:val="0"/>
                <w:sz w:val="16"/>
              </w:rPr>
              <w:t>FR-040</w:t>
            </w:r>
          </w:p>
        </w:tc>
        <w:tc>
          <w:tcPr>
            <w:tcW w:type="dxa" w:w="2088"/>
            <w:vAlign w:val="center"/>
          </w:tcPr>
          <w:p>
            <w:pPr>
              <w:jc w:val="left"/>
            </w:pPr>
            <w:r/>
            <w:r>
              <w:rPr>
                <w:b w:val="0"/>
                <w:sz w:val="16"/>
              </w:rPr>
              <w:t>BI y explotación</w:t>
            </w:r>
          </w:p>
        </w:tc>
        <w:tc>
          <w:tcPr>
            <w:tcW w:type="dxa" w:w="6768"/>
            <w:vAlign w:val="center"/>
          </w:tcPr>
          <w:p>
            <w:pPr>
              <w:jc w:val="left"/>
            </w:pPr>
            <w:r/>
            <w:r>
              <w:rPr>
                <w:b w:val="0"/>
                <w:sz w:val="16"/>
              </w:rPr>
              <w:t>Exponer datos gobernados a una capa analítica para indicadores, tableros, análisis histórico y autoservicio controlado.</w:t>
            </w:r>
          </w:p>
        </w:tc>
        <w:tc>
          <w:tcPr>
            <w:tcW w:type="dxa" w:w="1512"/>
            <w:vAlign w:val="center"/>
          </w:tcPr>
          <w:p>
            <w:pPr>
              <w:jc w:val="left"/>
            </w:pPr>
            <w:r/>
            <w:r>
              <w:rPr>
                <w:b w:val="0"/>
                <w:sz w:val="16"/>
              </w:rPr>
              <w:t>Alta</w:t>
            </w:r>
          </w:p>
        </w:tc>
      </w:tr>
    </w:tbl>
    <w:p/>
    <w:p>
      <w:pPr>
        <w:pStyle w:val="Heading2"/>
      </w:pPr>
      <w:r>
        <w:t>20.4 Reglas de negocio adicionales</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shd w:fill="404040"/>
          </w:tcPr>
          <w:p>
            <w:pPr>
              <w:jc w:val="left"/>
            </w:pPr>
            <w:r/>
            <w:r>
              <w:rPr>
                <w:b/>
                <w:color w:val="FFFFFF"/>
                <w:sz w:val="16"/>
              </w:rPr>
              <w:t>ID</w:t>
            </w:r>
          </w:p>
        </w:tc>
        <w:tc>
          <w:tcPr>
            <w:tcW w:type="dxa" w:w="2160"/>
            <w:vAlign w:val="center"/>
            <w:shd w:fill="404040"/>
          </w:tcPr>
          <w:p>
            <w:pPr>
              <w:jc w:val="left"/>
            </w:pPr>
            <w:r/>
            <w:r>
              <w:rPr>
                <w:b/>
                <w:color w:val="FFFFFF"/>
                <w:sz w:val="16"/>
              </w:rPr>
              <w:t>Regla</w:t>
            </w:r>
          </w:p>
        </w:tc>
        <w:tc>
          <w:tcPr>
            <w:tcW w:type="dxa" w:w="8064"/>
            <w:vAlign w:val="center"/>
            <w:shd w:fill="404040"/>
          </w:tcPr>
          <w:p>
            <w:pPr>
              <w:jc w:val="left"/>
            </w:pPr>
            <w:r/>
            <w:r>
              <w:rPr>
                <w:b/>
                <w:color w:val="FFFFFF"/>
                <w:sz w:val="16"/>
              </w:rPr>
              <w:t>Descripción</w:t>
            </w:r>
          </w:p>
        </w:tc>
      </w:tr>
      <w:tr>
        <w:tc>
          <w:tcPr>
            <w:tcW w:type="dxa" w:w="936"/>
            <w:vAlign w:val="center"/>
            <w:shd w:fill="F2F2F2"/>
          </w:tcPr>
          <w:p>
            <w:pPr>
              <w:jc w:val="left"/>
            </w:pPr>
            <w:r/>
            <w:r>
              <w:rPr>
                <w:b w:val="0"/>
                <w:sz w:val="16"/>
              </w:rPr>
              <w:t>RN-019</w:t>
            </w:r>
          </w:p>
        </w:tc>
        <w:tc>
          <w:tcPr>
            <w:tcW w:type="dxa" w:w="2160"/>
            <w:vAlign w:val="center"/>
            <w:shd w:fill="F2F2F2"/>
          </w:tcPr>
          <w:p>
            <w:pPr>
              <w:jc w:val="left"/>
            </w:pPr>
            <w:r/>
            <w:r>
              <w:rPr>
                <w:b w:val="0"/>
                <w:sz w:val="16"/>
              </w:rPr>
              <w:t>Folio único</w:t>
            </w:r>
          </w:p>
        </w:tc>
        <w:tc>
          <w:tcPr>
            <w:tcW w:type="dxa" w:w="8064"/>
            <w:vAlign w:val="center"/>
            <w:shd w:fill="F2F2F2"/>
          </w:tcPr>
          <w:p>
            <w:pPr>
              <w:jc w:val="left"/>
            </w:pPr>
            <w:r/>
            <w:r>
              <w:rPr>
                <w:b w:val="0"/>
                <w:sz w:val="16"/>
              </w:rPr>
              <w:t>No puede existir más de un folio activo con la misma clave de negocio; las correcciones deben conservar el historial.</w:t>
            </w:r>
          </w:p>
        </w:tc>
      </w:tr>
      <w:tr>
        <w:tc>
          <w:tcPr>
            <w:tcW w:type="dxa" w:w="936"/>
            <w:vAlign w:val="center"/>
          </w:tcPr>
          <w:p>
            <w:pPr>
              <w:jc w:val="left"/>
            </w:pPr>
            <w:r/>
            <w:r>
              <w:rPr>
                <w:b w:val="0"/>
                <w:sz w:val="16"/>
              </w:rPr>
              <w:t>RN-020</w:t>
            </w:r>
          </w:p>
        </w:tc>
        <w:tc>
          <w:tcPr>
            <w:tcW w:type="dxa" w:w="2160"/>
            <w:vAlign w:val="center"/>
          </w:tcPr>
          <w:p>
            <w:pPr>
              <w:jc w:val="left"/>
            </w:pPr>
            <w:r/>
            <w:r>
              <w:rPr>
                <w:b w:val="0"/>
                <w:sz w:val="16"/>
              </w:rPr>
              <w:t>SCIAN/CMAP vigente</w:t>
            </w:r>
          </w:p>
        </w:tc>
        <w:tc>
          <w:tcPr>
            <w:tcW w:type="dxa" w:w="8064"/>
            <w:vAlign w:val="center"/>
          </w:tcPr>
          <w:p>
            <w:pPr>
              <w:jc w:val="left"/>
            </w:pPr>
            <w:r/>
            <w:r>
              <w:rPr>
                <w:b w:val="0"/>
                <w:sz w:val="16"/>
              </w:rPr>
              <w:t>La actividad debe validarse contra la versión de catálogo vigente y conservar la versión utilizada en la decisión.</w:t>
            </w:r>
          </w:p>
        </w:tc>
      </w:tr>
      <w:tr>
        <w:tc>
          <w:tcPr>
            <w:tcW w:type="dxa" w:w="936"/>
            <w:vAlign w:val="center"/>
            <w:shd w:fill="F2F2F2"/>
          </w:tcPr>
          <w:p>
            <w:pPr>
              <w:jc w:val="left"/>
            </w:pPr>
            <w:r/>
            <w:r>
              <w:rPr>
                <w:b w:val="0"/>
                <w:sz w:val="16"/>
              </w:rPr>
              <w:t>RN-021</w:t>
            </w:r>
          </w:p>
        </w:tc>
        <w:tc>
          <w:tcPr>
            <w:tcW w:type="dxa" w:w="2160"/>
            <w:vAlign w:val="center"/>
            <w:shd w:fill="F2F2F2"/>
          </w:tcPr>
          <w:p>
            <w:pPr>
              <w:jc w:val="left"/>
            </w:pPr>
            <w:r/>
            <w:r>
              <w:rPr>
                <w:b w:val="0"/>
                <w:sz w:val="16"/>
              </w:rPr>
              <w:t>Formalización</w:t>
            </w:r>
          </w:p>
        </w:tc>
        <w:tc>
          <w:tcPr>
            <w:tcW w:type="dxa" w:w="8064"/>
            <w:vAlign w:val="center"/>
            <w:shd w:fill="F2F2F2"/>
          </w:tcPr>
          <w:p>
            <w:pPr>
              <w:jc w:val="left"/>
            </w:pPr>
            <w:r/>
            <w:r>
              <w:rPr>
                <w:b w:val="0"/>
                <w:sz w:val="16"/>
              </w:rPr>
              <w:t>Un documento sujeto a firma no debe considerarse formalizado hasta que se cumplan las firmas requeridas y se registre la evidencia correspondiente.</w:t>
            </w:r>
          </w:p>
        </w:tc>
      </w:tr>
      <w:tr>
        <w:tc>
          <w:tcPr>
            <w:tcW w:type="dxa" w:w="936"/>
            <w:vAlign w:val="center"/>
          </w:tcPr>
          <w:p>
            <w:pPr>
              <w:jc w:val="left"/>
            </w:pPr>
            <w:r/>
            <w:r>
              <w:rPr>
                <w:b w:val="0"/>
                <w:sz w:val="16"/>
              </w:rPr>
              <w:t>RN-022</w:t>
            </w:r>
          </w:p>
        </w:tc>
        <w:tc>
          <w:tcPr>
            <w:tcW w:type="dxa" w:w="2160"/>
            <w:vAlign w:val="center"/>
          </w:tcPr>
          <w:p>
            <w:pPr>
              <w:jc w:val="left"/>
            </w:pPr>
            <w:r/>
            <w:r>
              <w:rPr>
                <w:b w:val="0"/>
                <w:sz w:val="16"/>
              </w:rPr>
              <w:t>Clasificación de información</w:t>
            </w:r>
          </w:p>
        </w:tc>
        <w:tc>
          <w:tcPr>
            <w:tcW w:type="dxa" w:w="8064"/>
            <w:vAlign w:val="center"/>
          </w:tcPr>
          <w:p>
            <w:pPr>
              <w:jc w:val="left"/>
            </w:pPr>
            <w:r/>
            <w:r>
              <w:rPr>
                <w:b w:val="0"/>
                <w:sz w:val="16"/>
              </w:rPr>
              <w:t>La clasificación de un dato/documento determina su visualización, descarga, publicación y tratamiento en BI.</w:t>
            </w:r>
          </w:p>
        </w:tc>
      </w:tr>
      <w:tr>
        <w:tc>
          <w:tcPr>
            <w:tcW w:type="dxa" w:w="936"/>
            <w:vAlign w:val="center"/>
            <w:shd w:fill="F2F2F2"/>
          </w:tcPr>
          <w:p>
            <w:pPr>
              <w:jc w:val="left"/>
            </w:pPr>
            <w:r/>
            <w:r>
              <w:rPr>
                <w:b w:val="0"/>
                <w:sz w:val="16"/>
              </w:rPr>
              <w:t>RN-023</w:t>
            </w:r>
          </w:p>
        </w:tc>
        <w:tc>
          <w:tcPr>
            <w:tcW w:type="dxa" w:w="2160"/>
            <w:vAlign w:val="center"/>
            <w:shd w:fill="F2F2F2"/>
          </w:tcPr>
          <w:p>
            <w:pPr>
              <w:jc w:val="left"/>
            </w:pPr>
            <w:r/>
            <w:r>
              <w:rPr>
                <w:b w:val="0"/>
                <w:sz w:val="16"/>
              </w:rPr>
              <w:t>BI no transaccional</w:t>
            </w:r>
          </w:p>
        </w:tc>
        <w:tc>
          <w:tcPr>
            <w:tcW w:type="dxa" w:w="8064"/>
            <w:vAlign w:val="center"/>
            <w:shd w:fill="F2F2F2"/>
          </w:tcPr>
          <w:p>
            <w:pPr>
              <w:jc w:val="left"/>
            </w:pPr>
            <w:r/>
            <w:r>
              <w:rPr>
                <w:b w:val="0"/>
                <w:sz w:val="16"/>
              </w:rPr>
              <w:t>Los procesos analíticos no deben alterar información operativa; la capa BI será de lectura y explotación.</w:t>
            </w:r>
          </w:p>
        </w:tc>
      </w:tr>
      <w:tr>
        <w:tc>
          <w:tcPr>
            <w:tcW w:type="dxa" w:w="936"/>
            <w:vAlign w:val="center"/>
          </w:tcPr>
          <w:p>
            <w:pPr>
              <w:jc w:val="left"/>
            </w:pPr>
            <w:r/>
            <w:r>
              <w:rPr>
                <w:b w:val="0"/>
                <w:sz w:val="16"/>
              </w:rPr>
              <w:t>RN-024</w:t>
            </w:r>
          </w:p>
        </w:tc>
        <w:tc>
          <w:tcPr>
            <w:tcW w:type="dxa" w:w="2160"/>
            <w:vAlign w:val="center"/>
          </w:tcPr>
          <w:p>
            <w:pPr>
              <w:jc w:val="left"/>
            </w:pPr>
            <w:r/>
            <w:r>
              <w:rPr>
                <w:b w:val="0"/>
                <w:sz w:val="16"/>
              </w:rPr>
              <w:t>Integración COA</w:t>
            </w:r>
          </w:p>
        </w:tc>
        <w:tc>
          <w:tcPr>
            <w:tcW w:type="dxa" w:w="8064"/>
            <w:vAlign w:val="center"/>
          </w:tcPr>
          <w:p>
            <w:pPr>
              <w:jc w:val="left"/>
            </w:pPr>
            <w:r/>
            <w:r>
              <w:rPr>
                <w:b w:val="0"/>
                <w:sz w:val="16"/>
              </w:rPr>
              <w:t>Toda transacción con COA deberá registrar fuente, fecha/hora, identificador de operación, petición/respuesta y resultado.</w:t>
            </w:r>
          </w:p>
        </w:tc>
      </w:tr>
      <w:tr>
        <w:tc>
          <w:tcPr>
            <w:tcW w:type="dxa" w:w="936"/>
            <w:vAlign w:val="center"/>
            <w:shd w:fill="F2F2F2"/>
          </w:tcPr>
          <w:p>
            <w:pPr>
              <w:jc w:val="left"/>
            </w:pPr>
            <w:r/>
            <w:r>
              <w:rPr>
                <w:b w:val="0"/>
                <w:sz w:val="16"/>
              </w:rPr>
              <w:t>RN-025</w:t>
            </w:r>
          </w:p>
        </w:tc>
        <w:tc>
          <w:tcPr>
            <w:tcW w:type="dxa" w:w="2160"/>
            <w:vAlign w:val="center"/>
            <w:shd w:fill="F2F2F2"/>
          </w:tcPr>
          <w:p>
            <w:pPr>
              <w:jc w:val="left"/>
            </w:pPr>
            <w:r/>
            <w:r>
              <w:rPr>
                <w:b w:val="0"/>
                <w:sz w:val="16"/>
              </w:rPr>
              <w:t>Funcionalidad obsoleta</w:t>
            </w:r>
          </w:p>
        </w:tc>
        <w:tc>
          <w:tcPr>
            <w:tcW w:type="dxa" w:w="8064"/>
            <w:vAlign w:val="center"/>
            <w:shd w:fill="F2F2F2"/>
          </w:tcPr>
          <w:p>
            <w:pPr>
              <w:jc w:val="left"/>
            </w:pPr>
            <w:r/>
            <w:r>
              <w:rPr>
                <w:b w:val="0"/>
                <w:sz w:val="16"/>
              </w:rPr>
              <w:t>Una funcionalidad identificada como obsoleta no se implementará en Plataforma Integral de PROFEPA 1.0 sin una decisión explícita de alcance.</w:t>
            </w:r>
          </w:p>
        </w:tc>
      </w:tr>
      <w:tr>
        <w:tc>
          <w:tcPr>
            <w:tcW w:type="dxa" w:w="936"/>
            <w:vAlign w:val="center"/>
          </w:tcPr>
          <w:p>
            <w:pPr>
              <w:jc w:val="left"/>
            </w:pPr>
            <w:r/>
            <w:r>
              <w:rPr>
                <w:b w:val="0"/>
                <w:sz w:val="16"/>
              </w:rPr>
              <w:t>RN-026</w:t>
            </w:r>
          </w:p>
        </w:tc>
        <w:tc>
          <w:tcPr>
            <w:tcW w:type="dxa" w:w="2160"/>
            <w:vAlign w:val="center"/>
          </w:tcPr>
          <w:p>
            <w:pPr>
              <w:jc w:val="left"/>
            </w:pPr>
            <w:r/>
            <w:r>
              <w:rPr>
                <w:b w:val="0"/>
                <w:sz w:val="16"/>
              </w:rPr>
              <w:t>Actividad externa</w:t>
            </w:r>
          </w:p>
        </w:tc>
        <w:tc>
          <w:tcPr>
            <w:tcW w:type="dxa" w:w="8064"/>
            <w:vAlign w:val="center"/>
          </w:tcPr>
          <w:p>
            <w:pPr>
              <w:jc w:val="left"/>
            </w:pPr>
            <w:r/>
            <w:r>
              <w:rPr>
                <w:b w:val="0"/>
                <w:sz w:val="16"/>
              </w:rPr>
              <w:t>Un hito externo relevante debe tener responsable, fecha, estado y evidencia o referencia verificable.</w:t>
            </w:r>
          </w:p>
        </w:tc>
      </w:tr>
    </w:tbl>
    <w:p/>
    <w:p>
      <w:r>
        <w:br w:type="page"/>
      </w:r>
    </w:p>
    <w:p>
      <w:pPr>
        <w:pStyle w:val="Heading1"/>
      </w:pPr>
      <w:r>
        <w:t>21. Tendencias de arquitectura de sistemas aplicables a SAAEL</w:t>
      </w:r>
    </w:p>
    <w:p>
      <w:r>
        <w:t>La siguiente sección incorpora contexto tecnológico externo al material de las minutas. Se utiliza como criterio de diseño, no como requisito obligatorio. La arquitectura definitiva debe ajustarse a infraestructura, políticas de seguridad, contratación, operación y capacidades de PROFEPA.</w:t>
      </w:r>
    </w:p>
    <w:p>
      <w:pPr>
        <w:pStyle w:val="Heading2"/>
      </w:pPr>
      <w:r>
        <w:t>21.1 Tendencias relevantes</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404040"/>
          </w:tcPr>
          <w:p>
            <w:pPr>
              <w:jc w:val="left"/>
            </w:pPr>
            <w:r/>
            <w:r>
              <w:rPr>
                <w:b/>
                <w:color w:val="FFFFFF"/>
                <w:sz w:val="16"/>
              </w:rPr>
              <w:t>Tendencia</w:t>
            </w:r>
          </w:p>
        </w:tc>
        <w:tc>
          <w:tcPr>
            <w:tcW w:type="dxa" w:w="7128"/>
            <w:vAlign w:val="center"/>
            <w:shd w:fill="404040"/>
          </w:tcPr>
          <w:p>
            <w:pPr>
              <w:jc w:val="left"/>
            </w:pPr>
            <w:r/>
            <w:r>
              <w:rPr>
                <w:b/>
                <w:color w:val="FFFFFF"/>
                <w:sz w:val="16"/>
              </w:rPr>
              <w:t>Aplicación a SAAEL</w:t>
            </w:r>
          </w:p>
        </w:tc>
        <w:tc>
          <w:tcPr>
            <w:tcW w:type="dxa" w:w="1944"/>
            <w:vAlign w:val="center"/>
            <w:shd w:fill="404040"/>
          </w:tcPr>
          <w:p>
            <w:pPr>
              <w:jc w:val="left"/>
            </w:pPr>
            <w:r/>
            <w:r>
              <w:rPr>
                <w:b/>
                <w:color w:val="FFFFFF"/>
                <w:sz w:val="16"/>
              </w:rPr>
              <w:t>Relevancia</w:t>
            </w:r>
          </w:p>
        </w:tc>
      </w:tr>
      <w:tr>
        <w:tc>
          <w:tcPr>
            <w:tcW w:type="dxa" w:w="1944"/>
            <w:vAlign w:val="center"/>
            <w:shd w:fill="F2F2F2"/>
          </w:tcPr>
          <w:p>
            <w:pPr>
              <w:jc w:val="left"/>
            </w:pPr>
            <w:r/>
            <w:r>
              <w:rPr>
                <w:b w:val="0"/>
                <w:sz w:val="16"/>
              </w:rPr>
              <w:t>Arquitectura modular</w:t>
            </w:r>
          </w:p>
        </w:tc>
        <w:tc>
          <w:tcPr>
            <w:tcW w:type="dxa" w:w="7128"/>
            <w:vAlign w:val="center"/>
            <w:shd w:fill="F2F2F2"/>
          </w:tcPr>
          <w:p>
            <w:pPr>
              <w:jc w:val="left"/>
            </w:pPr>
            <w:r/>
            <w:r>
              <w:rPr>
                <w:b w:val="0"/>
                <w:sz w:val="16"/>
              </w:rPr>
              <w:t>Separar dominios/capacidades con contratos claros, evitando un monolito rígido y también evitando microservicios excesivos sin justificación.</w:t>
            </w:r>
          </w:p>
        </w:tc>
        <w:tc>
          <w:tcPr>
            <w:tcW w:type="dxa" w:w="1944"/>
            <w:vAlign w:val="center"/>
            <w:shd w:fill="F2F2F2"/>
          </w:tcPr>
          <w:p>
            <w:pPr>
              <w:jc w:val="left"/>
            </w:pPr>
            <w:r/>
            <w:r>
              <w:rPr>
                <w:b w:val="0"/>
                <w:sz w:val="16"/>
              </w:rPr>
              <w:t>Muy aplicable</w:t>
            </w:r>
          </w:p>
        </w:tc>
      </w:tr>
      <w:tr>
        <w:tc>
          <w:tcPr>
            <w:tcW w:type="dxa" w:w="1944"/>
            <w:vAlign w:val="center"/>
          </w:tcPr>
          <w:p>
            <w:pPr>
              <w:jc w:val="left"/>
            </w:pPr>
            <w:r/>
            <w:r>
              <w:rPr>
                <w:b w:val="0"/>
                <w:sz w:val="16"/>
              </w:rPr>
              <w:t>API-first</w:t>
            </w:r>
          </w:p>
        </w:tc>
        <w:tc>
          <w:tcPr>
            <w:tcW w:type="dxa" w:w="7128"/>
            <w:vAlign w:val="center"/>
          </w:tcPr>
          <w:p>
            <w:pPr>
              <w:jc w:val="left"/>
            </w:pPr>
            <w:r/>
            <w:r>
              <w:rPr>
                <w:b w:val="0"/>
                <w:sz w:val="16"/>
              </w:rPr>
              <w:t>Diseñar APIs versionadas como mecanismo de interoperabilidad con EMA, CONANP, SEMARNAT/COA, CFE y futuras fuentes.</w:t>
            </w:r>
          </w:p>
        </w:tc>
        <w:tc>
          <w:tcPr>
            <w:tcW w:type="dxa" w:w="1944"/>
            <w:vAlign w:val="center"/>
          </w:tcPr>
          <w:p>
            <w:pPr>
              <w:jc w:val="left"/>
            </w:pPr>
            <w:r/>
            <w:r>
              <w:rPr>
                <w:b w:val="0"/>
                <w:sz w:val="16"/>
              </w:rPr>
              <w:t>Muy aplicable</w:t>
            </w:r>
          </w:p>
        </w:tc>
      </w:tr>
      <w:tr>
        <w:tc>
          <w:tcPr>
            <w:tcW w:type="dxa" w:w="1944"/>
            <w:vAlign w:val="center"/>
            <w:shd w:fill="F2F2F2"/>
          </w:tcPr>
          <w:p>
            <w:pPr>
              <w:jc w:val="left"/>
            </w:pPr>
            <w:r/>
            <w:r>
              <w:rPr>
                <w:b w:val="0"/>
                <w:sz w:val="16"/>
              </w:rPr>
              <w:t>Event-driven</w:t>
            </w:r>
          </w:p>
        </w:tc>
        <w:tc>
          <w:tcPr>
            <w:tcW w:type="dxa" w:w="7128"/>
            <w:vAlign w:val="center"/>
            <w:shd w:fill="F2F2F2"/>
          </w:tcPr>
          <w:p>
            <w:pPr>
              <w:jc w:val="left"/>
            </w:pPr>
            <w:r/>
            <w:r>
              <w:rPr>
                <w:b w:val="0"/>
                <w:sz w:val="16"/>
              </w:rPr>
              <w:t>Usar eventos de negocio para notificaciones, vencimientos, auditoría, tareas y procesos asíncronos, cuando el caso lo justifique.</w:t>
            </w:r>
          </w:p>
        </w:tc>
        <w:tc>
          <w:tcPr>
            <w:tcW w:type="dxa" w:w="1944"/>
            <w:vAlign w:val="center"/>
            <w:shd w:fill="F2F2F2"/>
          </w:tcPr>
          <w:p>
            <w:pPr>
              <w:jc w:val="left"/>
            </w:pPr>
            <w:r/>
            <w:r>
              <w:rPr>
                <w:b w:val="0"/>
                <w:sz w:val="16"/>
              </w:rPr>
              <w:t>Aplicable</w:t>
            </w:r>
          </w:p>
        </w:tc>
      </w:tr>
      <w:tr>
        <w:tc>
          <w:tcPr>
            <w:tcW w:type="dxa" w:w="1944"/>
            <w:vAlign w:val="center"/>
          </w:tcPr>
          <w:p>
            <w:pPr>
              <w:jc w:val="left"/>
            </w:pPr>
            <w:r/>
            <w:r>
              <w:rPr>
                <w:b w:val="0"/>
                <w:sz w:val="16"/>
              </w:rPr>
              <w:t>Microservicios selectivos</w:t>
            </w:r>
          </w:p>
        </w:tc>
        <w:tc>
          <w:tcPr>
            <w:tcW w:type="dxa" w:w="7128"/>
            <w:vAlign w:val="center"/>
          </w:tcPr>
          <w:p>
            <w:pPr>
              <w:jc w:val="left"/>
            </w:pPr>
            <w:r/>
            <w:r>
              <w:rPr>
                <w:b w:val="0"/>
                <w:sz w:val="16"/>
              </w:rPr>
              <w:t>Aislar capacidades con ciclos de vida o escalamiento distintos, especialmente integraciones y procesamiento especializado.</w:t>
            </w:r>
          </w:p>
        </w:tc>
        <w:tc>
          <w:tcPr>
            <w:tcW w:type="dxa" w:w="1944"/>
            <w:vAlign w:val="center"/>
          </w:tcPr>
          <w:p>
            <w:pPr>
              <w:jc w:val="left"/>
            </w:pPr>
            <w:r/>
            <w:r>
              <w:rPr>
                <w:b w:val="0"/>
                <w:sz w:val="16"/>
              </w:rPr>
              <w:t>Aplicable, no dogmático</w:t>
            </w:r>
          </w:p>
        </w:tc>
      </w:tr>
      <w:tr>
        <w:tc>
          <w:tcPr>
            <w:tcW w:type="dxa" w:w="1944"/>
            <w:vAlign w:val="center"/>
            <w:shd w:fill="F2F2F2"/>
          </w:tcPr>
          <w:p>
            <w:pPr>
              <w:jc w:val="left"/>
            </w:pPr>
            <w:r/>
            <w:r>
              <w:rPr>
                <w:b w:val="0"/>
                <w:sz w:val="16"/>
              </w:rPr>
              <w:t>Contenedores / DevSecOps</w:t>
            </w:r>
          </w:p>
        </w:tc>
        <w:tc>
          <w:tcPr>
            <w:tcW w:type="dxa" w:w="7128"/>
            <w:vAlign w:val="center"/>
            <w:shd w:fill="F2F2F2"/>
          </w:tcPr>
          <w:p>
            <w:pPr>
              <w:jc w:val="left"/>
            </w:pPr>
            <w:r/>
            <w:r>
              <w:rPr>
                <w:b w:val="0"/>
                <w:sz w:val="16"/>
              </w:rPr>
              <w:t>Empaquetado reproducible, automatización de pruebas, análisis de seguridad y despliegues controlados.</w:t>
            </w:r>
          </w:p>
        </w:tc>
        <w:tc>
          <w:tcPr>
            <w:tcW w:type="dxa" w:w="1944"/>
            <w:vAlign w:val="center"/>
            <w:shd w:fill="F2F2F2"/>
          </w:tcPr>
          <w:p>
            <w:pPr>
              <w:jc w:val="left"/>
            </w:pPr>
            <w:r/>
            <w:r>
              <w:rPr>
                <w:b w:val="0"/>
                <w:sz w:val="16"/>
              </w:rPr>
              <w:t>Aplicable</w:t>
            </w:r>
          </w:p>
        </w:tc>
      </w:tr>
      <w:tr>
        <w:tc>
          <w:tcPr>
            <w:tcW w:type="dxa" w:w="1944"/>
            <w:vAlign w:val="center"/>
          </w:tcPr>
          <w:p>
            <w:pPr>
              <w:jc w:val="left"/>
            </w:pPr>
            <w:r/>
            <w:r>
              <w:rPr>
                <w:b w:val="0"/>
                <w:sz w:val="16"/>
              </w:rPr>
              <w:t>Zero Trust</w:t>
            </w:r>
          </w:p>
        </w:tc>
        <w:tc>
          <w:tcPr>
            <w:tcW w:type="dxa" w:w="7128"/>
            <w:vAlign w:val="center"/>
          </w:tcPr>
          <w:p>
            <w:pPr>
              <w:jc w:val="left"/>
            </w:pPr>
            <w:r/>
            <w:r>
              <w:rPr>
                <w:b w:val="0"/>
                <w:sz w:val="16"/>
              </w:rPr>
              <w:t>Autenticación/autorización centradas en identidad, mínimo privilegio y protección de recursos, no sólo del perímetro de red.</w:t>
            </w:r>
          </w:p>
        </w:tc>
        <w:tc>
          <w:tcPr>
            <w:tcW w:type="dxa" w:w="1944"/>
            <w:vAlign w:val="center"/>
          </w:tcPr>
          <w:p>
            <w:pPr>
              <w:jc w:val="left"/>
            </w:pPr>
            <w:r/>
            <w:r>
              <w:rPr>
                <w:b w:val="0"/>
                <w:sz w:val="16"/>
              </w:rPr>
              <w:t>Muy aplicable</w:t>
            </w:r>
          </w:p>
        </w:tc>
      </w:tr>
      <w:tr>
        <w:tc>
          <w:tcPr>
            <w:tcW w:type="dxa" w:w="1944"/>
            <w:vAlign w:val="center"/>
            <w:shd w:fill="F2F2F2"/>
          </w:tcPr>
          <w:p>
            <w:pPr>
              <w:jc w:val="left"/>
            </w:pPr>
            <w:r/>
            <w:r>
              <w:rPr>
                <w:b w:val="0"/>
                <w:sz w:val="16"/>
              </w:rPr>
              <w:t>Observabilidad</w:t>
            </w:r>
          </w:p>
        </w:tc>
        <w:tc>
          <w:tcPr>
            <w:tcW w:type="dxa" w:w="7128"/>
            <w:vAlign w:val="center"/>
            <w:shd w:fill="F2F2F2"/>
          </w:tcPr>
          <w:p>
            <w:pPr>
              <w:jc w:val="left"/>
            </w:pPr>
            <w:r/>
            <w:r>
              <w:rPr>
                <w:b w:val="0"/>
                <w:sz w:val="16"/>
              </w:rPr>
              <w:t>Métricas, logs, trazas distribuidas y monitoreo de integraciones para detectar fallas y reconstruir transacciones.</w:t>
            </w:r>
          </w:p>
        </w:tc>
        <w:tc>
          <w:tcPr>
            <w:tcW w:type="dxa" w:w="1944"/>
            <w:vAlign w:val="center"/>
            <w:shd w:fill="F2F2F2"/>
          </w:tcPr>
          <w:p>
            <w:pPr>
              <w:jc w:val="left"/>
            </w:pPr>
            <w:r/>
            <w:r>
              <w:rPr>
                <w:b w:val="0"/>
                <w:sz w:val="16"/>
              </w:rPr>
              <w:t>Muy aplicable</w:t>
            </w:r>
          </w:p>
        </w:tc>
      </w:tr>
      <w:tr>
        <w:tc>
          <w:tcPr>
            <w:tcW w:type="dxa" w:w="1944"/>
            <w:vAlign w:val="center"/>
          </w:tcPr>
          <w:p>
            <w:pPr>
              <w:jc w:val="left"/>
            </w:pPr>
            <w:r/>
            <w:r>
              <w:rPr>
                <w:b w:val="0"/>
                <w:sz w:val="16"/>
              </w:rPr>
              <w:t>Data platform / Lakehouse</w:t>
            </w:r>
          </w:p>
        </w:tc>
        <w:tc>
          <w:tcPr>
            <w:tcW w:type="dxa" w:w="7128"/>
            <w:vAlign w:val="center"/>
          </w:tcPr>
          <w:p>
            <w:pPr>
              <w:jc w:val="left"/>
            </w:pPr>
            <w:r/>
            <w:r>
              <w:rPr>
                <w:b w:val="0"/>
                <w:sz w:val="16"/>
              </w:rPr>
              <w:t>Separar el almacenamiento/transformación analítica de la base transaccional y habilitar histórico, BI y analítica avanzada.</w:t>
            </w:r>
          </w:p>
        </w:tc>
        <w:tc>
          <w:tcPr>
            <w:tcW w:type="dxa" w:w="1944"/>
            <w:vAlign w:val="center"/>
          </w:tcPr>
          <w:p>
            <w:pPr>
              <w:jc w:val="left"/>
            </w:pPr>
            <w:r/>
            <w:r>
              <w:rPr>
                <w:b w:val="0"/>
                <w:sz w:val="16"/>
              </w:rPr>
              <w:t>Muy aplicable</w:t>
            </w:r>
          </w:p>
        </w:tc>
      </w:tr>
      <w:tr>
        <w:tc>
          <w:tcPr>
            <w:tcW w:type="dxa" w:w="1944"/>
            <w:vAlign w:val="center"/>
            <w:shd w:fill="F2F2F2"/>
          </w:tcPr>
          <w:p>
            <w:pPr>
              <w:jc w:val="left"/>
            </w:pPr>
            <w:r/>
            <w:r>
              <w:rPr>
                <w:b w:val="0"/>
                <w:sz w:val="16"/>
              </w:rPr>
              <w:t>Capa semántica</w:t>
            </w:r>
          </w:p>
        </w:tc>
        <w:tc>
          <w:tcPr>
            <w:tcW w:type="dxa" w:w="7128"/>
            <w:vAlign w:val="center"/>
            <w:shd w:fill="F2F2F2"/>
          </w:tcPr>
          <w:p>
            <w:pPr>
              <w:jc w:val="left"/>
            </w:pPr>
            <w:r/>
            <w:r>
              <w:rPr>
                <w:b w:val="0"/>
                <w:sz w:val="16"/>
              </w:rPr>
              <w:t>Definir métricas institucionales, dimensiones, relaciones y reglas de cálculo en un modelo gobernado para evitar cifras contradictorias.</w:t>
            </w:r>
          </w:p>
        </w:tc>
        <w:tc>
          <w:tcPr>
            <w:tcW w:type="dxa" w:w="1944"/>
            <w:vAlign w:val="center"/>
            <w:shd w:fill="F2F2F2"/>
          </w:tcPr>
          <w:p>
            <w:pPr>
              <w:jc w:val="left"/>
            </w:pPr>
            <w:r/>
            <w:r>
              <w:rPr>
                <w:b w:val="0"/>
                <w:sz w:val="16"/>
              </w:rPr>
              <w:t>Muy aplicable</w:t>
            </w:r>
          </w:p>
        </w:tc>
      </w:tr>
      <w:tr>
        <w:tc>
          <w:tcPr>
            <w:tcW w:type="dxa" w:w="1944"/>
            <w:vAlign w:val="center"/>
          </w:tcPr>
          <w:p>
            <w:pPr>
              <w:jc w:val="left"/>
            </w:pPr>
            <w:r/>
            <w:r>
              <w:rPr>
                <w:b w:val="0"/>
                <w:sz w:val="16"/>
              </w:rPr>
              <w:t>Analítica aumentada por IA</w:t>
            </w:r>
          </w:p>
        </w:tc>
        <w:tc>
          <w:tcPr>
            <w:tcW w:type="dxa" w:w="7128"/>
            <w:vAlign w:val="center"/>
          </w:tcPr>
          <w:p>
            <w:pPr>
              <w:jc w:val="left"/>
            </w:pPr>
            <w:r/>
            <w:r>
              <w:rPr>
                <w:b w:val="0"/>
                <w:sz w:val="16"/>
              </w:rPr>
              <w:t>Exploración en lenguaje natural, detección de anomalías y explicación de tendencias, siempre con controles, trazabilidad y datos gobernados.</w:t>
            </w:r>
          </w:p>
        </w:tc>
        <w:tc>
          <w:tcPr>
            <w:tcW w:type="dxa" w:w="1944"/>
            <w:vAlign w:val="center"/>
          </w:tcPr>
          <w:p>
            <w:pPr>
              <w:jc w:val="left"/>
            </w:pPr>
            <w:r/>
            <w:r>
              <w:rPr>
                <w:b w:val="0"/>
                <w:sz w:val="16"/>
              </w:rPr>
              <w:t>Futuro controlado</w:t>
            </w:r>
          </w:p>
        </w:tc>
      </w:tr>
    </w:tbl>
    <w:p/>
    <w:p>
      <w:pPr>
        <w:pStyle w:val="Heading2"/>
      </w:pPr>
      <w:r>
        <w:t>21.2 Recomendación arquitectónica: modularidad antes que microservicios</w:t>
      </w:r>
    </w:p>
    <w:p>
      <w:r>
        <w:t>Para SAAEL se recomienda evitar dos extremos: (a) un monolito funcional donde cada cambio afecte a toda la aplicación, y (b) una fragmentación prematura en decenas de microservicios. El punto de partida recomendado es una arquitectura modular, API-first, con servicios independientes sólo donde exista una razón verificable: interoperabilidad, procesamiento asíncrono, documentos/firma, notificaciones, analítica o necesidades diferenciadas de escalamiento.</w:t>
      </w:r>
    </w:p>
    <w:tbl>
      <w:tblPr>
        <w:tblStyle w:val="TableGrid"/>
        <w:tblW w:type="auto" w:w="0"/>
        <w:tblLook w:firstColumn="1" w:firstRow="1" w:lastColumn="0" w:lastRow="0" w:noHBand="0" w:noVBand="1" w:val="04A0"/>
      </w:tblPr>
      <w:tblGrid>
        <w:gridCol w:w="10224"/>
      </w:tblGrid>
      <w:tr>
        <w:tc>
          <w:tcPr>
            <w:tcW w:type="dxa" w:w="10224"/>
            <w:shd w:fill="EAF2F8"/>
          </w:tcPr>
          <w:p>
            <w:r>
              <w:rPr>
                <w:b/>
                <w:color w:val="1F4E79"/>
              </w:rPr>
              <w:t>Criterio rector</w:t>
            </w:r>
            <w:r>
              <w:t xml:space="preserve">  La arquitectura debe derivarse de dominios y procesos de negocio; la tecnología de moda no debe convertirse en un requisito por sí misma.</w:t>
            </w:r>
          </w:p>
        </w:tc>
      </w:tr>
    </w:tbl>
    <w:p/>
    <w:p>
      <w:pPr>
        <w:pStyle w:val="Heading2"/>
      </w:pPr>
      <w:r>
        <w:t>21.3 Arquitectura objetivo conceptual</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404040"/>
          </w:tcPr>
          <w:p>
            <w:pPr>
              <w:jc w:val="left"/>
            </w:pPr>
            <w:r/>
            <w:r>
              <w:rPr>
                <w:b/>
                <w:color w:val="FFFFFF"/>
                <w:sz w:val="16"/>
              </w:rPr>
              <w:t>Capa</w:t>
            </w:r>
          </w:p>
        </w:tc>
        <w:tc>
          <w:tcPr>
            <w:tcW w:type="dxa" w:w="4680"/>
            <w:vAlign w:val="center"/>
            <w:shd w:fill="404040"/>
          </w:tcPr>
          <w:p>
            <w:pPr>
              <w:jc w:val="left"/>
            </w:pPr>
            <w:r/>
            <w:r>
              <w:rPr>
                <w:b/>
                <w:color w:val="FFFFFF"/>
                <w:sz w:val="16"/>
              </w:rPr>
              <w:t>Componentes propuestos</w:t>
            </w:r>
          </w:p>
        </w:tc>
        <w:tc>
          <w:tcPr>
            <w:tcW w:type="dxa" w:w="4392"/>
            <w:vAlign w:val="center"/>
            <w:shd w:fill="404040"/>
          </w:tcPr>
          <w:p>
            <w:pPr>
              <w:jc w:val="left"/>
            </w:pPr>
            <w:r/>
            <w:r>
              <w:rPr>
                <w:b/>
                <w:color w:val="FFFFFF"/>
                <w:sz w:val="16"/>
              </w:rPr>
              <w:t>Propósito</w:t>
            </w:r>
          </w:p>
        </w:tc>
      </w:tr>
      <w:tr>
        <w:tc>
          <w:tcPr>
            <w:tcW w:type="dxa" w:w="1944"/>
            <w:vAlign w:val="center"/>
            <w:shd w:fill="F2F2F2"/>
          </w:tcPr>
          <w:p>
            <w:pPr>
              <w:jc w:val="left"/>
            </w:pPr>
            <w:r/>
            <w:r>
              <w:rPr>
                <w:b w:val="0"/>
                <w:sz w:val="16"/>
              </w:rPr>
              <w:t>Experiencia</w:t>
            </w:r>
          </w:p>
        </w:tc>
        <w:tc>
          <w:tcPr>
            <w:tcW w:type="dxa" w:w="4680"/>
            <w:vAlign w:val="center"/>
            <w:shd w:fill="F2F2F2"/>
          </w:tcPr>
          <w:p>
            <w:pPr>
              <w:jc w:val="left"/>
            </w:pPr>
            <w:r/>
            <w:r>
              <w:rPr>
                <w:b w:val="0"/>
                <w:sz w:val="16"/>
              </w:rPr>
              <w:t>Portal Empresa/Auditor; Portal interno PROFEPA; supervisión; administración</w:t>
            </w:r>
          </w:p>
        </w:tc>
        <w:tc>
          <w:tcPr>
            <w:tcW w:type="dxa" w:w="4392"/>
            <w:vAlign w:val="center"/>
            <w:shd w:fill="F2F2F2"/>
          </w:tcPr>
          <w:p>
            <w:pPr>
              <w:jc w:val="left"/>
            </w:pPr>
            <w:r/>
            <w:r>
              <w:rPr>
                <w:b w:val="0"/>
                <w:sz w:val="16"/>
              </w:rPr>
              <w:t>Experiencias diferenciadas por actor sin duplicar reglas.</w:t>
            </w:r>
          </w:p>
        </w:tc>
      </w:tr>
      <w:tr>
        <w:tc>
          <w:tcPr>
            <w:tcW w:type="dxa" w:w="1944"/>
            <w:vAlign w:val="center"/>
          </w:tcPr>
          <w:p>
            <w:pPr>
              <w:jc w:val="left"/>
            </w:pPr>
            <w:r/>
            <w:r>
              <w:rPr>
                <w:b w:val="0"/>
                <w:sz w:val="16"/>
              </w:rPr>
              <w:t>API / Seguridad</w:t>
            </w:r>
          </w:p>
        </w:tc>
        <w:tc>
          <w:tcPr>
            <w:tcW w:type="dxa" w:w="4680"/>
            <w:vAlign w:val="center"/>
          </w:tcPr>
          <w:p>
            <w:pPr>
              <w:jc w:val="left"/>
            </w:pPr>
            <w:r/>
            <w:r>
              <w:rPr>
                <w:b w:val="0"/>
                <w:sz w:val="16"/>
              </w:rPr>
              <w:t>API Gateway; identidad; autorización; rate limiting; auditoría técnica</w:t>
            </w:r>
          </w:p>
        </w:tc>
        <w:tc>
          <w:tcPr>
            <w:tcW w:type="dxa" w:w="4392"/>
            <w:vAlign w:val="center"/>
          </w:tcPr>
          <w:p>
            <w:pPr>
              <w:jc w:val="left"/>
            </w:pPr>
            <w:r/>
            <w:r>
              <w:rPr>
                <w:b w:val="0"/>
                <w:sz w:val="16"/>
              </w:rPr>
              <w:t>Punto controlado de acceso e interoperabilidad.</w:t>
            </w:r>
          </w:p>
        </w:tc>
      </w:tr>
      <w:tr>
        <w:tc>
          <w:tcPr>
            <w:tcW w:type="dxa" w:w="1944"/>
            <w:vAlign w:val="center"/>
            <w:shd w:fill="F2F2F2"/>
          </w:tcPr>
          <w:p>
            <w:pPr>
              <w:jc w:val="left"/>
            </w:pPr>
            <w:r/>
            <w:r>
              <w:rPr>
                <w:b w:val="0"/>
                <w:sz w:val="16"/>
              </w:rPr>
              <w:t>Proceso y negocio</w:t>
            </w:r>
          </w:p>
        </w:tc>
        <w:tc>
          <w:tcPr>
            <w:tcW w:type="dxa" w:w="4680"/>
            <w:vAlign w:val="center"/>
            <w:shd w:fill="F2F2F2"/>
          </w:tcPr>
          <w:p>
            <w:pPr>
              <w:jc w:val="left"/>
            </w:pPr>
            <w:r/>
            <w:r>
              <w:rPr>
                <w:b w:val="0"/>
                <w:sz w:val="16"/>
              </w:rPr>
              <w:t>Gestión de trámites; expediente; reglas; plazos; tareas; concertación; auditoría/RDA</w:t>
            </w:r>
          </w:p>
        </w:tc>
        <w:tc>
          <w:tcPr>
            <w:tcW w:type="dxa" w:w="4392"/>
            <w:vAlign w:val="center"/>
            <w:shd w:fill="F2F2F2"/>
          </w:tcPr>
          <w:p>
            <w:pPr>
              <w:jc w:val="left"/>
            </w:pPr>
            <w:r/>
            <w:r>
              <w:rPr>
                <w:b w:val="0"/>
                <w:sz w:val="16"/>
              </w:rPr>
              <w:t>Orquestar procesos y reglas de negocio.</w:t>
            </w:r>
          </w:p>
        </w:tc>
      </w:tr>
      <w:tr>
        <w:tc>
          <w:tcPr>
            <w:tcW w:type="dxa" w:w="1944"/>
            <w:vAlign w:val="center"/>
          </w:tcPr>
          <w:p>
            <w:pPr>
              <w:jc w:val="left"/>
            </w:pPr>
            <w:r/>
            <w:r>
              <w:rPr>
                <w:b w:val="0"/>
                <w:sz w:val="16"/>
              </w:rPr>
              <w:t>Servicios transversales</w:t>
            </w:r>
          </w:p>
        </w:tc>
        <w:tc>
          <w:tcPr>
            <w:tcW w:type="dxa" w:w="4680"/>
            <w:vAlign w:val="center"/>
          </w:tcPr>
          <w:p>
            <w:pPr>
              <w:jc w:val="left"/>
            </w:pPr>
            <w:r/>
            <w:r>
              <w:rPr>
                <w:b w:val="0"/>
                <w:sz w:val="16"/>
              </w:rPr>
              <w:t>Documentos; firma; notificaciones; búsqueda; catálogo; archivos</w:t>
            </w:r>
          </w:p>
        </w:tc>
        <w:tc>
          <w:tcPr>
            <w:tcW w:type="dxa" w:w="4392"/>
            <w:vAlign w:val="center"/>
          </w:tcPr>
          <w:p>
            <w:pPr>
              <w:jc w:val="left"/>
            </w:pPr>
            <w:r/>
            <w:r>
              <w:rPr>
                <w:b w:val="0"/>
                <w:sz w:val="16"/>
              </w:rPr>
              <w:t>Capacidades reutilizables.</w:t>
            </w:r>
          </w:p>
        </w:tc>
      </w:tr>
      <w:tr>
        <w:tc>
          <w:tcPr>
            <w:tcW w:type="dxa" w:w="1944"/>
            <w:vAlign w:val="center"/>
            <w:shd w:fill="F2F2F2"/>
          </w:tcPr>
          <w:p>
            <w:pPr>
              <w:jc w:val="left"/>
            </w:pPr>
            <w:r/>
            <w:r>
              <w:rPr>
                <w:b w:val="0"/>
                <w:sz w:val="16"/>
              </w:rPr>
              <w:t>Integración</w:t>
            </w:r>
          </w:p>
        </w:tc>
        <w:tc>
          <w:tcPr>
            <w:tcW w:type="dxa" w:w="4680"/>
            <w:vAlign w:val="center"/>
            <w:shd w:fill="F2F2F2"/>
          </w:tcPr>
          <w:p>
            <w:pPr>
              <w:jc w:val="left"/>
            </w:pPr>
            <w:r/>
            <w:r>
              <w:rPr>
                <w:b w:val="0"/>
                <w:sz w:val="16"/>
              </w:rPr>
              <w:t>EMA; CONANP; CONABIO; CONAGUA; SEMARNAT/COA; SEPOMEX; CFE y futuras fuentes</w:t>
            </w:r>
          </w:p>
        </w:tc>
        <w:tc>
          <w:tcPr>
            <w:tcW w:type="dxa" w:w="4392"/>
            <w:vAlign w:val="center"/>
            <w:shd w:fill="F2F2F2"/>
          </w:tcPr>
          <w:p>
            <w:pPr>
              <w:jc w:val="left"/>
            </w:pPr>
            <w:r/>
            <w:r>
              <w:rPr>
                <w:b w:val="0"/>
                <w:sz w:val="16"/>
              </w:rPr>
              <w:t>Interoperabilidad desacoplada y observable.</w:t>
            </w:r>
          </w:p>
        </w:tc>
      </w:tr>
      <w:tr>
        <w:tc>
          <w:tcPr>
            <w:tcW w:type="dxa" w:w="1944"/>
            <w:vAlign w:val="center"/>
          </w:tcPr>
          <w:p>
            <w:pPr>
              <w:jc w:val="left"/>
            </w:pPr>
            <w:r/>
            <w:r>
              <w:rPr>
                <w:b w:val="0"/>
                <w:sz w:val="16"/>
              </w:rPr>
              <w:t>Datos transaccionales</w:t>
            </w:r>
          </w:p>
        </w:tc>
        <w:tc>
          <w:tcPr>
            <w:tcW w:type="dxa" w:w="4680"/>
            <w:vAlign w:val="center"/>
          </w:tcPr>
          <w:p>
            <w:pPr>
              <w:jc w:val="left"/>
            </w:pPr>
            <w:r/>
            <w:r>
              <w:rPr>
                <w:b w:val="0"/>
                <w:sz w:val="16"/>
              </w:rPr>
              <w:t>BD relacional; almacenamiento documental; bitácora; metadatos</w:t>
            </w:r>
          </w:p>
        </w:tc>
        <w:tc>
          <w:tcPr>
            <w:tcW w:type="dxa" w:w="4392"/>
            <w:vAlign w:val="center"/>
          </w:tcPr>
          <w:p>
            <w:pPr>
              <w:jc w:val="left"/>
            </w:pPr>
            <w:r/>
            <w:r>
              <w:rPr>
                <w:b w:val="0"/>
                <w:sz w:val="16"/>
              </w:rPr>
              <w:t>Fuente operacional y evidencia.</w:t>
            </w:r>
          </w:p>
        </w:tc>
      </w:tr>
      <w:tr>
        <w:tc>
          <w:tcPr>
            <w:tcW w:type="dxa" w:w="1944"/>
            <w:vAlign w:val="center"/>
            <w:shd w:fill="F2F2F2"/>
          </w:tcPr>
          <w:p>
            <w:pPr>
              <w:jc w:val="left"/>
            </w:pPr>
            <w:r/>
            <w:r>
              <w:rPr>
                <w:b w:val="0"/>
                <w:sz w:val="16"/>
              </w:rPr>
              <w:t>Datos analíticos</w:t>
            </w:r>
          </w:p>
        </w:tc>
        <w:tc>
          <w:tcPr>
            <w:tcW w:type="dxa" w:w="4680"/>
            <w:vAlign w:val="center"/>
            <w:shd w:fill="F2F2F2"/>
          </w:tcPr>
          <w:p>
            <w:pPr>
              <w:jc w:val="left"/>
            </w:pPr>
            <w:r/>
            <w:r>
              <w:rPr>
                <w:b w:val="0"/>
                <w:sz w:val="16"/>
              </w:rPr>
              <w:t>ETL/ELT; almacenamiento histórico; modelo dimensional/semántico; BI</w:t>
            </w:r>
          </w:p>
        </w:tc>
        <w:tc>
          <w:tcPr>
            <w:tcW w:type="dxa" w:w="4392"/>
            <w:vAlign w:val="center"/>
            <w:shd w:fill="F2F2F2"/>
          </w:tcPr>
          <w:p>
            <w:pPr>
              <w:jc w:val="left"/>
            </w:pPr>
            <w:r/>
            <w:r>
              <w:rPr>
                <w:b w:val="0"/>
                <w:sz w:val="16"/>
              </w:rPr>
              <w:t>Explotación sin cargar el núcleo transaccional.</w:t>
            </w:r>
          </w:p>
        </w:tc>
      </w:tr>
      <w:tr>
        <w:tc>
          <w:tcPr>
            <w:tcW w:type="dxa" w:w="1944"/>
            <w:vAlign w:val="center"/>
          </w:tcPr>
          <w:p>
            <w:pPr>
              <w:jc w:val="left"/>
            </w:pPr>
            <w:r/>
            <w:r>
              <w:rPr>
                <w:b w:val="0"/>
                <w:sz w:val="16"/>
              </w:rPr>
              <w:t>Observabilidad</w:t>
            </w:r>
          </w:p>
        </w:tc>
        <w:tc>
          <w:tcPr>
            <w:tcW w:type="dxa" w:w="4680"/>
            <w:vAlign w:val="center"/>
          </w:tcPr>
          <w:p>
            <w:pPr>
              <w:jc w:val="left"/>
            </w:pPr>
            <w:r/>
            <w:r>
              <w:rPr>
                <w:b w:val="0"/>
                <w:sz w:val="16"/>
              </w:rPr>
              <w:t>Logs, métricas, trazas, alertas, monitoreo de integraciones</w:t>
            </w:r>
          </w:p>
        </w:tc>
        <w:tc>
          <w:tcPr>
            <w:tcW w:type="dxa" w:w="4392"/>
            <w:vAlign w:val="center"/>
          </w:tcPr>
          <w:p>
            <w:pPr>
              <w:jc w:val="left"/>
            </w:pPr>
            <w:r/>
            <w:r>
              <w:rPr>
                <w:b w:val="0"/>
                <w:sz w:val="16"/>
              </w:rPr>
              <w:t>Operación y diagnóstico.</w:t>
            </w:r>
          </w:p>
        </w:tc>
      </w:tr>
    </w:tbl>
    <w:p/>
    <w:p>
      <w:pPr>
        <w:pStyle w:val="Heading2"/>
      </w:pPr>
      <w:r>
        <w:t>21.4 Seguridad arquitectónica</w:t>
      </w:r>
    </w:p>
    <w:p>
      <w:pPr>
        <w:pStyle w:val="ListBullet"/>
      </w:pPr>
      <w:r>
        <w:t>Aplicar mínimo privilegio y separación de funciones; no confiar implícitamente en que una red interna es segura.</w:t>
      </w:r>
    </w:p>
    <w:p>
      <w:pPr>
        <w:pStyle w:val="ListBullet"/>
      </w:pPr>
      <w:r>
        <w:t>Separar autenticación, autorización y políticas de acceso a recursos.</w:t>
      </w:r>
    </w:p>
    <w:p>
      <w:pPr>
        <w:pStyle w:val="ListBullet"/>
      </w:pPr>
      <w:r>
        <w:t>Implementar control por rol/permiso y, cuando proceda, por unidad administrativa, materia, territorio y expediente.</w:t>
      </w:r>
    </w:p>
    <w:p>
      <w:pPr>
        <w:pStyle w:val="ListBullet"/>
      </w:pPr>
      <w:r>
        <w:t>Aplicar cifrado en tránsito y reposo; gestionar secretos fuera del código.</w:t>
      </w:r>
    </w:p>
    <w:p>
      <w:pPr>
        <w:pStyle w:val="ListBullet"/>
      </w:pPr>
      <w:r>
        <w:t>Registrar accesos y operaciones críticas, incluyendo consultas a fuentes externas y exportaciones de BI.</w:t>
      </w:r>
    </w:p>
    <w:p>
      <w:pPr>
        <w:pStyle w:val="ListBullet"/>
      </w:pPr>
      <w:r>
        <w:t>Aplicar controles específicos para documentos confidenciales y para información que pueda ser publicada o expuesta en tableros.</w:t>
      </w:r>
    </w:p>
    <w:p>
      <w:pPr>
        <w:pStyle w:val="ListBullet"/>
      </w:pPr>
      <w:r>
        <w:t>Realizar pruebas de seguridad sobre APIs, carga documental, firma, búsqueda, exportación y filtros de BI.</w:t>
      </w:r>
    </w:p>
    <w:p>
      <w:r>
        <w:t>NIST SP 800-207 plantea Zero Trust como un modelo que elimina la confianza implícita basada sólo en la ubicación de red y centra el control en usuarios, activos y recursos. Para SAAEL, esto respalda una arquitectura de autorización por identidad, recurso y contexto, particularmente relevante para expedientes y BI.</w:t>
      </w:r>
    </w:p>
    <w:p>
      <w:r>
        <w:br w:type="page"/>
      </w:r>
    </w:p>
    <w:p>
      <w:pPr>
        <w:pStyle w:val="Heading1"/>
      </w:pPr>
      <w:r>
        <w:t>22. Análisis de información transaccional y Business Intelligence (BI)</w:t>
      </w:r>
    </w:p>
    <w:p>
      <w:r>
        <w:t>Las Minutas No. 03 solicitan explícitamente presentar una estrategia de explotación de información, reporteo y generación de indicadores mediante Business Intelligence. Esta necesidad debe incorporarse como una capacidad arquitectónica del proyecto, no como un conjunto de reportes aislados al final del desarrollo.</w:t>
      </w:r>
    </w:p>
    <w:p>
      <w:pPr>
        <w:pStyle w:val="Heading2"/>
      </w:pPr>
      <w:r>
        <w:t>22.1 ¿Qué aporta BI a SAAEL?</w:t>
      </w:r>
    </w:p>
    <w:p>
      <w:pPr>
        <w:pStyle w:val="ListBullet"/>
      </w:pPr>
      <w:r>
        <w:t>Convertir transacciones operativas en información para supervisión, dirección y mejora de procesos.</w:t>
      </w:r>
    </w:p>
    <w:p>
      <w:pPr>
        <w:pStyle w:val="ListBullet"/>
      </w:pPr>
      <w:r>
        <w:t>Medir tiempos de ciclo, cargas de trabajo, vencimientos, prevenciones, subsanaciones, resoluciones, auditorías, renovaciones y comportamiento de indicadores.</w:t>
      </w:r>
    </w:p>
    <w:p>
      <w:pPr>
        <w:pStyle w:val="ListBullet"/>
      </w:pPr>
      <w:r>
        <w:t>Analizar tendencias históricas por periodo, entidad, instalación, materia, tipo de trámite, estado, auditor, región y unidad administrativa, sujeto a autorización.</w:t>
      </w:r>
    </w:p>
    <w:p>
      <w:pPr>
        <w:pStyle w:val="ListBullet"/>
      </w:pPr>
      <w:r>
        <w:t>Identificar cuellos de botella y variaciones anómalas mediante comparación contra metas, históricos o líneas base.</w:t>
      </w:r>
    </w:p>
    <w:p>
      <w:pPr>
        <w:pStyle w:val="ListBullet"/>
      </w:pPr>
      <w:r>
        <w:t>Dar trazabilidad desde un indicador hasta el conjunto de transacciones que lo sustentan.</w:t>
      </w:r>
    </w:p>
    <w:p>
      <w:pPr>
        <w:pStyle w:val="ListBullet"/>
      </w:pPr>
      <w:r>
        <w:t>Permitir autoservicio controlado sin que cada usuario construya su propia definición de KPI.</w:t>
      </w:r>
    </w:p>
    <w:p>
      <w:pPr>
        <w:pStyle w:val="ListBullet"/>
      </w:pPr>
      <w:r>
        <w:t>Facilitar reportes ejecutivos, operativos, regulatorios y de auditoría con una fuente gobernada.</w:t>
      </w:r>
    </w:p>
    <w:p>
      <w:pPr>
        <w:pStyle w:val="ListBullet"/>
      </w:pPr>
      <w:r>
        <w:t>Preparar la plataforma para analítica avanzada, pronósticos y detección de anomalías sin alterar el sistema transaccional.</w:t>
      </w:r>
    </w:p>
    <w:p>
      <w:pPr>
        <w:pStyle w:val="Heading2"/>
      </w:pPr>
      <w:r>
        <w:t>22.2 Casos de análisis transaccional prioritarios</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404040"/>
          </w:tcPr>
          <w:p>
            <w:pPr>
              <w:jc w:val="left"/>
            </w:pPr>
            <w:r/>
            <w:r>
              <w:rPr>
                <w:b/>
                <w:color w:val="FFFFFF"/>
                <w:sz w:val="16"/>
              </w:rPr>
              <w:t>Dominio</w:t>
            </w:r>
          </w:p>
        </w:tc>
        <w:tc>
          <w:tcPr>
            <w:tcW w:type="dxa" w:w="6912"/>
            <w:vAlign w:val="center"/>
            <w:shd w:fill="404040"/>
          </w:tcPr>
          <w:p>
            <w:pPr>
              <w:jc w:val="left"/>
            </w:pPr>
            <w:r/>
            <w:r>
              <w:rPr>
                <w:b/>
                <w:color w:val="FFFFFF"/>
                <w:sz w:val="16"/>
              </w:rPr>
              <w:t>Preguntas analíticas</w:t>
            </w:r>
          </w:p>
        </w:tc>
        <w:tc>
          <w:tcPr>
            <w:tcW w:type="dxa" w:w="1800"/>
            <w:vAlign w:val="center"/>
            <w:shd w:fill="404040"/>
          </w:tcPr>
          <w:p>
            <w:pPr>
              <w:jc w:val="left"/>
            </w:pPr>
            <w:r/>
            <w:r>
              <w:rPr>
                <w:b/>
                <w:color w:val="FFFFFF"/>
                <w:sz w:val="16"/>
              </w:rPr>
              <w:t>Nivel</w:t>
            </w:r>
          </w:p>
        </w:tc>
      </w:tr>
      <w:tr>
        <w:tc>
          <w:tcPr>
            <w:tcW w:type="dxa" w:w="2232"/>
            <w:vAlign w:val="center"/>
            <w:shd w:fill="F2F2F2"/>
          </w:tcPr>
          <w:p>
            <w:pPr>
              <w:jc w:val="left"/>
            </w:pPr>
            <w:r/>
            <w:r>
              <w:rPr>
                <w:b w:val="0"/>
                <w:sz w:val="16"/>
              </w:rPr>
              <w:t>Gestión de trámites</w:t>
            </w:r>
          </w:p>
        </w:tc>
        <w:tc>
          <w:tcPr>
            <w:tcW w:type="dxa" w:w="6912"/>
            <w:vAlign w:val="center"/>
            <w:shd w:fill="F2F2F2"/>
          </w:tcPr>
          <w:p>
            <w:pPr>
              <w:jc w:val="left"/>
            </w:pPr>
            <w:r/>
            <w:r>
              <w:rPr>
                <w:b w:val="0"/>
                <w:sz w:val="16"/>
              </w:rPr>
              <w:t>Entradas, estados, tiempos de permanencia, prevenciones, subsanaciones, cierres y resoluciones.</w:t>
            </w:r>
          </w:p>
        </w:tc>
        <w:tc>
          <w:tcPr>
            <w:tcW w:type="dxa" w:w="1800"/>
            <w:vAlign w:val="center"/>
            <w:shd w:fill="F2F2F2"/>
          </w:tcPr>
          <w:p>
            <w:pPr>
              <w:jc w:val="left"/>
            </w:pPr>
            <w:r/>
            <w:r>
              <w:rPr>
                <w:b w:val="0"/>
                <w:sz w:val="16"/>
              </w:rPr>
              <w:t>Operativo / ejecutivo</w:t>
            </w:r>
          </w:p>
        </w:tc>
      </w:tr>
      <w:tr>
        <w:tc>
          <w:tcPr>
            <w:tcW w:type="dxa" w:w="2232"/>
            <w:vAlign w:val="center"/>
          </w:tcPr>
          <w:p>
            <w:pPr>
              <w:jc w:val="left"/>
            </w:pPr>
            <w:r/>
            <w:r>
              <w:rPr>
                <w:b w:val="0"/>
                <w:sz w:val="16"/>
              </w:rPr>
              <w:t>SLA y plazos</w:t>
            </w:r>
          </w:p>
        </w:tc>
        <w:tc>
          <w:tcPr>
            <w:tcW w:type="dxa" w:w="6912"/>
            <w:vAlign w:val="center"/>
          </w:tcPr>
          <w:p>
            <w:pPr>
              <w:jc w:val="left"/>
            </w:pPr>
            <w:r/>
            <w:r>
              <w:rPr>
                <w:b w:val="0"/>
                <w:sz w:val="16"/>
              </w:rPr>
              <w:t>Tiempo transcurrido, días hábiles, vencimientos próximos, retrasos y cumplimiento por unidad.</w:t>
            </w:r>
          </w:p>
        </w:tc>
        <w:tc>
          <w:tcPr>
            <w:tcW w:type="dxa" w:w="1800"/>
            <w:vAlign w:val="center"/>
          </w:tcPr>
          <w:p>
            <w:pPr>
              <w:jc w:val="left"/>
            </w:pPr>
            <w:r/>
            <w:r>
              <w:rPr>
                <w:b w:val="0"/>
                <w:sz w:val="16"/>
              </w:rPr>
              <w:t>Operativo</w:t>
            </w:r>
          </w:p>
        </w:tc>
      </w:tr>
      <w:tr>
        <w:tc>
          <w:tcPr>
            <w:tcW w:type="dxa" w:w="2232"/>
            <w:vAlign w:val="center"/>
            <w:shd w:fill="F2F2F2"/>
          </w:tcPr>
          <w:p>
            <w:pPr>
              <w:jc w:val="left"/>
            </w:pPr>
            <w:r/>
            <w:r>
              <w:rPr>
                <w:b w:val="0"/>
                <w:sz w:val="16"/>
              </w:rPr>
              <w:t>Carga de trabajo</w:t>
            </w:r>
          </w:p>
        </w:tc>
        <w:tc>
          <w:tcPr>
            <w:tcW w:type="dxa" w:w="6912"/>
            <w:vAlign w:val="center"/>
            <w:shd w:fill="F2F2F2"/>
          </w:tcPr>
          <w:p>
            <w:pPr>
              <w:jc w:val="left"/>
            </w:pPr>
            <w:r/>
            <w:r>
              <w:rPr>
                <w:b w:val="0"/>
                <w:sz w:val="16"/>
              </w:rPr>
              <w:t>Expedientes por responsable, materia, estado, región y antigüedad.</w:t>
            </w:r>
          </w:p>
        </w:tc>
        <w:tc>
          <w:tcPr>
            <w:tcW w:type="dxa" w:w="1800"/>
            <w:vAlign w:val="center"/>
            <w:shd w:fill="F2F2F2"/>
          </w:tcPr>
          <w:p>
            <w:pPr>
              <w:jc w:val="left"/>
            </w:pPr>
            <w:r/>
            <w:r>
              <w:rPr>
                <w:b w:val="0"/>
                <w:sz w:val="16"/>
              </w:rPr>
              <w:t>Operativo</w:t>
            </w:r>
          </w:p>
        </w:tc>
      </w:tr>
      <w:tr>
        <w:tc>
          <w:tcPr>
            <w:tcW w:type="dxa" w:w="2232"/>
            <w:vAlign w:val="center"/>
          </w:tcPr>
          <w:p>
            <w:pPr>
              <w:jc w:val="left"/>
            </w:pPr>
            <w:r/>
            <w:r>
              <w:rPr>
                <w:b w:val="0"/>
                <w:sz w:val="16"/>
              </w:rPr>
              <w:t>Auditores</w:t>
            </w:r>
          </w:p>
        </w:tc>
        <w:tc>
          <w:tcPr>
            <w:tcW w:type="dxa" w:w="6912"/>
            <w:vAlign w:val="center"/>
          </w:tcPr>
          <w:p>
            <w:pPr>
              <w:jc w:val="left"/>
            </w:pPr>
            <w:r/>
            <w:r>
              <w:rPr>
                <w:b w:val="0"/>
                <w:sz w:val="16"/>
              </w:rPr>
              <w:t>Participación, tiempos, materias, resultados y, si se aprueba, evaluación de servicio.</w:t>
            </w:r>
          </w:p>
        </w:tc>
        <w:tc>
          <w:tcPr>
            <w:tcW w:type="dxa" w:w="1800"/>
            <w:vAlign w:val="center"/>
          </w:tcPr>
          <w:p>
            <w:pPr>
              <w:jc w:val="left"/>
            </w:pPr>
            <w:r/>
            <w:r>
              <w:rPr>
                <w:b w:val="0"/>
                <w:sz w:val="16"/>
              </w:rPr>
              <w:t>Ejecutivo / supervisión</w:t>
            </w:r>
          </w:p>
        </w:tc>
      </w:tr>
      <w:tr>
        <w:tc>
          <w:tcPr>
            <w:tcW w:type="dxa" w:w="2232"/>
            <w:vAlign w:val="center"/>
            <w:shd w:fill="F2F2F2"/>
          </w:tcPr>
          <w:p>
            <w:pPr>
              <w:jc w:val="left"/>
            </w:pPr>
            <w:r/>
            <w:r>
              <w:rPr>
                <w:b w:val="0"/>
                <w:sz w:val="16"/>
              </w:rPr>
              <w:t>RDA</w:t>
            </w:r>
          </w:p>
        </w:tc>
        <w:tc>
          <w:tcPr>
            <w:tcW w:type="dxa" w:w="6912"/>
            <w:vAlign w:val="center"/>
            <w:shd w:fill="F2F2F2"/>
          </w:tcPr>
          <w:p>
            <w:pPr>
              <w:jc w:val="left"/>
            </w:pPr>
            <w:r/>
            <w:r>
              <w:rPr>
                <w:b w:val="0"/>
                <w:sz w:val="16"/>
              </w:rPr>
              <w:t>Solicitudes, elegibilidad, indicadores, renovaciones, cumplimiento anual y pérdida de vía.</w:t>
            </w:r>
          </w:p>
        </w:tc>
        <w:tc>
          <w:tcPr>
            <w:tcW w:type="dxa" w:w="1800"/>
            <w:vAlign w:val="center"/>
            <w:shd w:fill="F2F2F2"/>
          </w:tcPr>
          <w:p>
            <w:pPr>
              <w:jc w:val="left"/>
            </w:pPr>
            <w:r/>
            <w:r>
              <w:rPr>
                <w:b w:val="0"/>
                <w:sz w:val="16"/>
              </w:rPr>
              <w:t>Regulatorio / ejecutivo</w:t>
            </w:r>
          </w:p>
        </w:tc>
      </w:tr>
      <w:tr>
        <w:tc>
          <w:tcPr>
            <w:tcW w:type="dxa" w:w="2232"/>
            <w:vAlign w:val="center"/>
          </w:tcPr>
          <w:p>
            <w:pPr>
              <w:jc w:val="left"/>
            </w:pPr>
            <w:r/>
            <w:r>
              <w:rPr>
                <w:b w:val="0"/>
                <w:sz w:val="16"/>
              </w:rPr>
              <w:t>No conformidades</w:t>
            </w:r>
          </w:p>
        </w:tc>
        <w:tc>
          <w:tcPr>
            <w:tcW w:type="dxa" w:w="6912"/>
            <w:vAlign w:val="center"/>
          </w:tcPr>
          <w:p>
            <w:pPr>
              <w:jc w:val="left"/>
            </w:pPr>
            <w:r/>
            <w:r>
              <w:rPr>
                <w:b w:val="0"/>
                <w:sz w:val="16"/>
              </w:rPr>
              <w:t>Frecuencia, severidad, materias, acciones, tiempos de cierre y recurrencia.</w:t>
            </w:r>
          </w:p>
        </w:tc>
        <w:tc>
          <w:tcPr>
            <w:tcW w:type="dxa" w:w="1800"/>
            <w:vAlign w:val="center"/>
          </w:tcPr>
          <w:p>
            <w:pPr>
              <w:jc w:val="left"/>
            </w:pPr>
            <w:r/>
            <w:r>
              <w:rPr>
                <w:b w:val="0"/>
                <w:sz w:val="16"/>
              </w:rPr>
              <w:t>Analítico</w:t>
            </w:r>
          </w:p>
        </w:tc>
      </w:tr>
      <w:tr>
        <w:tc>
          <w:tcPr>
            <w:tcW w:type="dxa" w:w="2232"/>
            <w:vAlign w:val="center"/>
            <w:shd w:fill="F2F2F2"/>
          </w:tcPr>
          <w:p>
            <w:pPr>
              <w:jc w:val="left"/>
            </w:pPr>
            <w:r/>
            <w:r>
              <w:rPr>
                <w:b w:val="0"/>
                <w:sz w:val="16"/>
              </w:rPr>
              <w:t>Integraciones</w:t>
            </w:r>
          </w:p>
        </w:tc>
        <w:tc>
          <w:tcPr>
            <w:tcW w:type="dxa" w:w="6912"/>
            <w:vAlign w:val="center"/>
            <w:shd w:fill="F2F2F2"/>
          </w:tcPr>
          <w:p>
            <w:pPr>
              <w:jc w:val="left"/>
            </w:pPr>
            <w:r/>
            <w:r>
              <w:rPr>
                <w:b w:val="0"/>
                <w:sz w:val="16"/>
              </w:rPr>
              <w:t>Disponibilidad, errores, tiempos de respuesta, reintentos y transacciones por fuente.</w:t>
            </w:r>
          </w:p>
        </w:tc>
        <w:tc>
          <w:tcPr>
            <w:tcW w:type="dxa" w:w="1800"/>
            <w:vAlign w:val="center"/>
            <w:shd w:fill="F2F2F2"/>
          </w:tcPr>
          <w:p>
            <w:pPr>
              <w:jc w:val="left"/>
            </w:pPr>
            <w:r/>
            <w:r>
              <w:rPr>
                <w:b w:val="0"/>
                <w:sz w:val="16"/>
              </w:rPr>
              <w:t>Operativo / técnico</w:t>
            </w:r>
          </w:p>
        </w:tc>
      </w:tr>
      <w:tr>
        <w:tc>
          <w:tcPr>
            <w:tcW w:type="dxa" w:w="2232"/>
            <w:vAlign w:val="center"/>
          </w:tcPr>
          <w:p>
            <w:pPr>
              <w:jc w:val="left"/>
            </w:pPr>
            <w:r/>
            <w:r>
              <w:rPr>
                <w:b w:val="0"/>
                <w:sz w:val="16"/>
              </w:rPr>
              <w:t>Documentos/firma</w:t>
            </w:r>
          </w:p>
        </w:tc>
        <w:tc>
          <w:tcPr>
            <w:tcW w:type="dxa" w:w="6912"/>
            <w:vAlign w:val="center"/>
          </w:tcPr>
          <w:p>
            <w:pPr>
              <w:jc w:val="left"/>
            </w:pPr>
            <w:r/>
            <w:r>
              <w:rPr>
                <w:b w:val="0"/>
                <w:sz w:val="16"/>
              </w:rPr>
              <w:t>Documentos generados, pendientes de firma, formalizados, rechazados y tiempos de formalización.</w:t>
            </w:r>
          </w:p>
        </w:tc>
        <w:tc>
          <w:tcPr>
            <w:tcW w:type="dxa" w:w="1800"/>
            <w:vAlign w:val="center"/>
          </w:tcPr>
          <w:p>
            <w:pPr>
              <w:jc w:val="left"/>
            </w:pPr>
            <w:r/>
            <w:r>
              <w:rPr>
                <w:b w:val="0"/>
                <w:sz w:val="16"/>
              </w:rPr>
              <w:t>Operativo</w:t>
            </w:r>
          </w:p>
        </w:tc>
      </w:tr>
      <w:tr>
        <w:tc>
          <w:tcPr>
            <w:tcW w:type="dxa" w:w="2232"/>
            <w:vAlign w:val="center"/>
            <w:shd w:fill="F2F2F2"/>
          </w:tcPr>
          <w:p>
            <w:pPr>
              <w:jc w:val="left"/>
            </w:pPr>
            <w:r/>
            <w:r>
              <w:rPr>
                <w:b w:val="0"/>
                <w:sz w:val="16"/>
              </w:rPr>
              <w:t>Concertación</w:t>
            </w:r>
          </w:p>
        </w:tc>
        <w:tc>
          <w:tcPr>
            <w:tcW w:type="dxa" w:w="6912"/>
            <w:vAlign w:val="center"/>
            <w:shd w:fill="F2F2F2"/>
          </w:tcPr>
          <w:p>
            <w:pPr>
              <w:jc w:val="left"/>
            </w:pPr>
            <w:r/>
            <w:r>
              <w:rPr>
                <w:b w:val="0"/>
                <w:sz w:val="16"/>
              </w:rPr>
              <w:t>Convenios, vigencia, participantes, obligaciones, avances y evidencias.</w:t>
            </w:r>
          </w:p>
        </w:tc>
        <w:tc>
          <w:tcPr>
            <w:tcW w:type="dxa" w:w="1800"/>
            <w:vAlign w:val="center"/>
            <w:shd w:fill="F2F2F2"/>
          </w:tcPr>
          <w:p>
            <w:pPr>
              <w:jc w:val="left"/>
            </w:pPr>
            <w:r/>
            <w:r>
              <w:rPr>
                <w:b w:val="0"/>
                <w:sz w:val="16"/>
              </w:rPr>
              <w:t>Ejecutivo</w:t>
            </w:r>
          </w:p>
        </w:tc>
      </w:tr>
      <w:tr>
        <w:tc>
          <w:tcPr>
            <w:tcW w:type="dxa" w:w="2232"/>
            <w:vAlign w:val="center"/>
          </w:tcPr>
          <w:p>
            <w:pPr>
              <w:jc w:val="left"/>
            </w:pPr>
            <w:r/>
            <w:r>
              <w:rPr>
                <w:b w:val="0"/>
                <w:sz w:val="16"/>
              </w:rPr>
              <w:t>COA / interoperabilidad</w:t>
            </w:r>
          </w:p>
        </w:tc>
        <w:tc>
          <w:tcPr>
            <w:tcW w:type="dxa" w:w="6912"/>
            <w:vAlign w:val="center"/>
          </w:tcPr>
          <w:p>
            <w:pPr>
              <w:jc w:val="left"/>
            </w:pPr>
            <w:r/>
            <w:r>
              <w:rPr>
                <w:b w:val="0"/>
                <w:sz w:val="16"/>
              </w:rPr>
              <w:t>Cruces y consistencia entre información SAAEL y COA, cuando la integración sea autorizada.</w:t>
            </w:r>
          </w:p>
        </w:tc>
        <w:tc>
          <w:tcPr>
            <w:tcW w:type="dxa" w:w="1800"/>
            <w:vAlign w:val="center"/>
          </w:tcPr>
          <w:p>
            <w:pPr>
              <w:jc w:val="left"/>
            </w:pPr>
            <w:r/>
            <w:r>
              <w:rPr>
                <w:b w:val="0"/>
                <w:sz w:val="16"/>
              </w:rPr>
              <w:t>Analítico</w:t>
            </w:r>
          </w:p>
        </w:tc>
      </w:tr>
    </w:tbl>
    <w:p/>
    <w:p>
      <w:pPr>
        <w:pStyle w:val="Heading2"/>
      </w:pPr>
      <w:r>
        <w:t>22.3 Capacidades BI recomendadas</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404040"/>
          </w:tcPr>
          <w:p>
            <w:pPr>
              <w:jc w:val="left"/>
            </w:pPr>
            <w:r/>
            <w:r>
              <w:rPr>
                <w:b/>
                <w:color w:val="FFFFFF"/>
                <w:sz w:val="16"/>
              </w:rPr>
              <w:t>Capacidad</w:t>
            </w:r>
          </w:p>
        </w:tc>
        <w:tc>
          <w:tcPr>
            <w:tcW w:type="dxa" w:w="6768"/>
            <w:vAlign w:val="center"/>
            <w:shd w:fill="404040"/>
          </w:tcPr>
          <w:p>
            <w:pPr>
              <w:jc w:val="left"/>
            </w:pPr>
            <w:r/>
            <w:r>
              <w:rPr>
                <w:b/>
                <w:color w:val="FFFFFF"/>
                <w:sz w:val="16"/>
              </w:rPr>
              <w:t>Qué permite</w:t>
            </w:r>
          </w:p>
        </w:tc>
        <w:tc>
          <w:tcPr>
            <w:tcW w:type="dxa" w:w="1944"/>
            <w:vAlign w:val="center"/>
            <w:shd w:fill="404040"/>
          </w:tcPr>
          <w:p>
            <w:pPr>
              <w:jc w:val="left"/>
            </w:pPr>
            <w:r/>
            <w:r>
              <w:rPr>
                <w:b/>
                <w:color w:val="FFFFFF"/>
                <w:sz w:val="16"/>
              </w:rPr>
              <w:t>Aplicación</w:t>
            </w:r>
          </w:p>
        </w:tc>
      </w:tr>
      <w:tr>
        <w:tc>
          <w:tcPr>
            <w:tcW w:type="dxa" w:w="2232"/>
            <w:vAlign w:val="center"/>
            <w:shd w:fill="F2F2F2"/>
          </w:tcPr>
          <w:p>
            <w:pPr>
              <w:jc w:val="left"/>
            </w:pPr>
            <w:r/>
            <w:r>
              <w:rPr>
                <w:b w:val="0"/>
                <w:sz w:val="16"/>
              </w:rPr>
              <w:t>Dashboards ejecutivos</w:t>
            </w:r>
          </w:p>
        </w:tc>
        <w:tc>
          <w:tcPr>
            <w:tcW w:type="dxa" w:w="6768"/>
            <w:vAlign w:val="center"/>
            <w:shd w:fill="F2F2F2"/>
          </w:tcPr>
          <w:p>
            <w:pPr>
              <w:jc w:val="left"/>
            </w:pPr>
            <w:r/>
            <w:r>
              <w:rPr>
                <w:b w:val="0"/>
                <w:sz w:val="16"/>
              </w:rPr>
              <w:t>KPIs, tendencias, semáforos, mapas, cumplimiento y excepciones.</w:t>
            </w:r>
          </w:p>
        </w:tc>
        <w:tc>
          <w:tcPr>
            <w:tcW w:type="dxa" w:w="1944"/>
            <w:vAlign w:val="center"/>
            <w:shd w:fill="F2F2F2"/>
          </w:tcPr>
          <w:p>
            <w:pPr>
              <w:jc w:val="left"/>
            </w:pPr>
            <w:r/>
            <w:r>
              <w:rPr>
                <w:b w:val="0"/>
                <w:sz w:val="16"/>
              </w:rPr>
              <w:t>Dirección / supervisión</w:t>
            </w:r>
          </w:p>
        </w:tc>
      </w:tr>
      <w:tr>
        <w:tc>
          <w:tcPr>
            <w:tcW w:type="dxa" w:w="2232"/>
            <w:vAlign w:val="center"/>
          </w:tcPr>
          <w:p>
            <w:pPr>
              <w:jc w:val="left"/>
            </w:pPr>
            <w:r/>
            <w:r>
              <w:rPr>
                <w:b w:val="0"/>
                <w:sz w:val="16"/>
              </w:rPr>
              <w:t>Dashboards operativos</w:t>
            </w:r>
          </w:p>
        </w:tc>
        <w:tc>
          <w:tcPr>
            <w:tcW w:type="dxa" w:w="6768"/>
            <w:vAlign w:val="center"/>
          </w:tcPr>
          <w:p>
            <w:pPr>
              <w:jc w:val="left"/>
            </w:pPr>
            <w:r/>
            <w:r>
              <w:rPr>
                <w:b w:val="0"/>
                <w:sz w:val="16"/>
              </w:rPr>
              <w:t>Bandejas de trabajo, vencimientos, aging, colas y tareas pendientes.</w:t>
            </w:r>
          </w:p>
        </w:tc>
        <w:tc>
          <w:tcPr>
            <w:tcW w:type="dxa" w:w="1944"/>
            <w:vAlign w:val="center"/>
          </w:tcPr>
          <w:p>
            <w:pPr>
              <w:jc w:val="left"/>
            </w:pPr>
            <w:r/>
            <w:r>
              <w:rPr>
                <w:b w:val="0"/>
                <w:sz w:val="16"/>
              </w:rPr>
              <w:t>SPA / operación</w:t>
            </w:r>
          </w:p>
        </w:tc>
      </w:tr>
      <w:tr>
        <w:tc>
          <w:tcPr>
            <w:tcW w:type="dxa" w:w="2232"/>
            <w:vAlign w:val="center"/>
            <w:shd w:fill="F2F2F2"/>
          </w:tcPr>
          <w:p>
            <w:pPr>
              <w:jc w:val="left"/>
            </w:pPr>
            <w:r/>
            <w:r>
              <w:rPr>
                <w:b w:val="0"/>
                <w:sz w:val="16"/>
              </w:rPr>
              <w:t>Drill-down / drill-through</w:t>
            </w:r>
          </w:p>
        </w:tc>
        <w:tc>
          <w:tcPr>
            <w:tcW w:type="dxa" w:w="6768"/>
            <w:vAlign w:val="center"/>
            <w:shd w:fill="F2F2F2"/>
          </w:tcPr>
          <w:p>
            <w:pPr>
              <w:jc w:val="left"/>
            </w:pPr>
            <w:r/>
            <w:r>
              <w:rPr>
                <w:b w:val="0"/>
                <w:sz w:val="16"/>
              </w:rPr>
              <w:t>Ir de KPI → periodo → unidad → expediente → transacción, respetando permisos.</w:t>
            </w:r>
          </w:p>
        </w:tc>
        <w:tc>
          <w:tcPr>
            <w:tcW w:type="dxa" w:w="1944"/>
            <w:vAlign w:val="center"/>
            <w:shd w:fill="F2F2F2"/>
          </w:tcPr>
          <w:p>
            <w:pPr>
              <w:jc w:val="left"/>
            </w:pPr>
            <w:r/>
            <w:r>
              <w:rPr>
                <w:b w:val="0"/>
                <w:sz w:val="16"/>
              </w:rPr>
              <w:t>Todos</w:t>
            </w:r>
          </w:p>
        </w:tc>
      </w:tr>
      <w:tr>
        <w:tc>
          <w:tcPr>
            <w:tcW w:type="dxa" w:w="2232"/>
            <w:vAlign w:val="center"/>
          </w:tcPr>
          <w:p>
            <w:pPr>
              <w:jc w:val="left"/>
            </w:pPr>
            <w:r/>
            <w:r>
              <w:rPr>
                <w:b w:val="0"/>
                <w:sz w:val="16"/>
              </w:rPr>
              <w:t>Filtros multidimensionales</w:t>
            </w:r>
          </w:p>
        </w:tc>
        <w:tc>
          <w:tcPr>
            <w:tcW w:type="dxa" w:w="6768"/>
            <w:vAlign w:val="center"/>
          </w:tcPr>
          <w:p>
            <w:pPr>
              <w:jc w:val="left"/>
            </w:pPr>
            <w:r/>
            <w:r>
              <w:rPr>
                <w:b w:val="0"/>
                <w:sz w:val="16"/>
              </w:rPr>
              <w:t>Tiempo, trámite, materia, ubicación, auditor, instalación, estado y responsable.</w:t>
            </w:r>
          </w:p>
        </w:tc>
        <w:tc>
          <w:tcPr>
            <w:tcW w:type="dxa" w:w="1944"/>
            <w:vAlign w:val="center"/>
          </w:tcPr>
          <w:p>
            <w:pPr>
              <w:jc w:val="left"/>
            </w:pPr>
            <w:r/>
            <w:r>
              <w:rPr>
                <w:b w:val="0"/>
                <w:sz w:val="16"/>
              </w:rPr>
              <w:t>Analistas</w:t>
            </w:r>
          </w:p>
        </w:tc>
      </w:tr>
      <w:tr>
        <w:tc>
          <w:tcPr>
            <w:tcW w:type="dxa" w:w="2232"/>
            <w:vAlign w:val="center"/>
            <w:shd w:fill="F2F2F2"/>
          </w:tcPr>
          <w:p>
            <w:pPr>
              <w:jc w:val="left"/>
            </w:pPr>
            <w:r/>
            <w:r>
              <w:rPr>
                <w:b w:val="0"/>
                <w:sz w:val="16"/>
              </w:rPr>
              <w:t>Análisis temporal</w:t>
            </w:r>
          </w:p>
        </w:tc>
        <w:tc>
          <w:tcPr>
            <w:tcW w:type="dxa" w:w="6768"/>
            <w:vAlign w:val="center"/>
            <w:shd w:fill="F2F2F2"/>
          </w:tcPr>
          <w:p>
            <w:pPr>
              <w:jc w:val="left"/>
            </w:pPr>
            <w:r/>
            <w:r>
              <w:rPr>
                <w:b w:val="0"/>
                <w:sz w:val="16"/>
              </w:rPr>
              <w:t>Tendencia, variación interanual, cohortes, estacionalidad y comparación contra meta.</w:t>
            </w:r>
          </w:p>
        </w:tc>
        <w:tc>
          <w:tcPr>
            <w:tcW w:type="dxa" w:w="1944"/>
            <w:vAlign w:val="center"/>
            <w:shd w:fill="F2F2F2"/>
          </w:tcPr>
          <w:p>
            <w:pPr>
              <w:jc w:val="left"/>
            </w:pPr>
            <w:r/>
            <w:r>
              <w:rPr>
                <w:b w:val="0"/>
                <w:sz w:val="16"/>
              </w:rPr>
              <w:t>Dirección</w:t>
            </w:r>
          </w:p>
        </w:tc>
      </w:tr>
      <w:tr>
        <w:tc>
          <w:tcPr>
            <w:tcW w:type="dxa" w:w="2232"/>
            <w:vAlign w:val="center"/>
          </w:tcPr>
          <w:p>
            <w:pPr>
              <w:jc w:val="left"/>
            </w:pPr>
            <w:r/>
            <w:r>
              <w:rPr>
                <w:b w:val="0"/>
                <w:sz w:val="16"/>
              </w:rPr>
              <w:t>Análisis geográfico</w:t>
            </w:r>
          </w:p>
        </w:tc>
        <w:tc>
          <w:tcPr>
            <w:tcW w:type="dxa" w:w="6768"/>
            <w:vAlign w:val="center"/>
          </w:tcPr>
          <w:p>
            <w:pPr>
              <w:jc w:val="left"/>
            </w:pPr>
            <w:r/>
            <w:r>
              <w:rPr>
                <w:b w:val="0"/>
                <w:sz w:val="16"/>
              </w:rPr>
              <w:t>Mapas de instalaciones, áreas protegidas y distribución de trámites, si la clasificación lo permite.</w:t>
            </w:r>
          </w:p>
        </w:tc>
        <w:tc>
          <w:tcPr>
            <w:tcW w:type="dxa" w:w="1944"/>
            <w:vAlign w:val="center"/>
          </w:tcPr>
          <w:p>
            <w:pPr>
              <w:jc w:val="left"/>
            </w:pPr>
            <w:r/>
            <w:r>
              <w:rPr>
                <w:b w:val="0"/>
                <w:sz w:val="16"/>
              </w:rPr>
              <w:t>Especializado</w:t>
            </w:r>
          </w:p>
        </w:tc>
      </w:tr>
      <w:tr>
        <w:tc>
          <w:tcPr>
            <w:tcW w:type="dxa" w:w="2232"/>
            <w:vAlign w:val="center"/>
            <w:shd w:fill="F2F2F2"/>
          </w:tcPr>
          <w:p>
            <w:pPr>
              <w:jc w:val="left"/>
            </w:pPr>
            <w:r/>
            <w:r>
              <w:rPr>
                <w:b w:val="0"/>
                <w:sz w:val="16"/>
              </w:rPr>
              <w:t>Alertas</w:t>
            </w:r>
          </w:p>
        </w:tc>
        <w:tc>
          <w:tcPr>
            <w:tcW w:type="dxa" w:w="6768"/>
            <w:vAlign w:val="center"/>
            <w:shd w:fill="F2F2F2"/>
          </w:tcPr>
          <w:p>
            <w:pPr>
              <w:jc w:val="left"/>
            </w:pPr>
            <w:r/>
            <w:r>
              <w:rPr>
                <w:b w:val="0"/>
                <w:sz w:val="16"/>
              </w:rPr>
              <w:t>Notificación por umbral, vencimiento, anomalía o cambio relevante.</w:t>
            </w:r>
          </w:p>
        </w:tc>
        <w:tc>
          <w:tcPr>
            <w:tcW w:type="dxa" w:w="1944"/>
            <w:vAlign w:val="center"/>
            <w:shd w:fill="F2F2F2"/>
          </w:tcPr>
          <w:p>
            <w:pPr>
              <w:jc w:val="left"/>
            </w:pPr>
            <w:r/>
            <w:r>
              <w:rPr>
                <w:b w:val="0"/>
                <w:sz w:val="16"/>
              </w:rPr>
              <w:t>Operativo</w:t>
            </w:r>
          </w:p>
        </w:tc>
      </w:tr>
      <w:tr>
        <w:tc>
          <w:tcPr>
            <w:tcW w:type="dxa" w:w="2232"/>
            <w:vAlign w:val="center"/>
          </w:tcPr>
          <w:p>
            <w:pPr>
              <w:jc w:val="left"/>
            </w:pPr>
            <w:r/>
            <w:r>
              <w:rPr>
                <w:b w:val="0"/>
                <w:sz w:val="16"/>
              </w:rPr>
              <w:t>Autoservicio gobernado</w:t>
            </w:r>
          </w:p>
        </w:tc>
        <w:tc>
          <w:tcPr>
            <w:tcW w:type="dxa" w:w="6768"/>
            <w:vAlign w:val="center"/>
          </w:tcPr>
          <w:p>
            <w:pPr>
              <w:jc w:val="left"/>
            </w:pPr>
            <w:r/>
            <w:r>
              <w:rPr>
                <w:b w:val="0"/>
                <w:sz w:val="16"/>
              </w:rPr>
              <w:t>Exploración por usuarios autorizados sobre modelos semánticos y métricas certificadas.</w:t>
            </w:r>
          </w:p>
        </w:tc>
        <w:tc>
          <w:tcPr>
            <w:tcW w:type="dxa" w:w="1944"/>
            <w:vAlign w:val="center"/>
          </w:tcPr>
          <w:p>
            <w:pPr>
              <w:jc w:val="left"/>
            </w:pPr>
            <w:r/>
            <w:r>
              <w:rPr>
                <w:b w:val="0"/>
                <w:sz w:val="16"/>
              </w:rPr>
              <w:t>Analistas</w:t>
            </w:r>
          </w:p>
        </w:tc>
      </w:tr>
      <w:tr>
        <w:tc>
          <w:tcPr>
            <w:tcW w:type="dxa" w:w="2232"/>
            <w:vAlign w:val="center"/>
            <w:shd w:fill="F2F2F2"/>
          </w:tcPr>
          <w:p>
            <w:pPr>
              <w:jc w:val="left"/>
            </w:pPr>
            <w:r/>
            <w:r>
              <w:rPr>
                <w:b w:val="0"/>
                <w:sz w:val="16"/>
              </w:rPr>
              <w:t>Narrativa y lenguaje natural</w:t>
            </w:r>
          </w:p>
        </w:tc>
        <w:tc>
          <w:tcPr>
            <w:tcW w:type="dxa" w:w="6768"/>
            <w:vAlign w:val="center"/>
            <w:shd w:fill="F2F2F2"/>
          </w:tcPr>
          <w:p>
            <w:pPr>
              <w:jc w:val="left"/>
            </w:pPr>
            <w:r/>
            <w:r>
              <w:rPr>
                <w:b w:val="0"/>
                <w:sz w:val="16"/>
              </w:rPr>
              <w:t>Consultas y explicaciones asistidas, con control de fuentes y trazabilidad.</w:t>
            </w:r>
          </w:p>
        </w:tc>
        <w:tc>
          <w:tcPr>
            <w:tcW w:type="dxa" w:w="1944"/>
            <w:vAlign w:val="center"/>
            <w:shd w:fill="F2F2F2"/>
          </w:tcPr>
          <w:p>
            <w:pPr>
              <w:jc w:val="left"/>
            </w:pPr>
            <w:r/>
            <w:r>
              <w:rPr>
                <w:b w:val="0"/>
                <w:sz w:val="16"/>
              </w:rPr>
              <w:t>Futuro / controlado</w:t>
            </w:r>
          </w:p>
        </w:tc>
      </w:tr>
      <w:tr>
        <w:tc>
          <w:tcPr>
            <w:tcW w:type="dxa" w:w="2232"/>
            <w:vAlign w:val="center"/>
          </w:tcPr>
          <w:p>
            <w:pPr>
              <w:jc w:val="left"/>
            </w:pPr>
            <w:r/>
            <w:r>
              <w:rPr>
                <w:b w:val="0"/>
                <w:sz w:val="16"/>
              </w:rPr>
              <w:t>Exportación controlada</w:t>
            </w:r>
          </w:p>
        </w:tc>
        <w:tc>
          <w:tcPr>
            <w:tcW w:type="dxa" w:w="6768"/>
            <w:vAlign w:val="center"/>
          </w:tcPr>
          <w:p>
            <w:pPr>
              <w:jc w:val="left"/>
            </w:pPr>
            <w:r/>
            <w:r>
              <w:rPr>
                <w:b w:val="0"/>
                <w:sz w:val="16"/>
              </w:rPr>
              <w:t>Excel/PDF/CSV u otros formatos, aplicando clasificación y permisos.</w:t>
            </w:r>
          </w:p>
        </w:tc>
        <w:tc>
          <w:tcPr>
            <w:tcW w:type="dxa" w:w="1944"/>
            <w:vAlign w:val="center"/>
          </w:tcPr>
          <w:p>
            <w:pPr>
              <w:jc w:val="left"/>
            </w:pPr>
            <w:r/>
            <w:r>
              <w:rPr>
                <w:b w:val="0"/>
                <w:sz w:val="16"/>
              </w:rPr>
              <w:t>Todos</w:t>
            </w:r>
          </w:p>
        </w:tc>
      </w:tr>
    </w:tbl>
    <w:p/>
    <w:p>
      <w:pPr>
        <w:pStyle w:val="Heading2"/>
      </w:pPr>
      <w:r>
        <w:t>22.4 Arquitectura de datos para BI</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404040"/>
          </w:tcPr>
          <w:p>
            <w:pPr>
              <w:jc w:val="left"/>
            </w:pPr>
            <w:r/>
            <w:r>
              <w:rPr>
                <w:b/>
                <w:color w:val="FFFFFF"/>
                <w:sz w:val="16"/>
              </w:rPr>
              <w:t>Componente</w:t>
            </w:r>
          </w:p>
        </w:tc>
        <w:tc>
          <w:tcPr>
            <w:tcW w:type="dxa" w:w="3816"/>
            <w:vAlign w:val="center"/>
            <w:shd w:fill="404040"/>
          </w:tcPr>
          <w:p>
            <w:pPr>
              <w:jc w:val="left"/>
            </w:pPr>
            <w:r/>
            <w:r>
              <w:rPr>
                <w:b/>
                <w:color w:val="FFFFFF"/>
                <w:sz w:val="16"/>
              </w:rPr>
              <w:t>Función</w:t>
            </w:r>
          </w:p>
        </w:tc>
        <w:tc>
          <w:tcPr>
            <w:tcW w:type="dxa" w:w="5112"/>
            <w:vAlign w:val="center"/>
            <w:shd w:fill="404040"/>
          </w:tcPr>
          <w:p>
            <w:pPr>
              <w:jc w:val="left"/>
            </w:pPr>
            <w:r/>
            <w:r>
              <w:rPr>
                <w:b/>
                <w:color w:val="FFFFFF"/>
                <w:sz w:val="16"/>
              </w:rPr>
              <w:t>Criterio para SAAEL</w:t>
            </w:r>
          </w:p>
        </w:tc>
      </w:tr>
      <w:tr>
        <w:tc>
          <w:tcPr>
            <w:tcW w:type="dxa" w:w="2016"/>
            <w:vAlign w:val="center"/>
            <w:shd w:fill="F2F2F2"/>
          </w:tcPr>
          <w:p>
            <w:pPr>
              <w:jc w:val="left"/>
            </w:pPr>
            <w:r/>
            <w:r>
              <w:rPr>
                <w:b w:val="0"/>
                <w:sz w:val="16"/>
              </w:rPr>
              <w:t>OLTP transaccional</w:t>
            </w:r>
          </w:p>
        </w:tc>
        <w:tc>
          <w:tcPr>
            <w:tcW w:type="dxa" w:w="3816"/>
            <w:vAlign w:val="center"/>
            <w:shd w:fill="F2F2F2"/>
          </w:tcPr>
          <w:p>
            <w:pPr>
              <w:jc w:val="left"/>
            </w:pPr>
            <w:r/>
            <w:r>
              <w:rPr>
                <w:b w:val="0"/>
                <w:sz w:val="16"/>
              </w:rPr>
              <w:t>Operación diaria y consistencia de trámites</w:t>
            </w:r>
          </w:p>
        </w:tc>
        <w:tc>
          <w:tcPr>
            <w:tcW w:type="dxa" w:w="5112"/>
            <w:vAlign w:val="center"/>
            <w:shd w:fill="F2F2F2"/>
          </w:tcPr>
          <w:p>
            <w:pPr>
              <w:jc w:val="left"/>
            </w:pPr>
            <w:r/>
            <w:r>
              <w:rPr>
                <w:b w:val="0"/>
                <w:sz w:val="16"/>
              </w:rPr>
              <w:t>No debe cargarse con consultas analíticas pesadas.</w:t>
            </w:r>
          </w:p>
        </w:tc>
      </w:tr>
      <w:tr>
        <w:tc>
          <w:tcPr>
            <w:tcW w:type="dxa" w:w="2016"/>
            <w:vAlign w:val="center"/>
          </w:tcPr>
          <w:p>
            <w:pPr>
              <w:jc w:val="left"/>
            </w:pPr>
            <w:r/>
            <w:r>
              <w:rPr>
                <w:b w:val="0"/>
                <w:sz w:val="16"/>
              </w:rPr>
              <w:t>CDC / extracción</w:t>
            </w:r>
          </w:p>
        </w:tc>
        <w:tc>
          <w:tcPr>
            <w:tcW w:type="dxa" w:w="3816"/>
            <w:vAlign w:val="center"/>
          </w:tcPr>
          <w:p>
            <w:pPr>
              <w:jc w:val="left"/>
            </w:pPr>
            <w:r/>
            <w:r>
              <w:rPr>
                <w:b w:val="0"/>
                <w:sz w:val="16"/>
              </w:rPr>
              <w:t>Capturar cambios de datos operativos</w:t>
            </w:r>
          </w:p>
        </w:tc>
        <w:tc>
          <w:tcPr>
            <w:tcW w:type="dxa" w:w="5112"/>
            <w:vAlign w:val="center"/>
          </w:tcPr>
          <w:p>
            <w:pPr>
              <w:jc w:val="left"/>
            </w:pPr>
            <w:r/>
            <w:r>
              <w:rPr>
                <w:b w:val="0"/>
                <w:sz w:val="16"/>
              </w:rPr>
              <w:t>Definir frecuencia y estrategia sin afectar producción.</w:t>
            </w:r>
          </w:p>
        </w:tc>
      </w:tr>
      <w:tr>
        <w:tc>
          <w:tcPr>
            <w:tcW w:type="dxa" w:w="2016"/>
            <w:vAlign w:val="center"/>
            <w:shd w:fill="F2F2F2"/>
          </w:tcPr>
          <w:p>
            <w:pPr>
              <w:jc w:val="left"/>
            </w:pPr>
            <w:r/>
            <w:r>
              <w:rPr>
                <w:b w:val="0"/>
                <w:sz w:val="16"/>
              </w:rPr>
              <w:t>ETL/ELT</w:t>
            </w:r>
          </w:p>
        </w:tc>
        <w:tc>
          <w:tcPr>
            <w:tcW w:type="dxa" w:w="3816"/>
            <w:vAlign w:val="center"/>
            <w:shd w:fill="F2F2F2"/>
          </w:tcPr>
          <w:p>
            <w:pPr>
              <w:jc w:val="left"/>
            </w:pPr>
            <w:r/>
            <w:r>
              <w:rPr>
                <w:b w:val="0"/>
                <w:sz w:val="16"/>
              </w:rPr>
              <w:t>Limpiar, transformar, historizar y enriquecer</w:t>
            </w:r>
          </w:p>
        </w:tc>
        <w:tc>
          <w:tcPr>
            <w:tcW w:type="dxa" w:w="5112"/>
            <w:vAlign w:val="center"/>
            <w:shd w:fill="F2F2F2"/>
          </w:tcPr>
          <w:p>
            <w:pPr>
              <w:jc w:val="left"/>
            </w:pPr>
            <w:r/>
            <w:r>
              <w:rPr>
                <w:b w:val="0"/>
                <w:sz w:val="16"/>
              </w:rPr>
              <w:t>Reglas reproducibles y auditables.</w:t>
            </w:r>
          </w:p>
        </w:tc>
      </w:tr>
      <w:tr>
        <w:tc>
          <w:tcPr>
            <w:tcW w:type="dxa" w:w="2016"/>
            <w:vAlign w:val="center"/>
          </w:tcPr>
          <w:p>
            <w:pPr>
              <w:jc w:val="left"/>
            </w:pPr>
            <w:r/>
            <w:r>
              <w:rPr>
                <w:b w:val="0"/>
                <w:sz w:val="16"/>
              </w:rPr>
              <w:t>Almacén/lakehouse</w:t>
            </w:r>
          </w:p>
        </w:tc>
        <w:tc>
          <w:tcPr>
            <w:tcW w:type="dxa" w:w="3816"/>
            <w:vAlign w:val="center"/>
          </w:tcPr>
          <w:p>
            <w:pPr>
              <w:jc w:val="left"/>
            </w:pPr>
            <w:r/>
            <w:r>
              <w:rPr>
                <w:b w:val="0"/>
                <w:sz w:val="16"/>
              </w:rPr>
              <w:t>Conservar histórico y soportar múltiples cargas analíticas</w:t>
            </w:r>
          </w:p>
        </w:tc>
        <w:tc>
          <w:tcPr>
            <w:tcW w:type="dxa" w:w="5112"/>
            <w:vAlign w:val="center"/>
          </w:tcPr>
          <w:p>
            <w:pPr>
              <w:jc w:val="left"/>
            </w:pPr>
            <w:r/>
            <w:r>
              <w:rPr>
                <w:b w:val="0"/>
                <w:sz w:val="16"/>
              </w:rPr>
              <w:t>Evaluar infraestructura institucional; evitar dependencia prematura de un proveedor.</w:t>
            </w:r>
          </w:p>
        </w:tc>
      </w:tr>
      <w:tr>
        <w:tc>
          <w:tcPr>
            <w:tcW w:type="dxa" w:w="2016"/>
            <w:vAlign w:val="center"/>
            <w:shd w:fill="F2F2F2"/>
          </w:tcPr>
          <w:p>
            <w:pPr>
              <w:jc w:val="left"/>
            </w:pPr>
            <w:r/>
            <w:r>
              <w:rPr>
                <w:b w:val="0"/>
                <w:sz w:val="16"/>
              </w:rPr>
              <w:t>Modelo dimensional</w:t>
            </w:r>
          </w:p>
        </w:tc>
        <w:tc>
          <w:tcPr>
            <w:tcW w:type="dxa" w:w="3816"/>
            <w:vAlign w:val="center"/>
            <w:shd w:fill="F2F2F2"/>
          </w:tcPr>
          <w:p>
            <w:pPr>
              <w:jc w:val="left"/>
            </w:pPr>
            <w:r/>
            <w:r>
              <w:rPr>
                <w:b w:val="0"/>
                <w:sz w:val="16"/>
              </w:rPr>
              <w:t>Hechos y dimensiones para análisis</w:t>
            </w:r>
          </w:p>
        </w:tc>
        <w:tc>
          <w:tcPr>
            <w:tcW w:type="dxa" w:w="5112"/>
            <w:vAlign w:val="center"/>
            <w:shd w:fill="F2F2F2"/>
          </w:tcPr>
          <w:p>
            <w:pPr>
              <w:jc w:val="left"/>
            </w:pPr>
            <w:r/>
            <w:r>
              <w:rPr>
                <w:b w:val="0"/>
                <w:sz w:val="16"/>
              </w:rPr>
              <w:t>Facilitar KPIs, tiempos y agregaciones.</w:t>
            </w:r>
          </w:p>
        </w:tc>
      </w:tr>
      <w:tr>
        <w:tc>
          <w:tcPr>
            <w:tcW w:type="dxa" w:w="2016"/>
            <w:vAlign w:val="center"/>
          </w:tcPr>
          <w:p>
            <w:pPr>
              <w:jc w:val="left"/>
            </w:pPr>
            <w:r/>
            <w:r>
              <w:rPr>
                <w:b w:val="0"/>
                <w:sz w:val="16"/>
              </w:rPr>
              <w:t>Capa semántica</w:t>
            </w:r>
          </w:p>
        </w:tc>
        <w:tc>
          <w:tcPr>
            <w:tcW w:type="dxa" w:w="3816"/>
            <w:vAlign w:val="center"/>
          </w:tcPr>
          <w:p>
            <w:pPr>
              <w:jc w:val="left"/>
            </w:pPr>
            <w:r/>
            <w:r>
              <w:rPr>
                <w:b w:val="0"/>
                <w:sz w:val="16"/>
              </w:rPr>
              <w:t>Definir métricas, relaciones, jerarquías y seguridad</w:t>
            </w:r>
          </w:p>
        </w:tc>
        <w:tc>
          <w:tcPr>
            <w:tcW w:type="dxa" w:w="5112"/>
            <w:vAlign w:val="center"/>
          </w:tcPr>
          <w:p>
            <w:pPr>
              <w:jc w:val="left"/>
            </w:pPr>
            <w:r/>
            <w:r>
              <w:rPr>
                <w:b w:val="0"/>
                <w:sz w:val="16"/>
              </w:rPr>
              <w:t>Fuente única de definiciones institucionales.</w:t>
            </w:r>
          </w:p>
        </w:tc>
      </w:tr>
      <w:tr>
        <w:tc>
          <w:tcPr>
            <w:tcW w:type="dxa" w:w="2016"/>
            <w:vAlign w:val="center"/>
            <w:shd w:fill="F2F2F2"/>
          </w:tcPr>
          <w:p>
            <w:pPr>
              <w:jc w:val="left"/>
            </w:pPr>
            <w:r/>
            <w:r>
              <w:rPr>
                <w:b w:val="0"/>
                <w:sz w:val="16"/>
              </w:rPr>
              <w:t>BI / visualización</w:t>
            </w:r>
          </w:p>
        </w:tc>
        <w:tc>
          <w:tcPr>
            <w:tcW w:type="dxa" w:w="3816"/>
            <w:vAlign w:val="center"/>
            <w:shd w:fill="F2F2F2"/>
          </w:tcPr>
          <w:p>
            <w:pPr>
              <w:jc w:val="left"/>
            </w:pPr>
            <w:r/>
            <w:r>
              <w:rPr>
                <w:b w:val="0"/>
                <w:sz w:val="16"/>
              </w:rPr>
              <w:t>Dashboards, reportes, exploración y alertas</w:t>
            </w:r>
          </w:p>
        </w:tc>
        <w:tc>
          <w:tcPr>
            <w:tcW w:type="dxa" w:w="5112"/>
            <w:vAlign w:val="center"/>
            <w:shd w:fill="F2F2F2"/>
          </w:tcPr>
          <w:p>
            <w:pPr>
              <w:jc w:val="left"/>
            </w:pPr>
            <w:r/>
            <w:r>
              <w:rPr>
                <w:b w:val="0"/>
                <w:sz w:val="16"/>
              </w:rPr>
              <w:t>Separar perfiles y datos según autorización.</w:t>
            </w:r>
          </w:p>
        </w:tc>
      </w:tr>
      <w:tr>
        <w:tc>
          <w:tcPr>
            <w:tcW w:type="dxa" w:w="2016"/>
            <w:vAlign w:val="center"/>
          </w:tcPr>
          <w:p>
            <w:pPr>
              <w:jc w:val="left"/>
            </w:pPr>
            <w:r/>
            <w:r>
              <w:rPr>
                <w:b w:val="0"/>
                <w:sz w:val="16"/>
              </w:rPr>
              <w:t>Catálogo/gobierno</w:t>
            </w:r>
          </w:p>
        </w:tc>
        <w:tc>
          <w:tcPr>
            <w:tcW w:type="dxa" w:w="3816"/>
            <w:vAlign w:val="center"/>
          </w:tcPr>
          <w:p>
            <w:pPr>
              <w:jc w:val="left"/>
            </w:pPr>
            <w:r/>
            <w:r>
              <w:rPr>
                <w:b w:val="0"/>
                <w:sz w:val="16"/>
              </w:rPr>
              <w:t>Metadatos, linaje, propietario, clasificación y calidad</w:t>
            </w:r>
          </w:p>
        </w:tc>
        <w:tc>
          <w:tcPr>
            <w:tcW w:type="dxa" w:w="5112"/>
            <w:vAlign w:val="center"/>
          </w:tcPr>
          <w:p>
            <w:pPr>
              <w:jc w:val="left"/>
            </w:pPr>
            <w:r/>
            <w:r>
              <w:rPr>
                <w:b w:val="0"/>
                <w:sz w:val="16"/>
              </w:rPr>
              <w:t>Obligatorio para información institucional.</w:t>
            </w:r>
          </w:p>
        </w:tc>
      </w:tr>
    </w:tbl>
    <w:p/>
    <w:p>
      <w:pPr>
        <w:pStyle w:val="Heading2"/>
      </w:pPr>
      <w:r>
        <w:t>22.5 Modelo de hechos analíticos propuesto</w:t>
      </w:r>
    </w:p>
    <w:p>
      <w:pPr>
        <w:pStyle w:val="ListBullet"/>
      </w:pPr>
      <w:r>
        <w:t>HECHO_TRAMITE: una fila por evento o instancia relevante del trámite, con fechas de recepción, prevención, subsanación, resolución y cierre.</w:t>
      </w:r>
    </w:p>
    <w:p>
      <w:pPr>
        <w:pStyle w:val="ListBullet"/>
      </w:pPr>
      <w:r>
        <w:t>HECHO_ESTADO: historial de transiciones para medir tiempo en cada estado.</w:t>
      </w:r>
    </w:p>
    <w:p>
      <w:pPr>
        <w:pStyle w:val="ListBullet"/>
      </w:pPr>
      <w:r>
        <w:t>HECHO_NOTIFICACION: eventos de comunicación, canal, fecha, acuse y resultado.</w:t>
      </w:r>
    </w:p>
    <w:p>
      <w:pPr>
        <w:pStyle w:val="ListBullet"/>
      </w:pPr>
      <w:r>
        <w:t>HECHO_DOCUMENTO: generación, versión, firma, formalización, rechazo y descarga, sujeto a permisos.</w:t>
      </w:r>
    </w:p>
    <w:p>
      <w:pPr>
        <w:pStyle w:val="ListBullet"/>
      </w:pPr>
      <w:r>
        <w:t>HECHO_AUDITORIA: auditorías, materias, hallazgos, no conformidades y resultados.</w:t>
      </w:r>
    </w:p>
    <w:p>
      <w:pPr>
        <w:pStyle w:val="ListBullet"/>
      </w:pPr>
      <w:r>
        <w:t>HECHO_INDICADOR: valor, periodo, unidad, meta, fuente y tendencia.</w:t>
      </w:r>
    </w:p>
    <w:p>
      <w:pPr>
        <w:pStyle w:val="ListBullet"/>
      </w:pPr>
      <w:r>
        <w:t>HECHO_INTEGRACION: llamada a servicio, fuente, latencia, resultado, error y reintento.</w:t>
      </w:r>
    </w:p>
    <w:p>
      <w:pPr>
        <w:pStyle w:val="ListBullet"/>
      </w:pPr>
      <w:r>
        <w:t>HECHO_CONCERTACION: obligaciones, hitos, vigencia y avance.</w:t>
      </w:r>
    </w:p>
    <w:p>
      <w:pPr>
        <w:pStyle w:val="ListBullet"/>
      </w:pPr>
      <w:r>
        <w:t>Dimensiones comunes: TIEMPO, EMPRESA, INSTALACION, AUDITOR, UNIDAD_ADMINISTRATIVA, TRAMITE, MATERIA, UBICACION, ESTADO, USUARIO y FUENTE.</w:t>
      </w:r>
    </w:p>
    <w:p>
      <w:pPr>
        <w:pStyle w:val="Heading2"/>
      </w:pPr>
      <w:r>
        <w:t>22.6 Calidad y gobierno del dato</w:t>
      </w:r>
    </w:p>
    <w:p>
      <w:pPr>
        <w:pStyle w:val="ListBullet"/>
      </w:pPr>
      <w:r>
        <w:t>Definir propietario funcional (data owner) y custodio técnico para cada dominio de información.</w:t>
      </w:r>
    </w:p>
    <w:p>
      <w:pPr>
        <w:pStyle w:val="ListBullet"/>
      </w:pPr>
      <w:r>
        <w:t>Establecer reglas de calidad: unicidad, integridad referencial, vigencia, completitud, consistencia y valores permitidos.</w:t>
      </w:r>
    </w:p>
    <w:p>
      <w:pPr>
        <w:pStyle w:val="ListBullet"/>
      </w:pPr>
      <w:r>
        <w:t>Conservar linaje: fuente → transformación → métrica → visualización.</w:t>
      </w:r>
    </w:p>
    <w:p>
      <w:pPr>
        <w:pStyle w:val="ListBullet"/>
      </w:pPr>
      <w:r>
        <w:t>Certificar indicadores institucionales antes de publicarlos como KPI oficiales.</w:t>
      </w:r>
    </w:p>
    <w:p>
      <w:pPr>
        <w:pStyle w:val="ListBullet"/>
      </w:pPr>
      <w:r>
        <w:t>Aplicar seguridad a nivel de fila/columna o equivalente cuando un usuario no deba ver todos los expedientes.</w:t>
      </w:r>
    </w:p>
    <w:p>
      <w:pPr>
        <w:pStyle w:val="ListBullet"/>
      </w:pPr>
      <w:r>
        <w:t>Registrar exportaciones y accesos sensibles para auditoría.</w:t>
      </w:r>
    </w:p>
    <w:p>
      <w:pPr>
        <w:pStyle w:val="ListBullet"/>
      </w:pPr>
      <w:r>
        <w:t>Separar información de prueba de información real y evitar que datos confidenciales aparezcan accidentalmente en ambientes no productivos.</w:t>
      </w:r>
    </w:p>
    <w:p>
      <w:r>
        <w:br w:type="page"/>
      </w:r>
    </w:p>
    <w:p>
      <w:pPr>
        <w:pStyle w:val="Heading1"/>
      </w:pPr>
      <w:r>
        <w:t>23. Opciones de herramientas BI y criterios de selección</w:t>
      </w:r>
    </w:p>
    <w:p>
      <w:r>
        <w:t>La herramienta BI debe seleccionarse después de definir arquitectura de datos, seguridad, licenciamiento, infraestructura, usuarios y capacidades de autoservicio. No se recomienda seleccionar primero la herramienta y después adaptar el modelo de datos.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shd w:fill="404040"/>
          </w:tcPr>
          <w:p>
            <w:pPr>
              <w:jc w:val="left"/>
            </w:pPr>
            <w:r/>
            <w:r>
              <w:rPr>
                <w:b/>
                <w:color w:val="FFFFFF"/>
                <w:sz w:val="15"/>
              </w:rPr>
              <w:t>Opción</w:t>
            </w:r>
          </w:p>
        </w:tc>
        <w:tc>
          <w:tcPr>
            <w:tcW w:type="dxa" w:w="3528"/>
            <w:vAlign w:val="center"/>
            <w:shd w:fill="404040"/>
          </w:tcPr>
          <w:p>
            <w:pPr>
              <w:jc w:val="left"/>
            </w:pPr>
            <w:r/>
            <w:r>
              <w:rPr>
                <w:b/>
                <w:color w:val="FFFFFF"/>
                <w:sz w:val="15"/>
              </w:rPr>
              <w:t>Fortalezas relevantes</w:t>
            </w:r>
          </w:p>
        </w:tc>
        <w:tc>
          <w:tcPr>
            <w:tcW w:type="dxa" w:w="2952"/>
            <w:vAlign w:val="center"/>
            <w:shd w:fill="404040"/>
          </w:tcPr>
          <w:p>
            <w:pPr>
              <w:jc w:val="left"/>
            </w:pPr>
            <w:r/>
            <w:r>
              <w:rPr>
                <w:b/>
                <w:color w:val="FFFFFF"/>
                <w:sz w:val="15"/>
              </w:rPr>
              <w:t>Encaje potencial</w:t>
            </w:r>
          </w:p>
        </w:tc>
        <w:tc>
          <w:tcPr>
            <w:tcW w:type="dxa" w:w="1944"/>
            <w:vAlign w:val="center"/>
            <w:shd w:fill="404040"/>
          </w:tcPr>
          <w:p>
            <w:pPr>
              <w:jc w:val="left"/>
            </w:pPr>
            <w:r/>
            <w:r>
              <w:rPr>
                <w:b/>
                <w:color w:val="FFFFFF"/>
                <w:sz w:val="15"/>
              </w:rPr>
              <w:t>Consideraciones</w:t>
            </w:r>
          </w:p>
        </w:tc>
      </w:tr>
      <w:tr>
        <w:tc>
          <w:tcPr>
            <w:tcW w:type="dxa" w:w="2232"/>
            <w:vAlign w:val="center"/>
            <w:shd w:fill="F2F2F2"/>
          </w:tcPr>
          <w:p>
            <w:pPr>
              <w:jc w:val="left"/>
            </w:pPr>
            <w:r/>
            <w:r>
              <w:rPr>
                <w:b w:val="0"/>
                <w:sz w:val="15"/>
              </w:rPr>
              <w:t>Microsoft Power BI / Fabric</w:t>
            </w:r>
          </w:p>
        </w:tc>
        <w:tc>
          <w:tcPr>
            <w:tcW w:type="dxa" w:w="3528"/>
            <w:vAlign w:val="center"/>
            <w:shd w:fill="F2F2F2"/>
          </w:tcPr>
          <w:p>
            <w:pPr>
              <w:jc w:val="left"/>
            </w:pPr>
            <w:r/>
            <w:r>
              <w:rPr>
                <w:b w:val="0"/>
                <w:sz w:val="15"/>
              </w:rPr>
              <w:t>Integración estrecha con ecosistema Microsoft, modelos semánticos, Direct Lake, visualización y gobierno integrado en el ecosistema Fabric.</w:t>
            </w:r>
          </w:p>
        </w:tc>
        <w:tc>
          <w:tcPr>
            <w:tcW w:type="dxa" w:w="2952"/>
            <w:vAlign w:val="center"/>
            <w:shd w:fill="F2F2F2"/>
          </w:tcPr>
          <w:p>
            <w:pPr>
              <w:jc w:val="left"/>
            </w:pPr>
            <w:r/>
            <w:r>
              <w:rPr>
                <w:b w:val="0"/>
                <w:sz w:val="15"/>
              </w:rPr>
              <w:t>Alta si PROFEPA prioriza ecosistema Microsoft y gobierno integrado.</w:t>
            </w:r>
          </w:p>
        </w:tc>
        <w:tc>
          <w:tcPr>
            <w:tcW w:type="dxa" w:w="1944"/>
            <w:vAlign w:val="center"/>
            <w:shd w:fill="F2F2F2"/>
          </w:tcPr>
          <w:p>
            <w:pPr>
              <w:jc w:val="left"/>
            </w:pPr>
            <w:r/>
            <w:r>
              <w:rPr>
                <w:b w:val="0"/>
                <w:sz w:val="15"/>
              </w:rPr>
              <w:t>Licenciamiento, dependencia de ecosistema y diseño de arquitectura Fabric deben evaluarse.</w:t>
            </w:r>
          </w:p>
        </w:tc>
      </w:tr>
      <w:tr>
        <w:tc>
          <w:tcPr>
            <w:tcW w:type="dxa" w:w="2232"/>
            <w:vAlign w:val="center"/>
          </w:tcPr>
          <w:p>
            <w:pPr>
              <w:jc w:val="left"/>
            </w:pPr>
            <w:r/>
            <w:r>
              <w:rPr>
                <w:b w:val="0"/>
                <w:sz w:val="15"/>
              </w:rPr>
              <w:t>Tableau</w:t>
            </w:r>
          </w:p>
        </w:tc>
        <w:tc>
          <w:tcPr>
            <w:tcW w:type="dxa" w:w="3528"/>
            <w:vAlign w:val="center"/>
          </w:tcPr>
          <w:p>
            <w:pPr>
              <w:jc w:val="left"/>
            </w:pPr>
            <w:r/>
            <w:r>
              <w:rPr>
                <w:b w:val="0"/>
                <w:sz w:val="15"/>
              </w:rPr>
              <w:t>Visualización y exploración avanzada; capa semántica/mediciones y capacidades analíticas asistidas.</w:t>
            </w:r>
          </w:p>
        </w:tc>
        <w:tc>
          <w:tcPr>
            <w:tcW w:type="dxa" w:w="2952"/>
            <w:vAlign w:val="center"/>
          </w:tcPr>
          <w:p>
            <w:pPr>
              <w:jc w:val="left"/>
            </w:pPr>
            <w:r/>
            <w:r>
              <w:rPr>
                <w:b w:val="0"/>
                <w:sz w:val="15"/>
              </w:rPr>
              <w:t>Alta si se prioriza visualización y exploración sofisticada.</w:t>
            </w:r>
          </w:p>
        </w:tc>
        <w:tc>
          <w:tcPr>
            <w:tcW w:type="dxa" w:w="1944"/>
            <w:vAlign w:val="center"/>
          </w:tcPr>
          <w:p>
            <w:pPr>
              <w:jc w:val="left"/>
            </w:pPr>
            <w:r/>
            <w:r>
              <w:rPr>
                <w:b w:val="0"/>
                <w:sz w:val="15"/>
              </w:rPr>
              <w:t>Costo y arquitectura de plataforma deben evaluarse.</w:t>
            </w:r>
          </w:p>
        </w:tc>
      </w:tr>
      <w:tr>
        <w:tc>
          <w:tcPr>
            <w:tcW w:type="dxa" w:w="2232"/>
            <w:vAlign w:val="center"/>
            <w:shd w:fill="F2F2F2"/>
          </w:tcPr>
          <w:p>
            <w:pPr>
              <w:jc w:val="left"/>
            </w:pPr>
            <w:r/>
            <w:r>
              <w:rPr>
                <w:b w:val="0"/>
                <w:sz w:val="15"/>
              </w:rPr>
              <w:t>Qlik</w:t>
            </w:r>
          </w:p>
        </w:tc>
        <w:tc>
          <w:tcPr>
            <w:tcW w:type="dxa" w:w="3528"/>
            <w:vAlign w:val="center"/>
            <w:shd w:fill="F2F2F2"/>
          </w:tcPr>
          <w:p>
            <w:pPr>
              <w:jc w:val="left"/>
            </w:pPr>
            <w:r/>
            <w:r>
              <w:rPr>
                <w:b w:val="0"/>
                <w:sz w:val="15"/>
              </w:rPr>
              <w:t>Motor asociativo, exploración, dashboards y analítica; opciones cloud y arquitectura basada en servicios.</w:t>
            </w:r>
          </w:p>
        </w:tc>
        <w:tc>
          <w:tcPr>
            <w:tcW w:type="dxa" w:w="2952"/>
            <w:vAlign w:val="center"/>
            <w:shd w:fill="F2F2F2"/>
          </w:tcPr>
          <w:p>
            <w:pPr>
              <w:jc w:val="left"/>
            </w:pPr>
            <w:r/>
            <w:r>
              <w:rPr>
                <w:b w:val="0"/>
                <w:sz w:val="15"/>
              </w:rPr>
              <w:t>Alta para exploración transversal y escenarios de múltiples fuentes.</w:t>
            </w:r>
          </w:p>
        </w:tc>
        <w:tc>
          <w:tcPr>
            <w:tcW w:type="dxa" w:w="1944"/>
            <w:vAlign w:val="center"/>
            <w:shd w:fill="F2F2F2"/>
          </w:tcPr>
          <w:p>
            <w:pPr>
              <w:jc w:val="left"/>
            </w:pPr>
            <w:r/>
            <w:r>
              <w:rPr>
                <w:b w:val="0"/>
                <w:sz w:val="15"/>
              </w:rPr>
              <w:t>Gobierno, licencias y capacidades disponibles deben validarse.</w:t>
            </w:r>
          </w:p>
        </w:tc>
      </w:tr>
      <w:tr>
        <w:tc>
          <w:tcPr>
            <w:tcW w:type="dxa" w:w="2232"/>
            <w:vAlign w:val="center"/>
          </w:tcPr>
          <w:p>
            <w:pPr>
              <w:jc w:val="left"/>
            </w:pPr>
            <w:r/>
            <w:r>
              <w:rPr>
                <w:b w:val="0"/>
                <w:sz w:val="15"/>
              </w:rPr>
              <w:t>Looker</w:t>
            </w:r>
          </w:p>
        </w:tc>
        <w:tc>
          <w:tcPr>
            <w:tcW w:type="dxa" w:w="3528"/>
            <w:vAlign w:val="center"/>
          </w:tcPr>
          <w:p>
            <w:pPr>
              <w:jc w:val="left"/>
            </w:pPr>
            <w:r/>
            <w:r>
              <w:rPr>
                <w:b w:val="0"/>
                <w:sz w:val="15"/>
              </w:rPr>
              <w:t>Capa semántica gobernada con LookML, fuerte enfoque en métricas y reutilización.</w:t>
            </w:r>
          </w:p>
        </w:tc>
        <w:tc>
          <w:tcPr>
            <w:tcW w:type="dxa" w:w="2952"/>
            <w:vAlign w:val="center"/>
          </w:tcPr>
          <w:p>
            <w:pPr>
              <w:jc w:val="left"/>
            </w:pPr>
            <w:r/>
            <w:r>
              <w:rPr>
                <w:b w:val="0"/>
                <w:sz w:val="15"/>
              </w:rPr>
              <w:t>Alta si se prioriza semántica central y ecosistema Google Cloud.</w:t>
            </w:r>
          </w:p>
        </w:tc>
        <w:tc>
          <w:tcPr>
            <w:tcW w:type="dxa" w:w="1944"/>
            <w:vAlign w:val="center"/>
          </w:tcPr>
          <w:p>
            <w:pPr>
              <w:jc w:val="left"/>
            </w:pPr>
            <w:r/>
            <w:r>
              <w:rPr>
                <w:b w:val="0"/>
                <w:sz w:val="15"/>
              </w:rPr>
              <w:t>Requiere evaluar encaje con infraestructura institucional.</w:t>
            </w:r>
          </w:p>
        </w:tc>
      </w:tr>
      <w:tr>
        <w:tc>
          <w:tcPr>
            <w:tcW w:type="dxa" w:w="2232"/>
            <w:vAlign w:val="center"/>
            <w:shd w:fill="F2F2F2"/>
          </w:tcPr>
          <w:p>
            <w:pPr>
              <w:jc w:val="left"/>
            </w:pPr>
            <w:r/>
            <w:r>
              <w:rPr>
                <w:b w:val="0"/>
                <w:sz w:val="15"/>
              </w:rPr>
              <w:t>Apache Superset</w:t>
            </w:r>
          </w:p>
        </w:tc>
        <w:tc>
          <w:tcPr>
            <w:tcW w:type="dxa" w:w="3528"/>
            <w:vAlign w:val="center"/>
            <w:shd w:fill="F2F2F2"/>
          </w:tcPr>
          <w:p>
            <w:pPr>
              <w:jc w:val="left"/>
            </w:pPr>
            <w:r/>
            <w:r>
              <w:rPr>
                <w:b w:val="0"/>
                <w:sz w:val="15"/>
              </w:rPr>
              <w:t>Open source, SQL, dashboards y exploración sobre bases SQL existentes.</w:t>
            </w:r>
          </w:p>
        </w:tc>
        <w:tc>
          <w:tcPr>
            <w:tcW w:type="dxa" w:w="2952"/>
            <w:vAlign w:val="center"/>
            <w:shd w:fill="F2F2F2"/>
          </w:tcPr>
          <w:p>
            <w:pPr>
              <w:jc w:val="left"/>
            </w:pPr>
            <w:r/>
            <w:r>
              <w:rPr>
                <w:b w:val="0"/>
                <w:sz w:val="15"/>
              </w:rPr>
              <w:t>Interesante para estrategia open source / self-hosted.</w:t>
            </w:r>
          </w:p>
        </w:tc>
        <w:tc>
          <w:tcPr>
            <w:tcW w:type="dxa" w:w="1944"/>
            <w:vAlign w:val="center"/>
            <w:shd w:fill="F2F2F2"/>
          </w:tcPr>
          <w:p>
            <w:pPr>
              <w:jc w:val="left"/>
            </w:pPr>
            <w:r/>
            <w:r>
              <w:rPr>
                <w:b w:val="0"/>
                <w:sz w:val="15"/>
              </w:rPr>
              <w:t>Mayor responsabilidad institucional en operación, gobierno y soporte.</w:t>
            </w:r>
          </w:p>
        </w:tc>
      </w:tr>
      <w:tr>
        <w:tc>
          <w:tcPr>
            <w:tcW w:type="dxa" w:w="2232"/>
            <w:vAlign w:val="center"/>
          </w:tcPr>
          <w:p>
            <w:pPr>
              <w:jc w:val="left"/>
            </w:pPr>
            <w:r/>
            <w:r>
              <w:rPr>
                <w:b w:val="0"/>
                <w:sz w:val="15"/>
              </w:rPr>
              <w:t>Metabase</w:t>
            </w:r>
          </w:p>
        </w:tc>
        <w:tc>
          <w:tcPr>
            <w:tcW w:type="dxa" w:w="3528"/>
            <w:vAlign w:val="center"/>
          </w:tcPr>
          <w:p>
            <w:pPr>
              <w:jc w:val="left"/>
            </w:pPr>
            <w:r/>
            <w:r>
              <w:rPr>
                <w:b w:val="0"/>
                <w:sz w:val="15"/>
              </w:rPr>
              <w:t>Open source y comercial; autoservicio, dashboards, consultas, alertas y seguridad por filas/columnas.</w:t>
            </w:r>
          </w:p>
        </w:tc>
        <w:tc>
          <w:tcPr>
            <w:tcW w:type="dxa" w:w="2952"/>
            <w:vAlign w:val="center"/>
          </w:tcPr>
          <w:p>
            <w:pPr>
              <w:jc w:val="left"/>
            </w:pPr>
            <w:r/>
            <w:r>
              <w:rPr>
                <w:b w:val="0"/>
                <w:sz w:val="15"/>
              </w:rPr>
              <w:t>Interesante para rapidez y autoservicio controlado.</w:t>
            </w:r>
          </w:p>
        </w:tc>
        <w:tc>
          <w:tcPr>
            <w:tcW w:type="dxa" w:w="1944"/>
            <w:vAlign w:val="center"/>
          </w:tcPr>
          <w:p>
            <w:pPr>
              <w:jc w:val="left"/>
            </w:pPr>
            <w:r/>
            <w:r>
              <w:rPr>
                <w:b w:val="0"/>
                <w:sz w:val="15"/>
              </w:rPr>
              <w:t>Evaluar profundidad analítica y gobierno frente a necesidades institucionales complejas.</w:t>
            </w:r>
          </w:p>
        </w:tc>
      </w:tr>
    </w:tbl>
    <w:p/>
    <w:p>
      <w:pPr>
        <w:pStyle w:val="Heading2"/>
      </w:pPr>
      <w:r>
        <w:t>23.1 Matriz de criterios para una evaluación formal</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404040"/>
          </w:tcPr>
          <w:p>
            <w:pPr>
              <w:jc w:val="left"/>
            </w:pPr>
            <w:r/>
            <w:r>
              <w:rPr>
                <w:b/>
                <w:color w:val="FFFFFF"/>
                <w:sz w:val="16"/>
              </w:rPr>
              <w:t>Criterio</w:t>
            </w:r>
          </w:p>
        </w:tc>
        <w:tc>
          <w:tcPr>
            <w:tcW w:type="dxa" w:w="6840"/>
            <w:vAlign w:val="center"/>
            <w:shd w:fill="404040"/>
          </w:tcPr>
          <w:p>
            <w:pPr>
              <w:jc w:val="left"/>
            </w:pPr>
            <w:r/>
            <w:r>
              <w:rPr>
                <w:b/>
                <w:color w:val="FFFFFF"/>
                <w:sz w:val="16"/>
              </w:rPr>
              <w:t>Qué evaluar</w:t>
            </w:r>
          </w:p>
        </w:tc>
        <w:tc>
          <w:tcPr>
            <w:tcW w:type="dxa" w:w="1728"/>
            <w:vAlign w:val="center"/>
            <w:shd w:fill="404040"/>
          </w:tcPr>
          <w:p>
            <w:pPr>
              <w:jc w:val="left"/>
            </w:pPr>
            <w:r/>
            <w:r>
              <w:rPr>
                <w:b/>
                <w:color w:val="FFFFFF"/>
                <w:sz w:val="16"/>
              </w:rPr>
              <w:t>Peso sugerido</w:t>
            </w:r>
          </w:p>
        </w:tc>
      </w:tr>
      <w:tr>
        <w:tc>
          <w:tcPr>
            <w:tcW w:type="dxa" w:w="2088"/>
            <w:vAlign w:val="center"/>
            <w:shd w:fill="F2F2F2"/>
          </w:tcPr>
          <w:p>
            <w:pPr>
              <w:jc w:val="left"/>
            </w:pPr>
            <w:r/>
            <w:r>
              <w:rPr>
                <w:b w:val="0"/>
                <w:sz w:val="16"/>
              </w:rPr>
              <w:t>Seguridad</w:t>
            </w:r>
          </w:p>
        </w:tc>
        <w:tc>
          <w:tcPr>
            <w:tcW w:type="dxa" w:w="6840"/>
            <w:vAlign w:val="center"/>
            <w:shd w:fill="F2F2F2"/>
          </w:tcPr>
          <w:p>
            <w:pPr>
              <w:jc w:val="left"/>
            </w:pPr>
            <w:r/>
            <w:r>
              <w:rPr>
                <w:b w:val="0"/>
                <w:sz w:val="16"/>
              </w:rPr>
              <w:t>SSO, RBAC, RLS/CLS, cifrado, auditoría, exportaciones, segregación.</w:t>
            </w:r>
          </w:p>
        </w:tc>
        <w:tc>
          <w:tcPr>
            <w:tcW w:type="dxa" w:w="1728"/>
            <w:vAlign w:val="center"/>
            <w:shd w:fill="F2F2F2"/>
          </w:tcPr>
          <w:p>
            <w:pPr>
              <w:jc w:val="left"/>
            </w:pPr>
            <w:r/>
            <w:r>
              <w:rPr>
                <w:b w:val="0"/>
                <w:sz w:val="16"/>
              </w:rPr>
              <w:t>20%</w:t>
            </w:r>
          </w:p>
        </w:tc>
      </w:tr>
      <w:tr>
        <w:tc>
          <w:tcPr>
            <w:tcW w:type="dxa" w:w="2088"/>
            <w:vAlign w:val="center"/>
          </w:tcPr>
          <w:p>
            <w:pPr>
              <w:jc w:val="left"/>
            </w:pPr>
            <w:r/>
            <w:r>
              <w:rPr>
                <w:b w:val="0"/>
                <w:sz w:val="16"/>
              </w:rPr>
              <w:t>Gobierno de datos</w:t>
            </w:r>
          </w:p>
        </w:tc>
        <w:tc>
          <w:tcPr>
            <w:tcW w:type="dxa" w:w="6840"/>
            <w:vAlign w:val="center"/>
          </w:tcPr>
          <w:p>
            <w:pPr>
              <w:jc w:val="left"/>
            </w:pPr>
            <w:r/>
            <w:r>
              <w:rPr>
                <w:b w:val="0"/>
                <w:sz w:val="16"/>
              </w:rPr>
              <w:t>Catálogo, linaje, métricas certificadas, control de modelos.</w:t>
            </w:r>
          </w:p>
        </w:tc>
        <w:tc>
          <w:tcPr>
            <w:tcW w:type="dxa" w:w="1728"/>
            <w:vAlign w:val="center"/>
          </w:tcPr>
          <w:p>
            <w:pPr>
              <w:jc w:val="left"/>
            </w:pPr>
            <w:r/>
            <w:r>
              <w:rPr>
                <w:b w:val="0"/>
                <w:sz w:val="16"/>
              </w:rPr>
              <w:t>15%</w:t>
            </w:r>
          </w:p>
        </w:tc>
      </w:tr>
      <w:tr>
        <w:tc>
          <w:tcPr>
            <w:tcW w:type="dxa" w:w="2088"/>
            <w:vAlign w:val="center"/>
            <w:shd w:fill="F2F2F2"/>
          </w:tcPr>
          <w:p>
            <w:pPr>
              <w:jc w:val="left"/>
            </w:pPr>
            <w:r/>
            <w:r>
              <w:rPr>
                <w:b w:val="0"/>
                <w:sz w:val="16"/>
              </w:rPr>
              <w:t>Integración</w:t>
            </w:r>
          </w:p>
        </w:tc>
        <w:tc>
          <w:tcPr>
            <w:tcW w:type="dxa" w:w="6840"/>
            <w:vAlign w:val="center"/>
            <w:shd w:fill="F2F2F2"/>
          </w:tcPr>
          <w:p>
            <w:pPr>
              <w:jc w:val="left"/>
            </w:pPr>
            <w:r/>
            <w:r>
              <w:rPr>
                <w:b w:val="0"/>
                <w:sz w:val="16"/>
              </w:rPr>
              <w:t>BD, APIs, archivos, servicios, lakehouse/warehouse, fuentes externas.</w:t>
            </w:r>
          </w:p>
        </w:tc>
        <w:tc>
          <w:tcPr>
            <w:tcW w:type="dxa" w:w="1728"/>
            <w:vAlign w:val="center"/>
            <w:shd w:fill="F2F2F2"/>
          </w:tcPr>
          <w:p>
            <w:pPr>
              <w:jc w:val="left"/>
            </w:pPr>
            <w:r/>
            <w:r>
              <w:rPr>
                <w:b w:val="0"/>
                <w:sz w:val="16"/>
              </w:rPr>
              <w:t>15%</w:t>
            </w:r>
          </w:p>
        </w:tc>
      </w:tr>
      <w:tr>
        <w:tc>
          <w:tcPr>
            <w:tcW w:type="dxa" w:w="2088"/>
            <w:vAlign w:val="center"/>
          </w:tcPr>
          <w:p>
            <w:pPr>
              <w:jc w:val="left"/>
            </w:pPr>
            <w:r/>
            <w:r>
              <w:rPr>
                <w:b w:val="0"/>
                <w:sz w:val="16"/>
              </w:rPr>
              <w:t>Desempeño</w:t>
            </w:r>
          </w:p>
        </w:tc>
        <w:tc>
          <w:tcPr>
            <w:tcW w:type="dxa" w:w="6840"/>
            <w:vAlign w:val="center"/>
          </w:tcPr>
          <w:p>
            <w:pPr>
              <w:jc w:val="left"/>
            </w:pPr>
            <w:r/>
            <w:r>
              <w:rPr>
                <w:b w:val="0"/>
                <w:sz w:val="16"/>
              </w:rPr>
              <w:t>Volumen, concurrencia, caché, consultas directas, refrescos.</w:t>
            </w:r>
          </w:p>
        </w:tc>
        <w:tc>
          <w:tcPr>
            <w:tcW w:type="dxa" w:w="1728"/>
            <w:vAlign w:val="center"/>
          </w:tcPr>
          <w:p>
            <w:pPr>
              <w:jc w:val="left"/>
            </w:pPr>
            <w:r/>
            <w:r>
              <w:rPr>
                <w:b w:val="0"/>
                <w:sz w:val="16"/>
              </w:rPr>
              <w:t>10%</w:t>
            </w:r>
          </w:p>
        </w:tc>
      </w:tr>
      <w:tr>
        <w:tc>
          <w:tcPr>
            <w:tcW w:type="dxa" w:w="2088"/>
            <w:vAlign w:val="center"/>
            <w:shd w:fill="F2F2F2"/>
          </w:tcPr>
          <w:p>
            <w:pPr>
              <w:jc w:val="left"/>
            </w:pPr>
            <w:r/>
            <w:r>
              <w:rPr>
                <w:b w:val="0"/>
                <w:sz w:val="16"/>
              </w:rPr>
              <w:t>Autoservicio</w:t>
            </w:r>
          </w:p>
        </w:tc>
        <w:tc>
          <w:tcPr>
            <w:tcW w:type="dxa" w:w="6840"/>
            <w:vAlign w:val="center"/>
            <w:shd w:fill="F2F2F2"/>
          </w:tcPr>
          <w:p>
            <w:pPr>
              <w:jc w:val="left"/>
            </w:pPr>
            <w:r/>
            <w:r>
              <w:rPr>
                <w:b w:val="0"/>
                <w:sz w:val="16"/>
              </w:rPr>
              <w:t>Exploración, filtros, drill-down, SQL, modelos reutilizables.</w:t>
            </w:r>
          </w:p>
        </w:tc>
        <w:tc>
          <w:tcPr>
            <w:tcW w:type="dxa" w:w="1728"/>
            <w:vAlign w:val="center"/>
            <w:shd w:fill="F2F2F2"/>
          </w:tcPr>
          <w:p>
            <w:pPr>
              <w:jc w:val="left"/>
            </w:pPr>
            <w:r/>
            <w:r>
              <w:rPr>
                <w:b w:val="0"/>
                <w:sz w:val="16"/>
              </w:rPr>
              <w:t>10%</w:t>
            </w:r>
          </w:p>
        </w:tc>
      </w:tr>
      <w:tr>
        <w:tc>
          <w:tcPr>
            <w:tcW w:type="dxa" w:w="2088"/>
            <w:vAlign w:val="center"/>
          </w:tcPr>
          <w:p>
            <w:pPr>
              <w:jc w:val="left"/>
            </w:pPr>
            <w:r/>
            <w:r>
              <w:rPr>
                <w:b w:val="0"/>
                <w:sz w:val="16"/>
              </w:rPr>
              <w:t>Visualización</w:t>
            </w:r>
          </w:p>
        </w:tc>
        <w:tc>
          <w:tcPr>
            <w:tcW w:type="dxa" w:w="6840"/>
            <w:vAlign w:val="center"/>
          </w:tcPr>
          <w:p>
            <w:pPr>
              <w:jc w:val="left"/>
            </w:pPr>
            <w:r/>
            <w:r>
              <w:rPr>
                <w:b w:val="0"/>
                <w:sz w:val="16"/>
              </w:rPr>
              <w:t>Dashboards ejecutivos, geoespacial, accesibilidad, narrativa.</w:t>
            </w:r>
          </w:p>
        </w:tc>
        <w:tc>
          <w:tcPr>
            <w:tcW w:type="dxa" w:w="1728"/>
            <w:vAlign w:val="center"/>
          </w:tcPr>
          <w:p>
            <w:pPr>
              <w:jc w:val="left"/>
            </w:pPr>
            <w:r/>
            <w:r>
              <w:rPr>
                <w:b w:val="0"/>
                <w:sz w:val="16"/>
              </w:rPr>
              <w:t>10%</w:t>
            </w:r>
          </w:p>
        </w:tc>
      </w:tr>
      <w:tr>
        <w:tc>
          <w:tcPr>
            <w:tcW w:type="dxa" w:w="2088"/>
            <w:vAlign w:val="center"/>
            <w:shd w:fill="F2F2F2"/>
          </w:tcPr>
          <w:p>
            <w:pPr>
              <w:jc w:val="left"/>
            </w:pPr>
            <w:r/>
            <w:r>
              <w:rPr>
                <w:b w:val="0"/>
                <w:sz w:val="16"/>
              </w:rPr>
              <w:t>Costo total</w:t>
            </w:r>
          </w:p>
        </w:tc>
        <w:tc>
          <w:tcPr>
            <w:tcW w:type="dxa" w:w="6840"/>
            <w:vAlign w:val="center"/>
            <w:shd w:fill="F2F2F2"/>
          </w:tcPr>
          <w:p>
            <w:pPr>
              <w:jc w:val="left"/>
            </w:pPr>
            <w:r/>
            <w:r>
              <w:rPr>
                <w:b w:val="0"/>
                <w:sz w:val="16"/>
              </w:rPr>
              <w:t>Licencias, infraestructura, operación, soporte y capacitación.</w:t>
            </w:r>
          </w:p>
        </w:tc>
        <w:tc>
          <w:tcPr>
            <w:tcW w:type="dxa" w:w="1728"/>
            <w:vAlign w:val="center"/>
            <w:shd w:fill="F2F2F2"/>
          </w:tcPr>
          <w:p>
            <w:pPr>
              <w:jc w:val="left"/>
            </w:pPr>
            <w:r/>
            <w:r>
              <w:rPr>
                <w:b w:val="0"/>
                <w:sz w:val="16"/>
              </w:rPr>
              <w:t>10%</w:t>
            </w:r>
          </w:p>
        </w:tc>
      </w:tr>
      <w:tr>
        <w:tc>
          <w:tcPr>
            <w:tcW w:type="dxa" w:w="2088"/>
            <w:vAlign w:val="center"/>
          </w:tcPr>
          <w:p>
            <w:pPr>
              <w:jc w:val="left"/>
            </w:pPr>
            <w:r/>
            <w:r>
              <w:rPr>
                <w:b w:val="0"/>
                <w:sz w:val="16"/>
              </w:rPr>
              <w:t>Interoperabilidad/portabilidad</w:t>
            </w:r>
          </w:p>
        </w:tc>
        <w:tc>
          <w:tcPr>
            <w:tcW w:type="dxa" w:w="6840"/>
            <w:vAlign w:val="center"/>
          </w:tcPr>
          <w:p>
            <w:pPr>
              <w:jc w:val="left"/>
            </w:pPr>
            <w:r/>
            <w:r>
              <w:rPr>
                <w:b w:val="0"/>
                <w:sz w:val="16"/>
              </w:rPr>
              <w:t>APIs, estándares, exportación y riesgo de lock-in.</w:t>
            </w:r>
          </w:p>
        </w:tc>
        <w:tc>
          <w:tcPr>
            <w:tcW w:type="dxa" w:w="1728"/>
            <w:vAlign w:val="center"/>
          </w:tcPr>
          <w:p>
            <w:pPr>
              <w:jc w:val="left"/>
            </w:pPr>
            <w:r/>
            <w:r>
              <w:rPr>
                <w:b w:val="0"/>
                <w:sz w:val="16"/>
              </w:rPr>
              <w:t>5%</w:t>
            </w:r>
          </w:p>
        </w:tc>
      </w:tr>
      <w:tr>
        <w:tc>
          <w:tcPr>
            <w:tcW w:type="dxa" w:w="2088"/>
            <w:vAlign w:val="center"/>
            <w:shd w:fill="F2F2F2"/>
          </w:tcPr>
          <w:p>
            <w:pPr>
              <w:jc w:val="left"/>
            </w:pPr>
            <w:r/>
            <w:r>
              <w:rPr>
                <w:b w:val="0"/>
                <w:sz w:val="16"/>
              </w:rPr>
              <w:t>Operación</w:t>
            </w:r>
          </w:p>
        </w:tc>
        <w:tc>
          <w:tcPr>
            <w:tcW w:type="dxa" w:w="6840"/>
            <w:vAlign w:val="center"/>
            <w:shd w:fill="F2F2F2"/>
          </w:tcPr>
          <w:p>
            <w:pPr>
              <w:jc w:val="left"/>
            </w:pPr>
            <w:r/>
            <w:r>
              <w:rPr>
                <w:b w:val="0"/>
                <w:sz w:val="16"/>
              </w:rPr>
              <w:t>Monitoreo, respaldo, alta disponibilidad, administración.</w:t>
            </w:r>
          </w:p>
        </w:tc>
        <w:tc>
          <w:tcPr>
            <w:tcW w:type="dxa" w:w="1728"/>
            <w:vAlign w:val="center"/>
            <w:shd w:fill="F2F2F2"/>
          </w:tcPr>
          <w:p>
            <w:pPr>
              <w:jc w:val="left"/>
            </w:pPr>
            <w:r/>
            <w:r>
              <w:rPr>
                <w:b w:val="0"/>
                <w:sz w:val="16"/>
              </w:rPr>
              <w:t>5%</w:t>
            </w:r>
          </w:p>
        </w:tc>
      </w:tr>
    </w:tbl>
    <w:p/>
    <w:p>
      <w:r>
        <w:t>Contexto tecnológico consultado: NIST describe Zero Trust como protección centrada en recursos, usuarios y activos; Microsoft documenta arquitecturas de lakehouse/OneLake y modelos semánticos de Power BI; Tableau destaca una capa semántica gobernada; Qlik documenta su plataforma analítica; Google Cloud documenta LookML como lenguaje de modelado semántico; Apache Superset y Metabase ofrecen alternativas open source/self-hosted. Estas referencias sirven para comparar patrones y capacidades, no constituyen una recomendación contractual.</w:t>
      </w:r>
    </w:p>
    <w:p>
      <w:r>
        <w:br w:type="page"/>
      </w:r>
    </w:p>
    <w:p>
      <w:pPr>
        <w:pStyle w:val="Heading1"/>
      </w:pPr>
      <w:r>
        <w:t>24. Arquitectura de información y BI propuesta para SAAEL</w:t>
      </w:r>
    </w:p>
    <w:p>
      <w:r>
        <w:t>La siguiente separación debe considerarse como arquitectura conceptual para el análisis técnico posterior: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404040"/>
          </w:tcPr>
          <w:p>
            <w:pPr>
              <w:jc w:val="left"/>
            </w:pPr>
            <w:r/>
            <w:r>
              <w:rPr>
                <w:b/>
                <w:color w:val="FFFFFF"/>
                <w:sz w:val="16"/>
              </w:rPr>
              <w:t>Zona</w:t>
            </w:r>
          </w:p>
        </w:tc>
        <w:tc>
          <w:tcPr>
            <w:tcW w:type="dxa" w:w="4392"/>
            <w:vAlign w:val="center"/>
            <w:shd w:fill="404040"/>
          </w:tcPr>
          <w:p>
            <w:pPr>
              <w:jc w:val="left"/>
            </w:pPr>
            <w:r/>
            <w:r>
              <w:rPr>
                <w:b/>
                <w:color w:val="FFFFFF"/>
                <w:sz w:val="16"/>
              </w:rPr>
              <w:t>Contenido</w:t>
            </w:r>
          </w:p>
        </w:tc>
        <w:tc>
          <w:tcPr>
            <w:tcW w:type="dxa" w:w="2520"/>
            <w:vAlign w:val="center"/>
            <w:shd w:fill="404040"/>
          </w:tcPr>
          <w:p>
            <w:pPr>
              <w:jc w:val="left"/>
            </w:pPr>
            <w:r/>
            <w:r>
              <w:rPr>
                <w:b/>
                <w:color w:val="FFFFFF"/>
                <w:sz w:val="16"/>
              </w:rPr>
              <w:t>Acceso</w:t>
            </w:r>
          </w:p>
        </w:tc>
        <w:tc>
          <w:tcPr>
            <w:tcW w:type="dxa" w:w="2160"/>
            <w:vAlign w:val="center"/>
            <w:shd w:fill="404040"/>
          </w:tcPr>
          <w:p>
            <w:pPr>
              <w:jc w:val="left"/>
            </w:pPr>
            <w:r/>
            <w:r>
              <w:rPr>
                <w:b/>
                <w:color w:val="FFFFFF"/>
                <w:sz w:val="16"/>
              </w:rPr>
              <w:t>Objetivo</w:t>
            </w:r>
          </w:p>
        </w:tc>
      </w:tr>
      <w:tr>
        <w:tc>
          <w:tcPr>
            <w:tcW w:type="dxa" w:w="1800"/>
            <w:vAlign w:val="center"/>
            <w:shd w:fill="F2F2F2"/>
          </w:tcPr>
          <w:p>
            <w:pPr>
              <w:jc w:val="left"/>
            </w:pPr>
            <w:r/>
            <w:r>
              <w:rPr>
                <w:b w:val="0"/>
                <w:sz w:val="16"/>
              </w:rPr>
              <w:t>Operacional</w:t>
            </w:r>
          </w:p>
        </w:tc>
        <w:tc>
          <w:tcPr>
            <w:tcW w:type="dxa" w:w="4392"/>
            <w:vAlign w:val="center"/>
            <w:shd w:fill="F2F2F2"/>
          </w:tcPr>
          <w:p>
            <w:pPr>
              <w:jc w:val="left"/>
            </w:pPr>
            <w:r/>
            <w:r>
              <w:rPr>
                <w:b w:val="0"/>
                <w:sz w:val="16"/>
              </w:rPr>
              <w:t>Datos de trámites, expedientes, usuarios, empresas, instalaciones, documentos y estados.</w:t>
            </w:r>
          </w:p>
        </w:tc>
        <w:tc>
          <w:tcPr>
            <w:tcW w:type="dxa" w:w="2520"/>
            <w:vAlign w:val="center"/>
            <w:shd w:fill="F2F2F2"/>
          </w:tcPr>
          <w:p>
            <w:pPr>
              <w:jc w:val="left"/>
            </w:pPr>
            <w:r/>
            <w:r>
              <w:rPr>
                <w:b w:val="0"/>
                <w:sz w:val="16"/>
              </w:rPr>
              <w:t>Aplicación transaccional</w:t>
            </w:r>
          </w:p>
        </w:tc>
        <w:tc>
          <w:tcPr>
            <w:tcW w:type="dxa" w:w="2160"/>
            <w:vAlign w:val="center"/>
            <w:shd w:fill="F2F2F2"/>
          </w:tcPr>
          <w:p>
            <w:pPr>
              <w:jc w:val="left"/>
            </w:pPr>
            <w:r/>
            <w:r>
              <w:rPr>
                <w:b w:val="0"/>
                <w:sz w:val="16"/>
              </w:rPr>
              <w:t>Consistencia y operación.</w:t>
            </w:r>
          </w:p>
        </w:tc>
      </w:tr>
      <w:tr>
        <w:tc>
          <w:tcPr>
            <w:tcW w:type="dxa" w:w="1800"/>
            <w:vAlign w:val="center"/>
          </w:tcPr>
          <w:p>
            <w:pPr>
              <w:jc w:val="left"/>
            </w:pPr>
            <w:r/>
            <w:r>
              <w:rPr>
                <w:b w:val="0"/>
                <w:sz w:val="16"/>
              </w:rPr>
              <w:t>Integración</w:t>
            </w:r>
          </w:p>
        </w:tc>
        <w:tc>
          <w:tcPr>
            <w:tcW w:type="dxa" w:w="4392"/>
            <w:vAlign w:val="center"/>
          </w:tcPr>
          <w:p>
            <w:pPr>
              <w:jc w:val="left"/>
            </w:pPr>
            <w:r/>
            <w:r>
              <w:rPr>
                <w:b w:val="0"/>
                <w:sz w:val="16"/>
              </w:rPr>
              <w:t>Mensajes, peticiones/respuestas, colas, reintentos y resultados de servicios.</w:t>
            </w:r>
          </w:p>
        </w:tc>
        <w:tc>
          <w:tcPr>
            <w:tcW w:type="dxa" w:w="2520"/>
            <w:vAlign w:val="center"/>
          </w:tcPr>
          <w:p>
            <w:pPr>
              <w:jc w:val="left"/>
            </w:pPr>
            <w:r/>
            <w:r>
              <w:rPr>
                <w:b w:val="0"/>
                <w:sz w:val="16"/>
              </w:rPr>
              <w:t>Servicios de integración</w:t>
            </w:r>
          </w:p>
        </w:tc>
        <w:tc>
          <w:tcPr>
            <w:tcW w:type="dxa" w:w="2160"/>
            <w:vAlign w:val="center"/>
          </w:tcPr>
          <w:p>
            <w:pPr>
              <w:jc w:val="left"/>
            </w:pPr>
            <w:r/>
            <w:r>
              <w:rPr>
                <w:b w:val="0"/>
                <w:sz w:val="16"/>
              </w:rPr>
              <w:t>Interoperabilidad observable.</w:t>
            </w:r>
          </w:p>
        </w:tc>
      </w:tr>
      <w:tr>
        <w:tc>
          <w:tcPr>
            <w:tcW w:type="dxa" w:w="1800"/>
            <w:vAlign w:val="center"/>
            <w:shd w:fill="F2F2F2"/>
          </w:tcPr>
          <w:p>
            <w:pPr>
              <w:jc w:val="left"/>
            </w:pPr>
            <w:r/>
            <w:r>
              <w:rPr>
                <w:b w:val="0"/>
                <w:sz w:val="16"/>
              </w:rPr>
              <w:t>Histórica</w:t>
            </w:r>
          </w:p>
        </w:tc>
        <w:tc>
          <w:tcPr>
            <w:tcW w:type="dxa" w:w="4392"/>
            <w:vAlign w:val="center"/>
            <w:shd w:fill="F2F2F2"/>
          </w:tcPr>
          <w:p>
            <w:pPr>
              <w:jc w:val="left"/>
            </w:pPr>
            <w:r/>
            <w:r>
              <w:rPr>
                <w:b w:val="0"/>
                <w:sz w:val="16"/>
              </w:rPr>
              <w:t>Snapshots/cambios y hechos de negocio.</w:t>
            </w:r>
          </w:p>
        </w:tc>
        <w:tc>
          <w:tcPr>
            <w:tcW w:type="dxa" w:w="2520"/>
            <w:vAlign w:val="center"/>
            <w:shd w:fill="F2F2F2"/>
          </w:tcPr>
          <w:p>
            <w:pPr>
              <w:jc w:val="left"/>
            </w:pPr>
            <w:r/>
            <w:r>
              <w:rPr>
                <w:b w:val="0"/>
                <w:sz w:val="16"/>
              </w:rPr>
              <w:t>ETL/ELT</w:t>
            </w:r>
          </w:p>
        </w:tc>
        <w:tc>
          <w:tcPr>
            <w:tcW w:type="dxa" w:w="2160"/>
            <w:vAlign w:val="center"/>
            <w:shd w:fill="F2F2F2"/>
          </w:tcPr>
          <w:p>
            <w:pPr>
              <w:jc w:val="left"/>
            </w:pPr>
            <w:r/>
            <w:r>
              <w:rPr>
                <w:b w:val="0"/>
                <w:sz w:val="16"/>
              </w:rPr>
              <w:t>Análisis temporal y auditoría.</w:t>
            </w:r>
          </w:p>
        </w:tc>
      </w:tr>
      <w:tr>
        <w:tc>
          <w:tcPr>
            <w:tcW w:type="dxa" w:w="1800"/>
            <w:vAlign w:val="center"/>
          </w:tcPr>
          <w:p>
            <w:pPr>
              <w:jc w:val="left"/>
            </w:pPr>
            <w:r/>
            <w:r>
              <w:rPr>
                <w:b w:val="0"/>
                <w:sz w:val="16"/>
              </w:rPr>
              <w:t>Semántica</w:t>
            </w:r>
          </w:p>
        </w:tc>
        <w:tc>
          <w:tcPr>
            <w:tcW w:type="dxa" w:w="4392"/>
            <w:vAlign w:val="center"/>
          </w:tcPr>
          <w:p>
            <w:pPr>
              <w:jc w:val="left"/>
            </w:pPr>
            <w:r/>
            <w:r>
              <w:rPr>
                <w:b w:val="0"/>
                <w:sz w:val="16"/>
              </w:rPr>
              <w:t>KPI, dimensiones, jerarquías y reglas de cálculo certificadas.</w:t>
            </w:r>
          </w:p>
        </w:tc>
        <w:tc>
          <w:tcPr>
            <w:tcW w:type="dxa" w:w="2520"/>
            <w:vAlign w:val="center"/>
          </w:tcPr>
          <w:p>
            <w:pPr>
              <w:jc w:val="left"/>
            </w:pPr>
            <w:r/>
            <w:r>
              <w:rPr>
                <w:b w:val="0"/>
                <w:sz w:val="16"/>
              </w:rPr>
              <w:t>BI/analistas autorizados</w:t>
            </w:r>
          </w:p>
        </w:tc>
        <w:tc>
          <w:tcPr>
            <w:tcW w:type="dxa" w:w="2160"/>
            <w:vAlign w:val="center"/>
          </w:tcPr>
          <w:p>
            <w:pPr>
              <w:jc w:val="left"/>
            </w:pPr>
            <w:r/>
            <w:r>
              <w:rPr>
                <w:b w:val="0"/>
                <w:sz w:val="16"/>
              </w:rPr>
              <w:t>Una sola definición de los indicadores.</w:t>
            </w:r>
          </w:p>
        </w:tc>
      </w:tr>
      <w:tr>
        <w:tc>
          <w:tcPr>
            <w:tcW w:type="dxa" w:w="1800"/>
            <w:vAlign w:val="center"/>
            <w:shd w:fill="F2F2F2"/>
          </w:tcPr>
          <w:p>
            <w:pPr>
              <w:jc w:val="left"/>
            </w:pPr>
            <w:r/>
            <w:r>
              <w:rPr>
                <w:b w:val="0"/>
                <w:sz w:val="16"/>
              </w:rPr>
              <w:t>Presentación BI</w:t>
            </w:r>
          </w:p>
        </w:tc>
        <w:tc>
          <w:tcPr>
            <w:tcW w:type="dxa" w:w="4392"/>
            <w:vAlign w:val="center"/>
            <w:shd w:fill="F2F2F2"/>
          </w:tcPr>
          <w:p>
            <w:pPr>
              <w:jc w:val="left"/>
            </w:pPr>
            <w:r/>
            <w:r>
              <w:rPr>
                <w:b w:val="0"/>
                <w:sz w:val="16"/>
              </w:rPr>
              <w:t>Dashboards, reportes, alertas y autoservicio.</w:t>
            </w:r>
          </w:p>
        </w:tc>
        <w:tc>
          <w:tcPr>
            <w:tcW w:type="dxa" w:w="2520"/>
            <w:vAlign w:val="center"/>
            <w:shd w:fill="F2F2F2"/>
          </w:tcPr>
          <w:p>
            <w:pPr>
              <w:jc w:val="left"/>
            </w:pPr>
            <w:r/>
            <w:r>
              <w:rPr>
                <w:b w:val="0"/>
                <w:sz w:val="16"/>
              </w:rPr>
              <w:t>Usuarios autorizados</w:t>
            </w:r>
          </w:p>
        </w:tc>
        <w:tc>
          <w:tcPr>
            <w:tcW w:type="dxa" w:w="2160"/>
            <w:vAlign w:val="center"/>
            <w:shd w:fill="F2F2F2"/>
          </w:tcPr>
          <w:p>
            <w:pPr>
              <w:jc w:val="left"/>
            </w:pPr>
            <w:r/>
            <w:r>
              <w:rPr>
                <w:b w:val="0"/>
                <w:sz w:val="16"/>
              </w:rPr>
              <w:t>Decisión y seguimiento.</w:t>
            </w:r>
          </w:p>
        </w:tc>
      </w:tr>
      <w:tr>
        <w:tc>
          <w:tcPr>
            <w:tcW w:type="dxa" w:w="1800"/>
            <w:vAlign w:val="center"/>
          </w:tcPr>
          <w:p>
            <w:pPr>
              <w:jc w:val="left"/>
            </w:pPr>
            <w:r/>
            <w:r>
              <w:rPr>
                <w:b w:val="0"/>
                <w:sz w:val="16"/>
              </w:rPr>
              <w:t>Gobierno</w:t>
            </w:r>
          </w:p>
        </w:tc>
        <w:tc>
          <w:tcPr>
            <w:tcW w:type="dxa" w:w="4392"/>
            <w:vAlign w:val="center"/>
          </w:tcPr>
          <w:p>
            <w:pPr>
              <w:jc w:val="left"/>
            </w:pPr>
            <w:r/>
            <w:r>
              <w:rPr>
                <w:b w:val="0"/>
                <w:sz w:val="16"/>
              </w:rPr>
              <w:t>Catálogo, linaje, clasificación, calidad y políticas.</w:t>
            </w:r>
          </w:p>
        </w:tc>
        <w:tc>
          <w:tcPr>
            <w:tcW w:type="dxa" w:w="2520"/>
            <w:vAlign w:val="center"/>
          </w:tcPr>
          <w:p>
            <w:pPr>
              <w:jc w:val="left"/>
            </w:pPr>
            <w:r/>
            <w:r>
              <w:rPr>
                <w:b w:val="0"/>
                <w:sz w:val="16"/>
              </w:rPr>
              <w:t>Gobierno/seguridad</w:t>
            </w:r>
          </w:p>
        </w:tc>
        <w:tc>
          <w:tcPr>
            <w:tcW w:type="dxa" w:w="2160"/>
            <w:vAlign w:val="center"/>
          </w:tcPr>
          <w:p>
            <w:pPr>
              <w:jc w:val="left"/>
            </w:pPr>
            <w:r/>
            <w:r>
              <w:rPr>
                <w:b w:val="0"/>
                <w:sz w:val="16"/>
              </w:rPr>
              <w:t>Confianza y cumplimiento.</w:t>
            </w:r>
          </w:p>
        </w:tc>
      </w:tr>
    </w:tbl>
    <w:p/>
    <w:p>
      <w:pPr>
        <w:pStyle w:val="Heading2"/>
      </w:pPr>
      <w:r>
        <w:t>24.1 Principio de no interferencia</w:t>
      </w:r>
    </w:p>
    <w:p>
      <w:r>
        <w:t>El sistema transaccional debe priorizar integridad y tiempo de respuesta de los procesos regulatorios. Las cargas analíticas, consultas masivas, agregaciones históricas y exploraciones ad hoc deben ejecutarse preferentemente en la plataforma analítica. Cuando se requiera información casi en tiempo real, debe diseñarse explícitamente la estrategia de replicación/streaming y sus límites.</w:t>
      </w:r>
    </w:p>
    <w:p>
      <w:pPr>
        <w:pStyle w:val="Heading2"/>
      </w:pPr>
      <w:r>
        <w:t>24.2 Indicadores institucionales iniciales</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404040"/>
          </w:tcPr>
          <w:p>
            <w:pPr>
              <w:jc w:val="left"/>
            </w:pPr>
            <w:r/>
            <w:r>
              <w:rPr>
                <w:b/>
                <w:color w:val="FFFFFF"/>
                <w:sz w:val="16"/>
              </w:rPr>
              <w:t>Indicador</w:t>
            </w:r>
          </w:p>
        </w:tc>
        <w:tc>
          <w:tcPr>
            <w:tcW w:type="dxa" w:w="6768"/>
            <w:vAlign w:val="center"/>
            <w:shd w:fill="404040"/>
          </w:tcPr>
          <w:p>
            <w:pPr>
              <w:jc w:val="left"/>
            </w:pPr>
            <w:r/>
            <w:r>
              <w:rPr>
                <w:b/>
                <w:color w:val="FFFFFF"/>
                <w:sz w:val="16"/>
              </w:rPr>
              <w:t>Ejemplos</w:t>
            </w:r>
          </w:p>
        </w:tc>
        <w:tc>
          <w:tcPr>
            <w:tcW w:type="dxa" w:w="2304"/>
            <w:vAlign w:val="center"/>
            <w:shd w:fill="404040"/>
          </w:tcPr>
          <w:p>
            <w:pPr>
              <w:jc w:val="left"/>
            </w:pPr>
            <w:r/>
            <w:r>
              <w:rPr>
                <w:b/>
                <w:color w:val="FFFFFF"/>
                <w:sz w:val="16"/>
              </w:rPr>
              <w:t>Frecuencia</w:t>
            </w:r>
          </w:p>
        </w:tc>
      </w:tr>
      <w:tr>
        <w:tc>
          <w:tcPr>
            <w:tcW w:type="dxa" w:w="1800"/>
            <w:vAlign w:val="center"/>
            <w:shd w:fill="F2F2F2"/>
          </w:tcPr>
          <w:p>
            <w:pPr>
              <w:jc w:val="left"/>
            </w:pPr>
            <w:r/>
            <w:r>
              <w:rPr>
                <w:b w:val="0"/>
                <w:sz w:val="16"/>
              </w:rPr>
              <w:t>Volumen</w:t>
            </w:r>
          </w:p>
        </w:tc>
        <w:tc>
          <w:tcPr>
            <w:tcW w:type="dxa" w:w="6768"/>
            <w:vAlign w:val="center"/>
            <w:shd w:fill="F2F2F2"/>
          </w:tcPr>
          <w:p>
            <w:pPr>
              <w:jc w:val="left"/>
            </w:pPr>
            <w:r/>
            <w:r>
              <w:rPr>
                <w:b w:val="0"/>
                <w:sz w:val="16"/>
              </w:rPr>
              <w:t>Trámites recibidos, atendidos, concluidos, pendientes y por estado.</w:t>
            </w:r>
          </w:p>
        </w:tc>
        <w:tc>
          <w:tcPr>
            <w:tcW w:type="dxa" w:w="2304"/>
            <w:vAlign w:val="center"/>
            <w:shd w:fill="F2F2F2"/>
          </w:tcPr>
          <w:p>
            <w:pPr>
              <w:jc w:val="left"/>
            </w:pPr>
            <w:r/>
            <w:r>
              <w:rPr>
                <w:b w:val="0"/>
                <w:sz w:val="16"/>
              </w:rPr>
              <w:t>Frecuencia mensual/semanal/diaria</w:t>
            </w:r>
          </w:p>
        </w:tc>
      </w:tr>
      <w:tr>
        <w:tc>
          <w:tcPr>
            <w:tcW w:type="dxa" w:w="1800"/>
            <w:vAlign w:val="center"/>
          </w:tcPr>
          <w:p>
            <w:pPr>
              <w:jc w:val="left"/>
            </w:pPr>
            <w:r/>
            <w:r>
              <w:rPr>
                <w:b w:val="0"/>
                <w:sz w:val="16"/>
              </w:rPr>
              <w:t>Oportunidad</w:t>
            </w:r>
          </w:p>
        </w:tc>
        <w:tc>
          <w:tcPr>
            <w:tcW w:type="dxa" w:w="6768"/>
            <w:vAlign w:val="center"/>
          </w:tcPr>
          <w:p>
            <w:pPr>
              <w:jc w:val="left"/>
            </w:pPr>
            <w:r/>
            <w:r>
              <w:rPr>
                <w:b w:val="0"/>
                <w:sz w:val="16"/>
              </w:rPr>
              <w:t>Tiempo promedio/mediana de ciclo, tiempo por estado y % dentro de plazo.</w:t>
            </w:r>
          </w:p>
        </w:tc>
        <w:tc>
          <w:tcPr>
            <w:tcW w:type="dxa" w:w="2304"/>
            <w:vAlign w:val="center"/>
          </w:tcPr>
          <w:p>
            <w:pPr>
              <w:jc w:val="left"/>
            </w:pPr>
            <w:r/>
            <w:r>
              <w:rPr>
                <w:b w:val="0"/>
                <w:sz w:val="16"/>
              </w:rPr>
              <w:t>Diaria/mensual</w:t>
            </w:r>
          </w:p>
        </w:tc>
      </w:tr>
      <w:tr>
        <w:tc>
          <w:tcPr>
            <w:tcW w:type="dxa" w:w="1800"/>
            <w:vAlign w:val="center"/>
            <w:shd w:fill="F2F2F2"/>
          </w:tcPr>
          <w:p>
            <w:pPr>
              <w:jc w:val="left"/>
            </w:pPr>
            <w:r/>
            <w:r>
              <w:rPr>
                <w:b w:val="0"/>
                <w:sz w:val="16"/>
              </w:rPr>
              <w:t>Calidad</w:t>
            </w:r>
          </w:p>
        </w:tc>
        <w:tc>
          <w:tcPr>
            <w:tcW w:type="dxa" w:w="6768"/>
            <w:vAlign w:val="center"/>
            <w:shd w:fill="F2F2F2"/>
          </w:tcPr>
          <w:p>
            <w:pPr>
              <w:jc w:val="left"/>
            </w:pPr>
            <w:r/>
            <w:r>
              <w:rPr>
                <w:b w:val="0"/>
                <w:sz w:val="16"/>
              </w:rPr>
              <w:t>Prevenciones por trámite, reincidencias, datos incompletos y errores de integración.</w:t>
            </w:r>
          </w:p>
        </w:tc>
        <w:tc>
          <w:tcPr>
            <w:tcW w:type="dxa" w:w="2304"/>
            <w:vAlign w:val="center"/>
            <w:shd w:fill="F2F2F2"/>
          </w:tcPr>
          <w:p>
            <w:pPr>
              <w:jc w:val="left"/>
            </w:pPr>
            <w:r/>
            <w:r>
              <w:rPr>
                <w:b w:val="0"/>
                <w:sz w:val="16"/>
              </w:rPr>
              <w:t>Mensual</w:t>
            </w:r>
          </w:p>
        </w:tc>
      </w:tr>
      <w:tr>
        <w:tc>
          <w:tcPr>
            <w:tcW w:type="dxa" w:w="1800"/>
            <w:vAlign w:val="center"/>
          </w:tcPr>
          <w:p>
            <w:pPr>
              <w:jc w:val="left"/>
            </w:pPr>
            <w:r/>
            <w:r>
              <w:rPr>
                <w:b w:val="0"/>
                <w:sz w:val="16"/>
              </w:rPr>
              <w:t>Carga</w:t>
            </w:r>
          </w:p>
        </w:tc>
        <w:tc>
          <w:tcPr>
            <w:tcW w:type="dxa" w:w="6768"/>
            <w:vAlign w:val="center"/>
          </w:tcPr>
          <w:p>
            <w:pPr>
              <w:jc w:val="left"/>
            </w:pPr>
            <w:r/>
            <w:r>
              <w:rPr>
                <w:b w:val="0"/>
                <w:sz w:val="16"/>
              </w:rPr>
              <w:t>Expedientes por responsable/unidad y antigüedad.</w:t>
            </w:r>
          </w:p>
        </w:tc>
        <w:tc>
          <w:tcPr>
            <w:tcW w:type="dxa" w:w="2304"/>
            <w:vAlign w:val="center"/>
          </w:tcPr>
          <w:p>
            <w:pPr>
              <w:jc w:val="left"/>
            </w:pPr>
            <w:r/>
            <w:r>
              <w:rPr>
                <w:b w:val="0"/>
                <w:sz w:val="16"/>
              </w:rPr>
              <w:t>Diaria</w:t>
            </w:r>
          </w:p>
        </w:tc>
      </w:tr>
      <w:tr>
        <w:tc>
          <w:tcPr>
            <w:tcW w:type="dxa" w:w="1800"/>
            <w:vAlign w:val="center"/>
            <w:shd w:fill="F2F2F2"/>
          </w:tcPr>
          <w:p>
            <w:pPr>
              <w:jc w:val="left"/>
            </w:pPr>
            <w:r/>
            <w:r>
              <w:rPr>
                <w:b w:val="0"/>
                <w:sz w:val="16"/>
              </w:rPr>
              <w:t>Auditoría</w:t>
            </w:r>
          </w:p>
        </w:tc>
        <w:tc>
          <w:tcPr>
            <w:tcW w:type="dxa" w:w="6768"/>
            <w:vAlign w:val="center"/>
            <w:shd w:fill="F2F2F2"/>
          </w:tcPr>
          <w:p>
            <w:pPr>
              <w:jc w:val="left"/>
            </w:pPr>
            <w:r/>
            <w:r>
              <w:rPr>
                <w:b w:val="0"/>
                <w:sz w:val="16"/>
              </w:rPr>
              <w:t>Auditorías realizadas, hallazgos, no conformidades y cierre de acciones.</w:t>
            </w:r>
          </w:p>
        </w:tc>
        <w:tc>
          <w:tcPr>
            <w:tcW w:type="dxa" w:w="2304"/>
            <w:vAlign w:val="center"/>
            <w:shd w:fill="F2F2F2"/>
          </w:tcPr>
          <w:p>
            <w:pPr>
              <w:jc w:val="left"/>
            </w:pPr>
            <w:r/>
            <w:r>
              <w:rPr>
                <w:b w:val="0"/>
                <w:sz w:val="16"/>
              </w:rPr>
              <w:t>Mensual</w:t>
            </w:r>
          </w:p>
        </w:tc>
      </w:tr>
      <w:tr>
        <w:tc>
          <w:tcPr>
            <w:tcW w:type="dxa" w:w="1800"/>
            <w:vAlign w:val="center"/>
          </w:tcPr>
          <w:p>
            <w:pPr>
              <w:jc w:val="left"/>
            </w:pPr>
            <w:r/>
            <w:r>
              <w:rPr>
                <w:b w:val="0"/>
                <w:sz w:val="16"/>
              </w:rPr>
              <w:t>RDA</w:t>
            </w:r>
          </w:p>
        </w:tc>
        <w:tc>
          <w:tcPr>
            <w:tcW w:type="dxa" w:w="6768"/>
            <w:vAlign w:val="center"/>
          </w:tcPr>
          <w:p>
            <w:pPr>
              <w:jc w:val="left"/>
            </w:pPr>
            <w:r/>
            <w:r>
              <w:rPr>
                <w:b w:val="0"/>
                <w:sz w:val="16"/>
              </w:rPr>
              <w:t>Solicitudes, renovaciones, indicadores, cumplimiento anual y casos que pierden elegibilidad.</w:t>
            </w:r>
          </w:p>
        </w:tc>
        <w:tc>
          <w:tcPr>
            <w:tcW w:type="dxa" w:w="2304"/>
            <w:vAlign w:val="center"/>
          </w:tcPr>
          <w:p>
            <w:pPr>
              <w:jc w:val="left"/>
            </w:pPr>
            <w:r/>
            <w:r>
              <w:rPr>
                <w:b w:val="0"/>
                <w:sz w:val="16"/>
              </w:rPr>
              <w:t>Mensual</w:t>
            </w:r>
          </w:p>
        </w:tc>
      </w:tr>
      <w:tr>
        <w:tc>
          <w:tcPr>
            <w:tcW w:type="dxa" w:w="1800"/>
            <w:vAlign w:val="center"/>
            <w:shd w:fill="F2F2F2"/>
          </w:tcPr>
          <w:p>
            <w:pPr>
              <w:jc w:val="left"/>
            </w:pPr>
            <w:r/>
            <w:r>
              <w:rPr>
                <w:b w:val="0"/>
                <w:sz w:val="16"/>
              </w:rPr>
              <w:t>Interoperabilidad</w:t>
            </w:r>
          </w:p>
        </w:tc>
        <w:tc>
          <w:tcPr>
            <w:tcW w:type="dxa" w:w="6768"/>
            <w:vAlign w:val="center"/>
            <w:shd w:fill="F2F2F2"/>
          </w:tcPr>
          <w:p>
            <w:pPr>
              <w:jc w:val="left"/>
            </w:pPr>
            <w:r/>
            <w:r>
              <w:rPr>
                <w:b w:val="0"/>
                <w:sz w:val="16"/>
              </w:rPr>
              <w:t>Éxito/falla, latencia y volumen por fuente.</w:t>
            </w:r>
          </w:p>
        </w:tc>
        <w:tc>
          <w:tcPr>
            <w:tcW w:type="dxa" w:w="2304"/>
            <w:vAlign w:val="center"/>
            <w:shd w:fill="F2F2F2"/>
          </w:tcPr>
          <w:p>
            <w:pPr>
              <w:jc w:val="left"/>
            </w:pPr>
            <w:r/>
            <w:r>
              <w:rPr>
                <w:b w:val="0"/>
                <w:sz w:val="16"/>
              </w:rPr>
              <w:t>Diaria</w:t>
            </w:r>
          </w:p>
        </w:tc>
      </w:tr>
      <w:tr>
        <w:tc>
          <w:tcPr>
            <w:tcW w:type="dxa" w:w="1800"/>
            <w:vAlign w:val="center"/>
          </w:tcPr>
          <w:p>
            <w:pPr>
              <w:jc w:val="left"/>
            </w:pPr>
            <w:r/>
            <w:r>
              <w:rPr>
                <w:b w:val="0"/>
                <w:sz w:val="16"/>
              </w:rPr>
              <w:t>Formalización</w:t>
            </w:r>
          </w:p>
        </w:tc>
        <w:tc>
          <w:tcPr>
            <w:tcW w:type="dxa" w:w="6768"/>
            <w:vAlign w:val="center"/>
          </w:tcPr>
          <w:p>
            <w:pPr>
              <w:jc w:val="left"/>
            </w:pPr>
            <w:r/>
            <w:r>
              <w:rPr>
                <w:b w:val="0"/>
                <w:sz w:val="16"/>
              </w:rPr>
              <w:t>Documentos generados, firmados, pendientes y tiempos de firma.</w:t>
            </w:r>
          </w:p>
        </w:tc>
        <w:tc>
          <w:tcPr>
            <w:tcW w:type="dxa" w:w="2304"/>
            <w:vAlign w:val="center"/>
          </w:tcPr>
          <w:p>
            <w:pPr>
              <w:jc w:val="left"/>
            </w:pPr>
            <w:r/>
            <w:r>
              <w:rPr>
                <w:b w:val="0"/>
                <w:sz w:val="16"/>
              </w:rPr>
              <w:t>Diaria</w:t>
            </w:r>
          </w:p>
        </w:tc>
      </w:tr>
      <w:tr>
        <w:tc>
          <w:tcPr>
            <w:tcW w:type="dxa" w:w="1800"/>
            <w:vAlign w:val="center"/>
            <w:shd w:fill="F2F2F2"/>
          </w:tcPr>
          <w:p>
            <w:pPr>
              <w:jc w:val="left"/>
            </w:pPr>
            <w:r/>
            <w:r>
              <w:rPr>
                <w:b w:val="0"/>
                <w:sz w:val="16"/>
              </w:rPr>
              <w:t>Concertación</w:t>
            </w:r>
          </w:p>
        </w:tc>
        <w:tc>
          <w:tcPr>
            <w:tcW w:type="dxa" w:w="6768"/>
            <w:vAlign w:val="center"/>
            <w:shd w:fill="F2F2F2"/>
          </w:tcPr>
          <w:p>
            <w:pPr>
              <w:jc w:val="left"/>
            </w:pPr>
            <w:r/>
            <w:r>
              <w:rPr>
                <w:b w:val="0"/>
                <w:sz w:val="16"/>
              </w:rPr>
              <w:t>Convenios vigentes, vencimientos, obligaciones y avance.</w:t>
            </w:r>
          </w:p>
        </w:tc>
        <w:tc>
          <w:tcPr>
            <w:tcW w:type="dxa" w:w="2304"/>
            <w:vAlign w:val="center"/>
            <w:shd w:fill="F2F2F2"/>
          </w:tcPr>
          <w:p>
            <w:pPr>
              <w:jc w:val="left"/>
            </w:pPr>
            <w:r/>
            <w:r>
              <w:rPr>
                <w:b w:val="0"/>
                <w:sz w:val="16"/>
              </w:rPr>
              <w:t>Mensual</w:t>
            </w:r>
          </w:p>
        </w:tc>
      </w:tr>
    </w:tbl>
    <w:p/>
    <w:p>
      <w:r>
        <w:br w:type="page"/>
      </w:r>
    </w:p>
    <w:p>
      <w:pPr>
        <w:pStyle w:val="Heading1"/>
      </w:pPr>
      <w:r>
        <w:t>25. Plan de trabajo actualizado para la siguiente fase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80"/>
            <w:vAlign w:val="center"/>
            <w:shd w:fill="404040"/>
          </w:tcPr>
          <w:p>
            <w:pPr>
              <w:jc w:val="left"/>
            </w:pPr>
            <w:r/>
            <w:r>
              <w:rPr>
                <w:b/>
                <w:color w:val="FFFFFF"/>
                <w:sz w:val="15"/>
              </w:rPr>
              <w:t>Fase</w:t>
            </w:r>
          </w:p>
        </w:tc>
        <w:tc>
          <w:tcPr>
            <w:tcW w:type="dxa" w:w="2088"/>
            <w:vAlign w:val="center"/>
            <w:shd w:fill="404040"/>
          </w:tcPr>
          <w:p>
            <w:pPr>
              <w:jc w:val="left"/>
            </w:pPr>
            <w:r/>
            <w:r>
              <w:rPr>
                <w:b/>
                <w:color w:val="FFFFFF"/>
                <w:sz w:val="15"/>
              </w:rPr>
              <w:t>Frente</w:t>
            </w:r>
          </w:p>
        </w:tc>
        <w:tc>
          <w:tcPr>
            <w:tcW w:type="dxa" w:w="5760"/>
            <w:vAlign w:val="center"/>
            <w:shd w:fill="404040"/>
          </w:tcPr>
          <w:p>
            <w:pPr>
              <w:jc w:val="left"/>
            </w:pPr>
            <w:r/>
            <w:r>
              <w:rPr>
                <w:b/>
                <w:color w:val="FFFFFF"/>
                <w:sz w:val="15"/>
              </w:rPr>
              <w:t>Actividades</w:t>
            </w:r>
          </w:p>
        </w:tc>
        <w:tc>
          <w:tcPr>
            <w:tcW w:type="dxa" w:w="1872"/>
            <w:vAlign w:val="center"/>
            <w:shd w:fill="404040"/>
          </w:tcPr>
          <w:p>
            <w:pPr>
              <w:jc w:val="left"/>
            </w:pPr>
            <w:r/>
            <w:r>
              <w:rPr>
                <w:b/>
                <w:color w:val="FFFFFF"/>
                <w:sz w:val="15"/>
              </w:rPr>
              <w:t>Salida</w:t>
            </w:r>
          </w:p>
        </w:tc>
      </w:tr>
      <w:tr>
        <w:tc>
          <w:tcPr>
            <w:tcW w:type="dxa" w:w="1080"/>
            <w:vAlign w:val="center"/>
            <w:shd w:fill="F2F2F2"/>
          </w:tcPr>
          <w:p>
            <w:pPr>
              <w:jc w:val="left"/>
            </w:pPr>
            <w:r/>
            <w:r>
              <w:rPr>
                <w:b w:val="0"/>
                <w:sz w:val="15"/>
              </w:rPr>
              <w:t>Fase 0</w:t>
            </w:r>
          </w:p>
        </w:tc>
        <w:tc>
          <w:tcPr>
            <w:tcW w:type="dxa" w:w="2088"/>
            <w:vAlign w:val="center"/>
            <w:shd w:fill="F2F2F2"/>
          </w:tcPr>
          <w:p>
            <w:pPr>
              <w:jc w:val="left"/>
            </w:pPr>
            <w:r/>
            <w:r>
              <w:rPr>
                <w:b w:val="0"/>
                <w:sz w:val="15"/>
              </w:rPr>
              <w:t>Inventario y alcance</w:t>
            </w:r>
          </w:p>
        </w:tc>
        <w:tc>
          <w:tcPr>
            <w:tcW w:type="dxa" w:w="5760"/>
            <w:vAlign w:val="center"/>
            <w:shd w:fill="F2F2F2"/>
          </w:tcPr>
          <w:p>
            <w:pPr>
              <w:jc w:val="left"/>
            </w:pPr>
            <w:r/>
            <w:r>
              <w:rPr>
                <w:b w:val="0"/>
                <w:sz w:val="15"/>
              </w:rPr>
              <w:t>Procesos/trámites; funcionalidades vigentes/obsoletas; actividades fuera del sistema; actores; catálogo SCIAN/CMAP; DGOAPA; MULTIREGION; nuevos módulos.</w:t>
            </w:r>
          </w:p>
        </w:tc>
        <w:tc>
          <w:tcPr>
            <w:tcW w:type="dxa" w:w="1872"/>
            <w:vAlign w:val="center"/>
            <w:shd w:fill="F2F2F2"/>
          </w:tcPr>
          <w:p>
            <w:pPr>
              <w:jc w:val="left"/>
            </w:pPr>
            <w:r/>
            <w:r>
              <w:rPr>
                <w:b w:val="0"/>
                <w:sz w:val="15"/>
              </w:rPr>
              <w:t>Línea base de alcance aprobada.</w:t>
            </w:r>
          </w:p>
        </w:tc>
      </w:tr>
      <w:tr>
        <w:tc>
          <w:tcPr>
            <w:tcW w:type="dxa" w:w="1080"/>
            <w:vAlign w:val="center"/>
          </w:tcPr>
          <w:p>
            <w:pPr>
              <w:jc w:val="left"/>
            </w:pPr>
            <w:r/>
            <w:r>
              <w:rPr>
                <w:b w:val="0"/>
                <w:sz w:val="15"/>
              </w:rPr>
              <w:t>Fase 1</w:t>
            </w:r>
          </w:p>
        </w:tc>
        <w:tc>
          <w:tcPr>
            <w:tcW w:type="dxa" w:w="2088"/>
            <w:vAlign w:val="center"/>
          </w:tcPr>
          <w:p>
            <w:pPr>
              <w:jc w:val="left"/>
            </w:pPr>
            <w:r/>
            <w:r>
              <w:rPr>
                <w:b w:val="0"/>
                <w:sz w:val="15"/>
              </w:rPr>
              <w:t>AS-IS / TO-BE</w:t>
            </w:r>
          </w:p>
        </w:tc>
        <w:tc>
          <w:tcPr>
            <w:tcW w:type="dxa" w:w="5760"/>
            <w:vAlign w:val="center"/>
          </w:tcPr>
          <w:p>
            <w:pPr>
              <w:jc w:val="left"/>
            </w:pPr>
            <w:r/>
            <w:r>
              <w:rPr>
                <w:b w:val="0"/>
                <w:sz w:val="15"/>
              </w:rPr>
              <w:t>3–5 procesos prioritarios con responsables, entradas, salidas, reglas, excepciones y tiempos.</w:t>
            </w:r>
          </w:p>
        </w:tc>
        <w:tc>
          <w:tcPr>
            <w:tcW w:type="dxa" w:w="1872"/>
            <w:vAlign w:val="center"/>
          </w:tcPr>
          <w:p>
            <w:pPr>
              <w:jc w:val="left"/>
            </w:pPr>
            <w:r/>
            <w:r>
              <w:rPr>
                <w:b w:val="0"/>
                <w:sz w:val="15"/>
              </w:rPr>
              <w:t>Procesos validados.</w:t>
            </w:r>
          </w:p>
        </w:tc>
      </w:tr>
      <w:tr>
        <w:tc>
          <w:tcPr>
            <w:tcW w:type="dxa" w:w="1080"/>
            <w:vAlign w:val="center"/>
            <w:shd w:fill="F2F2F2"/>
          </w:tcPr>
          <w:p>
            <w:pPr>
              <w:jc w:val="left"/>
            </w:pPr>
            <w:r/>
            <w:r>
              <w:rPr>
                <w:b w:val="0"/>
                <w:sz w:val="15"/>
              </w:rPr>
              <w:t>Fase 2</w:t>
            </w:r>
          </w:p>
        </w:tc>
        <w:tc>
          <w:tcPr>
            <w:tcW w:type="dxa" w:w="2088"/>
            <w:vAlign w:val="center"/>
            <w:shd w:fill="F2F2F2"/>
          </w:tcPr>
          <w:p>
            <w:pPr>
              <w:jc w:val="left"/>
            </w:pPr>
            <w:r/>
            <w:r>
              <w:rPr>
                <w:b w:val="0"/>
                <w:sz w:val="15"/>
              </w:rPr>
              <w:t>Modelo funcional y de datos</w:t>
            </w:r>
          </w:p>
        </w:tc>
        <w:tc>
          <w:tcPr>
            <w:tcW w:type="dxa" w:w="5760"/>
            <w:vAlign w:val="center"/>
            <w:shd w:fill="F2F2F2"/>
          </w:tcPr>
          <w:p>
            <w:pPr>
              <w:jc w:val="left"/>
            </w:pPr>
            <w:r/>
            <w:r>
              <w:rPr>
                <w:b w:val="0"/>
                <w:sz w:val="15"/>
              </w:rPr>
              <w:t>Casos de uso, requisitos, reglas, expediente, folios, documentos, firmas, catálogos y modelo conceptual.</w:t>
            </w:r>
          </w:p>
        </w:tc>
        <w:tc>
          <w:tcPr>
            <w:tcW w:type="dxa" w:w="1872"/>
            <w:vAlign w:val="center"/>
            <w:shd w:fill="F2F2F2"/>
          </w:tcPr>
          <w:p>
            <w:pPr>
              <w:jc w:val="left"/>
            </w:pPr>
            <w:r/>
            <w:r>
              <w:rPr>
                <w:b w:val="0"/>
                <w:sz w:val="15"/>
              </w:rPr>
              <w:t>Especificación funcional.</w:t>
            </w:r>
          </w:p>
        </w:tc>
      </w:tr>
      <w:tr>
        <w:tc>
          <w:tcPr>
            <w:tcW w:type="dxa" w:w="1080"/>
            <w:vAlign w:val="center"/>
          </w:tcPr>
          <w:p>
            <w:pPr>
              <w:jc w:val="left"/>
            </w:pPr>
            <w:r/>
            <w:r>
              <w:rPr>
                <w:b w:val="0"/>
                <w:sz w:val="15"/>
              </w:rPr>
              <w:t>Fase 3</w:t>
            </w:r>
          </w:p>
        </w:tc>
        <w:tc>
          <w:tcPr>
            <w:tcW w:type="dxa" w:w="2088"/>
            <w:vAlign w:val="center"/>
          </w:tcPr>
          <w:p>
            <w:pPr>
              <w:jc w:val="left"/>
            </w:pPr>
            <w:r/>
            <w:r>
              <w:rPr>
                <w:b w:val="0"/>
                <w:sz w:val="15"/>
              </w:rPr>
              <w:t>Arquitectura</w:t>
            </w:r>
          </w:p>
        </w:tc>
        <w:tc>
          <w:tcPr>
            <w:tcW w:type="dxa" w:w="5760"/>
            <w:vAlign w:val="center"/>
          </w:tcPr>
          <w:p>
            <w:pPr>
              <w:jc w:val="left"/>
            </w:pPr>
            <w:r/>
            <w:r>
              <w:rPr>
                <w:b w:val="0"/>
                <w:sz w:val="15"/>
              </w:rPr>
              <w:t>API, seguridad, integración, modularidad, observabilidad, documentos, datos analíticos y BI.</w:t>
            </w:r>
          </w:p>
        </w:tc>
        <w:tc>
          <w:tcPr>
            <w:tcW w:type="dxa" w:w="1872"/>
            <w:vAlign w:val="center"/>
          </w:tcPr>
          <w:p>
            <w:pPr>
              <w:jc w:val="left"/>
            </w:pPr>
            <w:r/>
            <w:r>
              <w:rPr>
                <w:b w:val="0"/>
                <w:sz w:val="15"/>
              </w:rPr>
              <w:t>Arquitectura conceptual y de referencia.</w:t>
            </w:r>
          </w:p>
        </w:tc>
      </w:tr>
      <w:tr>
        <w:tc>
          <w:tcPr>
            <w:tcW w:type="dxa" w:w="1080"/>
            <w:vAlign w:val="center"/>
            <w:shd w:fill="F2F2F2"/>
          </w:tcPr>
          <w:p>
            <w:pPr>
              <w:jc w:val="left"/>
            </w:pPr>
            <w:r/>
            <w:r>
              <w:rPr>
                <w:b w:val="0"/>
                <w:sz w:val="15"/>
              </w:rPr>
              <w:t>Fase 4</w:t>
            </w:r>
          </w:p>
        </w:tc>
        <w:tc>
          <w:tcPr>
            <w:tcW w:type="dxa" w:w="2088"/>
            <w:vAlign w:val="center"/>
            <w:shd w:fill="F2F2F2"/>
          </w:tcPr>
          <w:p>
            <w:pPr>
              <w:jc w:val="left"/>
            </w:pPr>
            <w:r/>
            <w:r>
              <w:rPr>
                <w:b w:val="0"/>
                <w:sz w:val="15"/>
              </w:rPr>
              <w:t>Interoperabilidad</w:t>
            </w:r>
          </w:p>
        </w:tc>
        <w:tc>
          <w:tcPr>
            <w:tcW w:type="dxa" w:w="5760"/>
            <w:vAlign w:val="center"/>
            <w:shd w:fill="F2F2F2"/>
          </w:tcPr>
          <w:p>
            <w:pPr>
              <w:jc w:val="left"/>
            </w:pPr>
            <w:r/>
            <w:r>
              <w:rPr>
                <w:b w:val="0"/>
                <w:sz w:val="15"/>
              </w:rPr>
              <w:t>EMA, CONANP, COA/SEMARNAT, CONABIO, CONAGUA, SEPOMEX, CFE y otras fuentes autorizadas.</w:t>
            </w:r>
          </w:p>
        </w:tc>
        <w:tc>
          <w:tcPr>
            <w:tcW w:type="dxa" w:w="1872"/>
            <w:vAlign w:val="center"/>
            <w:shd w:fill="F2F2F2"/>
          </w:tcPr>
          <w:p>
            <w:pPr>
              <w:jc w:val="left"/>
            </w:pPr>
            <w:r/>
            <w:r>
              <w:rPr>
                <w:b w:val="0"/>
                <w:sz w:val="15"/>
              </w:rPr>
              <w:t>Matriz de integraciones y contratos.</w:t>
            </w:r>
          </w:p>
        </w:tc>
      </w:tr>
      <w:tr>
        <w:tc>
          <w:tcPr>
            <w:tcW w:type="dxa" w:w="1080"/>
            <w:vAlign w:val="center"/>
          </w:tcPr>
          <w:p>
            <w:pPr>
              <w:jc w:val="left"/>
            </w:pPr>
            <w:r/>
            <w:r>
              <w:rPr>
                <w:b w:val="0"/>
                <w:sz w:val="15"/>
              </w:rPr>
              <w:t>Fase 5</w:t>
            </w:r>
          </w:p>
        </w:tc>
        <w:tc>
          <w:tcPr>
            <w:tcW w:type="dxa" w:w="2088"/>
            <w:vAlign w:val="center"/>
          </w:tcPr>
          <w:p>
            <w:pPr>
              <w:jc w:val="left"/>
            </w:pPr>
            <w:r/>
            <w:r>
              <w:rPr>
                <w:b w:val="0"/>
                <w:sz w:val="15"/>
              </w:rPr>
              <w:t>BI</w:t>
            </w:r>
          </w:p>
        </w:tc>
        <w:tc>
          <w:tcPr>
            <w:tcW w:type="dxa" w:w="5760"/>
            <w:vAlign w:val="center"/>
          </w:tcPr>
          <w:p>
            <w:pPr>
              <w:jc w:val="left"/>
            </w:pPr>
            <w:r/>
            <w:r>
              <w:rPr>
                <w:b w:val="0"/>
                <w:sz w:val="15"/>
              </w:rPr>
              <w:t>Modelo de hechos/dimensiones, KPIs, capa semántica, dashboards por rol y gobierno del dato.</w:t>
            </w:r>
          </w:p>
        </w:tc>
        <w:tc>
          <w:tcPr>
            <w:tcW w:type="dxa" w:w="1872"/>
            <w:vAlign w:val="center"/>
          </w:tcPr>
          <w:p>
            <w:pPr>
              <w:jc w:val="left"/>
            </w:pPr>
            <w:r/>
            <w:r>
              <w:rPr>
                <w:b w:val="0"/>
                <w:sz w:val="15"/>
              </w:rPr>
              <w:t>Prototipo BI y catálogo de indicadores.</w:t>
            </w:r>
          </w:p>
        </w:tc>
      </w:tr>
      <w:tr>
        <w:tc>
          <w:tcPr>
            <w:tcW w:type="dxa" w:w="1080"/>
            <w:vAlign w:val="center"/>
            <w:shd w:fill="F2F2F2"/>
          </w:tcPr>
          <w:p>
            <w:pPr>
              <w:jc w:val="left"/>
            </w:pPr>
            <w:r/>
            <w:r>
              <w:rPr>
                <w:b w:val="0"/>
                <w:sz w:val="15"/>
              </w:rPr>
              <w:t>Fase 6</w:t>
            </w:r>
          </w:p>
        </w:tc>
        <w:tc>
          <w:tcPr>
            <w:tcW w:type="dxa" w:w="2088"/>
            <w:vAlign w:val="center"/>
            <w:shd w:fill="F2F2F2"/>
          </w:tcPr>
          <w:p>
            <w:pPr>
              <w:jc w:val="left"/>
            </w:pPr>
            <w:r/>
            <w:r>
              <w:rPr>
                <w:b w:val="0"/>
                <w:sz w:val="15"/>
              </w:rPr>
              <w:t>MVP</w:t>
            </w:r>
          </w:p>
        </w:tc>
        <w:tc>
          <w:tcPr>
            <w:tcW w:type="dxa" w:w="5760"/>
            <w:vAlign w:val="center"/>
            <w:shd w:fill="F2F2F2"/>
          </w:tcPr>
          <w:p>
            <w:pPr>
              <w:jc w:val="left"/>
            </w:pPr>
            <w:r/>
            <w:r>
              <w:rPr>
                <w:b w:val="0"/>
                <w:sz w:val="15"/>
              </w:rPr>
              <w:t>Construcción incremental por capacidades, pruebas funcionales, seguridad, rendimiento y aceptación.</w:t>
            </w:r>
          </w:p>
        </w:tc>
        <w:tc>
          <w:tcPr>
            <w:tcW w:type="dxa" w:w="1872"/>
            <w:vAlign w:val="center"/>
            <w:shd w:fill="F2F2F2"/>
          </w:tcPr>
          <w:p>
            <w:pPr>
              <w:jc w:val="left"/>
            </w:pPr>
            <w:r/>
            <w:r>
              <w:rPr>
                <w:b w:val="0"/>
                <w:sz w:val="15"/>
              </w:rPr>
              <w:t>MVP verificable.</w:t>
            </w:r>
          </w:p>
        </w:tc>
      </w:tr>
    </w:tbl>
    <w:p/>
    <w:p>
      <w:pPr>
        <w:pStyle w:val="Heading2"/>
      </w:pPr>
      <w:r>
        <w:t>25.1 Decisiones que deben obtenerse de la SPA/PROFEPA</w:t>
      </w:r>
    </w:p>
    <w:p>
      <w:pPr>
        <w:pStyle w:val="ListNumber"/>
      </w:pPr>
      <w:r>
        <w:t>Catálogo de procesos/trámites que sí formarán parte de la primera versión.</w:t>
      </w:r>
    </w:p>
    <w:p>
      <w:pPr>
        <w:pStyle w:val="ListNumber"/>
      </w:pPr>
      <w:r>
        <w:t>Confirmación de funcionalidades actuales que se eliminan, se conservan o se rediseñan.</w:t>
      </w:r>
    </w:p>
    <w:p>
      <w:pPr>
        <w:pStyle w:val="ListNumber"/>
      </w:pPr>
      <w:r>
        <w:t>Definición del tratamiento de MULTIREGION y de las actividades realizadas fuera del sistema.</w:t>
      </w:r>
    </w:p>
    <w:p>
      <w:pPr>
        <w:pStyle w:val="ListNumber"/>
      </w:pPr>
      <w:r>
        <w:t>Definición de clasificación de información y reglas de publicación/consulta.</w:t>
      </w:r>
    </w:p>
    <w:p>
      <w:pPr>
        <w:pStyle w:val="ListNumber"/>
      </w:pPr>
      <w:r>
        <w:t>Alcance jurídico y técnico de firma electrónica avanzada/FIEL.</w:t>
      </w:r>
    </w:p>
    <w:p>
      <w:pPr>
        <w:pStyle w:val="ListNumber"/>
      </w:pPr>
      <w:r>
        <w:t>Alcance del módulo de concertación y del vínculo con otros procesos.</w:t>
      </w:r>
    </w:p>
    <w:p>
      <w:pPr>
        <w:pStyle w:val="ListNumber"/>
      </w:pPr>
      <w:r>
        <w:t>Definición de indicadores institucionales y responsables de su certificación.</w:t>
      </w:r>
    </w:p>
    <w:p>
      <w:pPr>
        <w:pStyle w:val="ListNumber"/>
      </w:pPr>
      <w:r>
        <w:t>Decisión de arquitectura de despliegue: infraestructura institucional, nube, híbrida o combinación autorizada.</w:t>
      </w:r>
    </w:p>
    <w:p>
      <w:pPr>
        <w:pStyle w:val="ListNumber"/>
      </w:pPr>
      <w:r>
        <w:t>Decisión de estrategia BI y criterios de selección de herramienta.</w:t>
      </w:r>
    </w:p>
    <w:p>
      <w:pPr>
        <w:pStyle w:val="ListNumber"/>
      </w:pPr>
      <w:r>
        <w:t>Política de migración/convivencia con SAAEL 2.0 y conservación de expedientes históricos.</w:t>
      </w:r>
    </w:p>
    <w:p>
      <w:r>
        <w:br w:type="page"/>
      </w:r>
    </w:p>
    <w:p>
      <w:pPr>
        <w:pStyle w:val="Heading1"/>
      </w:pPr>
      <w:r>
        <w:t>26. Referencias tecnológicas externas de contexto</w:t>
      </w:r>
    </w:p>
    <w:p>
      <w:pPr>
        <w:pStyle w:val="ListBullet"/>
      </w:pPr>
      <w:r>
        <w:t>NIST SP 800-207, Zero Trust Architecture: referencia conceptual para identidad, autorización y protección de recursos.</w:t>
      </w:r>
    </w:p>
    <w:p>
      <w:pPr>
        <w:pStyle w:val="ListBullet"/>
      </w:pPr>
      <w:r>
        <w:t>Microsoft Learn — Microsoft Fabric / OneLake / Lakehouse: referencia para patrones de plataforma de datos y almacenamiento analítico.</w:t>
      </w:r>
    </w:p>
    <w:p>
      <w:pPr>
        <w:pStyle w:val="ListBullet"/>
      </w:pPr>
      <w:r>
        <w:t>Microsoft Learn — Power BI semantic models / Direct Lake: referencia para modelos semánticos y explotación sobre datos analíticos.</w:t>
      </w:r>
    </w:p>
    <w:p>
      <w:pPr>
        <w:pStyle w:val="ListBullet"/>
      </w:pPr>
      <w:r>
        <w:t>Tableau — Tableau Semantics / Tableau Pulse: referencia para capa semántica, métricas y analítica asistida.</w:t>
      </w:r>
    </w:p>
    <w:p>
      <w:pPr>
        <w:pStyle w:val="ListBullet"/>
      </w:pPr>
      <w:r>
        <w:t>Qlik Help — Analytics Platform: referencia para plataforma analítica y arquitectura de servicios.</w:t>
      </w:r>
    </w:p>
    <w:p>
      <w:pPr>
        <w:pStyle w:val="ListBullet"/>
      </w:pPr>
      <w:r>
        <w:t>Google Cloud — Looker Modeling / LookML: referencia para modelado semántico gobernado.</w:t>
      </w:r>
    </w:p>
    <w:p>
      <w:pPr>
        <w:pStyle w:val="ListBullet"/>
      </w:pPr>
      <w:r>
        <w:t>Apache Superset — documentación oficial: referencia de BI open source, SQL y dashboards.</w:t>
      </w:r>
    </w:p>
    <w:p>
      <w:pPr>
        <w:pStyle w:val="ListBullet"/>
      </w:pPr>
      <w:r>
        <w:t>Metabase — documentación oficial: referencia de BI/self-service y despliegue self-hosted/cloud.</w:t>
      </w:r>
    </w:p>
    <w:p>
      <w:r>
        <w:t>Estas referencias se utilizaron exclusivamente para enriquecer las secciones de tendencias arquitectónicas y opciones BI; no sustituyen las validaciones institucionales, jurídicas o de infraestructura.</w:t>
      </w:r>
    </w:p>
    <w:p>
      <w:pPr>
        <w:pStyle w:val="Heading1"/>
      </w:pPr>
      <w:r>
        <w:t>27. Dictamen actualizado</w:t>
      </w:r>
    </w:p>
    <w:p>
      <w:r>
        <w:t>Con la incorporación de las Minutas No. 02 y No. 03, el alcance de SAAEL se perfila con mayor claridad como una plataforma de gestión de procesos regulatorios y ambientales, con expediente electrónico, interoperabilidad, generación/formalización documental, reglas parametrizables y explotación analítica. Los nuevos acuerdos refuerzan que la solución no debe limitarse a replicar SAAEL 2.0: debe identificar qué capacidades se conservan, cuáles se eliminan y cuáles se rediseñan.</w:t>
      </w:r>
    </w:p>
    <w:p>
      <w:r>
        <w:t>La recomendación técnica es mantener una arquitectura modular y API-first, con servicios especializados para integración, documentos/firma, notificaciones y analítica; utilizar una capa de datos analíticos separada del OLTP; establecer una capa semántica gobernada para BI; y aplicar seguridad, trazabilidad y clasificación de información desde el diseño.</w:t>
      </w:r>
    </w:p>
    <w:p>
      <w:r>
        <w:t>El siguiente entregable recomendado no es todavía un diseño de pantallas. Es una especificación funcional y de arquitectura validada que contenga: inventario de procesos, AS-IS/TO-BE, requisitos, reglas, modelo de datos, matriz de integraciones, modelo documental, seguridad, indicadores BI, criterios de aceptación y estrategia de migración/convivencia.</w:t>
      </w:r>
    </w:p>
    <w:tbl>
      <w:tblPr>
        <w:tblStyle w:val="TableGrid"/>
        <w:tblW w:type="auto" w:w="0"/>
        <w:tblLook w:firstColumn="1" w:firstRow="1" w:lastColumn="0" w:lastRow="0" w:noHBand="0" w:noVBand="1" w:val="04A0"/>
      </w:tblPr>
      <w:tblGrid>
        <w:gridCol w:w="10224"/>
      </w:tblGrid>
      <w:tr>
        <w:tc>
          <w:tcPr>
            <w:tcW w:type="dxa" w:w="10224"/>
            <w:shd w:fill="EAF2F8"/>
          </w:tcPr>
          <w:p>
            <w:r>
              <w:rPr>
                <w:b/>
                <w:color w:val="1F4E79"/>
              </w:rPr>
              <w:t>Criterio de cierre actualizado</w:t>
            </w:r>
            <w:r>
              <w:t xml:space="preserve">  La etapa de análisis se considera suficientemente madura para diseño/construcción cuando cada proceso prioritario tenga trazabilidad proceso → requisito → regla → dato → integración → caso de uso → criterio de aceptación → prueba.</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Plataforma Integral de PROFEPA 1.0 — Documento actualizado v2.0 | Base para análisis AS-IS/TO-BE, arquitectura y BI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B7D7D"/>
        <w:sz w:val="16"/>
      </w:rPr>
      <w:t>Plataforma Integral de PROFEPA 1.0 — Análisis de requerimientos y procesos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4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6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