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" w:line="240" w:lineRule="auto"/>
      </w:pPr>
      <w:r>
        <w:rPr>
          <w:rFonts w:ascii="Arial" w:hAnsi="Arial"/>
          <w:b/>
          <w:i w:val="0"/>
          <w:color w:val="12314D"/>
          <w:sz w:val="42"/>
        </w:rPr>
        <w:t>XUEHAO XU</w:t>
      </w:r>
      <w:r>
        <w:rPr>
          <w:rFonts w:ascii="Arial" w:hAnsi="Arial"/>
          <w:b w:val="0"/>
          <w:i w:val="0"/>
          <w:color w:val="5E6C77"/>
          <w:sz w:val="20"/>
        </w:rPr>
        <w:t xml:space="preserve">  |  Research CV</w:t>
      </w:r>
    </w:p>
    <w:p>
      <w:pPr>
        <w:keepNext w:val="0"/>
        <w:spacing w:before="0" w:after="60" w:line="240" w:lineRule="auto"/>
        <w:pBdr>
          <w:bottom w:val="single" w:sz="6" w:space="4" w:color="1E6E96"/>
        </w:pBdr>
      </w:pPr>
      <w:r>
        <w:rPr>
          <w:rFonts w:ascii="Arial" w:hAnsi="Arial"/>
          <w:b w:val="0"/>
          <w:i w:val="0"/>
          <w:color w:val="5E6C77"/>
          <w:sz w:val="17"/>
        </w:rPr>
        <w:t>Email: xuxue6800@gmail.com | GitHub: github.com/srontover | Homepage: srontover.github.io</w:t>
      </w:r>
    </w:p>
    <w:p>
      <w:pPr>
        <w:keepNext/>
        <w:spacing w:before="100" w:after="6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RESEARCH INTERESTS</w:t>
      </w:r>
    </w:p>
    <w:p>
      <w:pPr>
        <w:keepNext w:val="0"/>
        <w:spacing w:before="0" w:after="50" w:line="240" w:lineRule="auto"/>
      </w:pPr>
      <w:r>
        <w:rPr>
          <w:rFonts w:ascii="Arial" w:hAnsi="Arial"/>
          <w:b w:val="0"/>
          <w:i w:val="0"/>
          <w:color w:val="1D2730"/>
          <w:sz w:val="18"/>
        </w:rPr>
        <w:t>Humanoid Robot Learning; Reinforcement Learning and Learning-Based Control; Motion Priors and Imitation Learning; Unified Skill Policies; Whole-Body Control; Contact-Rich Physical Skills; Sim-to-Real Transfer</w:t>
      </w:r>
    </w:p>
    <w:p>
      <w:pPr>
        <w:keepNext/>
        <w:spacing w:before="100" w:after="6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EDUCATION</w:t>
      </w:r>
    </w:p>
    <w:p>
      <w:pPr>
        <w:keepNext/>
        <w:spacing w:before="0" w:after="10" w:line="240" w:lineRule="auto"/>
      </w:pPr>
      <w:r>
        <w:rPr>
          <w:rFonts w:ascii="Arial" w:hAnsi="Arial"/>
          <w:b/>
          <w:i w:val="0"/>
          <w:color w:val="12314D"/>
          <w:sz w:val="20"/>
        </w:rPr>
        <w:t>Nanjing University of Posts and Telecommunications (NJUPT)</w:t>
      </w:r>
    </w:p>
    <w:p>
      <w:pPr>
        <w:keepNext w:val="0"/>
        <w:spacing w:before="0" w:after="12" w:line="240" w:lineRule="auto"/>
      </w:pPr>
      <w:r>
        <w:rPr>
          <w:rFonts w:ascii="Arial" w:hAnsi="Arial"/>
          <w:b w:val="0"/>
          <w:i w:val="0"/>
          <w:color w:val="5E6C77"/>
          <w:sz w:val="18"/>
        </w:rPr>
        <w:t>B.Eng. Candidate in Artificial Intelligence | Expected Graduation: 2028</w:t>
      </w:r>
    </w:p>
    <w:p>
      <w:pPr>
        <w:keepNext w:val="0"/>
        <w:spacing w:before="0" w:after="40" w:line="240" w:lineRule="auto"/>
      </w:pPr>
      <w:r>
        <w:rPr>
          <w:rFonts w:ascii="Arial" w:hAnsi="Arial"/>
          <w:b w:val="0"/>
          <w:i w:val="0"/>
          <w:color w:val="1D2730"/>
          <w:sz w:val="18"/>
        </w:rPr>
        <w:t>GPA: 4.08/5.0 | Ranked 3/133 in Artificial Intelligence</w:t>
      </w:r>
    </w:p>
    <w:p>
      <w:pPr>
        <w:keepNext/>
        <w:spacing w:before="100" w:after="6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RESEARCH EXPERIENCE</w:t>
      </w:r>
    </w:p>
    <w:p>
      <w:pPr>
        <w:keepNext/>
        <w:tabs>
          <w:tab w:pos="10253" w:val="right"/>
        </w:tabs>
        <w:spacing w:before="40" w:after="8" w:line="240" w:lineRule="auto"/>
      </w:pPr>
      <w:r>
        <w:rPr>
          <w:rFonts w:ascii="Arial" w:hAnsi="Arial"/>
          <w:b/>
          <w:i w:val="0"/>
          <w:color w:val="12314D"/>
          <w:sz w:val="20"/>
        </w:rPr>
        <w:t>Humanoid Robot Learning and Motion Prior Research</w:t>
      </w:r>
      <w:r>
        <w:rPr>
          <w:rFonts w:ascii="Arial" w:hAnsi="Arial"/>
          <w:b w:val="0"/>
          <w:i/>
          <w:color w:val="5E6C77"/>
          <w:sz w:val="18"/>
        </w:rPr>
        <w:tab/>
        <w:t>Sep 2026-Present</w:t>
      </w:r>
    </w:p>
    <w:p>
      <w:pPr>
        <w:keepNext/>
        <w:spacing w:before="0" w:after="12" w:line="240" w:lineRule="auto"/>
      </w:pPr>
      <w:r>
        <w:rPr>
          <w:rFonts w:ascii="Arial" w:hAnsi="Arial"/>
          <w:b w:val="0"/>
          <w:i/>
          <w:color w:val="5E6C77"/>
          <w:sz w:val="17"/>
        </w:rPr>
        <w:t>The Chinese University of Hong Kong | Research Intern (Remote) | Supervised by Dr. Zike Yan (Tsinghua AIR) and Prof. Zhongyu Li (CUHK MAE)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Participating in research training on humanoid robot learning, whole-body control, motion imitation and motion priors, and task adaptation through literature review, paper presentations, research-question formulation, and experiment planning.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Reviewed RoboNaldo, Humanoid Goalkeeper, PAiD, PGMT, SMP, ADD, ConsMimic, and CMDP, analyzing conflicts between task objectives and motion imitation or priors, conditional relaxation, and multi-objective formulations.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Exploring unified policies, skill-transition and OOD issues from discontinuous motion data, and human-like motion guidance beyond joint-level tracking errors; planning reproduction of SMP and soccer-related baselines.</w:t>
      </w:r>
    </w:p>
    <w:p>
      <w:pPr>
        <w:keepNext/>
        <w:tabs>
          <w:tab w:pos="10253" w:val="right"/>
        </w:tabs>
        <w:spacing w:before="40" w:after="8" w:line="240" w:lineRule="auto"/>
      </w:pPr>
      <w:r>
        <w:rPr>
          <w:rFonts w:ascii="Arial" w:hAnsi="Arial"/>
          <w:b/>
          <w:i w:val="0"/>
          <w:color w:val="12314D"/>
          <w:sz w:val="20"/>
        </w:rPr>
        <w:t>Reinforcement Learning for Dynamic Humanoid Skills</w:t>
      </w:r>
      <w:r>
        <w:rPr>
          <w:rFonts w:ascii="Arial" w:hAnsi="Arial"/>
          <w:b w:val="0"/>
          <w:i/>
          <w:color w:val="5E6C77"/>
          <w:sz w:val="18"/>
        </w:rPr>
        <w:tab/>
        <w:t>2026-Present</w:t>
      </w:r>
    </w:p>
    <w:p>
      <w:pPr>
        <w:keepNext/>
        <w:spacing w:before="0" w:after="12" w:line="240" w:lineRule="auto"/>
      </w:pPr>
      <w:r>
        <w:rPr>
          <w:rFonts w:ascii="Arial" w:hAnsi="Arial"/>
          <w:b w:val="0"/>
          <w:i/>
          <w:color w:val="5E6C77"/>
          <w:sz w:val="17"/>
        </w:rPr>
        <w:t>Independent Project | Booster T1 Locomotion, Kicking, and Conditional AMP Exploration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Implemented and modified reinforcement-learning environments for a 23-DoF Booster T1 humanoid using MuJoCo, MJLab, and Warp; trained locomotion and kicking skills with PPO.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Configured 8,192 parallel environments and implemented observation and action spaces, ball-reset logic, contact detection, reward shaping, termination conditions, and curriculum learning.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Established a training and evaluation workflow for approach, stance adjustment, forward kicking, and recovery; analyzed contact quality, ball velocity, target-direction error, termination causes, and training stability. High-precision kicking accuracy remains under optimization.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Investigating Conditional AMP and motion-prior approaches for expert-motion and policy-condition alignment, skill generalization, and training stability.</w:t>
      </w:r>
    </w:p>
    <w:p>
      <w:pPr>
        <w:keepNext/>
        <w:tabs>
          <w:tab w:pos="10253" w:val="right"/>
        </w:tabs>
        <w:spacing w:before="40" w:after="8" w:line="240" w:lineRule="auto"/>
      </w:pPr>
      <w:r>
        <w:rPr>
          <w:rFonts w:ascii="Arial" w:hAnsi="Arial"/>
          <w:b/>
          <w:i w:val="0"/>
          <w:color w:val="12314D"/>
          <w:sz w:val="20"/>
        </w:rPr>
        <w:t>Robot Hand-Eye Calibration with 3D Sensing and Geometric Constraints</w:t>
      </w:r>
      <w:r>
        <w:rPr>
          <w:rFonts w:ascii="Arial" w:hAnsi="Arial"/>
          <w:b w:val="0"/>
          <w:i/>
          <w:color w:val="5E6C77"/>
          <w:sz w:val="18"/>
        </w:rPr>
        <w:tab/>
        <w:t>2026</w:t>
      </w:r>
    </w:p>
    <w:p>
      <w:pPr>
        <w:keepNext/>
        <w:spacing w:before="0" w:after="12" w:line="240" w:lineRule="auto"/>
      </w:pPr>
      <w:r>
        <w:rPr>
          <w:rFonts w:ascii="Arial" w:hAnsi="Arial"/>
          <w:b w:val="0"/>
          <w:i/>
          <w:color w:val="5E6C77"/>
          <w:sz w:val="17"/>
        </w:rPr>
        <w:t>Nanjing University of Posts and Telecommunications | Research Project | Manuscript in Preparation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Conducted hand-eye calibration research for industrial robot and 3D vision systems using an ABB IRB-120/IRC5 and Keyence LJ-X8000A/LJ-X8060 sensors, including robot motion, I/O triggering, profile acquisition, and system integration.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Designed and evaluated a multi-stage calibration workflow with orthogonal geometric pre-calibration, dynamic point-cloud screening, refinement optimization, and independent testing.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Collected multi-pose, multi-edge, and multi-point data and helped address practical system issues including robot zeroing, SMB battery maintenance, and trigger synchronization. Published patent application: CN121821412A; manuscript in preparation.</w:t>
      </w:r>
    </w:p>
    <w:p>
      <w:pPr>
        <w:keepNext/>
        <w:spacing w:before="100" w:after="6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COMPETITION ENGINEERING EXPERIENCE</w:t>
      </w:r>
    </w:p>
    <w:p>
      <w:pPr>
        <w:keepNext/>
        <w:tabs>
          <w:tab w:pos="10253" w:val="right"/>
        </w:tabs>
        <w:spacing w:before="40" w:after="8" w:line="240" w:lineRule="auto"/>
      </w:pPr>
      <w:r>
        <w:rPr>
          <w:rFonts w:ascii="Arial" w:hAnsi="Arial"/>
          <w:b/>
          <w:i w:val="0"/>
          <w:color w:val="12314D"/>
          <w:sz w:val="20"/>
        </w:rPr>
        <w:t>Autonomous Aiming Device</w:t>
      </w:r>
      <w:r>
        <w:rPr>
          <w:rFonts w:ascii="Arial" w:hAnsi="Arial"/>
          <w:b w:val="0"/>
          <w:i/>
          <w:color w:val="5E6C77"/>
          <w:sz w:val="18"/>
        </w:rPr>
        <w:tab/>
        <w:t>2024</w:t>
      </w:r>
    </w:p>
    <w:p>
      <w:pPr>
        <w:keepNext/>
        <w:spacing w:before="0" w:after="12" w:line="240" w:lineRule="auto"/>
      </w:pPr>
      <w:r>
        <w:rPr>
          <w:rFonts w:ascii="Arial" w:hAnsi="Arial"/>
          <w:b w:val="0"/>
          <w:i/>
          <w:color w:val="5E6C77"/>
          <w:sz w:val="17"/>
        </w:rPr>
        <w:t>National Undergraduate Electronic Design Contest | Vision Perception and Target Tracking | Three-Member Team | Jiangsu Provincial Third Prize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Built a real-time visual-processing pipeline with a Raspberry Pi and industrial camera; responsible for target detection, target-center localization, and continuous tracking.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Implemented color-threshold segmentation, contour extraction, and circle detection in OpenCV with approximately 30 Hz feedback; tuned thresholds and target-selection logic for vehicle and gimbal motion, then integrated the pipeline with gimbal and actuator-control modules for closed-loop aiming.</w:t>
      </w:r>
    </w:p>
    <w:p>
      <w:pPr>
        <w:keepNext/>
        <w:spacing w:before="100" w:after="6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TECHNICAL SKILLS</w:t>
      </w:r>
    </w:p>
    <w:p>
      <w:pPr>
        <w:keepNext w:val="0"/>
        <w:spacing w:before="0" w:after="16" w:line="240" w:lineRule="auto"/>
      </w:pPr>
      <w:r>
        <w:rPr>
          <w:rFonts w:ascii="Arial" w:hAnsi="Arial"/>
          <w:b/>
          <w:i w:val="0"/>
          <w:color w:val="12314D"/>
          <w:sz w:val="17"/>
        </w:rPr>
        <w:t xml:space="preserve">Programming and Engineering: </w:t>
      </w:r>
      <w:r>
        <w:rPr>
          <w:rFonts w:ascii="Arial" w:hAnsi="Arial"/>
          <w:b w:val="0"/>
          <w:i w:val="0"/>
          <w:color w:val="1D2730"/>
          <w:sz w:val="17"/>
        </w:rPr>
        <w:t>Python, C++, Git/GitHub, Linux</w:t>
      </w:r>
    </w:p>
    <w:p>
      <w:pPr>
        <w:keepNext w:val="0"/>
        <w:spacing w:before="0" w:after="16" w:line="240" w:lineRule="auto"/>
      </w:pPr>
      <w:r>
        <w:rPr>
          <w:rFonts w:ascii="Arial" w:hAnsi="Arial"/>
          <w:b/>
          <w:i w:val="0"/>
          <w:color w:val="12314D"/>
          <w:sz w:val="17"/>
        </w:rPr>
        <w:t xml:space="preserve">ML and Robot Learning: </w:t>
      </w:r>
      <w:r>
        <w:rPr>
          <w:rFonts w:ascii="Arial" w:hAnsi="Arial"/>
          <w:b w:val="0"/>
          <w:i w:val="0"/>
          <w:color w:val="1D2730"/>
          <w:sz w:val="17"/>
        </w:rPr>
        <w:t>PyTorch, PPO, reward design, curriculum learning, humanoid motion control, motion imitation, motion priors, Conditional AMP</w:t>
      </w:r>
    </w:p>
    <w:p>
      <w:pPr>
        <w:keepNext w:val="0"/>
        <w:spacing w:before="0" w:after="16" w:line="240" w:lineRule="auto"/>
      </w:pPr>
      <w:r>
        <w:rPr>
          <w:rFonts w:ascii="Arial" w:hAnsi="Arial"/>
          <w:b/>
          <w:i w:val="0"/>
          <w:color w:val="12314D"/>
          <w:sz w:val="17"/>
        </w:rPr>
        <w:t xml:space="preserve">Simulation, Robotics, and Vision: </w:t>
      </w:r>
      <w:r>
        <w:rPr>
          <w:rFonts w:ascii="Arial" w:hAnsi="Arial"/>
          <w:b w:val="0"/>
          <w:i w:val="0"/>
          <w:color w:val="1D2730"/>
          <w:sz w:val="17"/>
        </w:rPr>
        <w:t>MuJoCo, MJLab, Warp, ABB RAPID, robot calibration, 3D sensing, point-cloud processing, OpenCV, target tracking, camera-control integration</w:t>
      </w:r>
    </w:p>
    <w:p>
      <w:pPr>
        <w:keepNext/>
        <w:spacing w:before="100" w:after="60" w:line="240" w:lineRule="auto"/>
        <w:pBdr>
          <w:bottom w:val="single" w:sz="6" w:space="4" w:color="C8D4DE"/>
        </w:pBdr>
      </w:pPr>
      <w:r>
        <w:rPr>
          <w:rFonts w:ascii="Arial" w:hAnsi="Arial"/>
          <w:b/>
          <w:i w:val="0"/>
          <w:color w:val="1E6E96"/>
          <w:sz w:val="18"/>
        </w:rPr>
        <w:t>HONORS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Third Place, RoboCup China Open 3D Simulation League, 2025.</w:t>
      </w:r>
    </w:p>
    <w:p>
      <w:pPr>
        <w:pStyle w:val="ListBullet"/>
        <w:keepNext w:val="0"/>
        <w:spacing w:before="0" w:after="10" w:line="240" w:lineRule="auto"/>
        <w:ind w:left="274" w:hanging="202"/>
      </w:pPr>
      <w:r>
        <w:rPr>
          <w:rFonts w:ascii="Arial" w:hAnsi="Arial"/>
          <w:b w:val="0"/>
          <w:i w:val="0"/>
          <w:color w:val="1D2730"/>
          <w:sz w:val="17"/>
        </w:rPr>
        <w:t>Third Place, Jiangsu Provincial Robot Competition, 3D Simulation Group, 2025.</w:t>
      </w:r>
    </w:p>
    <w:sectPr w:rsidR="00FC693F" w:rsidRPr="0006063C" w:rsidSect="00034616">
      <w:footerReference w:type="default" r:id="rId9"/>
      <w:pgSz w:w="12240" w:h="15840"/>
      <w:pgMar w:top="576" w:right="979" w:bottom="54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5E6C77"/>
        <w:sz w:val="15"/>
      </w:rPr>
      <w:t>Xuehao Xu | Research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27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80" w:after="80"/>
    </w:pPr>
    <w:rPr>
      <w:rFonts w:ascii="Cambria Math" w:hAnsi="Cambria Math" w:eastAsia="Cambria Math" w:cs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Xuehao Xu - Research CV</dc:title>
  <dc:subject>Research CV</dc:subject>
  <dc:creator>Xuehao Xu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