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Master Thesis</w:t>
      </w:r>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NOVA Information Management School</w:t>
      </w:r>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NOVA Information Management School</w:t>
      </w:r>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r w:rsidRPr="004F300B">
        <w:t>by</w:t>
      </w:r>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Master’s degree in </w:t>
      </w:r>
      <w:r w:rsidR="004F4B92" w:rsidRPr="007C4C41">
        <w:t>Data</w:t>
      </w:r>
      <w:r w:rsidR="00574025" w:rsidRPr="007C4C41">
        <w:t xml:space="preserve"> Science and Advanced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r w:rsidRPr="006719CE">
        <w:rPr>
          <w:b/>
          <w:bCs/>
          <w:sz w:val="28"/>
          <w:szCs w:val="24"/>
          <w:lang w:val="pt-PT"/>
        </w:rPr>
        <w:t>Supervised by</w:t>
      </w:r>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s Portas Pinheiro, PhD, NOVA Information Management School</w:t>
      </w:r>
    </w:p>
    <w:p w14:paraId="4E16222F" w14:textId="0D81F152" w:rsidR="00BB7E75" w:rsidRPr="00BB7E75" w:rsidRDefault="00BB7E75" w:rsidP="00FB78AB">
      <w:pPr>
        <w:jc w:val="center"/>
        <w:rPr>
          <w:lang w:val="pt-PT"/>
        </w:rPr>
      </w:pPr>
      <w:r w:rsidRPr="00BB7E75">
        <w:rPr>
          <w:lang w:val="pt-PT"/>
        </w:rPr>
        <w:t>António Bernardo Curado Estevão, MSc, NOVA Information Management School</w:t>
      </w:r>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4A282E3B"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840AF6" w:rsidRPr="006719CE">
        <w:t>A</w:t>
      </w:r>
      <w:r w:rsidR="001018BE" w:rsidRPr="006719CE">
        <w:t>pril</w:t>
      </w:r>
      <w:r w:rsidR="00631235" w:rsidRPr="006719CE">
        <w:t>,</w:t>
      </w:r>
      <w:r w:rsidRPr="006719CE">
        <w:t xml:space="preserve"> </w:t>
      </w:r>
      <w:r w:rsidR="001018BE" w:rsidRPr="006719CE">
        <w:t>2025</w:t>
      </w:r>
    </w:p>
    <w:p w14:paraId="5ED087DD" w14:textId="3391A0B5" w:rsidR="00CC3450" w:rsidRPr="007C4C41" w:rsidRDefault="00CC3450" w:rsidP="004524FE">
      <w:pPr>
        <w:pStyle w:val="Heading5"/>
        <w:rPr>
          <w:rFonts w:eastAsia="Calibri"/>
          <w:bCs/>
          <w:caps w:val="0"/>
        </w:rPr>
      </w:pPr>
      <w:bookmarkStart w:id="0" w:name="_Toc146547676"/>
      <w:bookmarkStart w:id="1" w:name="_Toc195986345"/>
      <w:r w:rsidRPr="007C4C41">
        <w:lastRenderedPageBreak/>
        <w:t>S</w:t>
      </w:r>
      <w:r w:rsidR="00AD3A9E" w:rsidRPr="007C4C41">
        <w:t>tatement of Integrity</w:t>
      </w:r>
      <w:bookmarkEnd w:id="0"/>
      <w:bookmarkEnd w:id="1"/>
      <w:r w:rsidRPr="007C4C41">
        <w:br/>
      </w:r>
    </w:p>
    <w:p w14:paraId="6FB4095C" w14:textId="3E7AD127"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255F7CC7" w:rsidR="00906560" w:rsidRPr="007C4C41" w:rsidRDefault="00C12560" w:rsidP="004524FE">
      <w:pPr>
        <w:pStyle w:val="Heading5"/>
      </w:pPr>
      <w:bookmarkStart w:id="2" w:name="_Toc146547677"/>
      <w:bookmarkStart w:id="3" w:name="_Toc195986346"/>
      <w:r w:rsidRPr="007C4C41">
        <w:lastRenderedPageBreak/>
        <w:t>D</w:t>
      </w:r>
      <w:r w:rsidR="00AD3A9E" w:rsidRPr="007C4C41">
        <w:t>edication</w:t>
      </w:r>
      <w:bookmarkEnd w:id="2"/>
      <w:bookmarkEnd w:id="3"/>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59D2ADE9" w14:textId="19B54608" w:rsidR="00906560" w:rsidRPr="007C4C41" w:rsidRDefault="00985186" w:rsidP="0067661D">
      <w:pPr>
        <w:pStyle w:val="Heading5"/>
        <w:spacing w:after="240"/>
      </w:pPr>
      <w:bookmarkStart w:id="4" w:name="_Toc146547678"/>
      <w:bookmarkStart w:id="5" w:name="_Toc195986347"/>
      <w:r w:rsidRPr="007C4C41">
        <w:lastRenderedPageBreak/>
        <w:t>Acknowledgements</w:t>
      </w:r>
      <w:bookmarkEnd w:id="4"/>
      <w:bookmarkEnd w:id="5"/>
    </w:p>
    <w:p w14:paraId="1EA14E8F" w14:textId="77777777" w:rsidR="0042217F" w:rsidRPr="007C4C41" w:rsidRDefault="0042217F" w:rsidP="0067661D">
      <w:pPr>
        <w:spacing w:after="0"/>
        <w:jc w:val="left"/>
      </w:pPr>
    </w:p>
    <w:p w14:paraId="6FD27C3E" w14:textId="1C211652"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I am profoundly thankful to my parents for their unwavering support, motivation, and care. Their belief in my abilities, along with the conditions they created to help me succeed, have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4FC96117" w:rsidR="00906560" w:rsidRPr="007C4C41" w:rsidRDefault="00906560" w:rsidP="00C12560">
      <w:pPr>
        <w:pStyle w:val="Heading5"/>
      </w:pPr>
      <w:bookmarkStart w:id="6" w:name="_Toc146547679"/>
      <w:bookmarkStart w:id="7" w:name="_Toc195986348"/>
      <w:r w:rsidRPr="007C4C41">
        <w:lastRenderedPageBreak/>
        <w:t>Abstract</w:t>
      </w:r>
      <w:bookmarkEnd w:id="6"/>
      <w:bookmarkEnd w:id="7"/>
    </w:p>
    <w:p w14:paraId="61D55CF6" w14:textId="18A007C9"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Stochastic Degree Sequence Model and a set of network statistics, this dissertation explores how (multi)polarization was characterized during this term by constructing and analyzing co-voting networks across all legislative subjects and within specific legislative subjects. </w:t>
      </w:r>
      <w:r w:rsidR="00115C03">
        <w:t xml:space="preserve">The results contest binary polarization narratives inherited from US/UK scholarship by uncovering a multipolar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0D668B9A"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1E02D9" w:rsidRPr="00D558E5">
        <w:t>Stochastic Degree Sequence Model</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36B598F2" w14:textId="38D89A1B" w:rsidR="00906560" w:rsidRPr="007C4C41" w:rsidRDefault="0569165C" w:rsidP="00906560">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032EE6DA" w14:textId="2C856B53" w:rsidR="5E0FBF37" w:rsidRPr="007C4C41" w:rsidRDefault="5E0FBF37" w:rsidP="0054077B">
      <w:pPr>
        <w:pStyle w:val="TOC1"/>
        <w:rPr>
          <w:noProof w:val="0"/>
        </w:rPr>
      </w:pPr>
    </w:p>
    <w:p w14:paraId="500D5845" w14:textId="46436FA3" w:rsidR="66AE3FAF" w:rsidRPr="007C4C41" w:rsidRDefault="66AE3FAF" w:rsidP="5E0FBF37">
      <w:pPr>
        <w:pStyle w:val="Ttulos"/>
        <w:spacing w:before="120" w:after="240"/>
      </w:pPr>
      <w:r w:rsidRPr="007C4C41">
        <w:t>Table of Contents</w:t>
      </w:r>
    </w:p>
    <w:p w14:paraId="605CE5E8" w14:textId="15D69F2A" w:rsidR="00117FF5" w:rsidRDefault="0054077B">
      <w:pPr>
        <w:pStyle w:val="TOC5"/>
        <w:rPr>
          <w:rFonts w:asciiTheme="minorHAnsi" w:eastAsiaTheme="minorEastAsia" w:hAnsiTheme="minorHAnsi" w:cstheme="minorBidi"/>
          <w:noProof/>
          <w:kern w:val="2"/>
          <w:szCs w:val="24"/>
          <w14:ligatures w14:val="standardContextual"/>
        </w:rPr>
      </w:pPr>
      <w:r w:rsidRPr="007C4C41">
        <w:rPr>
          <w:rFonts w:eastAsia="Times New Roman"/>
          <w:szCs w:val="26"/>
          <w:lang w:eastAsia="pt-PT"/>
        </w:rPr>
        <w:fldChar w:fldCharType="begin"/>
      </w:r>
      <w:r w:rsidRPr="007C4C41">
        <w:rPr>
          <w:rFonts w:eastAsia="Times New Roman"/>
          <w:szCs w:val="26"/>
          <w:lang w:eastAsia="pt-PT"/>
        </w:rPr>
        <w:instrText xml:space="preserve"> TOC \o "1-7" \h \z \u </w:instrText>
      </w:r>
      <w:r w:rsidRPr="007C4C41">
        <w:rPr>
          <w:rFonts w:eastAsia="Times New Roman"/>
          <w:szCs w:val="26"/>
          <w:lang w:eastAsia="pt-PT"/>
        </w:rPr>
        <w:fldChar w:fldCharType="separate"/>
      </w:r>
      <w:hyperlink w:anchor="_Toc195986345" w:history="1">
        <w:r w:rsidR="00117FF5" w:rsidRPr="00A67A93">
          <w:rPr>
            <w:rStyle w:val="Hyperlink"/>
            <w:noProof/>
          </w:rPr>
          <w:t>Statement of Integrity</w:t>
        </w:r>
        <w:r w:rsidR="00117FF5">
          <w:rPr>
            <w:noProof/>
            <w:webHidden/>
          </w:rPr>
          <w:tab/>
        </w:r>
        <w:r w:rsidR="00117FF5">
          <w:rPr>
            <w:noProof/>
            <w:webHidden/>
          </w:rPr>
          <w:fldChar w:fldCharType="begin"/>
        </w:r>
        <w:r w:rsidR="00117FF5">
          <w:rPr>
            <w:noProof/>
            <w:webHidden/>
          </w:rPr>
          <w:instrText xml:space="preserve"> PAGEREF _Toc195986345 \h </w:instrText>
        </w:r>
        <w:r w:rsidR="00117FF5">
          <w:rPr>
            <w:noProof/>
            <w:webHidden/>
          </w:rPr>
        </w:r>
        <w:r w:rsidR="00117FF5">
          <w:rPr>
            <w:noProof/>
            <w:webHidden/>
          </w:rPr>
          <w:fldChar w:fldCharType="separate"/>
        </w:r>
        <w:r w:rsidR="00117FF5">
          <w:rPr>
            <w:noProof/>
            <w:webHidden/>
          </w:rPr>
          <w:t>ii</w:t>
        </w:r>
        <w:r w:rsidR="00117FF5">
          <w:rPr>
            <w:noProof/>
            <w:webHidden/>
          </w:rPr>
          <w:fldChar w:fldCharType="end"/>
        </w:r>
      </w:hyperlink>
    </w:p>
    <w:p w14:paraId="66ECDBEE" w14:textId="4A9B05AF" w:rsidR="00117FF5" w:rsidRDefault="00117FF5">
      <w:pPr>
        <w:pStyle w:val="TOC5"/>
        <w:rPr>
          <w:rFonts w:asciiTheme="minorHAnsi" w:eastAsiaTheme="minorEastAsia" w:hAnsiTheme="minorHAnsi" w:cstheme="minorBidi"/>
          <w:noProof/>
          <w:kern w:val="2"/>
          <w:szCs w:val="24"/>
          <w14:ligatures w14:val="standardContextual"/>
        </w:rPr>
      </w:pPr>
      <w:hyperlink w:anchor="_Toc195986346" w:history="1">
        <w:r w:rsidRPr="00A67A93">
          <w:rPr>
            <w:rStyle w:val="Hyperlink"/>
            <w:noProof/>
          </w:rPr>
          <w:t>Dedication</w:t>
        </w:r>
        <w:r>
          <w:rPr>
            <w:noProof/>
            <w:webHidden/>
          </w:rPr>
          <w:tab/>
        </w:r>
        <w:r>
          <w:rPr>
            <w:noProof/>
            <w:webHidden/>
          </w:rPr>
          <w:fldChar w:fldCharType="begin"/>
        </w:r>
        <w:r>
          <w:rPr>
            <w:noProof/>
            <w:webHidden/>
          </w:rPr>
          <w:instrText xml:space="preserve"> PAGEREF _Toc195986346 \h </w:instrText>
        </w:r>
        <w:r>
          <w:rPr>
            <w:noProof/>
            <w:webHidden/>
          </w:rPr>
        </w:r>
        <w:r>
          <w:rPr>
            <w:noProof/>
            <w:webHidden/>
          </w:rPr>
          <w:fldChar w:fldCharType="separate"/>
        </w:r>
        <w:r>
          <w:rPr>
            <w:noProof/>
            <w:webHidden/>
          </w:rPr>
          <w:t>iii</w:t>
        </w:r>
        <w:r>
          <w:rPr>
            <w:noProof/>
            <w:webHidden/>
          </w:rPr>
          <w:fldChar w:fldCharType="end"/>
        </w:r>
      </w:hyperlink>
    </w:p>
    <w:p w14:paraId="27BE33D2" w14:textId="52104E35" w:rsidR="00117FF5" w:rsidRDefault="00117FF5">
      <w:pPr>
        <w:pStyle w:val="TOC5"/>
        <w:rPr>
          <w:rFonts w:asciiTheme="minorHAnsi" w:eastAsiaTheme="minorEastAsia" w:hAnsiTheme="minorHAnsi" w:cstheme="minorBidi"/>
          <w:noProof/>
          <w:kern w:val="2"/>
          <w:szCs w:val="24"/>
          <w14:ligatures w14:val="standardContextual"/>
        </w:rPr>
      </w:pPr>
      <w:hyperlink w:anchor="_Toc195986347" w:history="1">
        <w:r w:rsidRPr="00A67A93">
          <w:rPr>
            <w:rStyle w:val="Hyperlink"/>
            <w:noProof/>
          </w:rPr>
          <w:t>Acknowledgements</w:t>
        </w:r>
        <w:r>
          <w:rPr>
            <w:noProof/>
            <w:webHidden/>
          </w:rPr>
          <w:tab/>
        </w:r>
        <w:r>
          <w:rPr>
            <w:noProof/>
            <w:webHidden/>
          </w:rPr>
          <w:fldChar w:fldCharType="begin"/>
        </w:r>
        <w:r>
          <w:rPr>
            <w:noProof/>
            <w:webHidden/>
          </w:rPr>
          <w:instrText xml:space="preserve"> PAGEREF _Toc195986347 \h </w:instrText>
        </w:r>
        <w:r>
          <w:rPr>
            <w:noProof/>
            <w:webHidden/>
          </w:rPr>
        </w:r>
        <w:r>
          <w:rPr>
            <w:noProof/>
            <w:webHidden/>
          </w:rPr>
          <w:fldChar w:fldCharType="separate"/>
        </w:r>
        <w:r>
          <w:rPr>
            <w:noProof/>
            <w:webHidden/>
          </w:rPr>
          <w:t>iv</w:t>
        </w:r>
        <w:r>
          <w:rPr>
            <w:noProof/>
            <w:webHidden/>
          </w:rPr>
          <w:fldChar w:fldCharType="end"/>
        </w:r>
      </w:hyperlink>
    </w:p>
    <w:p w14:paraId="46D6CA84" w14:textId="16B2B187" w:rsidR="00117FF5" w:rsidRDefault="00117FF5">
      <w:pPr>
        <w:pStyle w:val="TOC5"/>
        <w:rPr>
          <w:rFonts w:asciiTheme="minorHAnsi" w:eastAsiaTheme="minorEastAsia" w:hAnsiTheme="minorHAnsi" w:cstheme="minorBidi"/>
          <w:noProof/>
          <w:kern w:val="2"/>
          <w:szCs w:val="24"/>
          <w14:ligatures w14:val="standardContextual"/>
        </w:rPr>
      </w:pPr>
      <w:hyperlink w:anchor="_Toc195986348" w:history="1">
        <w:r w:rsidRPr="00A67A93">
          <w:rPr>
            <w:rStyle w:val="Hyperlink"/>
            <w:noProof/>
          </w:rPr>
          <w:t>Abstract</w:t>
        </w:r>
        <w:r>
          <w:rPr>
            <w:noProof/>
            <w:webHidden/>
          </w:rPr>
          <w:tab/>
        </w:r>
        <w:r>
          <w:rPr>
            <w:noProof/>
            <w:webHidden/>
          </w:rPr>
          <w:fldChar w:fldCharType="begin"/>
        </w:r>
        <w:r>
          <w:rPr>
            <w:noProof/>
            <w:webHidden/>
          </w:rPr>
          <w:instrText xml:space="preserve"> PAGEREF _Toc195986348 \h </w:instrText>
        </w:r>
        <w:r>
          <w:rPr>
            <w:noProof/>
            <w:webHidden/>
          </w:rPr>
        </w:r>
        <w:r>
          <w:rPr>
            <w:noProof/>
            <w:webHidden/>
          </w:rPr>
          <w:fldChar w:fldCharType="separate"/>
        </w:r>
        <w:r>
          <w:rPr>
            <w:noProof/>
            <w:webHidden/>
          </w:rPr>
          <w:t>v</w:t>
        </w:r>
        <w:r>
          <w:rPr>
            <w:noProof/>
            <w:webHidden/>
          </w:rPr>
          <w:fldChar w:fldCharType="end"/>
        </w:r>
      </w:hyperlink>
    </w:p>
    <w:p w14:paraId="392411E1" w14:textId="22B1003F" w:rsidR="00117FF5" w:rsidRDefault="00117FF5">
      <w:pPr>
        <w:pStyle w:val="TOC5"/>
        <w:rPr>
          <w:rFonts w:asciiTheme="minorHAnsi" w:eastAsiaTheme="minorEastAsia" w:hAnsiTheme="minorHAnsi" w:cstheme="minorBidi"/>
          <w:noProof/>
          <w:kern w:val="2"/>
          <w:szCs w:val="24"/>
          <w14:ligatures w14:val="standardContextual"/>
        </w:rPr>
      </w:pPr>
      <w:hyperlink w:anchor="_Toc195986349" w:history="1">
        <w:r w:rsidRPr="00A67A93">
          <w:rPr>
            <w:rStyle w:val="Hyperlink"/>
            <w:noProof/>
          </w:rPr>
          <w:t>List of Figures</w:t>
        </w:r>
        <w:r>
          <w:rPr>
            <w:noProof/>
            <w:webHidden/>
          </w:rPr>
          <w:tab/>
        </w:r>
        <w:r>
          <w:rPr>
            <w:noProof/>
            <w:webHidden/>
          </w:rPr>
          <w:fldChar w:fldCharType="begin"/>
        </w:r>
        <w:r>
          <w:rPr>
            <w:noProof/>
            <w:webHidden/>
          </w:rPr>
          <w:instrText xml:space="preserve"> PAGEREF _Toc195986349 \h </w:instrText>
        </w:r>
        <w:r>
          <w:rPr>
            <w:noProof/>
            <w:webHidden/>
          </w:rPr>
        </w:r>
        <w:r>
          <w:rPr>
            <w:noProof/>
            <w:webHidden/>
          </w:rPr>
          <w:fldChar w:fldCharType="separate"/>
        </w:r>
        <w:r>
          <w:rPr>
            <w:noProof/>
            <w:webHidden/>
          </w:rPr>
          <w:t>vii</w:t>
        </w:r>
        <w:r>
          <w:rPr>
            <w:noProof/>
            <w:webHidden/>
          </w:rPr>
          <w:fldChar w:fldCharType="end"/>
        </w:r>
      </w:hyperlink>
    </w:p>
    <w:p w14:paraId="37CEBC1B" w14:textId="07FC809E" w:rsidR="00117FF5" w:rsidRDefault="00117FF5">
      <w:pPr>
        <w:pStyle w:val="TOC5"/>
        <w:rPr>
          <w:rFonts w:asciiTheme="minorHAnsi" w:eastAsiaTheme="minorEastAsia" w:hAnsiTheme="minorHAnsi" w:cstheme="minorBidi"/>
          <w:noProof/>
          <w:kern w:val="2"/>
          <w:szCs w:val="24"/>
          <w14:ligatures w14:val="standardContextual"/>
        </w:rPr>
      </w:pPr>
      <w:hyperlink w:anchor="_Toc195986350" w:history="1">
        <w:r w:rsidRPr="00A67A93">
          <w:rPr>
            <w:rStyle w:val="Hyperlink"/>
            <w:noProof/>
          </w:rPr>
          <w:t>List of Tables</w:t>
        </w:r>
        <w:r>
          <w:rPr>
            <w:noProof/>
            <w:webHidden/>
          </w:rPr>
          <w:tab/>
        </w:r>
        <w:r>
          <w:rPr>
            <w:noProof/>
            <w:webHidden/>
          </w:rPr>
          <w:fldChar w:fldCharType="begin"/>
        </w:r>
        <w:r>
          <w:rPr>
            <w:noProof/>
            <w:webHidden/>
          </w:rPr>
          <w:instrText xml:space="preserve"> PAGEREF _Toc195986350 \h </w:instrText>
        </w:r>
        <w:r>
          <w:rPr>
            <w:noProof/>
            <w:webHidden/>
          </w:rPr>
        </w:r>
        <w:r>
          <w:rPr>
            <w:noProof/>
            <w:webHidden/>
          </w:rPr>
          <w:fldChar w:fldCharType="separate"/>
        </w:r>
        <w:r>
          <w:rPr>
            <w:noProof/>
            <w:webHidden/>
          </w:rPr>
          <w:t>viii</w:t>
        </w:r>
        <w:r>
          <w:rPr>
            <w:noProof/>
            <w:webHidden/>
          </w:rPr>
          <w:fldChar w:fldCharType="end"/>
        </w:r>
      </w:hyperlink>
    </w:p>
    <w:p w14:paraId="111329B5" w14:textId="337EC3CF" w:rsidR="00117FF5" w:rsidRDefault="00117FF5">
      <w:pPr>
        <w:pStyle w:val="TOC5"/>
        <w:rPr>
          <w:rFonts w:asciiTheme="minorHAnsi" w:eastAsiaTheme="minorEastAsia" w:hAnsiTheme="minorHAnsi" w:cstheme="minorBidi"/>
          <w:noProof/>
          <w:kern w:val="2"/>
          <w:szCs w:val="24"/>
          <w14:ligatures w14:val="standardContextual"/>
        </w:rPr>
      </w:pPr>
      <w:hyperlink w:anchor="_Toc195986351" w:history="1">
        <w:r w:rsidRPr="00A67A93">
          <w:rPr>
            <w:rStyle w:val="Hyperlink"/>
            <w:noProof/>
          </w:rPr>
          <w:t>List of Abbreviations and Acronyms</w:t>
        </w:r>
        <w:r>
          <w:rPr>
            <w:noProof/>
            <w:webHidden/>
          </w:rPr>
          <w:tab/>
        </w:r>
        <w:r>
          <w:rPr>
            <w:noProof/>
            <w:webHidden/>
          </w:rPr>
          <w:fldChar w:fldCharType="begin"/>
        </w:r>
        <w:r>
          <w:rPr>
            <w:noProof/>
            <w:webHidden/>
          </w:rPr>
          <w:instrText xml:space="preserve"> PAGEREF _Toc195986351 \h </w:instrText>
        </w:r>
        <w:r>
          <w:rPr>
            <w:noProof/>
            <w:webHidden/>
          </w:rPr>
        </w:r>
        <w:r>
          <w:rPr>
            <w:noProof/>
            <w:webHidden/>
          </w:rPr>
          <w:fldChar w:fldCharType="separate"/>
        </w:r>
        <w:r>
          <w:rPr>
            <w:noProof/>
            <w:webHidden/>
          </w:rPr>
          <w:t>ix</w:t>
        </w:r>
        <w:r>
          <w:rPr>
            <w:noProof/>
            <w:webHidden/>
          </w:rPr>
          <w:fldChar w:fldCharType="end"/>
        </w:r>
      </w:hyperlink>
    </w:p>
    <w:p w14:paraId="2733CCB0" w14:textId="54CA9A6C"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2" w:history="1">
        <w:r w:rsidRPr="00A67A93">
          <w:rPr>
            <w:rStyle w:val="Hyperlink"/>
          </w:rPr>
          <w:t>1.</w:t>
        </w:r>
        <w:r>
          <w:rPr>
            <w:rFonts w:asciiTheme="minorHAnsi" w:eastAsiaTheme="minorEastAsia" w:hAnsiTheme="minorHAnsi" w:cstheme="minorBidi"/>
            <w:kern w:val="2"/>
            <w:szCs w:val="24"/>
            <w:lang w:eastAsia="en-US"/>
            <w14:ligatures w14:val="standardContextual"/>
          </w:rPr>
          <w:tab/>
        </w:r>
        <w:r w:rsidRPr="00A67A93">
          <w:rPr>
            <w:rStyle w:val="Hyperlink"/>
          </w:rPr>
          <w:t>Introduction</w:t>
        </w:r>
        <w:r>
          <w:rPr>
            <w:webHidden/>
          </w:rPr>
          <w:tab/>
        </w:r>
        <w:r>
          <w:rPr>
            <w:webHidden/>
          </w:rPr>
          <w:fldChar w:fldCharType="begin"/>
        </w:r>
        <w:r>
          <w:rPr>
            <w:webHidden/>
          </w:rPr>
          <w:instrText xml:space="preserve"> PAGEREF _Toc195986352 \h </w:instrText>
        </w:r>
        <w:r>
          <w:rPr>
            <w:webHidden/>
          </w:rPr>
        </w:r>
        <w:r>
          <w:rPr>
            <w:webHidden/>
          </w:rPr>
          <w:fldChar w:fldCharType="separate"/>
        </w:r>
        <w:r>
          <w:rPr>
            <w:webHidden/>
          </w:rPr>
          <w:t>1</w:t>
        </w:r>
        <w:r>
          <w:rPr>
            <w:webHidden/>
          </w:rPr>
          <w:fldChar w:fldCharType="end"/>
        </w:r>
      </w:hyperlink>
    </w:p>
    <w:p w14:paraId="09403DCE" w14:textId="4E30B134"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3" w:history="1">
        <w:r w:rsidRPr="00A67A93">
          <w:rPr>
            <w:rStyle w:val="Hyperlink"/>
          </w:rPr>
          <w:t>2.</w:t>
        </w:r>
        <w:r>
          <w:rPr>
            <w:rFonts w:asciiTheme="minorHAnsi" w:eastAsiaTheme="minorEastAsia" w:hAnsiTheme="minorHAnsi" w:cstheme="minorBidi"/>
            <w:kern w:val="2"/>
            <w:szCs w:val="24"/>
            <w:lang w:eastAsia="en-US"/>
            <w14:ligatures w14:val="standardContextual"/>
          </w:rPr>
          <w:tab/>
        </w:r>
        <w:r w:rsidRPr="00A67A93">
          <w:rPr>
            <w:rStyle w:val="Hyperlink"/>
          </w:rPr>
          <w:t>Political polarization</w:t>
        </w:r>
        <w:r>
          <w:rPr>
            <w:webHidden/>
          </w:rPr>
          <w:tab/>
        </w:r>
        <w:r>
          <w:rPr>
            <w:webHidden/>
          </w:rPr>
          <w:fldChar w:fldCharType="begin"/>
        </w:r>
        <w:r>
          <w:rPr>
            <w:webHidden/>
          </w:rPr>
          <w:instrText xml:space="preserve"> PAGEREF _Toc195986353 \h </w:instrText>
        </w:r>
        <w:r>
          <w:rPr>
            <w:webHidden/>
          </w:rPr>
        </w:r>
        <w:r>
          <w:rPr>
            <w:webHidden/>
          </w:rPr>
          <w:fldChar w:fldCharType="separate"/>
        </w:r>
        <w:r>
          <w:rPr>
            <w:webHidden/>
          </w:rPr>
          <w:t>3</w:t>
        </w:r>
        <w:r>
          <w:rPr>
            <w:webHidden/>
          </w:rPr>
          <w:fldChar w:fldCharType="end"/>
        </w:r>
      </w:hyperlink>
    </w:p>
    <w:p w14:paraId="008FAE5A" w14:textId="3B8ACA9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4" w:history="1">
        <w:r w:rsidRPr="00A67A93">
          <w:rPr>
            <w:rStyle w:val="Hyperlink"/>
          </w:rPr>
          <w:t>2.1</w:t>
        </w:r>
        <w:r>
          <w:rPr>
            <w:rFonts w:asciiTheme="minorHAnsi" w:eastAsiaTheme="minorEastAsia" w:hAnsiTheme="minorHAnsi" w:cstheme="minorBidi"/>
            <w:kern w:val="2"/>
            <w:szCs w:val="24"/>
            <w:lang w:eastAsia="en-US"/>
            <w14:ligatures w14:val="standardContextual"/>
          </w:rPr>
          <w:tab/>
        </w:r>
        <w:r w:rsidRPr="00A67A93">
          <w:rPr>
            <w:rStyle w:val="Hyperlink"/>
          </w:rPr>
          <w:t>Structural factors of polarization</w:t>
        </w:r>
        <w:r>
          <w:rPr>
            <w:webHidden/>
          </w:rPr>
          <w:tab/>
        </w:r>
        <w:r>
          <w:rPr>
            <w:webHidden/>
          </w:rPr>
          <w:fldChar w:fldCharType="begin"/>
        </w:r>
        <w:r>
          <w:rPr>
            <w:webHidden/>
          </w:rPr>
          <w:instrText xml:space="preserve"> PAGEREF _Toc195986354 \h </w:instrText>
        </w:r>
        <w:r>
          <w:rPr>
            <w:webHidden/>
          </w:rPr>
        </w:r>
        <w:r>
          <w:rPr>
            <w:webHidden/>
          </w:rPr>
          <w:fldChar w:fldCharType="separate"/>
        </w:r>
        <w:r>
          <w:rPr>
            <w:webHidden/>
          </w:rPr>
          <w:t>4</w:t>
        </w:r>
        <w:r>
          <w:rPr>
            <w:webHidden/>
          </w:rPr>
          <w:fldChar w:fldCharType="end"/>
        </w:r>
      </w:hyperlink>
    </w:p>
    <w:p w14:paraId="2320741C" w14:textId="3004CFC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5" w:history="1">
        <w:r w:rsidRPr="00A67A93">
          <w:rPr>
            <w:rStyle w:val="Hyperlink"/>
          </w:rPr>
          <w:t>2.2</w:t>
        </w:r>
        <w:r>
          <w:rPr>
            <w:rFonts w:asciiTheme="minorHAnsi" w:eastAsiaTheme="minorEastAsia" w:hAnsiTheme="minorHAnsi" w:cstheme="minorBidi"/>
            <w:kern w:val="2"/>
            <w:szCs w:val="24"/>
            <w:lang w:eastAsia="en-US"/>
            <w14:ligatures w14:val="standardContextual"/>
          </w:rPr>
          <w:tab/>
        </w:r>
        <w:r w:rsidRPr="00A67A93">
          <w:rPr>
            <w:rStyle w:val="Hyperlink"/>
          </w:rPr>
          <w:t>Conjunctural factors of polarization</w:t>
        </w:r>
        <w:r>
          <w:rPr>
            <w:webHidden/>
          </w:rPr>
          <w:tab/>
        </w:r>
        <w:r>
          <w:rPr>
            <w:webHidden/>
          </w:rPr>
          <w:fldChar w:fldCharType="begin"/>
        </w:r>
        <w:r>
          <w:rPr>
            <w:webHidden/>
          </w:rPr>
          <w:instrText xml:space="preserve"> PAGEREF _Toc195986355 \h </w:instrText>
        </w:r>
        <w:r>
          <w:rPr>
            <w:webHidden/>
          </w:rPr>
        </w:r>
        <w:r>
          <w:rPr>
            <w:webHidden/>
          </w:rPr>
          <w:fldChar w:fldCharType="separate"/>
        </w:r>
        <w:r>
          <w:rPr>
            <w:webHidden/>
          </w:rPr>
          <w:t>6</w:t>
        </w:r>
        <w:r>
          <w:rPr>
            <w:webHidden/>
          </w:rPr>
          <w:fldChar w:fldCharType="end"/>
        </w:r>
      </w:hyperlink>
    </w:p>
    <w:p w14:paraId="2F131F9B" w14:textId="67D921F2"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6" w:history="1">
        <w:r w:rsidRPr="00A67A93">
          <w:rPr>
            <w:rStyle w:val="Hyperlink"/>
          </w:rPr>
          <w:t>3.</w:t>
        </w:r>
        <w:r>
          <w:rPr>
            <w:rFonts w:asciiTheme="minorHAnsi" w:eastAsiaTheme="minorEastAsia" w:hAnsiTheme="minorHAnsi" w:cstheme="minorBidi"/>
            <w:kern w:val="2"/>
            <w:szCs w:val="24"/>
            <w:lang w:eastAsia="en-US"/>
            <w14:ligatures w14:val="standardContextual"/>
          </w:rPr>
          <w:tab/>
        </w:r>
        <w:r w:rsidRPr="00A67A93">
          <w:rPr>
            <w:rStyle w:val="Hyperlink"/>
          </w:rPr>
          <w:t>Voting behavior</w:t>
        </w:r>
        <w:r>
          <w:rPr>
            <w:webHidden/>
          </w:rPr>
          <w:tab/>
        </w:r>
        <w:r>
          <w:rPr>
            <w:webHidden/>
          </w:rPr>
          <w:fldChar w:fldCharType="begin"/>
        </w:r>
        <w:r>
          <w:rPr>
            <w:webHidden/>
          </w:rPr>
          <w:instrText xml:space="preserve"> PAGEREF _Toc195986356 \h </w:instrText>
        </w:r>
        <w:r>
          <w:rPr>
            <w:webHidden/>
          </w:rPr>
        </w:r>
        <w:r>
          <w:rPr>
            <w:webHidden/>
          </w:rPr>
          <w:fldChar w:fldCharType="separate"/>
        </w:r>
        <w:r>
          <w:rPr>
            <w:webHidden/>
          </w:rPr>
          <w:t>9</w:t>
        </w:r>
        <w:r>
          <w:rPr>
            <w:webHidden/>
          </w:rPr>
          <w:fldChar w:fldCharType="end"/>
        </w:r>
      </w:hyperlink>
    </w:p>
    <w:p w14:paraId="0BB03C97" w14:textId="7743912E"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7" w:history="1">
        <w:r w:rsidRPr="00A67A93">
          <w:rPr>
            <w:rStyle w:val="Hyperlink"/>
          </w:rPr>
          <w:t>3.1</w:t>
        </w:r>
        <w:r>
          <w:rPr>
            <w:rFonts w:asciiTheme="minorHAnsi" w:eastAsiaTheme="minorEastAsia" w:hAnsiTheme="minorHAnsi" w:cstheme="minorBidi"/>
            <w:kern w:val="2"/>
            <w:szCs w:val="24"/>
            <w:lang w:eastAsia="en-US"/>
            <w14:ligatures w14:val="standardContextual"/>
          </w:rPr>
          <w:tab/>
        </w:r>
        <w:r w:rsidRPr="00A67A93">
          <w:rPr>
            <w:rStyle w:val="Hyperlink"/>
          </w:rPr>
          <w:t>Voting behaviors in the European Parliament</w:t>
        </w:r>
        <w:r>
          <w:rPr>
            <w:webHidden/>
          </w:rPr>
          <w:tab/>
        </w:r>
        <w:r>
          <w:rPr>
            <w:webHidden/>
          </w:rPr>
          <w:fldChar w:fldCharType="begin"/>
        </w:r>
        <w:r>
          <w:rPr>
            <w:webHidden/>
          </w:rPr>
          <w:instrText xml:space="preserve"> PAGEREF _Toc195986357 \h </w:instrText>
        </w:r>
        <w:r>
          <w:rPr>
            <w:webHidden/>
          </w:rPr>
        </w:r>
        <w:r>
          <w:rPr>
            <w:webHidden/>
          </w:rPr>
          <w:fldChar w:fldCharType="separate"/>
        </w:r>
        <w:r>
          <w:rPr>
            <w:webHidden/>
          </w:rPr>
          <w:t>10</w:t>
        </w:r>
        <w:r>
          <w:rPr>
            <w:webHidden/>
          </w:rPr>
          <w:fldChar w:fldCharType="end"/>
        </w:r>
      </w:hyperlink>
    </w:p>
    <w:p w14:paraId="03111C54" w14:textId="5BC9AF51" w:rsidR="00117FF5" w:rsidRDefault="00117FF5">
      <w:pPr>
        <w:pStyle w:val="TOC2"/>
        <w:rPr>
          <w:rFonts w:asciiTheme="minorHAnsi" w:eastAsiaTheme="minorEastAsia" w:hAnsiTheme="minorHAnsi" w:cstheme="minorBidi"/>
          <w:kern w:val="2"/>
          <w:szCs w:val="24"/>
          <w:lang w:eastAsia="en-US"/>
          <w14:ligatures w14:val="standardContextual"/>
        </w:rPr>
      </w:pPr>
      <w:hyperlink w:anchor="_Toc195986358" w:history="1">
        <w:r w:rsidRPr="00A67A93">
          <w:rPr>
            <w:rStyle w:val="Hyperlink"/>
          </w:rPr>
          <w:t>3.2</w:t>
        </w:r>
        <w:r>
          <w:rPr>
            <w:rFonts w:asciiTheme="minorHAnsi" w:eastAsiaTheme="minorEastAsia" w:hAnsiTheme="minorHAnsi" w:cstheme="minorBidi"/>
            <w:kern w:val="2"/>
            <w:szCs w:val="24"/>
            <w:lang w:eastAsia="en-US"/>
            <w14:ligatures w14:val="standardContextual"/>
          </w:rPr>
          <w:tab/>
        </w:r>
        <w:r w:rsidRPr="00A67A93">
          <w:rPr>
            <w:rStyle w:val="Hyperlink"/>
          </w:rPr>
          <w:t>Measuring polarization</w:t>
        </w:r>
        <w:r>
          <w:rPr>
            <w:webHidden/>
          </w:rPr>
          <w:tab/>
        </w:r>
        <w:r>
          <w:rPr>
            <w:webHidden/>
          </w:rPr>
          <w:fldChar w:fldCharType="begin"/>
        </w:r>
        <w:r>
          <w:rPr>
            <w:webHidden/>
          </w:rPr>
          <w:instrText xml:space="preserve"> PAGEREF _Toc195986358 \h </w:instrText>
        </w:r>
        <w:r>
          <w:rPr>
            <w:webHidden/>
          </w:rPr>
        </w:r>
        <w:r>
          <w:rPr>
            <w:webHidden/>
          </w:rPr>
          <w:fldChar w:fldCharType="separate"/>
        </w:r>
        <w:r>
          <w:rPr>
            <w:webHidden/>
          </w:rPr>
          <w:t>12</w:t>
        </w:r>
        <w:r>
          <w:rPr>
            <w:webHidden/>
          </w:rPr>
          <w:fldChar w:fldCharType="end"/>
        </w:r>
      </w:hyperlink>
    </w:p>
    <w:p w14:paraId="42786578" w14:textId="20CEA7FA"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59" w:history="1">
        <w:r w:rsidRPr="00A67A93">
          <w:rPr>
            <w:rStyle w:val="Hyperlink"/>
          </w:rPr>
          <w:t>4.</w:t>
        </w:r>
        <w:r>
          <w:rPr>
            <w:rFonts w:asciiTheme="minorHAnsi" w:eastAsiaTheme="minorEastAsia" w:hAnsiTheme="minorHAnsi" w:cstheme="minorBidi"/>
            <w:kern w:val="2"/>
            <w:szCs w:val="24"/>
            <w:lang w:eastAsia="en-US"/>
            <w14:ligatures w14:val="standardContextual"/>
          </w:rPr>
          <w:tab/>
        </w:r>
        <w:r w:rsidRPr="00A67A93">
          <w:rPr>
            <w:rStyle w:val="Hyperlink"/>
          </w:rPr>
          <w:t>Data &amp; Methods</w:t>
        </w:r>
        <w:r>
          <w:rPr>
            <w:webHidden/>
          </w:rPr>
          <w:tab/>
        </w:r>
        <w:r>
          <w:rPr>
            <w:webHidden/>
          </w:rPr>
          <w:fldChar w:fldCharType="begin"/>
        </w:r>
        <w:r>
          <w:rPr>
            <w:webHidden/>
          </w:rPr>
          <w:instrText xml:space="preserve"> PAGEREF _Toc195986359 \h </w:instrText>
        </w:r>
        <w:r>
          <w:rPr>
            <w:webHidden/>
          </w:rPr>
        </w:r>
        <w:r>
          <w:rPr>
            <w:webHidden/>
          </w:rPr>
          <w:fldChar w:fldCharType="separate"/>
        </w:r>
        <w:r>
          <w:rPr>
            <w:webHidden/>
          </w:rPr>
          <w:t>15</w:t>
        </w:r>
        <w:r>
          <w:rPr>
            <w:webHidden/>
          </w:rPr>
          <w:fldChar w:fldCharType="end"/>
        </w:r>
      </w:hyperlink>
    </w:p>
    <w:p w14:paraId="1FD98F77" w14:textId="191B6505"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0" w:history="1">
        <w:r w:rsidRPr="00A67A93">
          <w:rPr>
            <w:rStyle w:val="Hyperlink"/>
          </w:rPr>
          <w:t>5.</w:t>
        </w:r>
        <w:r>
          <w:rPr>
            <w:rFonts w:asciiTheme="minorHAnsi" w:eastAsiaTheme="minorEastAsia" w:hAnsiTheme="minorHAnsi" w:cstheme="minorBidi"/>
            <w:kern w:val="2"/>
            <w:szCs w:val="24"/>
            <w:lang w:eastAsia="en-US"/>
            <w14:ligatures w14:val="standardContextual"/>
          </w:rPr>
          <w:tab/>
        </w:r>
        <w:r w:rsidRPr="00A67A93">
          <w:rPr>
            <w:rStyle w:val="Hyperlink"/>
          </w:rPr>
          <w:t>Results and discussion</w:t>
        </w:r>
        <w:r>
          <w:rPr>
            <w:webHidden/>
          </w:rPr>
          <w:tab/>
        </w:r>
        <w:r>
          <w:rPr>
            <w:webHidden/>
          </w:rPr>
          <w:fldChar w:fldCharType="begin"/>
        </w:r>
        <w:r>
          <w:rPr>
            <w:webHidden/>
          </w:rPr>
          <w:instrText xml:space="preserve"> PAGEREF _Toc195986360 \h </w:instrText>
        </w:r>
        <w:r>
          <w:rPr>
            <w:webHidden/>
          </w:rPr>
        </w:r>
        <w:r>
          <w:rPr>
            <w:webHidden/>
          </w:rPr>
          <w:fldChar w:fldCharType="separate"/>
        </w:r>
        <w:r>
          <w:rPr>
            <w:webHidden/>
          </w:rPr>
          <w:t>25</w:t>
        </w:r>
        <w:r>
          <w:rPr>
            <w:webHidden/>
          </w:rPr>
          <w:fldChar w:fldCharType="end"/>
        </w:r>
      </w:hyperlink>
    </w:p>
    <w:p w14:paraId="78619960" w14:textId="5B8B9F11"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1" w:history="1">
        <w:r w:rsidRPr="00A67A93">
          <w:rPr>
            <w:rStyle w:val="Hyperlink"/>
          </w:rPr>
          <w:t>6.</w:t>
        </w:r>
        <w:r>
          <w:rPr>
            <w:rFonts w:asciiTheme="minorHAnsi" w:eastAsiaTheme="minorEastAsia" w:hAnsiTheme="minorHAnsi" w:cstheme="minorBidi"/>
            <w:kern w:val="2"/>
            <w:szCs w:val="24"/>
            <w:lang w:eastAsia="en-US"/>
            <w14:ligatures w14:val="standardContextual"/>
          </w:rPr>
          <w:tab/>
        </w:r>
        <w:r w:rsidRPr="00A67A93">
          <w:rPr>
            <w:rStyle w:val="Hyperlink"/>
          </w:rPr>
          <w:t>Conclusions and Future Research</w:t>
        </w:r>
        <w:r>
          <w:rPr>
            <w:webHidden/>
          </w:rPr>
          <w:tab/>
        </w:r>
        <w:r>
          <w:rPr>
            <w:webHidden/>
          </w:rPr>
          <w:fldChar w:fldCharType="begin"/>
        </w:r>
        <w:r>
          <w:rPr>
            <w:webHidden/>
          </w:rPr>
          <w:instrText xml:space="preserve"> PAGEREF _Toc195986361 \h </w:instrText>
        </w:r>
        <w:r>
          <w:rPr>
            <w:webHidden/>
          </w:rPr>
        </w:r>
        <w:r>
          <w:rPr>
            <w:webHidden/>
          </w:rPr>
          <w:fldChar w:fldCharType="separate"/>
        </w:r>
        <w:r>
          <w:rPr>
            <w:webHidden/>
          </w:rPr>
          <w:t>36</w:t>
        </w:r>
        <w:r>
          <w:rPr>
            <w:webHidden/>
          </w:rPr>
          <w:fldChar w:fldCharType="end"/>
        </w:r>
      </w:hyperlink>
    </w:p>
    <w:p w14:paraId="5345ED36" w14:textId="56110D73"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2" w:history="1">
        <w:r w:rsidRPr="00A67A93">
          <w:rPr>
            <w:rStyle w:val="Hyperlink"/>
            <w:lang w:val="pt-PT"/>
          </w:rPr>
          <w:t>Bibliographical References</w:t>
        </w:r>
        <w:r>
          <w:rPr>
            <w:webHidden/>
          </w:rPr>
          <w:tab/>
        </w:r>
        <w:r>
          <w:rPr>
            <w:webHidden/>
          </w:rPr>
          <w:fldChar w:fldCharType="begin"/>
        </w:r>
        <w:r>
          <w:rPr>
            <w:webHidden/>
          </w:rPr>
          <w:instrText xml:space="preserve"> PAGEREF _Toc195986362 \h </w:instrText>
        </w:r>
        <w:r>
          <w:rPr>
            <w:webHidden/>
          </w:rPr>
        </w:r>
        <w:r>
          <w:rPr>
            <w:webHidden/>
          </w:rPr>
          <w:fldChar w:fldCharType="separate"/>
        </w:r>
        <w:r>
          <w:rPr>
            <w:webHidden/>
          </w:rPr>
          <w:t>38</w:t>
        </w:r>
        <w:r>
          <w:rPr>
            <w:webHidden/>
          </w:rPr>
          <w:fldChar w:fldCharType="end"/>
        </w:r>
      </w:hyperlink>
    </w:p>
    <w:p w14:paraId="3CAA1BD7" w14:textId="6F79D214"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3" w:history="1">
        <w:r w:rsidRPr="00A67A93">
          <w:rPr>
            <w:rStyle w:val="Hyperlink"/>
          </w:rPr>
          <w:t>Appendix A</w:t>
        </w:r>
        <w:r>
          <w:rPr>
            <w:webHidden/>
          </w:rPr>
          <w:tab/>
        </w:r>
        <w:r>
          <w:rPr>
            <w:webHidden/>
          </w:rPr>
          <w:fldChar w:fldCharType="begin"/>
        </w:r>
        <w:r>
          <w:rPr>
            <w:webHidden/>
          </w:rPr>
          <w:instrText xml:space="preserve"> PAGEREF _Toc195986363 \h </w:instrText>
        </w:r>
        <w:r>
          <w:rPr>
            <w:webHidden/>
          </w:rPr>
        </w:r>
        <w:r>
          <w:rPr>
            <w:webHidden/>
          </w:rPr>
          <w:fldChar w:fldCharType="separate"/>
        </w:r>
        <w:r>
          <w:rPr>
            <w:webHidden/>
          </w:rPr>
          <w:t>43</w:t>
        </w:r>
        <w:r>
          <w:rPr>
            <w:webHidden/>
          </w:rPr>
          <w:fldChar w:fldCharType="end"/>
        </w:r>
      </w:hyperlink>
    </w:p>
    <w:p w14:paraId="64FADE2C" w14:textId="3155389F"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4" w:history="1">
        <w:r w:rsidRPr="00A67A93">
          <w:rPr>
            <w:rStyle w:val="Hyperlink"/>
          </w:rPr>
          <w:t>Appendix B</w:t>
        </w:r>
        <w:r>
          <w:rPr>
            <w:webHidden/>
          </w:rPr>
          <w:tab/>
        </w:r>
        <w:r>
          <w:rPr>
            <w:webHidden/>
          </w:rPr>
          <w:fldChar w:fldCharType="begin"/>
        </w:r>
        <w:r>
          <w:rPr>
            <w:webHidden/>
          </w:rPr>
          <w:instrText xml:space="preserve"> PAGEREF _Toc195986364 \h </w:instrText>
        </w:r>
        <w:r>
          <w:rPr>
            <w:webHidden/>
          </w:rPr>
        </w:r>
        <w:r>
          <w:rPr>
            <w:webHidden/>
          </w:rPr>
          <w:fldChar w:fldCharType="separate"/>
        </w:r>
        <w:r>
          <w:rPr>
            <w:webHidden/>
          </w:rPr>
          <w:t>47</w:t>
        </w:r>
        <w:r>
          <w:rPr>
            <w:webHidden/>
          </w:rPr>
          <w:fldChar w:fldCharType="end"/>
        </w:r>
      </w:hyperlink>
    </w:p>
    <w:p w14:paraId="072A1A60" w14:textId="12185F08"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5" w:history="1">
        <w:r w:rsidRPr="00A67A93">
          <w:rPr>
            <w:rStyle w:val="Hyperlink"/>
          </w:rPr>
          <w:t>Appendix C</w:t>
        </w:r>
        <w:r>
          <w:rPr>
            <w:webHidden/>
          </w:rPr>
          <w:tab/>
        </w:r>
        <w:r>
          <w:rPr>
            <w:webHidden/>
          </w:rPr>
          <w:fldChar w:fldCharType="begin"/>
        </w:r>
        <w:r>
          <w:rPr>
            <w:webHidden/>
          </w:rPr>
          <w:instrText xml:space="preserve"> PAGEREF _Toc195986365 \h </w:instrText>
        </w:r>
        <w:r>
          <w:rPr>
            <w:webHidden/>
          </w:rPr>
        </w:r>
        <w:r>
          <w:rPr>
            <w:webHidden/>
          </w:rPr>
          <w:fldChar w:fldCharType="separate"/>
        </w:r>
        <w:r>
          <w:rPr>
            <w:webHidden/>
          </w:rPr>
          <w:t>48</w:t>
        </w:r>
        <w:r>
          <w:rPr>
            <w:webHidden/>
          </w:rPr>
          <w:fldChar w:fldCharType="end"/>
        </w:r>
      </w:hyperlink>
    </w:p>
    <w:p w14:paraId="754286ED" w14:textId="4D6D8307"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6" w:history="1">
        <w:r w:rsidRPr="00A67A93">
          <w:rPr>
            <w:rStyle w:val="Hyperlink"/>
          </w:rPr>
          <w:t>Appendix D</w:t>
        </w:r>
        <w:r>
          <w:rPr>
            <w:webHidden/>
          </w:rPr>
          <w:tab/>
        </w:r>
        <w:r>
          <w:rPr>
            <w:webHidden/>
          </w:rPr>
          <w:fldChar w:fldCharType="begin"/>
        </w:r>
        <w:r>
          <w:rPr>
            <w:webHidden/>
          </w:rPr>
          <w:instrText xml:space="preserve"> PAGEREF _Toc195986366 \h </w:instrText>
        </w:r>
        <w:r>
          <w:rPr>
            <w:webHidden/>
          </w:rPr>
        </w:r>
        <w:r>
          <w:rPr>
            <w:webHidden/>
          </w:rPr>
          <w:fldChar w:fldCharType="separate"/>
        </w:r>
        <w:r>
          <w:rPr>
            <w:webHidden/>
          </w:rPr>
          <w:t>61</w:t>
        </w:r>
        <w:r>
          <w:rPr>
            <w:webHidden/>
          </w:rPr>
          <w:fldChar w:fldCharType="end"/>
        </w:r>
      </w:hyperlink>
    </w:p>
    <w:p w14:paraId="143F18D4" w14:textId="33E4CACC"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7" w:history="1">
        <w:r w:rsidRPr="00A67A93">
          <w:rPr>
            <w:rStyle w:val="Hyperlink"/>
          </w:rPr>
          <w:t>Appendix E</w:t>
        </w:r>
        <w:r>
          <w:rPr>
            <w:webHidden/>
          </w:rPr>
          <w:tab/>
        </w:r>
        <w:r>
          <w:rPr>
            <w:webHidden/>
          </w:rPr>
          <w:fldChar w:fldCharType="begin"/>
        </w:r>
        <w:r>
          <w:rPr>
            <w:webHidden/>
          </w:rPr>
          <w:instrText xml:space="preserve"> PAGEREF _Toc195986367 \h </w:instrText>
        </w:r>
        <w:r>
          <w:rPr>
            <w:webHidden/>
          </w:rPr>
        </w:r>
        <w:r>
          <w:rPr>
            <w:webHidden/>
          </w:rPr>
          <w:fldChar w:fldCharType="separate"/>
        </w:r>
        <w:r>
          <w:rPr>
            <w:webHidden/>
          </w:rPr>
          <w:t>67</w:t>
        </w:r>
        <w:r>
          <w:rPr>
            <w:webHidden/>
          </w:rPr>
          <w:fldChar w:fldCharType="end"/>
        </w:r>
      </w:hyperlink>
    </w:p>
    <w:p w14:paraId="53A831B0" w14:textId="7F3A3489" w:rsidR="00117FF5" w:rsidRDefault="00117FF5">
      <w:pPr>
        <w:pStyle w:val="TOC1"/>
        <w:rPr>
          <w:rFonts w:asciiTheme="minorHAnsi" w:eastAsiaTheme="minorEastAsia" w:hAnsiTheme="minorHAnsi" w:cstheme="minorBidi"/>
          <w:kern w:val="2"/>
          <w:szCs w:val="24"/>
          <w:lang w:eastAsia="en-US"/>
          <w14:ligatures w14:val="standardContextual"/>
        </w:rPr>
      </w:pPr>
      <w:hyperlink w:anchor="_Toc195986368" w:history="1">
        <w:r w:rsidRPr="00A67A93">
          <w:rPr>
            <w:rStyle w:val="Hyperlink"/>
          </w:rPr>
          <w:t>Appendix F</w:t>
        </w:r>
        <w:r>
          <w:rPr>
            <w:webHidden/>
          </w:rPr>
          <w:tab/>
        </w:r>
        <w:r>
          <w:rPr>
            <w:webHidden/>
          </w:rPr>
          <w:fldChar w:fldCharType="begin"/>
        </w:r>
        <w:r>
          <w:rPr>
            <w:webHidden/>
          </w:rPr>
          <w:instrText xml:space="preserve"> PAGEREF _Toc195986368 \h </w:instrText>
        </w:r>
        <w:r>
          <w:rPr>
            <w:webHidden/>
          </w:rPr>
        </w:r>
        <w:r>
          <w:rPr>
            <w:webHidden/>
          </w:rPr>
          <w:fldChar w:fldCharType="separate"/>
        </w:r>
        <w:r>
          <w:rPr>
            <w:webHidden/>
          </w:rPr>
          <w:t>68</w:t>
        </w:r>
        <w:r>
          <w:rPr>
            <w:webHidden/>
          </w:rPr>
          <w:fldChar w:fldCharType="end"/>
        </w:r>
      </w:hyperlink>
    </w:p>
    <w:p w14:paraId="7BCD51A0" w14:textId="76872160"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Pr="007C4C41" w:rsidRDefault="5E0FBF37" w:rsidP="0054077B">
      <w:pPr>
        <w:pStyle w:val="TOC1"/>
        <w:rPr>
          <w:noProof w:val="0"/>
        </w:rPr>
      </w:pPr>
    </w:p>
    <w:p w14:paraId="00A0627B" w14:textId="6C3D4EF5" w:rsidR="00F13581" w:rsidRPr="007C4C41" w:rsidRDefault="00F13581" w:rsidP="00F13581">
      <w:pPr>
        <w:spacing w:after="0" w:line="240" w:lineRule="auto"/>
        <w:jc w:val="left"/>
        <w:rPr>
          <w:rFonts w:eastAsia="Times New Roman"/>
          <w:b/>
          <w:bCs/>
          <w:caps/>
          <w:szCs w:val="24"/>
          <w:lang w:eastAsia="pt-PT"/>
        </w:rPr>
      </w:pPr>
    </w:p>
    <w:p w14:paraId="2EB986EB" w14:textId="77777777" w:rsidR="00906560" w:rsidRPr="007C4C41" w:rsidRDefault="00906560" w:rsidP="00C12560">
      <w:pPr>
        <w:pStyle w:val="Heading5"/>
      </w:pPr>
      <w:bookmarkStart w:id="8" w:name="_Toc146547680"/>
      <w:bookmarkStart w:id="9" w:name="_Toc195986349"/>
      <w:r w:rsidRPr="007C4C41">
        <w:lastRenderedPageBreak/>
        <w:t>List of Figures</w:t>
      </w:r>
      <w:bookmarkEnd w:id="8"/>
      <w:bookmarkEnd w:id="9"/>
    </w:p>
    <w:p w14:paraId="76BAF9C2" w14:textId="77777777" w:rsidR="00117FF5" w:rsidRDefault="00906560" w:rsidP="008A78E3">
      <w:pPr>
        <w:pStyle w:val="TableofFigures"/>
        <w:tabs>
          <w:tab w:val="right" w:leader="dot" w:pos="9060"/>
        </w:tabs>
        <w:rPr>
          <w:noProof/>
        </w:rPr>
      </w:pPr>
      <w:r w:rsidRPr="007C4C41">
        <w:fldChar w:fldCharType="begin"/>
      </w:r>
      <w:r w:rsidRPr="007C4C41">
        <w:instrText xml:space="preserve"> TOC \c "Figura" </w:instrText>
      </w:r>
      <w:r w:rsidRPr="007C4C41">
        <w:fldChar w:fldCharType="separate"/>
      </w:r>
      <w:r w:rsidRPr="007C4C41">
        <w:fldChar w:fldCharType="end"/>
      </w:r>
      <w:r w:rsidR="008A78E3" w:rsidRPr="007C4C41">
        <w:fldChar w:fldCharType="begin"/>
      </w:r>
      <w:r w:rsidR="008A78E3" w:rsidRPr="007C4C41">
        <w:instrText xml:space="preserve"> TOC \h \z \c "Figure" </w:instrText>
      </w:r>
      <w:r w:rsidR="008A78E3" w:rsidRPr="007C4C41">
        <w:fldChar w:fldCharType="separate"/>
      </w:r>
    </w:p>
    <w:p w14:paraId="7E0C7445" w14:textId="03283FAC"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69" w:history="1">
        <w:r w:rsidRPr="006A3BF3">
          <w:rPr>
            <w:rStyle w:val="Hyperlink"/>
            <w:noProof/>
          </w:rPr>
          <w:t>Figure 4.1 – Example bill</w:t>
        </w:r>
        <w:r>
          <w:rPr>
            <w:noProof/>
            <w:webHidden/>
          </w:rPr>
          <w:tab/>
        </w:r>
        <w:r>
          <w:rPr>
            <w:noProof/>
            <w:webHidden/>
          </w:rPr>
          <w:fldChar w:fldCharType="begin"/>
        </w:r>
        <w:r>
          <w:rPr>
            <w:noProof/>
            <w:webHidden/>
          </w:rPr>
          <w:instrText xml:space="preserve"> PAGEREF _Toc195986369 \h </w:instrText>
        </w:r>
        <w:r>
          <w:rPr>
            <w:noProof/>
            <w:webHidden/>
          </w:rPr>
        </w:r>
        <w:r>
          <w:rPr>
            <w:noProof/>
            <w:webHidden/>
          </w:rPr>
          <w:fldChar w:fldCharType="separate"/>
        </w:r>
        <w:r>
          <w:rPr>
            <w:noProof/>
            <w:webHidden/>
          </w:rPr>
          <w:t>15</w:t>
        </w:r>
        <w:r>
          <w:rPr>
            <w:noProof/>
            <w:webHidden/>
          </w:rPr>
          <w:fldChar w:fldCharType="end"/>
        </w:r>
      </w:hyperlink>
    </w:p>
    <w:p w14:paraId="3ED57161" w14:textId="4BC55D4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0" w:history="1">
        <w:r w:rsidRPr="006A3BF3">
          <w:rPr>
            <w:rStyle w:val="Hyperlink"/>
            <w:noProof/>
          </w:rPr>
          <w:t>Figure 4.2 – Distribution of primary subjects</w:t>
        </w:r>
        <w:r>
          <w:rPr>
            <w:noProof/>
            <w:webHidden/>
          </w:rPr>
          <w:tab/>
        </w:r>
        <w:r>
          <w:rPr>
            <w:noProof/>
            <w:webHidden/>
          </w:rPr>
          <w:fldChar w:fldCharType="begin"/>
        </w:r>
        <w:r>
          <w:rPr>
            <w:noProof/>
            <w:webHidden/>
          </w:rPr>
          <w:instrText xml:space="preserve"> PAGEREF _Toc195986370 \h </w:instrText>
        </w:r>
        <w:r>
          <w:rPr>
            <w:noProof/>
            <w:webHidden/>
          </w:rPr>
        </w:r>
        <w:r>
          <w:rPr>
            <w:noProof/>
            <w:webHidden/>
          </w:rPr>
          <w:fldChar w:fldCharType="separate"/>
        </w:r>
        <w:r>
          <w:rPr>
            <w:noProof/>
            <w:webHidden/>
          </w:rPr>
          <w:t>17</w:t>
        </w:r>
        <w:r>
          <w:rPr>
            <w:noProof/>
            <w:webHidden/>
          </w:rPr>
          <w:fldChar w:fldCharType="end"/>
        </w:r>
      </w:hyperlink>
    </w:p>
    <w:p w14:paraId="1D6B68E3" w14:textId="38D549C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1" w:history="1">
        <w:r w:rsidRPr="006A3BF3">
          <w:rPr>
            <w:rStyle w:val="Hyperlink"/>
            <w:noProof/>
          </w:rPr>
          <w:t>Figure 4.3 – Top 10 secondary subjects by frequency</w:t>
        </w:r>
        <w:r>
          <w:rPr>
            <w:noProof/>
            <w:webHidden/>
          </w:rPr>
          <w:tab/>
        </w:r>
        <w:r>
          <w:rPr>
            <w:noProof/>
            <w:webHidden/>
          </w:rPr>
          <w:fldChar w:fldCharType="begin"/>
        </w:r>
        <w:r>
          <w:rPr>
            <w:noProof/>
            <w:webHidden/>
          </w:rPr>
          <w:instrText xml:space="preserve"> PAGEREF _Toc195986371 \h </w:instrText>
        </w:r>
        <w:r>
          <w:rPr>
            <w:noProof/>
            <w:webHidden/>
          </w:rPr>
        </w:r>
        <w:r>
          <w:rPr>
            <w:noProof/>
            <w:webHidden/>
          </w:rPr>
          <w:fldChar w:fldCharType="separate"/>
        </w:r>
        <w:r>
          <w:rPr>
            <w:noProof/>
            <w:webHidden/>
          </w:rPr>
          <w:t>18</w:t>
        </w:r>
        <w:r>
          <w:rPr>
            <w:noProof/>
            <w:webHidden/>
          </w:rPr>
          <w:fldChar w:fldCharType="end"/>
        </w:r>
      </w:hyperlink>
    </w:p>
    <w:p w14:paraId="3CA38D5A" w14:textId="357FD98F"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2" w:history="1">
        <w:r w:rsidRPr="006A3BF3">
          <w:rPr>
            <w:rStyle w:val="Hyperlink"/>
            <w:noProof/>
          </w:rPr>
          <w:t>Figure 4.4 – Top 10 tertiary subjects by frequency</w:t>
        </w:r>
        <w:r>
          <w:rPr>
            <w:noProof/>
            <w:webHidden/>
          </w:rPr>
          <w:tab/>
        </w:r>
        <w:r>
          <w:rPr>
            <w:noProof/>
            <w:webHidden/>
          </w:rPr>
          <w:fldChar w:fldCharType="begin"/>
        </w:r>
        <w:r>
          <w:rPr>
            <w:noProof/>
            <w:webHidden/>
          </w:rPr>
          <w:instrText xml:space="preserve"> PAGEREF _Toc195986372 \h </w:instrText>
        </w:r>
        <w:r>
          <w:rPr>
            <w:noProof/>
            <w:webHidden/>
          </w:rPr>
        </w:r>
        <w:r>
          <w:rPr>
            <w:noProof/>
            <w:webHidden/>
          </w:rPr>
          <w:fldChar w:fldCharType="separate"/>
        </w:r>
        <w:r>
          <w:rPr>
            <w:noProof/>
            <w:webHidden/>
          </w:rPr>
          <w:t>18</w:t>
        </w:r>
        <w:r>
          <w:rPr>
            <w:noProof/>
            <w:webHidden/>
          </w:rPr>
          <w:fldChar w:fldCharType="end"/>
        </w:r>
      </w:hyperlink>
    </w:p>
    <w:p w14:paraId="69729B12" w14:textId="5260FF0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3" w:history="1">
        <w:r w:rsidRPr="006A3BF3">
          <w:rPr>
            <w:rStyle w:val="Hyperlink"/>
            <w:noProof/>
          </w:rPr>
          <w:t>Figure 4.5 – Data preprocessing steps</w:t>
        </w:r>
        <w:r>
          <w:rPr>
            <w:noProof/>
            <w:webHidden/>
          </w:rPr>
          <w:tab/>
        </w:r>
        <w:r>
          <w:rPr>
            <w:noProof/>
            <w:webHidden/>
          </w:rPr>
          <w:fldChar w:fldCharType="begin"/>
        </w:r>
        <w:r>
          <w:rPr>
            <w:noProof/>
            <w:webHidden/>
          </w:rPr>
          <w:instrText xml:space="preserve"> PAGEREF _Toc195986373 \h </w:instrText>
        </w:r>
        <w:r>
          <w:rPr>
            <w:noProof/>
            <w:webHidden/>
          </w:rPr>
        </w:r>
        <w:r>
          <w:rPr>
            <w:noProof/>
            <w:webHidden/>
          </w:rPr>
          <w:fldChar w:fldCharType="separate"/>
        </w:r>
        <w:r>
          <w:rPr>
            <w:noProof/>
            <w:webHidden/>
          </w:rPr>
          <w:t>19</w:t>
        </w:r>
        <w:r>
          <w:rPr>
            <w:noProof/>
            <w:webHidden/>
          </w:rPr>
          <w:fldChar w:fldCharType="end"/>
        </w:r>
      </w:hyperlink>
    </w:p>
    <w:p w14:paraId="6CB3F886" w14:textId="03608BB1"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4" w:history="1">
        <w:r w:rsidRPr="006A3BF3">
          <w:rPr>
            <w:rStyle w:val="Hyperlink"/>
            <w:noProof/>
          </w:rPr>
          <w:t>Figure 4.6 – Proportion of MEPs serving full term and not full term</w:t>
        </w:r>
        <w:r>
          <w:rPr>
            <w:noProof/>
            <w:webHidden/>
          </w:rPr>
          <w:tab/>
        </w:r>
        <w:r>
          <w:rPr>
            <w:noProof/>
            <w:webHidden/>
          </w:rPr>
          <w:fldChar w:fldCharType="begin"/>
        </w:r>
        <w:r>
          <w:rPr>
            <w:noProof/>
            <w:webHidden/>
          </w:rPr>
          <w:instrText xml:space="preserve"> PAGEREF _Toc195986374 \h </w:instrText>
        </w:r>
        <w:r>
          <w:rPr>
            <w:noProof/>
            <w:webHidden/>
          </w:rPr>
        </w:r>
        <w:r>
          <w:rPr>
            <w:noProof/>
            <w:webHidden/>
          </w:rPr>
          <w:fldChar w:fldCharType="separate"/>
        </w:r>
        <w:r>
          <w:rPr>
            <w:noProof/>
            <w:webHidden/>
          </w:rPr>
          <w:t>19</w:t>
        </w:r>
        <w:r>
          <w:rPr>
            <w:noProof/>
            <w:webHidden/>
          </w:rPr>
          <w:fldChar w:fldCharType="end"/>
        </w:r>
      </w:hyperlink>
    </w:p>
    <w:p w14:paraId="4F52179A" w14:textId="27F850B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5" w:history="1">
        <w:r w:rsidRPr="006A3BF3">
          <w:rPr>
            <w:rStyle w:val="Hyperlink"/>
            <w:noProof/>
          </w:rPr>
          <w:t>Figure 4.7 – Distribution of voting positions</w:t>
        </w:r>
        <w:r>
          <w:rPr>
            <w:noProof/>
            <w:webHidden/>
          </w:rPr>
          <w:tab/>
        </w:r>
        <w:r>
          <w:rPr>
            <w:noProof/>
            <w:webHidden/>
          </w:rPr>
          <w:fldChar w:fldCharType="begin"/>
        </w:r>
        <w:r>
          <w:rPr>
            <w:noProof/>
            <w:webHidden/>
          </w:rPr>
          <w:instrText xml:space="preserve"> PAGEREF _Toc195986375 \h </w:instrText>
        </w:r>
        <w:r>
          <w:rPr>
            <w:noProof/>
            <w:webHidden/>
          </w:rPr>
        </w:r>
        <w:r>
          <w:rPr>
            <w:noProof/>
            <w:webHidden/>
          </w:rPr>
          <w:fldChar w:fldCharType="separate"/>
        </w:r>
        <w:r>
          <w:rPr>
            <w:noProof/>
            <w:webHidden/>
          </w:rPr>
          <w:t>20</w:t>
        </w:r>
        <w:r>
          <w:rPr>
            <w:noProof/>
            <w:webHidden/>
          </w:rPr>
          <w:fldChar w:fldCharType="end"/>
        </w:r>
      </w:hyperlink>
    </w:p>
    <w:p w14:paraId="1B605094" w14:textId="0F3DB783"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6" w:history="1">
        <w:r w:rsidRPr="006A3BF3">
          <w:rPr>
            <w:rStyle w:val="Hyperlink"/>
            <w:noProof/>
          </w:rPr>
          <w:t>Figure 4.8 – MEP affiliation change</w:t>
        </w:r>
        <w:r>
          <w:rPr>
            <w:noProof/>
            <w:webHidden/>
          </w:rPr>
          <w:tab/>
        </w:r>
        <w:r>
          <w:rPr>
            <w:noProof/>
            <w:webHidden/>
          </w:rPr>
          <w:fldChar w:fldCharType="begin"/>
        </w:r>
        <w:r>
          <w:rPr>
            <w:noProof/>
            <w:webHidden/>
          </w:rPr>
          <w:instrText xml:space="preserve"> PAGEREF _Toc195986376 \h </w:instrText>
        </w:r>
        <w:r>
          <w:rPr>
            <w:noProof/>
            <w:webHidden/>
          </w:rPr>
        </w:r>
        <w:r>
          <w:rPr>
            <w:noProof/>
            <w:webHidden/>
          </w:rPr>
          <w:fldChar w:fldCharType="separate"/>
        </w:r>
        <w:r>
          <w:rPr>
            <w:noProof/>
            <w:webHidden/>
          </w:rPr>
          <w:t>20</w:t>
        </w:r>
        <w:r>
          <w:rPr>
            <w:noProof/>
            <w:webHidden/>
          </w:rPr>
          <w:fldChar w:fldCharType="end"/>
        </w:r>
      </w:hyperlink>
    </w:p>
    <w:p w14:paraId="59000B3E" w14:textId="11E2A5B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7" w:history="1">
        <w:r w:rsidRPr="006A3BF3">
          <w:rPr>
            <w:rStyle w:val="Hyperlink"/>
            <w:noProof/>
          </w:rPr>
          <w:t>Figure 4.9 – Methodology to obtain the relevant voting communities</w:t>
        </w:r>
        <w:r>
          <w:rPr>
            <w:noProof/>
            <w:webHidden/>
          </w:rPr>
          <w:tab/>
        </w:r>
        <w:r>
          <w:rPr>
            <w:noProof/>
            <w:webHidden/>
          </w:rPr>
          <w:fldChar w:fldCharType="begin"/>
        </w:r>
        <w:r>
          <w:rPr>
            <w:noProof/>
            <w:webHidden/>
          </w:rPr>
          <w:instrText xml:space="preserve"> PAGEREF _Toc195986377 \h </w:instrText>
        </w:r>
        <w:r>
          <w:rPr>
            <w:noProof/>
            <w:webHidden/>
          </w:rPr>
        </w:r>
        <w:r>
          <w:rPr>
            <w:noProof/>
            <w:webHidden/>
          </w:rPr>
          <w:fldChar w:fldCharType="separate"/>
        </w:r>
        <w:r>
          <w:rPr>
            <w:noProof/>
            <w:webHidden/>
          </w:rPr>
          <w:t>23</w:t>
        </w:r>
        <w:r>
          <w:rPr>
            <w:noProof/>
            <w:webHidden/>
          </w:rPr>
          <w:fldChar w:fldCharType="end"/>
        </w:r>
      </w:hyperlink>
    </w:p>
    <w:p w14:paraId="71BC1C51" w14:textId="4FF1E1C6"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8" w:history="1">
        <w:r w:rsidRPr="006A3BF3">
          <w:rPr>
            <w:rStyle w:val="Hyperlink"/>
            <w:noProof/>
          </w:rPr>
          <w:t>Figure 5.1 – Relevant voting communities for all subjects and primary subjects</w:t>
        </w:r>
        <w:r>
          <w:rPr>
            <w:noProof/>
            <w:webHidden/>
          </w:rPr>
          <w:tab/>
        </w:r>
        <w:r>
          <w:rPr>
            <w:noProof/>
            <w:webHidden/>
          </w:rPr>
          <w:fldChar w:fldCharType="begin"/>
        </w:r>
        <w:r>
          <w:rPr>
            <w:noProof/>
            <w:webHidden/>
          </w:rPr>
          <w:instrText xml:space="preserve"> PAGEREF _Toc195986378 \h </w:instrText>
        </w:r>
        <w:r>
          <w:rPr>
            <w:noProof/>
            <w:webHidden/>
          </w:rPr>
        </w:r>
        <w:r>
          <w:rPr>
            <w:noProof/>
            <w:webHidden/>
          </w:rPr>
          <w:fldChar w:fldCharType="separate"/>
        </w:r>
        <w:r>
          <w:rPr>
            <w:noProof/>
            <w:webHidden/>
          </w:rPr>
          <w:t>25</w:t>
        </w:r>
        <w:r>
          <w:rPr>
            <w:noProof/>
            <w:webHidden/>
          </w:rPr>
          <w:fldChar w:fldCharType="end"/>
        </w:r>
      </w:hyperlink>
    </w:p>
    <w:p w14:paraId="5897449D" w14:textId="30766A8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79" w:history="1">
        <w:r w:rsidRPr="006A3BF3">
          <w:rPr>
            <w:rStyle w:val="Hyperlink"/>
            <w:noProof/>
          </w:rPr>
          <w:t>Figure 5.2 – Co-voting networks for all subjects and primary subjects</w:t>
        </w:r>
        <w:r>
          <w:rPr>
            <w:noProof/>
            <w:webHidden/>
          </w:rPr>
          <w:tab/>
        </w:r>
        <w:r>
          <w:rPr>
            <w:noProof/>
            <w:webHidden/>
          </w:rPr>
          <w:fldChar w:fldCharType="begin"/>
        </w:r>
        <w:r>
          <w:rPr>
            <w:noProof/>
            <w:webHidden/>
          </w:rPr>
          <w:instrText xml:space="preserve"> PAGEREF _Toc195986379 \h </w:instrText>
        </w:r>
        <w:r>
          <w:rPr>
            <w:noProof/>
            <w:webHidden/>
          </w:rPr>
        </w:r>
        <w:r>
          <w:rPr>
            <w:noProof/>
            <w:webHidden/>
          </w:rPr>
          <w:fldChar w:fldCharType="separate"/>
        </w:r>
        <w:r>
          <w:rPr>
            <w:noProof/>
            <w:webHidden/>
          </w:rPr>
          <w:t>26</w:t>
        </w:r>
        <w:r>
          <w:rPr>
            <w:noProof/>
            <w:webHidden/>
          </w:rPr>
          <w:fldChar w:fldCharType="end"/>
        </w:r>
      </w:hyperlink>
    </w:p>
    <w:p w14:paraId="3E30182C" w14:textId="6B73588D"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986380" w:history="1">
        <w:r w:rsidRPr="006A3BF3">
          <w:rPr>
            <w:rStyle w:val="Hyperlink"/>
            <w:noProof/>
          </w:rPr>
          <w:t>Figure 5.3 – Relevant voting communities for secondary subjects</w:t>
        </w:r>
        <w:r>
          <w:rPr>
            <w:noProof/>
            <w:webHidden/>
          </w:rPr>
          <w:tab/>
        </w:r>
        <w:r>
          <w:rPr>
            <w:noProof/>
            <w:webHidden/>
          </w:rPr>
          <w:fldChar w:fldCharType="begin"/>
        </w:r>
        <w:r>
          <w:rPr>
            <w:noProof/>
            <w:webHidden/>
          </w:rPr>
          <w:instrText xml:space="preserve"> PAGEREF _Toc195986380 \h </w:instrText>
        </w:r>
        <w:r>
          <w:rPr>
            <w:noProof/>
            <w:webHidden/>
          </w:rPr>
        </w:r>
        <w:r>
          <w:rPr>
            <w:noProof/>
            <w:webHidden/>
          </w:rPr>
          <w:fldChar w:fldCharType="separate"/>
        </w:r>
        <w:r>
          <w:rPr>
            <w:noProof/>
            <w:webHidden/>
          </w:rPr>
          <w:t>33</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2D84078A" w14:textId="5CCA9D71" w:rsidR="00906560" w:rsidRPr="007C4C41" w:rsidRDefault="00906560" w:rsidP="00C12560">
      <w:pPr>
        <w:pStyle w:val="Heading5"/>
      </w:pPr>
      <w:bookmarkStart w:id="10" w:name="_Toc146547681"/>
      <w:bookmarkStart w:id="11" w:name="_Toc195986350"/>
      <w:r w:rsidRPr="007C4C41">
        <w:lastRenderedPageBreak/>
        <w:t>L</w:t>
      </w:r>
      <w:r w:rsidR="00AD3A9E" w:rsidRPr="007C4C41">
        <w:t>ist of Tables</w:t>
      </w:r>
      <w:bookmarkEnd w:id="10"/>
      <w:bookmarkEnd w:id="11"/>
    </w:p>
    <w:p w14:paraId="1031A171" w14:textId="30574E89" w:rsidR="00117FF5"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117FF5">
        <w:rPr>
          <w:noProof/>
        </w:rPr>
        <w:t>Table 4.1 – Data before and after the preprocessing steps</w:t>
      </w:r>
      <w:r w:rsidR="00117FF5">
        <w:rPr>
          <w:noProof/>
        </w:rPr>
        <w:tab/>
      </w:r>
      <w:r w:rsidR="00117FF5">
        <w:rPr>
          <w:noProof/>
        </w:rPr>
        <w:fldChar w:fldCharType="begin"/>
      </w:r>
      <w:r w:rsidR="00117FF5">
        <w:rPr>
          <w:noProof/>
        </w:rPr>
        <w:instrText xml:space="preserve"> PAGEREF _Toc195986381 \h </w:instrText>
      </w:r>
      <w:r w:rsidR="00117FF5">
        <w:rPr>
          <w:noProof/>
        </w:rPr>
      </w:r>
      <w:r w:rsidR="00117FF5">
        <w:rPr>
          <w:noProof/>
        </w:rPr>
        <w:fldChar w:fldCharType="separate"/>
      </w:r>
      <w:r w:rsidR="00117FF5">
        <w:rPr>
          <w:noProof/>
        </w:rPr>
        <w:t>21</w:t>
      </w:r>
      <w:r w:rsidR="00117FF5">
        <w:rPr>
          <w:noProof/>
        </w:rPr>
        <w:fldChar w:fldCharType="end"/>
      </w:r>
    </w:p>
    <w:p w14:paraId="5B0B1F00" w14:textId="4B87DDBB"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5.1 – Modularities and assortativities for the primary subjects</w:t>
      </w:r>
      <w:r>
        <w:rPr>
          <w:noProof/>
        </w:rPr>
        <w:tab/>
      </w:r>
      <w:r>
        <w:rPr>
          <w:noProof/>
        </w:rPr>
        <w:fldChar w:fldCharType="begin"/>
      </w:r>
      <w:r>
        <w:rPr>
          <w:noProof/>
        </w:rPr>
        <w:instrText xml:space="preserve"> PAGEREF _Toc195986382 \h </w:instrText>
      </w:r>
      <w:r>
        <w:rPr>
          <w:noProof/>
        </w:rPr>
      </w:r>
      <w:r>
        <w:rPr>
          <w:noProof/>
        </w:rPr>
        <w:fldChar w:fldCharType="separate"/>
      </w:r>
      <w:r>
        <w:rPr>
          <w:noProof/>
        </w:rPr>
        <w:t>29</w:t>
      </w:r>
      <w:r>
        <w:rPr>
          <w:noProof/>
        </w:rPr>
        <w:fldChar w:fldCharType="end"/>
      </w:r>
    </w:p>
    <w:p w14:paraId="54B1309F" w14:textId="3755522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5.2 – Structural statistics for the primary subjects</w:t>
      </w:r>
      <w:r>
        <w:rPr>
          <w:noProof/>
        </w:rPr>
        <w:tab/>
      </w:r>
      <w:r>
        <w:rPr>
          <w:noProof/>
        </w:rPr>
        <w:fldChar w:fldCharType="begin"/>
      </w:r>
      <w:r>
        <w:rPr>
          <w:noProof/>
        </w:rPr>
        <w:instrText xml:space="preserve"> PAGEREF _Toc195986383 \h </w:instrText>
      </w:r>
      <w:r>
        <w:rPr>
          <w:noProof/>
        </w:rPr>
      </w:r>
      <w:r>
        <w:rPr>
          <w:noProof/>
        </w:rPr>
        <w:fldChar w:fldCharType="separate"/>
      </w:r>
      <w:r>
        <w:rPr>
          <w:noProof/>
        </w:rPr>
        <w:t>30</w:t>
      </w:r>
      <w:r>
        <w:rPr>
          <w:noProof/>
        </w:rPr>
        <w:fldChar w:fldCharType="end"/>
      </w:r>
    </w:p>
    <w:p w14:paraId="2CA313A3" w14:textId="60D4828F"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5.3 – Modularities and assortativities differences between all subjects and each primary subject</w:t>
      </w:r>
      <w:r>
        <w:rPr>
          <w:noProof/>
        </w:rPr>
        <w:tab/>
      </w:r>
      <w:r>
        <w:rPr>
          <w:noProof/>
        </w:rPr>
        <w:fldChar w:fldCharType="begin"/>
      </w:r>
      <w:r>
        <w:rPr>
          <w:noProof/>
        </w:rPr>
        <w:instrText xml:space="preserve"> PAGEREF _Toc195986384 \h </w:instrText>
      </w:r>
      <w:r>
        <w:rPr>
          <w:noProof/>
        </w:rPr>
      </w:r>
      <w:r>
        <w:rPr>
          <w:noProof/>
        </w:rPr>
        <w:fldChar w:fldCharType="separate"/>
      </w:r>
      <w:r>
        <w:rPr>
          <w:noProof/>
        </w:rPr>
        <w:t>32</w:t>
      </w:r>
      <w:r>
        <w:rPr>
          <w:noProof/>
        </w:rPr>
        <w:fldChar w:fldCharType="end"/>
      </w:r>
    </w:p>
    <w:p w14:paraId="07351FD2" w14:textId="0DCD27E8"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5.4 – Modularities and assortativities for the secondary subjects</w:t>
      </w:r>
      <w:r>
        <w:rPr>
          <w:noProof/>
        </w:rPr>
        <w:tab/>
      </w:r>
      <w:r>
        <w:rPr>
          <w:noProof/>
        </w:rPr>
        <w:fldChar w:fldCharType="begin"/>
      </w:r>
      <w:r>
        <w:rPr>
          <w:noProof/>
        </w:rPr>
        <w:instrText xml:space="preserve"> PAGEREF _Toc195986385 \h </w:instrText>
      </w:r>
      <w:r>
        <w:rPr>
          <w:noProof/>
        </w:rPr>
      </w:r>
      <w:r>
        <w:rPr>
          <w:noProof/>
        </w:rPr>
        <w:fldChar w:fldCharType="separate"/>
      </w:r>
      <w:r>
        <w:rPr>
          <w:noProof/>
        </w:rPr>
        <w:t>34</w:t>
      </w:r>
      <w:r>
        <w:rPr>
          <w:noProof/>
        </w:rPr>
        <w:fldChar w:fldCharType="end"/>
      </w:r>
    </w:p>
    <w:p w14:paraId="1C127955" w14:textId="6C6D8340"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5.5 – Structural statistics for the secondary subjects</w:t>
      </w:r>
      <w:r>
        <w:rPr>
          <w:noProof/>
        </w:rPr>
        <w:tab/>
      </w:r>
      <w:r>
        <w:rPr>
          <w:noProof/>
        </w:rPr>
        <w:fldChar w:fldCharType="begin"/>
      </w:r>
      <w:r>
        <w:rPr>
          <w:noProof/>
        </w:rPr>
        <w:instrText xml:space="preserve"> PAGEREF _Toc195986386 \h </w:instrText>
      </w:r>
      <w:r>
        <w:rPr>
          <w:noProof/>
        </w:rPr>
      </w:r>
      <w:r>
        <w:rPr>
          <w:noProof/>
        </w:rPr>
        <w:fldChar w:fldCharType="separate"/>
      </w:r>
      <w:r>
        <w:rPr>
          <w:noProof/>
        </w:rPr>
        <w:t>34</w:t>
      </w:r>
      <w:r>
        <w:rPr>
          <w:noProof/>
        </w:rPr>
        <w:fldChar w:fldCharType="end"/>
      </w:r>
    </w:p>
    <w:p w14:paraId="0BC574A5" w14:textId="415E58FA" w:rsidR="00117FF5" w:rsidRDefault="00117FF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5.6 – Modularities and assortativities differences between all subjects and the secondary subjects</w:t>
      </w:r>
      <w:r>
        <w:rPr>
          <w:noProof/>
        </w:rPr>
        <w:tab/>
      </w:r>
      <w:r>
        <w:rPr>
          <w:noProof/>
        </w:rPr>
        <w:fldChar w:fldCharType="begin"/>
      </w:r>
      <w:r>
        <w:rPr>
          <w:noProof/>
        </w:rPr>
        <w:instrText xml:space="preserve"> PAGEREF _Toc195986387 \h </w:instrText>
      </w:r>
      <w:r>
        <w:rPr>
          <w:noProof/>
        </w:rPr>
      </w:r>
      <w:r>
        <w:rPr>
          <w:noProof/>
        </w:rPr>
        <w:fldChar w:fldCharType="separate"/>
      </w:r>
      <w:r>
        <w:rPr>
          <w:noProof/>
        </w:rPr>
        <w:t>35</w:t>
      </w:r>
      <w:r>
        <w:rPr>
          <w:noProof/>
        </w:rPr>
        <w:fldChar w:fldCharType="end"/>
      </w:r>
    </w:p>
    <w:p w14:paraId="5EAEF298" w14:textId="31188B59"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50FD7853" w14:textId="77777777" w:rsidR="00906560" w:rsidRPr="007C4C41" w:rsidRDefault="00906560" w:rsidP="00C12560">
      <w:pPr>
        <w:pStyle w:val="Heading5"/>
      </w:pPr>
      <w:bookmarkStart w:id="12" w:name="_Toc146547682"/>
      <w:bookmarkStart w:id="13" w:name="_Toc195986351"/>
      <w:r w:rsidRPr="007C4C41">
        <w:lastRenderedPageBreak/>
        <w:t>List of Abbreviations and Acronyms</w:t>
      </w:r>
      <w:bookmarkEnd w:id="12"/>
      <w:bookmarkEnd w:id="13"/>
    </w:p>
    <w:p w14:paraId="6D5A6745" w14:textId="63BBFD5B" w:rsidR="009A6336" w:rsidRPr="007C4C41" w:rsidRDefault="009A6336" w:rsidP="009A6336">
      <w:r w:rsidRPr="007C4C41">
        <w:rPr>
          <w:b/>
        </w:rPr>
        <w:t>BiCM</w:t>
      </w:r>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r w:rsidRPr="007C4C41">
        <w:t>Renew Europe</w:t>
      </w:r>
    </w:p>
    <w:p w14:paraId="3E6E6C82" w14:textId="490FD4F4" w:rsidR="003727FD" w:rsidRPr="007C4C41" w:rsidRDefault="003727FD" w:rsidP="00A364A6">
      <w:pPr>
        <w:ind w:left="1416" w:hanging="1416"/>
      </w:pPr>
      <w:r w:rsidRPr="007C4C41">
        <w:rPr>
          <w:b/>
        </w:rPr>
        <w:t>S&amp;D</w:t>
      </w:r>
      <w:r w:rsidRPr="007C4C41">
        <w:rPr>
          <w:b/>
        </w:rPr>
        <w:tab/>
      </w:r>
      <w:r w:rsidRPr="007C4C41">
        <w:t>Progressive Alliance of Socialists and Democrats</w:t>
      </w:r>
    </w:p>
    <w:p w14:paraId="5A7F9F81" w14:textId="076663A3" w:rsidR="003727FD" w:rsidRPr="007C4C41" w:rsidRDefault="00A364A6" w:rsidP="003727FD">
      <w:pPr>
        <w:ind w:left="1416" w:hanging="1416"/>
      </w:pPr>
      <w:r w:rsidRPr="007C4C41">
        <w:rPr>
          <w:b/>
        </w:rPr>
        <w:t>SDSM</w:t>
      </w:r>
      <w:r w:rsidRPr="007C4C41">
        <w:rPr>
          <w:b/>
        </w:rPr>
        <w:tab/>
      </w:r>
      <w:r w:rsidRPr="007C4C41">
        <w:t>Stochastic Degree Sequence Model</w:t>
      </w:r>
    </w:p>
    <w:p w14:paraId="7C1153DD" w14:textId="75E7BC2A" w:rsidR="00095FDA" w:rsidRPr="007C4C41" w:rsidRDefault="00095FDA" w:rsidP="003727FD">
      <w:pPr>
        <w:ind w:left="1416" w:hanging="1416"/>
      </w:pPr>
      <w:r w:rsidRPr="007C4C41">
        <w:rPr>
          <w:b/>
        </w:rPr>
        <w:t>The Left</w:t>
      </w:r>
      <w:r w:rsidRPr="007C4C41">
        <w:tab/>
        <w:t>The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14"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15" w:name="_Toc410990268"/>
      <w:bookmarkStart w:id="16" w:name="_Toc410990280"/>
      <w:bookmarkStart w:id="17" w:name="_Toc412186393"/>
      <w:bookmarkStart w:id="18" w:name="_Toc412186498"/>
      <w:bookmarkStart w:id="19" w:name="_Toc412186523"/>
      <w:bookmarkStart w:id="20" w:name="_Toc412186594"/>
      <w:bookmarkStart w:id="21" w:name="_Toc412186624"/>
      <w:bookmarkStart w:id="22" w:name="_Toc115296802"/>
      <w:bookmarkStart w:id="23" w:name="_Toc144288760"/>
      <w:bookmarkStart w:id="24" w:name="_Toc144289840"/>
      <w:bookmarkStart w:id="25" w:name="_Toc146516589"/>
      <w:bookmarkStart w:id="26" w:name="_Toc146547683"/>
      <w:bookmarkStart w:id="27" w:name="_Toc195986352"/>
      <w:bookmarkEnd w:id="14"/>
      <w:r w:rsidRPr="007C4C41">
        <w:lastRenderedPageBreak/>
        <w:t>Introduction</w:t>
      </w:r>
      <w:bookmarkEnd w:id="15"/>
      <w:bookmarkEnd w:id="16"/>
      <w:bookmarkEnd w:id="17"/>
      <w:bookmarkEnd w:id="18"/>
      <w:bookmarkEnd w:id="19"/>
      <w:bookmarkEnd w:id="20"/>
      <w:bookmarkEnd w:id="21"/>
      <w:bookmarkEnd w:id="22"/>
      <w:bookmarkEnd w:id="23"/>
      <w:bookmarkEnd w:id="24"/>
      <w:bookmarkEnd w:id="25"/>
      <w:bookmarkEnd w:id="26"/>
      <w:bookmarkEnd w:id="27"/>
    </w:p>
    <w:p w14:paraId="571D9EDD" w14:textId="6CBD0467" w:rsidR="00B82EA6" w:rsidRPr="002954FE" w:rsidRDefault="00B82EA6" w:rsidP="00B82EA6">
      <w:pPr>
        <w:rPr>
          <w:szCs w:val="24"/>
        </w:rPr>
      </w:pPr>
      <w:r w:rsidRPr="007C4C41">
        <w:t xml:space="preserve">Political polarization has emerged as one of the most pressing challenges for liberal democracies, reshaping political landscapes and influencing governance worldwide. </w:t>
      </w:r>
      <w:r w:rsidR="002954FE">
        <w:rPr>
          <w:szCs w:val="24"/>
        </w:rPr>
        <w:t>Indeed, 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 it frequently creates irreconcilable divisions that impede decision-making and erode trust in democratic institutions. As polarized societies become entrenched in ideological silos, governance becomes a battleground where collaboration is sacrificed for partisanship. This issue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583EACF5" w14:textId="37DC559A" w:rsidR="00B82EA6" w:rsidRPr="007C4C41" w:rsidRDefault="00CF00B5" w:rsidP="00B82EA6">
      <w:r>
        <w:t>Polarization's manifestations</w:t>
      </w:r>
      <w:r w:rsidR="00B82EA6" w:rsidRPr="007C4C41">
        <w:t xml:space="preserve"> vary widely between political systems. In some European countries, such as Germany, France, and Italy, it has led to the rise of new parties that fragment parliamentary structures, challenging traditional coalitions. In others, such as the U</w:t>
      </w:r>
      <w:r w:rsidR="00460F6B">
        <w:t>nited States of America (USA)</w:t>
      </w:r>
      <w:r w:rsidR="00B82EA6" w:rsidRPr="007C4C41">
        <w:t>, 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886623">
        <w:t>The</w:t>
      </w:r>
      <w:r w:rsidR="00B82EA6" w:rsidRPr="007C4C41">
        <w:t xml:space="preserve"> Europe</w:t>
      </w:r>
      <w:r w:rsidR="00886623">
        <w:t>an Union (EU)</w:t>
      </w:r>
      <w:r w:rsidR="00B82EA6" w:rsidRPr="007C4C41">
        <w:t xml:space="preserve"> exhibits a dual trend, with both the proliferation of Eurosceptic and populist parties and the widening ideological rifts within traditional political groups</w:t>
      </w:r>
      <w:r w:rsidR="0094531A">
        <w:t xml:space="preserve"> (</w:t>
      </w:r>
      <w:r w:rsidR="0094531A" w:rsidRPr="00457361">
        <w:t>Börzel</w:t>
      </w:r>
      <w:r w:rsidR="0094531A">
        <w:t xml:space="preserve"> et al., 2023)</w:t>
      </w:r>
      <w:r w:rsidR="00B82EA6" w:rsidRPr="007C4C41">
        <w:t xml:space="preserve">. </w:t>
      </w:r>
    </w:p>
    <w:p w14:paraId="4E77C8FE" w14:textId="77777777" w:rsidR="00B42144" w:rsidRDefault="00B82EA6" w:rsidP="00B82EA6">
      <w:r w:rsidRPr="007C4C41">
        <w:t xml:space="preserve">Understanding the patterns of synergy and antagonism among parliamentary groups is essential for grasping the dynamics of </w:t>
      </w:r>
      <w:r w:rsidR="00E17E08">
        <w:t>EU</w:t>
      </w:r>
      <w:r w:rsidRPr="007C4C41">
        <w:t xml:space="preserve"> governance and the challenges posed by polarization to collective decision-making. Moreover, identifying the </w:t>
      </w:r>
      <w:r w:rsidR="005568A2">
        <w:t>legislative</w:t>
      </w:r>
      <w:r w:rsidRPr="007C4C41">
        <w:t xml:space="preserve"> subjects where polarization is most pronounced provides valuable insights into the structural tensions within the E</w:t>
      </w:r>
      <w:r w:rsidR="005A3969">
        <w:t>uropean Parliament (EP)</w:t>
      </w:r>
      <w:r w:rsidRPr="007C4C41">
        <w:t>.</w:t>
      </w:r>
    </w:p>
    <w:p w14:paraId="0F98024A" w14:textId="77777777" w:rsidR="00C656F4" w:rsidRDefault="00C656F4" w:rsidP="00B82EA6">
      <w:r>
        <w:t>The EP’s structure, marked by a balance of ideological alignment and national interests, provides a valuable case study for examining polarization within a multi-national legislative framework (Hix et al., 2009; Lo, 2018). The rise of Euroscepticism and populist elements further illustrates the growing challenges to legislative cohesion, as these forces strain coalition-building and consensus-driven policymaking efforts within the EU (Servent, 2019).</w:t>
      </w:r>
    </w:p>
    <w:p w14:paraId="2C4B6614" w14:textId="07F72E34" w:rsidR="00B82EA6" w:rsidRDefault="00B82EA6" w:rsidP="00B82EA6">
      <w:r w:rsidRPr="007C4C41">
        <w:t>Despite its centrality to the EU, the EP has received comparatively little scholarly focus regarding the dynamics of political polarization within its structure. While substantial research has explored polarization in national parliaments, such as in the USA and the U</w:t>
      </w:r>
      <w:r w:rsidR="005326BE">
        <w:t>nited Kingdom (UK)</w:t>
      </w:r>
      <w:r w:rsidRPr="007C4C41">
        <w:t>, a critical gap persists in understanding how these phenomena unfold in a transnational legislative body like the EP</w:t>
      </w:r>
      <w:r w:rsidR="005326BE">
        <w:t xml:space="preserve"> (Hix et al., 2009; </w:t>
      </w:r>
      <w:r w:rsidR="005326BE" w:rsidRPr="00457361">
        <w:t>Börzel</w:t>
      </w:r>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p>
    <w:p w14:paraId="227E3108" w14:textId="5A1D6BAE" w:rsidR="00444A13" w:rsidRDefault="00444A13" w:rsidP="00B82EA6">
      <w:r>
        <w:lastRenderedPageBreak/>
        <w:t xml:space="preserve">This dissertation centers on the following question: how has political (multi)polarization within the EP </w:t>
      </w:r>
      <w:r w:rsidR="00A776EA">
        <w:t>been characterized</w:t>
      </w:r>
      <w:r>
        <w:t xml:space="preserve"> over the past five years, amid a context of unprecedented upheavals such as Brexit, the COVID-19 pandemic, the Russian invasion of Ukraine, and record-high inflation?</w:t>
      </w:r>
    </w:p>
    <w:p w14:paraId="487FA581" w14:textId="348E3B2F" w:rsidR="00B82EA6" w:rsidRPr="007C4C41" w:rsidRDefault="00444A13" w:rsidP="00B82EA6">
      <w:r>
        <w:t xml:space="preserve">Using roll-call data on </w:t>
      </w:r>
      <w:r w:rsidR="00004897">
        <w:t xml:space="preserve">Members of the European Parliament (MEPs), we analyze </w:t>
      </w:r>
      <w:r w:rsidR="00E466C7">
        <w:t xml:space="preserve">the </w:t>
      </w:r>
      <w:r w:rsidR="00004897">
        <w:t>co-voting network for the 9</w:t>
      </w:r>
      <w:r w:rsidR="00004897" w:rsidRPr="00004897">
        <w:rPr>
          <w:vertAlign w:val="superscript"/>
        </w:rPr>
        <w:t>th</w:t>
      </w:r>
      <w:r w:rsidR="00004897">
        <w:t xml:space="preserve"> term of the EP (2019-2024) and for major legislative subjects to identify alliances and divisions between political groups. By mapping </w:t>
      </w:r>
      <w:r w:rsidR="00836DE5">
        <w:t>patterns of co-voting behavior, this research aims to determine which legislative subjects exhibit the highest levels of (multi)polarization and which foster the greatest multi</w:t>
      </w:r>
      <w:r w:rsidR="00974929">
        <w:t>group</w:t>
      </w:r>
      <w:r w:rsidR="00836DE5">
        <w:t xml:space="preserve"> cooperation. This approach will also detect underlying </w:t>
      </w:r>
      <w:r w:rsidR="00BD51E1">
        <w:t>(multi)</w:t>
      </w:r>
      <w:r w:rsidR="00836DE5">
        <w:t xml:space="preserve">polarization patterns by analyzing coalition dynamics, revealing how alliances form and evolve across different legislative subjects. Through this analysis, we will contribute to a more granular understanding of how </w:t>
      </w:r>
      <w:r w:rsidR="00263DCB">
        <w:t>(multi)</w:t>
      </w:r>
      <w:r w:rsidR="00836DE5">
        <w:t>polarization manifests in parliamentary decision-making and how different legislative subjects shape ideological divisions within the EP.</w:t>
      </w:r>
    </w:p>
    <w:p w14:paraId="030499CD" w14:textId="1C7077D2" w:rsidR="00B82EA6" w:rsidRPr="007C4C41" w:rsidRDefault="00FE4441" w:rsidP="00B82EA6">
      <w:r>
        <w:t>The remainder of this dissertation is organized as follows: Chapter 2 reviews the literature on political polarization; Chapter 3 describes voting behaviors both within and outside the EU, along with the main methodologies for measuring polarization; Chapter 4 details the data and the methodology employed to infer the co-voting networks and obtain the voting communities; Chapter 5 presents the results and discusses the empirical findings; and Chapter 6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8" w:name="_Toc195986353"/>
      <w:r>
        <w:lastRenderedPageBreak/>
        <w:t>Political polarization</w:t>
      </w:r>
      <w:bookmarkEnd w:id="28"/>
    </w:p>
    <w:p w14:paraId="3120072D" w14:textId="35C6FACA" w:rsidR="00464D3C" w:rsidRPr="007C4C41" w:rsidRDefault="00464D3C" w:rsidP="00BE79D9">
      <w:r w:rsidRPr="007C4C41">
        <w:t>Political polarization refers to the growing ideological divide within societies, marked by shifts toward extremes among the general population and elite political groups, especially political parties. This phenomenon is increasingly analyzed as a measurable spectrum that tracks the fragmentation of public opinion between distinct poles, leading to a shrinking middle ground (McCarty et al., 2016; Pew Research Center, 2014; Gentzkow, 2016). Research on polarization often examines more than ideological separation, including affective polarization</w:t>
      </w:r>
      <w:r w:rsidR="0092652D">
        <w:t>,</w:t>
      </w:r>
      <w:r w:rsidRPr="007C4C41">
        <w:t xml:space="preserve"> the emotional and social hostility between opposing political groups, and structural network polarities within specific social groups (Van der Veen, 2023; Hohmann et al., 2023).</w:t>
      </w:r>
    </w:p>
    <w:p w14:paraId="35D42238" w14:textId="5903F2A1" w:rsidR="00464D3C" w:rsidRPr="007C4C41" w:rsidRDefault="00464D3C" w:rsidP="00BE79D9">
      <w:r w:rsidRPr="007C4C41">
        <w:t>Polarization often manifests as a deep societal division that simplifies diverse political views into two rigid ideological camps, posing significant challenges to democratic cohesion and stability (Larkin &amp; Lendler, 2019). Recent studies show that ideological sorting, the convergence of partisan identity with clear ideological positions, has intensified in the US</w:t>
      </w:r>
      <w:r w:rsidR="006A0661" w:rsidRPr="007C4C41">
        <w:t>A</w:t>
      </w:r>
      <w:r w:rsidRPr="007C4C41">
        <w:t xml:space="preserve"> and Europe, thereby reducing party collaborations that previously mitigated political divides (Gestefeld et al., 2022; Servent, 2019).</w:t>
      </w:r>
    </w:p>
    <w:p w14:paraId="334C89C1" w14:textId="4633C250" w:rsidR="00464D3C" w:rsidRPr="007C4C41" w:rsidRDefault="00464D3C" w:rsidP="00BE79D9">
      <w:r w:rsidRPr="007C4C41">
        <w:t>Affective polarization, characterized by emotional and social hostility, compounds these divides as political groups increasingly see opponents not merely as ideological opposites but as social adversaries (Iyengar &amp; Westwood, 2015). The durability of this polarization is evident in the US</w:t>
      </w:r>
      <w:r w:rsidR="006A0661" w:rsidRPr="007C4C41">
        <w:t>A</w:t>
      </w:r>
      <w:r w:rsidRPr="007C4C41">
        <w:t>, where partisan divides have widened on topics ranging from social policy to national security (Canen et al., 2020). Studies suggest that even non-extremist individuals can experience affective polarization, particularly when exposed to highly polarized media (Bor et al., 2022; Larkin &amp; Lendler, 2019).</w:t>
      </w:r>
    </w:p>
    <w:p w14:paraId="40B8C486" w14:textId="43226610" w:rsidR="00464D3C" w:rsidRPr="007C4C41" w:rsidRDefault="00464D3C" w:rsidP="00BE79D9">
      <w:r w:rsidRPr="007C4C41">
        <w:t>Polarization’s historical trajectory reveals trends that began in the 1970s, fueled by economic restructuring and changes in media landscapes (McCarty et al., 2016). Studies continue to link structural polarization to income inequality, socio-economic shifts, and political fragmentation (Autor et al., 2020; Grechyna, 2016).</w:t>
      </w:r>
    </w:p>
    <w:p w14:paraId="5813F214" w14:textId="20B76323" w:rsidR="00464D3C" w:rsidRPr="007C4C41" w:rsidRDefault="00464D3C" w:rsidP="00BE79D9">
      <w:r w:rsidRPr="007C4C41">
        <w:t>Comparative indices, such as the Comparative Political Polarization Index, illustrate that polarization varies widely across political systems, with elite-driven polarization rising in certain regions (Van der Veen, 2023; Patkós, 2023). For democratic institutions, rising polarization presents significant challenges, as ideological rifts reduce consensus, foster legislative gridlock, and diminish public trust (McCarty et al., 2016).</w:t>
      </w:r>
    </w:p>
    <w:p w14:paraId="7F79ED4B" w14:textId="772E757F" w:rsidR="00464D3C" w:rsidRPr="007C4C41" w:rsidRDefault="00464D3C" w:rsidP="00BE79D9">
      <w:r w:rsidRPr="007C4C41">
        <w:t>Affective polarization is further amplified by populist rhetoric, which frames politics as a struggle between "the people" and "the elite"</w:t>
      </w:r>
      <w:r w:rsidR="006A0661" w:rsidRPr="007C4C41">
        <w:t>.</w:t>
      </w:r>
      <w:r w:rsidRPr="007C4C41">
        <w:t xml:space="preserve"> This narrative strengthens in-group solidarity while deepening hostility toward opposing groups (Mudde &amp; Kaltwasser, 2017). Studies show that elite and mass behaviors heighten affective divides, with contemporary political movements using emotive issues to consolidate support and reinforce group identity (Iyengar &amp; Westwood, 2015). Populist leaders in Europe and the US</w:t>
      </w:r>
      <w:r w:rsidR="00142CDA" w:rsidRPr="007C4C41">
        <w:t>A</w:t>
      </w:r>
      <w:r w:rsidRPr="007C4C41">
        <w:t xml:space="preserve"> often exploit topics like </w:t>
      </w:r>
      <w:r w:rsidRPr="007C4C41">
        <w:lastRenderedPageBreak/>
        <w:t>immigration and national identity, framing opponents as threats and turning political disagreements into broader societal divides (Mudde &amp; Kaltwasser, 2017).</w:t>
      </w:r>
    </w:p>
    <w:p w14:paraId="4C1A2748" w14:textId="70138D6D" w:rsidR="00464D3C" w:rsidRPr="007C4C41" w:rsidRDefault="00464D3C" w:rsidP="00BE79D9">
      <w:r w:rsidRPr="007C4C41">
        <w:t>Populism and ideological sorting contribute to growing affective polarization by aligning party identities with fixed ideological beliefs, curtailing the cross-party exchanges that traditionally eased partisan divides (Iyengar &amp; Westwood, 2015; Levendusky, 2009; Levendusky &amp; Druckman, 2019). In the US</w:t>
      </w:r>
      <w:r w:rsidR="00291889" w:rsidRPr="007C4C41">
        <w:t>A</w:t>
      </w:r>
      <w:r w:rsidRPr="007C4C41">
        <w:t>, this pattern has driven Republicans and Democrats further apart, heightening social and ideological fragmentation (Iyengar et al., 2019).</w:t>
      </w:r>
    </w:p>
    <w:p w14:paraId="031A6F1D" w14:textId="43D2F035" w:rsidR="00464D3C" w:rsidRPr="007C4C41" w:rsidRDefault="00464D3C" w:rsidP="00BE79D9">
      <w:r w:rsidRPr="007C4C41">
        <w:t xml:space="preserve">The convergence of political, affective, and ideological polarization presents major challenges for democratic resilience. As polarization intensifies, the risk of democratic erosion grows, particularly as populist leaders sow distrust in institutions by framing political conflicts as existential battles (Arbatli &amp; Rosenberg, 2021). In deeply polarized democracies, legislative gridlock becomes an ongoing barrier to </w:t>
      </w:r>
      <w:r w:rsidR="00E77314" w:rsidRPr="007C4C41">
        <w:t>cross-party</w:t>
      </w:r>
      <w:r w:rsidRPr="007C4C41">
        <w:t xml:space="preserve"> cooperation and effective governance. Contemporary models suggest that polarization destabilizes policy and fragments society, with significant consequences for economic stability and social cohesion (McCarty et al., 2016).</w:t>
      </w:r>
    </w:p>
    <w:p w14:paraId="2233A5DC" w14:textId="0AF63DB7" w:rsidR="00464D3C" w:rsidRDefault="00A95EAE" w:rsidP="00BE79D9">
      <w:r w:rsidRPr="007C4C41">
        <w:t>In conclusion, political polarization, intensified by populism and affective antagonisms, has profoundly altered the political landscape of liberal democracies. Comprehensive indices and innovative metrics offer crucial insights into the complexities of polarization, highlighting the need to address its multifaceted nature to protect democratic processes and mitigate socio-political fragmentation.</w:t>
      </w:r>
    </w:p>
    <w:p w14:paraId="65FFBB04" w14:textId="77777777" w:rsidR="00516FA1" w:rsidRPr="007C4C41" w:rsidRDefault="00516FA1" w:rsidP="00BE79D9"/>
    <w:p w14:paraId="2559AC46" w14:textId="3DAA52D8" w:rsidR="00037716" w:rsidRPr="007C4C41" w:rsidRDefault="00D53328" w:rsidP="00FE6488">
      <w:pPr>
        <w:pStyle w:val="Heading2"/>
      </w:pPr>
      <w:r>
        <w:t xml:space="preserve"> </w:t>
      </w:r>
      <w:bookmarkStart w:id="29" w:name="_Toc190706688"/>
      <w:bookmarkStart w:id="30" w:name="_Toc195986354"/>
      <w:r w:rsidR="00037716" w:rsidRPr="007C4C41">
        <w:t>Structural factors of polarization</w:t>
      </w:r>
      <w:bookmarkEnd w:id="29"/>
      <w:bookmarkEnd w:id="30"/>
    </w:p>
    <w:p w14:paraId="0FB7FA32" w14:textId="1396BE9F" w:rsidR="00E10D5D" w:rsidRPr="007C4C41" w:rsidRDefault="00E30CCB" w:rsidP="00E30CCB">
      <w:r w:rsidRPr="007C4C41">
        <w:t xml:space="preserve">Political polarization is an escalating phenomenon in Western democracies, driven by interwoven structural forces. Core determinants of this trend include technological advancements, globalization, and demographic transformations. These factors interact in ways that reinforce ideological and emotional divides through feedback loops. This </w:t>
      </w:r>
      <w:r w:rsidR="000E00A9">
        <w:t>subchapter</w:t>
      </w:r>
      <w:r w:rsidRPr="007C4C41">
        <w:t xml:space="preserve"> investigates each structural driver, drawing from recent empirical and theoretical findings across various social science fields, including labor economics, political communication, demographic studies, and advanced statistical modeling approaches. By examining these pathways, this </w:t>
      </w:r>
      <w:r w:rsidR="009C57FD">
        <w:t>sub</w:t>
      </w:r>
      <w:r w:rsidRPr="007C4C41">
        <w:t>chapter highlights contemporary debates on polarization measures and their empirical relevance.</w:t>
      </w:r>
    </w:p>
    <w:p w14:paraId="37638821" w14:textId="7AF8AC01" w:rsidR="00E30CCB" w:rsidRPr="007C4C41" w:rsidRDefault="00E30CCB" w:rsidP="00E30CCB">
      <w:r w:rsidRPr="007C4C41">
        <w:t>Technological evolution contributes significantly to polarization through its effects on the labor market and media dynamics.</w:t>
      </w:r>
      <w:r w:rsidR="00073E1A">
        <w:t xml:space="preserve"> </w:t>
      </w:r>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Grechyna (2016) indicates a direct correlation between income inequality, a byproduct of skill-based wage gaps, and </w:t>
      </w:r>
      <w:r w:rsidRPr="007C4C41">
        <w:lastRenderedPageBreak/>
        <w:t>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w:t>
      </w:r>
      <w:r w:rsidR="000B7EDD" w:rsidRPr="007C4C41">
        <w:t xml:space="preserve"> a pattern</w:t>
      </w:r>
      <w:r w:rsidRPr="007C4C41">
        <w:t xml:space="preserve"> particularly evident in the US</w:t>
      </w:r>
      <w:r w:rsidR="000B7EDD" w:rsidRPr="007C4C41">
        <w:t>A</w:t>
      </w:r>
      <w:r w:rsidRPr="007C4C41">
        <w:t>.</w:t>
      </w:r>
      <w:r w:rsidR="00D12777">
        <w:t xml:space="preserve"> </w:t>
      </w:r>
      <w:r w:rsidRPr="007C4C41">
        <w:t>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‘silo effect’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5104A038" w14:textId="6F08E796" w:rsidR="008231F7" w:rsidRPr="007C4C41" w:rsidRDefault="00FB2E88" w:rsidP="00E30CCB">
      <w:r w:rsidRPr="007C4C41">
        <w:t xml:space="preserve">Globalization’s impact on political preferences, particularly in Western economies, is complex and multifaceted. Rising international trade, exemplified by the </w:t>
      </w:r>
      <w:r w:rsidR="002E7648">
        <w:t>“</w:t>
      </w:r>
      <w:r w:rsidRPr="007C4C41">
        <w:t>China trade shock”, has led to economic dislocation in specific regions, fueling ideological shifts.</w:t>
      </w:r>
      <w:r w:rsidR="00811F02">
        <w:t xml:space="preserve"> </w:t>
      </w:r>
      <w:r w:rsidRPr="007C4C41">
        <w:t>Autor et al. (2020) found that areas in the US</w:t>
      </w:r>
      <w:r w:rsidR="00AE52DE" w:rsidRPr="007C4C41">
        <w:t>A</w:t>
      </w:r>
      <w:r w:rsidRPr="007C4C41">
        <w:t xml:space="preserve"> with increased exposure to Chinese imports saw a political shift toward ideological extremes, dependent on regional demographics. Similarly, in Europe, Colantone &amp; Stanig (2017) link rising nationalism and anti-globalization sentiments to the economic disruptions caused by globalization.</w:t>
      </w:r>
      <w:r w:rsidR="0096254A">
        <w:t xml:space="preserve"> </w:t>
      </w:r>
      <w:r w:rsidRPr="007C4C41">
        <w:t>Rodrik (2018) argues that globalization sharpens the divide between "mobile" professionals who benefit from global integration and "local" workers facing job insecurity. This divide is further politicized, reinforcing ideological distinctions between globalist and protectionist viewpoints, which have come to dominate the political landscapes in the US</w:t>
      </w:r>
      <w:r w:rsidR="00DB7EFB" w:rsidRPr="007C4C41">
        <w:t>A</w:t>
      </w:r>
      <w:r w:rsidRPr="007C4C41">
        <w:t xml:space="preserve"> and Europe alike. These trends highlight the polarization in political responses to globalization, as economic changes feed into broader social and ideological divides (Autor et al., 2020; Rodrik, 2018; Fuks &amp; Marques, 2022).</w:t>
      </w:r>
    </w:p>
    <w:p w14:paraId="4A88F92B" w14:textId="5E3BB0B3" w:rsidR="00FB2E88" w:rsidRPr="007C4C41" w:rsidRDefault="00FB2E88" w:rsidP="00FB2E88">
      <w:r w:rsidRPr="007C4C41">
        <w:t>Demographic shifts, especially those involving generational divides and immigration, contribute to the intensification of polarization in significant ways.</w:t>
      </w:r>
      <w:r w:rsidR="008634BC">
        <w:t xml:space="preserve"> </w:t>
      </w:r>
      <w:r w:rsidRPr="007C4C41">
        <w:t>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r w:rsidR="00F771DC">
        <w:t xml:space="preserve"> </w:t>
      </w:r>
      <w:r w:rsidRPr="007C4C41">
        <w:t>Immigration has become a contentious topic that aligns along partisan lines, especially in the US</w:t>
      </w:r>
      <w:r w:rsidR="00DB7EFB" w:rsidRPr="007C4C41">
        <w:t>A</w:t>
      </w:r>
      <w:r w:rsidRPr="007C4C41">
        <w:t xml:space="preserve"> and Europe, where attitudes toward immigration significantly vary between right- and left-wing voters. In the US</w:t>
      </w:r>
      <w:r w:rsidR="00F6139A" w:rsidRPr="007C4C41">
        <w:t>A</w:t>
      </w:r>
      <w:r w:rsidRPr="007C4C41">
        <w:t xml:space="preserve">, Republicans increasingly view immigration as a burden, while Democrats adopt more favorable stances. In Europe, these trends are evident as right-wing nationalist groups capitalize on anti-immigration sentiments, further polarizing the electorate. These attitudes contribute to </w:t>
      </w:r>
      <w:r w:rsidRPr="007C4C41">
        <w:lastRenderedPageBreak/>
        <w:t xml:space="preserve">identity-based cleavages that compound ideological divides, fostering affective polarization across both </w:t>
      </w:r>
      <w:r w:rsidR="00F6139A" w:rsidRPr="007C4C41">
        <w:t>regions</w:t>
      </w:r>
      <w:r w:rsidRPr="007C4C41">
        <w:t xml:space="preserve"> (Patkós, 2023; Halla et al., 2017; Iyengar et al., 2012).</w:t>
      </w:r>
    </w:p>
    <w:p w14:paraId="118BBD8F" w14:textId="3BBC82D6" w:rsidR="00FB2E88" w:rsidRDefault="00486EE3" w:rsidP="00FB2E88">
      <w:r>
        <w:t>T</w:t>
      </w:r>
      <w:r w:rsidR="00FB2E88" w:rsidRPr="007C4C41">
        <w:t xml:space="preserve">he structural forces of technological transformation, globalization, and demographic change collectively intensify political polarization in Western societies. Each factor uniquely shapes the polarization landscape, whether through economic disparities, ideological divides, or cultural tensions, resulting in increasingly fragmented political arenas. Although these structural changes may be unavoidable, understanding the mechanisms by which they amplify divisions offers essential insights for addressing their polarizing effects. This </w:t>
      </w:r>
      <w:r w:rsidR="00E40297" w:rsidRPr="007C4C41">
        <w:t>review</w:t>
      </w:r>
      <w:r w:rsidR="00FB2E88" w:rsidRPr="007C4C41">
        <w:t xml:space="preserve"> provides a foundation for examining how these divides impact democratic institutions, governance, and social cohesion in affected societies.</w:t>
      </w:r>
    </w:p>
    <w:p w14:paraId="5841E02A" w14:textId="77777777" w:rsidR="00FF36F2" w:rsidRDefault="00FF36F2" w:rsidP="00FB2E88"/>
    <w:p w14:paraId="77D9EC43" w14:textId="407FE63E" w:rsidR="00D711FD" w:rsidRPr="007C4C41" w:rsidRDefault="003A64BA" w:rsidP="003A64BA">
      <w:pPr>
        <w:pStyle w:val="Heading2"/>
      </w:pPr>
      <w:r>
        <w:t xml:space="preserve"> </w:t>
      </w:r>
      <w:bookmarkStart w:id="31" w:name="_Toc195986355"/>
      <w:r w:rsidR="00EE05D8" w:rsidRPr="007C4C41">
        <w:t>Conjunctural</w:t>
      </w:r>
      <w:r w:rsidR="00D711FD" w:rsidRPr="007C4C41">
        <w:t xml:space="preserve"> factors of polarization</w:t>
      </w:r>
      <w:bookmarkEnd w:id="31"/>
    </w:p>
    <w:p w14:paraId="320EAB99" w14:textId="0D5659C6" w:rsidR="00D711FD" w:rsidRPr="007C4C41" w:rsidRDefault="00856363" w:rsidP="00FB2E88">
      <w:r>
        <w:t>Besides</w:t>
      </w:r>
      <w:r w:rsidR="00EE05D8" w:rsidRPr="007C4C41">
        <w:t xml:space="preserve"> long-term structural factors, specific events have intensified political polarization in recent years.</w:t>
      </w:r>
    </w:p>
    <w:p w14:paraId="45804A56" w14:textId="56DB01DF" w:rsidR="00EE05D8" w:rsidRPr="007C4C41" w:rsidRDefault="00EE05D8" w:rsidP="00FB2E88">
      <w:r w:rsidRPr="007C4C41">
        <w:t>There is broad agreement that the 2008 global financial crisis and recent waves of migration in Europe have been pivotal in this regard. Empirical studies suggest that polarization frequently spikes in the aftermath of financial crises. For example, Mian et al., (2014) illustrate how heightened polarization in the U</w:t>
      </w:r>
      <w:r w:rsidR="00D72B4D" w:rsidRPr="007C4C41">
        <w:t>nited States</w:t>
      </w:r>
      <w:r w:rsidRPr="007C4C41">
        <w:t xml:space="preserve"> Congress has impeded effective policy responses to economic crises. Expanding beyond the US</w:t>
      </w:r>
      <w:r w:rsidR="006C613D" w:rsidRPr="007C4C41">
        <w:t>A</w:t>
      </w:r>
      <w:r w:rsidRPr="007C4C41">
        <w:t xml:space="preserve"> context, Funke et al., (2016) demonstrate that financial crises worldwide often shift voter support away from centrist positions, significantly boosting radical parties on both the right and left, for instance, showing an average 30% increase in support for far-right parties.</w:t>
      </w:r>
    </w:p>
    <w:p w14:paraId="38F8D227" w14:textId="4A4F18CF" w:rsidR="00EE05D8" w:rsidRPr="007C4C41" w:rsidRDefault="00EE05D8" w:rsidP="00FB2E88">
      <w:r w:rsidRPr="007C4C41">
        <w:t>In the same vein, Funke &amp; Trebesch (2017) related the 2008 financial crisis to the rise of right-wing populist parties in the European political spectrum. Additionally, an investigation of Germany during the 1930s by Doerr et al., (2019) shows that the financial crisis suffered by the country at the beginning of that decade contributed decisively to boosting the National Socialist Party in the period between the two world wars.</w:t>
      </w:r>
    </w:p>
    <w:p w14:paraId="56817200" w14:textId="300C6008" w:rsidR="00EE05D8" w:rsidRPr="007C4C41" w:rsidRDefault="00EE05D8" w:rsidP="00FB2E88">
      <w:r w:rsidRPr="007C4C41">
        <w:t xml:space="preserve">The causal relationship between financial crises and polarization is empirically </w:t>
      </w:r>
      <w:r w:rsidR="00AF2F2C">
        <w:t>well-founded</w:t>
      </w:r>
      <w:r w:rsidRPr="007C4C41">
        <w:t xml:space="preserve">, and there is growing evidence indicating that it operates through three channels: the loss of confidence in institutions and the established political class, the increasing debt of countries with the consequent budgetary constraints, and the increase in inequality. Firstly, financial crises are often understood as the result of failures in regulation and/or public policy. Consequently, this situation usually leads to a loss of confidence in the ruling class and institutions, thus generating an increase in votes for more anti-establishment extreme political factions. Secondly, the need to resolve situations of excessive debt also leads to greater political polarization. Debt restructuring processes that affect people with fewer resources tend to provoke a rejection of the political status quo. Finally, the increase in social </w:t>
      </w:r>
      <w:r w:rsidRPr="007C4C41">
        <w:lastRenderedPageBreak/>
        <w:t>inequality, which is usually especially intense during financial crises, also increases electoral polarization. The rise in inequality has been observed for decades in most advanced countries</w:t>
      </w:r>
      <w:r w:rsidR="00FE6032">
        <w:t>,</w:t>
      </w:r>
      <w:r w:rsidRPr="007C4C41">
        <w:t xml:space="preserve"> but has been accentuated by the more recent financial crisis.</w:t>
      </w:r>
    </w:p>
    <w:p w14:paraId="1DC2DB4E" w14:textId="35B1CC6F" w:rsidR="00EE05D8" w:rsidRPr="007C4C41" w:rsidRDefault="00EE05D8" w:rsidP="00FB2E88">
      <w:r w:rsidRPr="007C4C41">
        <w:t xml:space="preserve">Immigration has also proven to be a significant catalyst </w:t>
      </w:r>
      <w:r w:rsidR="00ED405A">
        <w:t>for</w:t>
      </w:r>
      <w:r w:rsidRPr="007C4C41">
        <w:t xml:space="preserve"> political polarization, particularly in Europe. The increase in immigration during the 2000s corresponded with a notable rise in support for parties opposed to immigration. For example, Otto &amp; Steinhardt (2014), in an in-depth study of </w:t>
      </w:r>
      <w:r w:rsidR="000F7CC4" w:rsidRPr="007C4C41">
        <w:t xml:space="preserve">the city of </w:t>
      </w:r>
      <w:r w:rsidRPr="007C4C41">
        <w:t>Hamburg, demonstrate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2F78F833" w14:textId="2FBFEDE9" w:rsidR="00EE05D8" w:rsidRPr="007C4C41" w:rsidRDefault="00EE05D8" w:rsidP="00FB2E88">
      <w:r w:rsidRPr="007C4C41">
        <w:t>Like financial crises, migration impacts polarization through multiple channels, such as labor market competition, redistribution of social benefits, shifts in cultural identity, and political influence. Card et al., (2012) f</w:t>
      </w:r>
      <w:r w:rsidR="00F51E6F" w:rsidRPr="007C4C41">
        <w:t>ound</w:t>
      </w:r>
      <w:r w:rsidRPr="007C4C41">
        <w:t xml:space="preserve"> that immigration can affect wages and labor competition, especially for lower-wage native workers, potentially fostering economic insecurity and resentment, which can fuel divisive political responses. Dustmann &amp; Frattini (2014) further observe</w:t>
      </w:r>
      <w:r w:rsidR="0087354E" w:rsidRPr="007C4C41">
        <w:t>d</w:t>
      </w:r>
      <w:r w:rsidRPr="007C4C41">
        <w:t xml:space="preserve"> that, while immigrant populations may contribute positively to public financ</w:t>
      </w:r>
      <w:r w:rsidR="00427A6D" w:rsidRPr="007C4C41">
        <w:t>es</w:t>
      </w:r>
      <w:r w:rsidRPr="007C4C41">
        <w:t>,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34385C7" w14:textId="2E3A7450" w:rsidR="00EE05D8" w:rsidRPr="007C4C41" w:rsidRDefault="00EE05D8" w:rsidP="00FB2E88">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rsidR="003361D2">
        <w:t xml:space="preserve">such as </w:t>
      </w:r>
      <w:r w:rsidRPr="007C4C41">
        <w:t>pandemic</w:t>
      </w:r>
      <w:r w:rsidR="003361D2">
        <w:t>s</w:t>
      </w:r>
      <w:r w:rsidRPr="007C4C41">
        <w:t xml:space="preserve"> strain economic resources, intensify social inequalities</w:t>
      </w:r>
      <w:r w:rsidR="00CF4303">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3AB4F55C" w14:textId="7D0815EC" w:rsidR="00EE05D8" w:rsidRDefault="00EE05D8" w:rsidP="00FB2E88">
      <w:r w:rsidRPr="009704B6">
        <w:t>The reviewed literature indicates that financial crises, migratory waves, and other contemporary challenges catalyze political polarization by exacerbating economic vulnerabilities, redistributing social resources, and challenging cultural identities. These dynamics foster conditions where anti-establishment and radical parties gain traction, shaping a polarized political landscape that reflects the social and economic strains of modern democracies. Recognizing the exacerbating and potentially mitigating factors within these events can guide efforts to address polarization in ways that strengthen social cohesion and institutional trust.</w:t>
      </w:r>
    </w:p>
    <w:p w14:paraId="1898D8BE" w14:textId="13D1719C" w:rsidR="008937EF" w:rsidRPr="007C4C41" w:rsidRDefault="008937EF" w:rsidP="008937EF">
      <w:pPr>
        <w:pStyle w:val="Heading1"/>
      </w:pPr>
      <w:bookmarkStart w:id="32" w:name="_Toc195986356"/>
      <w:r>
        <w:lastRenderedPageBreak/>
        <w:t>Voting behavior</w:t>
      </w:r>
      <w:bookmarkEnd w:id="32"/>
    </w:p>
    <w:p w14:paraId="30480AC7" w14:textId="6D61FD4B" w:rsidR="009E4C84" w:rsidRPr="007C4C41" w:rsidRDefault="009E4C84" w:rsidP="009E4C84">
      <w:r w:rsidRPr="007C4C41">
        <w:t xml:space="preserve">Political polarization is straining the foundations of democracies worldwide, with unique economic, social, and ideological factors shaping its complex dynamics in each context. </w:t>
      </w:r>
      <w:r w:rsidR="00F762E0">
        <w:t xml:space="preserve">We begin by examining </w:t>
      </w:r>
      <w:r w:rsidRPr="007C4C41">
        <w:t>the evolution of political polarization over time across various political landscapes, focusing on the USA, UK, Canada, Australia, and Brazil.</w:t>
      </w:r>
    </w:p>
    <w:p w14:paraId="56D23481" w14:textId="77777777" w:rsidR="009E4C84" w:rsidRPr="007C4C41" w:rsidRDefault="009E4C84" w:rsidP="009E4C84">
      <w:r w:rsidRPr="007C4C41">
        <w:t>In the USA, polarization has intensified over several decades, with distinct divides emerging between Democrats and Republicans, particularly in Congress. Since the 1970s, researchers such as McCarty et al. (2016) and Canen et al. (2020) have documented how partisan sorting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59352C40" w14:textId="77777777" w:rsidR="009E4C84" w:rsidRPr="007C4C41" w:rsidRDefault="009E4C84" w:rsidP="009E4C84">
      <w:r w:rsidRPr="007C4C41">
        <w:t>In the UK, polarization has sharply increased in recent years, especially around Brexit, which fractured both major parties, notably the Conservatives. Peterson &amp; Spirling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7EF88F6" w14:textId="77777777" w:rsidR="009E4C84" w:rsidRPr="007C4C41" w:rsidRDefault="009E4C84" w:rsidP="009E4C84">
      <w:r w:rsidRPr="007C4C41">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(Huijsmans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6B662CEA" w14:textId="77777777" w:rsidR="009E4C84" w:rsidRPr="007C4C41" w:rsidRDefault="009E4C84" w:rsidP="009E4C84">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t>
      </w:r>
      <w:r w:rsidRPr="007C4C41">
        <w:lastRenderedPageBreak/>
        <w:t xml:space="preserve">with significant disagreements on addressing environmental challenges. Similarly, Markus </w:t>
      </w:r>
      <w:r>
        <w:t xml:space="preserve">et al. </w:t>
      </w:r>
      <w:r w:rsidRPr="007C4C41">
        <w:t xml:space="preserve">(2019) </w:t>
      </w:r>
      <w:r>
        <w:t>highlight</w:t>
      </w:r>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49D60E42" w14:textId="77777777" w:rsidR="009E4C84" w:rsidRPr="007C4C41" w:rsidRDefault="009E4C84" w:rsidP="009E4C84">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directly engage and galvanize their bases, enhancing affective polarization.</w:t>
      </w:r>
    </w:p>
    <w:p w14:paraId="33EDE08E" w14:textId="77777777" w:rsidR="009E4C84" w:rsidRDefault="009E4C84" w:rsidP="009E4C84">
      <w:r w:rsidRPr="007C4C41">
        <w:t>These examples illustrate how economic strains, regional divides, and identity-based rhetoric shape polarization across non-EU democracies, influencing legislative gridlock and reducing policy adaptability. The ideological sorting in the United States Congress, regional and climate divides in Canada and Australia, and the social and cultural rifts in Brazil reveal the complex ways polarization disrupts parliamentary function, highlighting the global implications of an increasingly divided political landscape.</w:t>
      </w:r>
    </w:p>
    <w:p w14:paraId="3F716F42" w14:textId="77777777" w:rsidR="00B836B8" w:rsidRDefault="00B836B8" w:rsidP="009E4C84"/>
    <w:p w14:paraId="2DFED761" w14:textId="3BD05935" w:rsidR="009E4C84" w:rsidRPr="007C4C41" w:rsidRDefault="001D229C" w:rsidP="009E4C84">
      <w:pPr>
        <w:pStyle w:val="Heading2"/>
      </w:pPr>
      <w:bookmarkStart w:id="33" w:name="_Toc195986357"/>
      <w:r>
        <w:t xml:space="preserve"> </w:t>
      </w:r>
      <w:r w:rsidR="009E4C84">
        <w:t>Voting behaviors in the European Parliament</w:t>
      </w:r>
      <w:bookmarkEnd w:id="33"/>
      <w:r w:rsidR="009E4C84">
        <w:t xml:space="preserve"> </w:t>
      </w:r>
    </w:p>
    <w:p w14:paraId="7F6F754B" w14:textId="3F313D83" w:rsidR="00EE05D8" w:rsidRPr="007C4C41" w:rsidRDefault="009827D8" w:rsidP="00FB2E88">
      <w:r>
        <w:t xml:space="preserve">Focusing on the EU, </w:t>
      </w:r>
      <w:r w:rsidR="00877CF9">
        <w:t>the</w:t>
      </w:r>
      <w:r w:rsidR="009143DB" w:rsidRPr="007C4C41">
        <w:t xml:space="preserve"> EP plays a pivotal role in shaping the European project, characterized by its unique transnational structure and the intricate dynamics among MEPs from diverse political affiliations. Foundational research by Hix et al., (2009) provides critical insights into how MEP voting behaviors and alliance formations</w:t>
      </w:r>
      <w:r w:rsidR="007A65BB" w:rsidRPr="007C4C41">
        <w:t xml:space="preserve"> could</w:t>
      </w:r>
      <w:r w:rsidR="009143DB" w:rsidRPr="007C4C41">
        <w:t xml:space="preserve"> reveal distinct trends of political polarization within the EP. Their study demonstrates that MEPs tend to align primarily along ideological lines rather than national ones, underscoring broader ideological divides that shape the</w:t>
      </w:r>
      <w:r w:rsidR="009C7BCC" w:rsidRPr="007C4C41">
        <w:t xml:space="preserve"> </w:t>
      </w:r>
      <w:r w:rsidR="009143DB" w:rsidRPr="007C4C41">
        <w:t>EU legislative framework.</w:t>
      </w:r>
    </w:p>
    <w:p w14:paraId="6A6B0AD1" w14:textId="2D034B4C" w:rsidR="009143DB" w:rsidRPr="007C4C41" w:rsidRDefault="009143DB" w:rsidP="00FB2E88">
      <w:r w:rsidRPr="007C4C41">
        <w:t xml:space="preserve">Furthermore, </w:t>
      </w:r>
      <w:r w:rsidR="00597300">
        <w:t>Hi</w:t>
      </w:r>
      <w:r w:rsidR="00A20FE3">
        <w:t>x</w:t>
      </w:r>
      <w:r w:rsidR="00597300">
        <w:t xml:space="preserve"> et al., (2009)</w:t>
      </w:r>
      <w:r w:rsidRPr="007C4C41">
        <w:t xml:space="preserve"> f</w:t>
      </w:r>
      <w:r w:rsidR="00F50D45">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w:t>
      </w:r>
      <w:r w:rsidRPr="007C4C41">
        <w:lastRenderedPageBreak/>
        <w:t>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62A261B5" w14:textId="2C4829CE" w:rsidR="009143DB" w:rsidRPr="007C4C41" w:rsidRDefault="001075BB" w:rsidP="00FB2E88">
      <w:r w:rsidRPr="007C4C41">
        <w:t>Political group cohesion in the EP is positively correlated with centrality, meaning that groups exhibit stronger internal unity when their votes are pivotal. This effect has intensified as the EP's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(Servent, 2019).</w:t>
      </w:r>
    </w:p>
    <w:p w14:paraId="0E8EE292" w14:textId="2F7E0834" w:rsidR="001075BB" w:rsidRPr="007C4C41" w:rsidRDefault="001075BB" w:rsidP="00FB2E88">
      <w:r w:rsidRPr="007C4C41">
        <w:t>Political groups within the EP, such as the EPP</w:t>
      </w:r>
      <w:r w:rsidR="008F1986">
        <w:t xml:space="preserve"> (European People’s Party Group)</w:t>
      </w:r>
      <w:r w:rsidRPr="007C4C41">
        <w:t xml:space="preserve"> and the S&amp;D</w:t>
      </w:r>
      <w:r w:rsidR="00D76546">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(Cherepnalkoski et al., 2016).</w:t>
      </w:r>
    </w:p>
    <w:p w14:paraId="66477B6F" w14:textId="5B60037E" w:rsidR="001075BB" w:rsidRPr="007C4C41" w:rsidRDefault="001075BB" w:rsidP="00FB2E88">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rsidR="00E93C65">
        <w:t>’</w:t>
      </w:r>
      <w:r w:rsidRPr="007C4C41">
        <w:t xml:space="preserve"> national parties (Börzel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(Börzel et al., 2023).</w:t>
      </w:r>
    </w:p>
    <w:p w14:paraId="3854B7FF" w14:textId="43F28429" w:rsidR="001075BB" w:rsidRPr="007C4C41" w:rsidRDefault="001075BB" w:rsidP="00FB2E88">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w:t>
      </w:r>
      <w:r w:rsidR="004273CE" w:rsidRPr="007C4C41">
        <w:t>anti-corruption</w:t>
      </w:r>
      <w:r w:rsidRPr="007C4C41">
        <w:t xml:space="preserve"> measures. This balancing act is particularly evident in votes requiring </w:t>
      </w:r>
      <w:r w:rsidR="00A70EAD">
        <w:t xml:space="preserve">an </w:t>
      </w:r>
      <w:r w:rsidRPr="007C4C41">
        <w:t xml:space="preserve">absolute </w:t>
      </w:r>
      <w:r w:rsidR="00A70EAD" w:rsidRPr="007C4C41">
        <w:t>majority</w:t>
      </w:r>
      <w:r w:rsidRPr="007C4C41">
        <w:t>, where the incentive to maintain group cohesion is paramount for achieving legislative outcomes (Hix et al., 2009; see also Apergis &amp; Pinar, 2023 on polarization factors).</w:t>
      </w:r>
    </w:p>
    <w:p w14:paraId="05A5A351" w14:textId="71B39764" w:rsidR="001075BB" w:rsidRPr="007C4C41" w:rsidRDefault="001075BB" w:rsidP="00FB2E88">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w:t>
      </w:r>
      <w:r w:rsidRPr="007C4C41">
        <w:lastRenderedPageBreak/>
        <w:t xml:space="preserve">enlargements. Enhanced political group cohesion supports the </w:t>
      </w:r>
      <w:r w:rsidR="00A70EAD">
        <w:t>EP</w:t>
      </w:r>
      <w:r w:rsidR="008220B6">
        <w:t>’</w:t>
      </w:r>
      <w:r w:rsidR="00A70EAD">
        <w:t>s internal stability</w:t>
      </w:r>
      <w:r w:rsidRPr="007C4C41">
        <w:t>, reinforcing its effectiveness as a central legislative body within the EU (Lo, 2018).</w:t>
      </w:r>
    </w:p>
    <w:p w14:paraId="5009E93E" w14:textId="14099A6D" w:rsidR="001075BB" w:rsidRPr="007C4C41" w:rsidRDefault="001075BB" w:rsidP="00FB2E88">
      <w:r w:rsidRPr="00962705">
        <w:t>Th</w:t>
      </w:r>
      <w:r w:rsidR="000F093A" w:rsidRPr="00962705">
        <w:t>e</w:t>
      </w:r>
      <w:r w:rsidRPr="00962705">
        <w:t xml:space="preserve"> increased polarization</w:t>
      </w:r>
      <w:r w:rsidR="00341DB7" w:rsidRPr="00962705">
        <w:t xml:space="preserve"> (possibly also</w:t>
      </w:r>
      <w:r w:rsidRPr="00962705">
        <w:t xml:space="preserve"> within the EP</w:t>
      </w:r>
      <w:r w:rsidR="00341DB7" w:rsidRPr="00962705">
        <w:t>)</w:t>
      </w:r>
      <w:r w:rsidR="005E16C8" w:rsidRPr="00962705">
        <w:t xml:space="preserve"> would</w:t>
      </w:r>
      <w:r w:rsidRPr="00962705">
        <w:t xml:space="preserve"> reflect broader European trends where economic inequality and low trust levels deepen ideological divides (Grechyna, 2016). The rise of populist elements within mainstream groups has further strained the traditional </w:t>
      </w:r>
      <w:r w:rsidR="00B1343B">
        <w:t>“</w:t>
      </w:r>
      <w:r w:rsidRPr="00962705">
        <w:t>cordon sanitaire</w:t>
      </w:r>
      <w:r w:rsidR="00B1343B">
        <w:t>”</w:t>
      </w:r>
      <w:r w:rsidRPr="00962705">
        <w:t xml:space="preserve"> approach used to contain extremist factions, complicating coalition-building and potentially impacting legislative cohesion. This development raises concerns about the EP's ability to effectively negotiate with other EU institutions amidst growing ideological fragmentation.</w:t>
      </w:r>
    </w:p>
    <w:p w14:paraId="5CE47A6B" w14:textId="363986BA" w:rsidR="00186E59" w:rsidRDefault="00CB19A9" w:rsidP="00FB2E88">
      <w:r>
        <w:t xml:space="preserve">Voting </w:t>
      </w:r>
      <w:r w:rsidR="0068184E" w:rsidRPr="007C4C41">
        <w:t>behavior</w:t>
      </w:r>
      <w:r w:rsidR="001075BB" w:rsidRPr="007C4C41">
        <w:t xml:space="preserve">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rsidR="008A6A98">
        <w:t>’</w:t>
      </w:r>
      <w:r w:rsidR="001075BB" w:rsidRPr="007C4C41">
        <w:t>s central role in shaping EU legislation amidst evolving challenges to unity and consensus.</w:t>
      </w:r>
      <w:r w:rsidR="000A46A5">
        <w:t xml:space="preserve"> </w:t>
      </w:r>
    </w:p>
    <w:p w14:paraId="59A0F0C2" w14:textId="66D70A5E" w:rsidR="00A05DAF" w:rsidRDefault="00473E50" w:rsidP="00FB2E88">
      <w:r>
        <w:t>Appendix A presents a</w:t>
      </w:r>
      <w:r w:rsidR="004F6403">
        <w:t xml:space="preserve">n </w:t>
      </w:r>
      <w:r>
        <w:t>explanation of the functioning and powers of the EP, as well as its composition during the 9</w:t>
      </w:r>
      <w:r w:rsidRPr="00473E50">
        <w:rPr>
          <w:vertAlign w:val="superscript"/>
        </w:rPr>
        <w:t>th</w:t>
      </w:r>
      <w:r>
        <w:t xml:space="preserve"> term.</w:t>
      </w:r>
    </w:p>
    <w:p w14:paraId="728F66CE" w14:textId="77777777" w:rsidR="00016A18" w:rsidRDefault="00016A18" w:rsidP="00FB2E88"/>
    <w:p w14:paraId="4C674F93" w14:textId="2A32FAEC" w:rsidR="009E145B" w:rsidRPr="007C4C41" w:rsidRDefault="00F6024F" w:rsidP="00232FD9">
      <w:pPr>
        <w:pStyle w:val="Heading2"/>
      </w:pPr>
      <w:r>
        <w:t xml:space="preserve"> </w:t>
      </w:r>
      <w:bookmarkStart w:id="34" w:name="_Toc195986358"/>
      <w:r w:rsidR="009E145B" w:rsidRPr="007C4C41">
        <w:t>Me</w:t>
      </w:r>
      <w:r w:rsidR="00CA4AC8">
        <w:t>asuring polarization</w:t>
      </w:r>
      <w:bookmarkEnd w:id="34"/>
    </w:p>
    <w:p w14:paraId="74B52AD7" w14:textId="1D4134B3" w:rsidR="009E145B" w:rsidRDefault="009E145B" w:rsidP="009E145B">
      <w:r w:rsidRPr="007C4C41">
        <w:t xml:space="preserve">Political polarization poses a significant challenge to democratic stability and social cohesion, as deepening ideological divides can disrupt policymaking, heighten societal tensions, and weaken governance structures. Effectively addressing this issue requires reliable, multidimensional measurements of polarization, spanning ideological, affective, and behavioral dimensions, that are sensitive to varying political contexts. Such measurements should capture the intensity and progression of these divides and illuminate the specific conditions that drive polarization’s rise or decline. With these tools, researchers and policymakers can assess polarization’s impact on democratic institutions, offering a foundation for interventions that may mitigate its adverse effects. </w:t>
      </w:r>
    </w:p>
    <w:p w14:paraId="40A1C9C1" w14:textId="58DD4CB0" w:rsidR="00230246" w:rsidRDefault="000A77DE" w:rsidP="009E145B">
      <w:r>
        <w:t>The measurement of political polarization has generated a diverse body of research, reflecting the multidimensional nature of this phenomenon. This subsection reviews the main methodological approaches employed in the literature</w:t>
      </w:r>
      <w:r w:rsidR="00D109E7">
        <w:t>, emphasizing their theoretical underpinnings, empirical applications, and relevance for studying polarization within legislative, societal, and digital contexts.</w:t>
      </w:r>
    </w:p>
    <w:p w14:paraId="271035B5" w14:textId="1201A9C1" w:rsidR="00D109E7" w:rsidRDefault="00CF3319" w:rsidP="009E145B">
      <w:r>
        <w:t>One of the most established techniques is the analysis of roll-call votes, which measures polarization by assessing how consistently legislators vote along party lines, revealing ideological alignment, partisan cohesion</w:t>
      </w:r>
      <w:r w:rsidR="00AC2DD5">
        <w:t>,</w:t>
      </w:r>
      <w:r>
        <w:t xml:space="preserve"> and inter-group divergence within legislative bodies. This method is particularly suitable for institutional settings such as parliaments, where formal votes are systematically recorded. Hix </w:t>
      </w:r>
      <w:r w:rsidR="00AC2DD5">
        <w:t>&amp;</w:t>
      </w:r>
      <w:r>
        <w:t xml:space="preserve"> Noury (2009), for example, demonstrate how MEPs </w:t>
      </w:r>
      <w:r>
        <w:lastRenderedPageBreak/>
        <w:t xml:space="preserve">predominantly vote along partisan rather than national lines, offering evidence of party-based polarization in a transnational setting.  </w:t>
      </w:r>
      <w:r w:rsidR="00A21775">
        <w:t>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w:t>
      </w:r>
      <w:r w:rsidR="00D13E04">
        <w:t>nited States</w:t>
      </w:r>
      <w:r w:rsidR="00A21775">
        <w:t xml:space="preserve"> Congress, attributing a significant share of polarization (65%)</w:t>
      </w:r>
      <w:r w:rsidR="004900EE">
        <w:t xml:space="preserve"> by 2018</w:t>
      </w:r>
      <w:r w:rsidR="00A21775">
        <w:t xml:space="preserve"> to increasing leadership influence over legislative behavior.</w:t>
      </w:r>
    </w:p>
    <w:p w14:paraId="12E893F8" w14:textId="02111ACE" w:rsidR="00553E63" w:rsidRDefault="00553E63" w:rsidP="009E145B">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rsidR="00C168B7">
        <w:t>&amp;</w:t>
      </w:r>
      <w:r w:rsidRPr="00B37F09">
        <w:t xml:space="preserve"> Somer-Topcu (2010) use ideological clustering to identify fragmentation within legislative bodies, while Hohmann et al. (2023) refine network-based metrics by introducing generalized </w:t>
      </w:r>
      <w:r w:rsidR="00AE620A">
        <w:t xml:space="preserve">Euclidean </w:t>
      </w:r>
      <w:r w:rsidRPr="00B37F09">
        <w:t>distance measures that reveal ideological clustering and echo chambers. Furthermore, Cherepnalkoski et al. (2016) merge</w:t>
      </w:r>
      <w:r w:rsidR="00C5451C">
        <w:t>d</w:t>
      </w:r>
      <w:r w:rsidRPr="00B37F09">
        <w:t xml:space="preserve"> Twitter and roll-call data to identify informal alliances among MEPs, illustrating how online behavior complements formal legislative activity.</w:t>
      </w:r>
      <w:r w:rsidR="00C5451C">
        <w:t xml:space="preserve"> In addition,</w:t>
      </w:r>
      <w:r w:rsidRPr="00B37F09">
        <w:t xml:space="preserve"> Domagalski et al. (2020) enhance</w:t>
      </w:r>
      <w:r w:rsidR="00C5451C">
        <w:t>d</w:t>
      </w:r>
      <w:r w:rsidRPr="00B37F09">
        <w:t xml:space="preserve"> the interpretability of co-voting networks through </w:t>
      </w:r>
      <w:r w:rsidR="00191A04">
        <w:t xml:space="preserve">their </w:t>
      </w:r>
      <w:r w:rsidRPr="00B37F09">
        <w:t>backbone extraction, reducing statistical noise and isolating significant ideological alignments.</w:t>
      </w:r>
    </w:p>
    <w:p w14:paraId="49380454" w14:textId="55B1274A" w:rsidR="00CC7CAB" w:rsidRDefault="00364E4C" w:rsidP="00CC7CAB">
      <w:r>
        <w:t xml:space="preserve">Another methodological approach </w:t>
      </w:r>
      <w:r w:rsidR="00C33F8E">
        <w:t>is</w:t>
      </w:r>
      <w:r w:rsidR="00CC7CAB" w:rsidRPr="000065D3">
        <w:t xml:space="preserve"> probabilistic and Bayesian models,</w:t>
      </w:r>
      <w:r w:rsidR="000065D3" w:rsidRPr="000065D3">
        <w:t xml:space="preserve"> which estimate ideological distributions, </w:t>
      </w:r>
      <w:r w:rsidR="00FE19D0">
        <w:t>model</w:t>
      </w:r>
      <w:r w:rsidR="000065D3" w:rsidRPr="000065D3">
        <w:t xml:space="preserve"> attitudal shifts over time, and </w:t>
      </w:r>
      <w:r w:rsidR="00FE19D0">
        <w:t>identify</w:t>
      </w:r>
      <w:r w:rsidR="000065D3" w:rsidRPr="000065D3">
        <w:t xml:space="preserve"> key structural drivers influencing divergence across political parties</w:t>
      </w:r>
      <w:r w:rsidR="00CC7CAB" w:rsidRPr="000065D3">
        <w:t>.</w:t>
      </w:r>
      <w:r w:rsidR="00CC7CAB">
        <w:t xml:space="preserve"> Guevara et al. (2022) employ Markov Chain models to estimate the probability of populations reaching polarized states over time, providing a dynamic counterpart to traditional polarization indices. Grechyna (2016), using Bayesian Model Averaging, identifies socioeconomic determinants of polarization, such as trust and income inequality</w:t>
      </w:r>
      <w:r w:rsidR="00907EA9">
        <w:t>.</w:t>
      </w:r>
      <w:r w:rsidR="00CC7CAB">
        <w:t xml:space="preserve"> Mehlhaff (2023) introduces the Cluster Polarization Coefficient, a group-based metric capturing both intra-group cohesion and inter-group divergence, which is particularly applicable in multiparty systems and multidimensional ideological landscapes.</w:t>
      </w:r>
    </w:p>
    <w:p w14:paraId="7B96205A" w14:textId="05FC773E" w:rsidR="00CC7CAB" w:rsidRDefault="00CC7CAB" w:rsidP="009E145B">
      <w:r>
        <w:t xml:space="preserve">A </w:t>
      </w:r>
      <w:r w:rsidRPr="000065D3">
        <w:t>more exploratory but increasingly influential approach involves simulation-based models, particularly agent-based models and techniques drawn from statistical mechanics</w:t>
      </w:r>
      <w:r w:rsidR="000065D3" w:rsidRPr="000065D3">
        <w:t>, which measure polarization by simulating opinion dynamics, modeling group interactions</w:t>
      </w:r>
      <w:r w:rsidR="00907EA9">
        <w:t>,</w:t>
      </w:r>
      <w:r w:rsidR="000065D3" w:rsidRPr="000065D3">
        <w:t xml:space="preserve"> and analyzing environment responses to political shocks</w:t>
      </w:r>
      <w:r w:rsidRPr="000065D3">
        <w:t>.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w:t>
      </w:r>
      <w:r w:rsidR="00907EA9">
        <w:t>social and political</w:t>
      </w:r>
      <w:r>
        <w:t xml:space="preserve"> pressures shift </w:t>
      </w:r>
      <w:r w:rsidR="00870CC1">
        <w:t>opinion</w:t>
      </w:r>
      <w:r>
        <w:t xml:space="preserve"> distributions. Such models are especially useful for exploring counterfactuals and testing the effectiveness of potential depolarization strategies.</w:t>
      </w:r>
    </w:p>
    <w:p w14:paraId="25B8F42C" w14:textId="24B9B253" w:rsidR="00CC7CAB" w:rsidRDefault="00CC7CAB" w:rsidP="009E145B">
      <w:r>
        <w:t xml:space="preserve">In parallel, advances in </w:t>
      </w:r>
      <w:r w:rsidRPr="005A74E8">
        <w:t>supervised machine learning and natural language processing have opened new opportunities for analyzing polarization at scale.</w:t>
      </w:r>
      <w:r w:rsidR="000065D3">
        <w:t xml:space="preserve"> These methodologies measure </w:t>
      </w:r>
      <w:r w:rsidR="000065D3">
        <w:lastRenderedPageBreak/>
        <w:t xml:space="preserve">polarization by classifying alignment from textual data, analyzing </w:t>
      </w:r>
      <w:r w:rsidR="007C523D">
        <w:t>rhetorical</w:t>
      </w:r>
      <w:r w:rsidR="000065D3">
        <w:t xml:space="preserve"> patterns</w:t>
      </w:r>
      <w:r w:rsidR="00E92B30">
        <w:t>,</w:t>
      </w:r>
      <w:r w:rsidR="000065D3">
        <w:t xml:space="preserve"> and detecting partisan clusters or thematic divergence.</w:t>
      </w:r>
      <w:r>
        <w:t xml:space="preserve"> Peterson </w:t>
      </w:r>
      <w:r w:rsidR="00E92B30">
        <w:t>&amp;</w:t>
      </w:r>
      <w:r>
        <w:t xml:space="preserve"> Spirling (2018) show that high accuracy in classifying party affiliation based on parliamentary speeches signals increased ideological polarization. Similarly, Bor et al. (2023) leverage sentiment analysis on Twitter to map partisan divides in the U</w:t>
      </w:r>
      <w:r w:rsidR="00FB26C4">
        <w:t>nited States</w:t>
      </w:r>
      <w:r>
        <w:t xml:space="preserve"> Congress, revealing polarized discourses on issues such as gun control and immigration, alongside areas of cross-party convergence</w:t>
      </w:r>
      <w:r w:rsidR="00902A27">
        <w:t xml:space="preserve"> such as Taiwan independence, </w:t>
      </w:r>
      <w:r w:rsidR="00902A27" w:rsidRPr="007C4C41">
        <w:t>LGBTQ</w:t>
      </w:r>
      <w:r w:rsidR="00902A27">
        <w:t xml:space="preserve"> rights</w:t>
      </w:r>
      <w:r w:rsidR="0097162F">
        <w:t>,</w:t>
      </w:r>
      <w:r w:rsidR="00902A27">
        <w:t xml:space="preserve"> and views on the Chinese </w:t>
      </w:r>
      <w:r w:rsidR="0097162F">
        <w:t>Communist</w:t>
      </w:r>
      <w:r w:rsidR="00902A27">
        <w:t xml:space="preserve"> Party</w:t>
      </w:r>
      <w:r>
        <w:t>. These techniques are particularly well-suited for analyzing large, unstructured datasets and tracking evolving patterns of political communication.</w:t>
      </w:r>
    </w:p>
    <w:p w14:paraId="747B3A87" w14:textId="21B16454" w:rsidR="00CC7CAB" w:rsidRDefault="00CC7CAB" w:rsidP="00CC7CAB">
      <w:r>
        <w:t>Additionally</w:t>
      </w:r>
      <w:r w:rsidRPr="005A74E8">
        <w:t>, survey-based methods remain central to the study of affective and perceptual polarization.</w:t>
      </w:r>
      <w:r>
        <w:t xml:space="preserve"> </w:t>
      </w:r>
      <w:r w:rsidR="00077B75">
        <w:t xml:space="preserve">These methodologies measure polarization by gauging attitudes and biases through questionnaires, tracking ideological distances, and assessing intergroup hostility, yielding insights into mass-level partisan divergences. </w:t>
      </w:r>
      <w:r>
        <w:t xml:space="preserve">Through </w:t>
      </w:r>
      <w:r w:rsidR="006354AE">
        <w:t>these methodologies</w:t>
      </w:r>
      <w:r>
        <w:t xml:space="preserve">, researchers have captured the emotional and interpersonal dimensions of ideological division. Rogowski </w:t>
      </w:r>
      <w:r w:rsidR="0092410E">
        <w:t>&amp;</w:t>
      </w:r>
      <w:r>
        <w:t xml:space="preserve">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1517618C" w:rsidR="00CC7CAB" w:rsidRDefault="00CC7CAB" w:rsidP="00CC7CAB">
      <w:r>
        <w:t>Finally</w:t>
      </w:r>
      <w:r w:rsidRPr="005A74E8">
        <w:t>, comparative indices and socio-demographic analyses</w:t>
      </w:r>
      <w:r w:rsidR="00D45598">
        <w:t xml:space="preserve"> measure polarization by capturing ideological and affective differences within geographical and demographic factors (such as urban-rural divides), which shape electoral outcomes and foster distinct partisan alignments</w:t>
      </w:r>
      <w:r w:rsidR="005A74E8">
        <w:t>.</w:t>
      </w:r>
      <w:r>
        <w:t xml:space="preserve"> Van der Veen (2023) constructs a Comparative Political Polarization Index that captures both ideological and affective dimensions across countries and over </w:t>
      </w:r>
      <w:r w:rsidR="005D54BB">
        <w:t>25 years</w:t>
      </w:r>
      <w:r>
        <w:t xml:space="preserve">, facilitating longitudinal and cross-national analyses. Huijsmans </w:t>
      </w:r>
      <w:r w:rsidR="0092410E">
        <w:t>&amp;</w:t>
      </w:r>
      <w:r>
        <w:t xml:space="preserve"> Rodden (2024), focusing on electoral geography, show </w:t>
      </w:r>
      <w:r w:rsidR="006B2935">
        <w:t>that</w:t>
      </w:r>
      <w:r>
        <w:t xml:space="preserve"> urban-rural divides are </w:t>
      </w:r>
      <w:r w:rsidR="00634A3E">
        <w:t>more pronounced</w:t>
      </w:r>
      <w:r>
        <w:t xml:space="preserve"> </w:t>
      </w:r>
      <w:r w:rsidR="00634A3E">
        <w:t>in the</w:t>
      </w:r>
      <w:r w:rsidR="00634A3E">
        <w:tab/>
        <w:t>USA, UK</w:t>
      </w:r>
      <w:r w:rsidR="006B2935">
        <w:t>,</w:t>
      </w:r>
      <w:r w:rsidR="00634A3E">
        <w:t xml:space="preserve"> and Canada but are</w:t>
      </w:r>
      <w:r w:rsidR="005D54BB">
        <w:t xml:space="preserve"> </w:t>
      </w:r>
      <w:r w:rsidR="00634A3E">
        <w:t>also emerging in</w:t>
      </w:r>
      <w:r>
        <w:t xml:space="preserve"> European multiparty </w:t>
      </w:r>
      <w:r w:rsidR="00634A3E">
        <w:t>systems</w:t>
      </w:r>
      <w:r>
        <w:t xml:space="preserve">, where </w:t>
      </w:r>
      <w:r w:rsidR="0028505A">
        <w:t xml:space="preserve">smaller </w:t>
      </w:r>
      <w:r>
        <w:t xml:space="preserve">parties increasingly draw support </w:t>
      </w:r>
      <w:r w:rsidR="0028505A">
        <w:t>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35" w:name="_Toc195986359"/>
      <w:r w:rsidRPr="007C4C41">
        <w:lastRenderedPageBreak/>
        <w:t xml:space="preserve">Data &amp; </w:t>
      </w:r>
      <w:r w:rsidR="008C386C" w:rsidRPr="007C4C41">
        <w:t>M</w:t>
      </w:r>
      <w:r w:rsidRPr="007C4C41">
        <w:t>ethods</w:t>
      </w:r>
      <w:bookmarkStart w:id="36" w:name="_Hlk190524323"/>
      <w:bookmarkEnd w:id="35"/>
    </w:p>
    <w:p w14:paraId="42633890" w14:textId="215ABEC0" w:rsidR="001B7608" w:rsidRDefault="007C2FCD" w:rsidP="00DF5125">
      <w:r>
        <w:t xml:space="preserve">We utilized roll-call voting data retrieved from the HowTheyVote.eu platform </w:t>
      </w:r>
      <w:r w:rsidRPr="007C4C41">
        <w:t>(</w:t>
      </w:r>
      <w:hyperlink r:id="rId13" w:tgtFrame="_new" w:history="1">
        <w:r w:rsidRPr="007C4C41">
          <w:rPr>
            <w:rStyle w:val="Hyperlink"/>
          </w:rPr>
          <w:t>https://howtheyvote.eu/</w:t>
        </w:r>
      </w:hyperlink>
      <w:r w:rsidRPr="007C4C41">
        <w:t>)</w:t>
      </w:r>
      <w:r>
        <w:t xml:space="preserve"> and supplemented it with legislative subject information from the Legislative Observatory of the EP </w:t>
      </w:r>
      <w:r w:rsidRPr="007C4C41">
        <w:t>(</w:t>
      </w:r>
      <w:hyperlink r:id="rId14" w:history="1">
        <w:r w:rsidRPr="003C7886">
          <w:rPr>
            <w:rStyle w:val="Hyperlink"/>
          </w:rPr>
          <w:t>https://oeil.secure.europarl.europa.eu/oeil/en</w:t>
        </w:r>
      </w:hyperlink>
      <w:r w:rsidRPr="007C4C41">
        <w:t>).</w:t>
      </w:r>
      <w:r w:rsidR="003C683E">
        <w:t xml:space="preserve"> </w:t>
      </w:r>
      <w:r w:rsidR="007A14DC">
        <w:t>A presentation of these two data sources can be found in Appendix B.</w:t>
      </w:r>
    </w:p>
    <w:p w14:paraId="43F97061" w14:textId="2566E3F9" w:rsidR="007C2FCD" w:rsidRDefault="007C2FCD" w:rsidP="00DF5125">
      <w:r>
        <w:t>A bill in the EP refers to a legislative proposal, motion, or report brought forward for debate and a formal roll-call vote. Each bill is assigned to one or more legislative subject(s), following the classification of the Legislative Observatory of the EP. Every bill is then voted on by MEPs in a roll-call vote, where each MEP’s position is explicitly recorded. MEPs have three possible voting options: “FOR”, “AGAINST”, or “ABSTAIN”. However, if an MEP was not serving at the time of the vote or otherwise was not present in the voting session, their position is recorded as “DID_NOT_VOTE”.</w:t>
      </w:r>
      <w:r w:rsidR="007C2A5F">
        <w:t xml:space="preserve"> </w:t>
      </w:r>
    </w:p>
    <w:p w14:paraId="72F688A4" w14:textId="61EB2298" w:rsidR="00512092" w:rsidRDefault="00512092" w:rsidP="00DF5125">
      <w:r>
        <w:t xml:space="preserve">Figure </w:t>
      </w:r>
      <w:r w:rsidR="008E731F">
        <w:t>4</w:t>
      </w:r>
      <w:r>
        <w:t xml:space="preserve">.1 </w:t>
      </w:r>
      <w:r w:rsidR="00B96E37">
        <w:t>illustrates</w:t>
      </w:r>
      <w:r>
        <w:t xml:space="preserve"> an example of a bill with two legislative subjects: </w:t>
      </w:r>
      <w:r w:rsidR="008938BD">
        <w:t>“</w:t>
      </w:r>
      <w:r>
        <w:t>Child protection, children’s rights</w:t>
      </w:r>
      <w:r w:rsidR="008938BD">
        <w:t>”</w:t>
      </w:r>
      <w:r>
        <w:t xml:space="preserve"> and </w:t>
      </w:r>
      <w:r w:rsidR="008938BD">
        <w:t>“</w:t>
      </w:r>
      <w:r>
        <w:t>Human rights situation in the world</w:t>
      </w:r>
      <w:r w:rsidR="008938BD">
        <w:t>”</w:t>
      </w:r>
      <w:r>
        <w:t>.</w:t>
      </w:r>
    </w:p>
    <w:p w14:paraId="3BA0F260" w14:textId="77777777" w:rsidR="0051432C" w:rsidRDefault="00512092" w:rsidP="0051432C">
      <w:pPr>
        <w:keepNext/>
        <w:jc w:val="center"/>
      </w:pPr>
      <w:r w:rsidRPr="007C4C41">
        <w:rPr>
          <w:noProof/>
        </w:rPr>
        <w:drawing>
          <wp:inline distT="0" distB="0" distL="0" distR="0" wp14:anchorId="0AC38B94" wp14:editId="0ACE6304">
            <wp:extent cx="3714114" cy="1989734"/>
            <wp:effectExtent l="0" t="0" r="1270" b="0"/>
            <wp:docPr id="7314657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6719" name="Imagem 1" descr="Uma imagem com texto, captura de ecrã, Tipo de letra, número&#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3750669" cy="2009317"/>
                    </a:xfrm>
                    <a:prstGeom prst="rect">
                      <a:avLst/>
                    </a:prstGeom>
                  </pic:spPr>
                </pic:pic>
              </a:graphicData>
            </a:graphic>
          </wp:inline>
        </w:drawing>
      </w:r>
    </w:p>
    <w:p w14:paraId="052306AF" w14:textId="38479A38" w:rsidR="00941167" w:rsidRDefault="0051432C" w:rsidP="00B340EF">
      <w:pPr>
        <w:pStyle w:val="Caption"/>
      </w:pPr>
      <w:bookmarkStart w:id="37" w:name="_Toc195986369"/>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1</w:t>
      </w:r>
      <w:r w:rsidR="00506979">
        <w:fldChar w:fldCharType="end"/>
      </w:r>
      <w:r>
        <w:t xml:space="preserve"> – Example bill</w:t>
      </w:r>
      <w:bookmarkEnd w:id="37"/>
    </w:p>
    <w:p w14:paraId="7E882D52" w14:textId="4643AF8B" w:rsidR="00941167" w:rsidRPr="007C4C41" w:rsidRDefault="00941167" w:rsidP="00941167">
      <w:r>
        <w:t>According to the Legislative Observatory of the EP, t</w:t>
      </w:r>
      <w:r w:rsidRPr="007C4C41">
        <w:t xml:space="preserve">he bills span eight broad policy areas, referred </w:t>
      </w:r>
      <w:r>
        <w:t xml:space="preserve">to </w:t>
      </w:r>
      <w:r w:rsidRPr="007C4C41">
        <w:t>as primary subjects. Below is a brief description of each primary subject.</w:t>
      </w:r>
    </w:p>
    <w:p w14:paraId="493FA40A" w14:textId="35F5B462" w:rsidR="00941167" w:rsidRPr="00C4735C" w:rsidRDefault="00F2624B" w:rsidP="005B7B8F">
      <w:r>
        <w:t>“</w:t>
      </w:r>
      <w:r w:rsidR="00941167" w:rsidRPr="00C4735C">
        <w:t>European citizenship</w:t>
      </w:r>
      <w:r>
        <w:t>”</w:t>
      </w:r>
      <w:r w:rsidR="00941167" w:rsidRPr="00C4735C">
        <w:t>: Concerns matters of citizenship, migration</w:t>
      </w:r>
      <w:r w:rsidR="00AA4FE6" w:rsidRPr="00C4735C">
        <w:t>,</w:t>
      </w:r>
      <w:r w:rsidR="00941167" w:rsidRPr="00C4735C">
        <w:t xml:space="preserve"> and asylum.</w:t>
      </w:r>
    </w:p>
    <w:p w14:paraId="6D7FB6A4" w14:textId="69DF773D" w:rsidR="00941167" w:rsidRPr="00C4735C" w:rsidRDefault="00F2624B" w:rsidP="005B7B8F">
      <w:r>
        <w:t>“</w:t>
      </w:r>
      <w:r w:rsidR="00941167" w:rsidRPr="00C4735C">
        <w:t>Internal market, single market</w:t>
      </w:r>
      <w:r>
        <w:t>”</w:t>
      </w:r>
      <w:r w:rsidR="00941167" w:rsidRPr="00C4735C">
        <w:t>: Deals with internal market regulations, competition, and consumer rights. It also covers standards for products, public subsidies, and the mutual recognition of degrees and qualifications.</w:t>
      </w:r>
    </w:p>
    <w:p w14:paraId="2BD7C216" w14:textId="17376811" w:rsidR="00941167" w:rsidRPr="00C4735C" w:rsidRDefault="004846A9" w:rsidP="005B7B8F">
      <w:r>
        <w:t>“</w:t>
      </w:r>
      <w:r w:rsidR="00941167" w:rsidRPr="00C4735C">
        <w:t>Community policies</w:t>
      </w:r>
      <w:r>
        <w:t>”</w:t>
      </w:r>
      <w:r w:rsidR="00941167" w:rsidRPr="00C4735C">
        <w:t>: Concerns European political parties and the EP’s interaction with other institutions, on the European and national levels. It also covers the implementation of European treaties and all general issues regarding the EU institutions.</w:t>
      </w:r>
    </w:p>
    <w:p w14:paraId="0F3D8203" w14:textId="2F6A9663" w:rsidR="00941167" w:rsidRPr="00C4735C" w:rsidRDefault="005752EA" w:rsidP="005B7B8F">
      <w:r>
        <w:lastRenderedPageBreak/>
        <w:t>“</w:t>
      </w:r>
      <w:r w:rsidR="00941167" w:rsidRPr="00C4735C">
        <w:t>Economic, social and territorial cohesion</w:t>
      </w:r>
      <w:r>
        <w:t>”</w:t>
      </w:r>
      <w:r w:rsidR="00941167" w:rsidRPr="00C4735C">
        <w:rPr>
          <w:b/>
          <w:bCs/>
        </w:rPr>
        <w:t>:</w:t>
      </w:r>
      <w:r w:rsidR="00941167" w:rsidRPr="00C4735C">
        <w:t xml:space="preserve"> Covers questions related to employment, social, and infrastructural policies, all of which aim to promote the EU’s economic, social, and territorial cohesion.</w:t>
      </w:r>
    </w:p>
    <w:p w14:paraId="43A9ABA1" w14:textId="5C18C008" w:rsidR="00941167" w:rsidRPr="00C4735C" w:rsidRDefault="00A44343" w:rsidP="005B7B8F">
      <w:r>
        <w:t>“</w:t>
      </w:r>
      <w:r w:rsidR="00941167" w:rsidRPr="00C4735C">
        <w:t>Economic and monetary system</w:t>
      </w:r>
      <w:r>
        <w:t>”</w:t>
      </w:r>
      <w:r w:rsidR="00941167" w:rsidRPr="00C4735C">
        <w:t>: Covers all matters concerning the economic and monetary system of the EU and regulations regarding the financial system, taxation, competition, and the free movement of capital and payments. It also comprises the relationship with the European Central Bank (which is accountable to the EP).</w:t>
      </w:r>
    </w:p>
    <w:p w14:paraId="6C03A9BB" w14:textId="3F5A4047" w:rsidR="00941167" w:rsidRPr="00C4735C" w:rsidRDefault="00A44343" w:rsidP="005B7B8F">
      <w:r>
        <w:t>“</w:t>
      </w:r>
      <w:r w:rsidR="00941167" w:rsidRPr="00C4735C">
        <w:t>External relations of the Union</w:t>
      </w:r>
      <w:r>
        <w:t>”</w:t>
      </w:r>
      <w:r w:rsidR="00941167" w:rsidRPr="00C4735C">
        <w:t xml:space="preserve">: Covers policies regulating the relationship of the EU with third countries. Decisions concerning the accession process to the EU, associations, and the European neighborhood policy fall in this category. Security, defense, development policy, and human rights matters are also </w:t>
      </w:r>
      <w:r w:rsidR="00C61051">
        <w:t>part of</w:t>
      </w:r>
      <w:r w:rsidR="00941167" w:rsidRPr="00C4735C">
        <w:t xml:space="preserve"> this policy area.</w:t>
      </w:r>
    </w:p>
    <w:p w14:paraId="261AF693" w14:textId="470A88F0" w:rsidR="00941167" w:rsidRPr="00C4735C" w:rsidRDefault="00C61051" w:rsidP="005B7B8F">
      <w:r>
        <w:t>“</w:t>
      </w:r>
      <w:r w:rsidR="00941167" w:rsidRPr="00C4735C">
        <w:t>Area of freedom, security and justice</w:t>
      </w:r>
      <w:r>
        <w:t>”</w:t>
      </w:r>
      <w:r w:rsidR="00941167" w:rsidRPr="00C4735C">
        <w:t>: Concerns home affairs and policies regarding justice and the freedom of movement within the EU. It also covers the harmonization of legal systems and cooperation at the level of police and justice between member states. Well-known projects attributed to this policy area are the Schengen Area, the European Arrest Warrant, and Frontex patrols.</w:t>
      </w:r>
    </w:p>
    <w:p w14:paraId="7E47BDD8" w14:textId="02E98949" w:rsidR="00941167" w:rsidRPr="00C4735C" w:rsidRDefault="00FF7371" w:rsidP="005B7B8F">
      <w:r>
        <w:t>“</w:t>
      </w:r>
      <w:r w:rsidR="00941167" w:rsidRPr="00C4735C">
        <w:t>State and evolution of the Union</w:t>
      </w:r>
      <w:r>
        <w:t>”</w:t>
      </w:r>
      <w:r w:rsidR="00941167" w:rsidRPr="00C4735C">
        <w:t>: This policy area covers seminal decisions concerning the European integration process and concerns the power balance between the EU institutions on the one side and the member states on the other side.</w:t>
      </w:r>
    </w:p>
    <w:p w14:paraId="214AF28B" w14:textId="2A6BE7E9" w:rsidR="00941167" w:rsidRPr="007C4C41" w:rsidRDefault="00941167" w:rsidP="00941167">
      <w:r w:rsidRPr="007C4C41">
        <w:t xml:space="preserve">Within each primary subject, the Legislative Observatory further classifies legislation into sub-themes (secondary subjects), allowing for a more granular and detailed categorization of legislative activities. These sub-themes (47 in total) provide specificity within broader policy areas, helping </w:t>
      </w:r>
      <w:r w:rsidR="007A6CC4">
        <w:t>distinguish between different legislative aspects</w:t>
      </w:r>
      <w:r w:rsidRPr="007C4C41">
        <w:t xml:space="preserve"> that may require distinct approaches or political considerations.</w:t>
      </w:r>
    </w:p>
    <w:p w14:paraId="534787B3" w14:textId="14E84F7D" w:rsidR="00941167" w:rsidRPr="007C4C41" w:rsidRDefault="00941167" w:rsidP="00941167">
      <w:r w:rsidRPr="007C4C41">
        <w:t xml:space="preserve">For example, under the </w:t>
      </w:r>
      <w:r w:rsidR="002710CF">
        <w:t>“</w:t>
      </w:r>
      <w:r w:rsidRPr="007C4C41">
        <w:t>European Citizenship</w:t>
      </w:r>
      <w:r w:rsidR="002710CF">
        <w:t>”</w:t>
      </w:r>
      <w:r w:rsidRPr="007C4C41">
        <w:t xml:space="preserve"> primary subject, secondary subjects include: </w:t>
      </w:r>
    </w:p>
    <w:p w14:paraId="7A2DC99F" w14:textId="1A6549FF" w:rsidR="00941167" w:rsidRPr="007C4C41" w:rsidRDefault="00F60BFE" w:rsidP="00BE71BE">
      <w:r>
        <w:t>“</w:t>
      </w:r>
      <w:r w:rsidR="00941167" w:rsidRPr="007C4C41">
        <w:t>Fundamental rights in the EU, Charter</w:t>
      </w:r>
      <w:r>
        <w:t>”</w:t>
      </w:r>
      <w:r w:rsidR="00941167">
        <w:t>:</w:t>
      </w:r>
      <w:r w:rsidR="00941167" w:rsidRPr="007C4C41">
        <w:t xml:space="preserve"> This secondary subject covers legislative initiatives related to the Charter of Fundamental Rights of the EU, ensuring the protection of fundamental freedoms such as human dignity, equality, and non-discrimination.</w:t>
      </w:r>
    </w:p>
    <w:p w14:paraId="499CD2AB" w14:textId="47876B5F" w:rsidR="00941167" w:rsidRPr="007C4C41" w:rsidRDefault="00F60BFE" w:rsidP="00BE71BE">
      <w:r>
        <w:t>“</w:t>
      </w:r>
      <w:r w:rsidR="00941167" w:rsidRPr="007C4C41">
        <w:t>Citizen</w:t>
      </w:r>
      <w:r>
        <w:t>’</w:t>
      </w:r>
      <w:r w:rsidR="00941167" w:rsidRPr="007C4C41">
        <w:t>s rights</w:t>
      </w:r>
      <w:r>
        <w:t>”</w:t>
      </w:r>
      <w:r w:rsidR="00941167">
        <w:t>:</w:t>
      </w:r>
      <w:r w:rsidR="00941167" w:rsidRPr="007C4C41">
        <w:t xml:space="preserve"> This secondary includes laws concerning civil rights, voting rights, freedom of movement, protection of personal data, and access to justice within the EU.</w:t>
      </w:r>
    </w:p>
    <w:p w14:paraId="204AD858" w14:textId="77777777" w:rsidR="00941167" w:rsidRPr="007C4C41" w:rsidRDefault="00941167" w:rsidP="00941167">
      <w:r w:rsidRPr="007C4C41">
        <w:t xml:space="preserve">Below the </w:t>
      </w:r>
      <w:r>
        <w:t>secondary subjects</w:t>
      </w:r>
      <w:r w:rsidRPr="007C4C41">
        <w:t>, an additional layer of tertiary subjects further refines the classification of legislative topics. These tertiary subjects (252 in total) help to further classify legislative dossiers into even more precise topics, making it easier to locate and analyze legislative work in highly specific areas.</w:t>
      </w:r>
    </w:p>
    <w:p w14:paraId="725A62DC" w14:textId="07D9D805" w:rsidR="00941167" w:rsidRPr="007C4C41" w:rsidRDefault="00941167" w:rsidP="00941167">
      <w:r w:rsidRPr="007C4C41">
        <w:t xml:space="preserve">For example, under the </w:t>
      </w:r>
      <w:r w:rsidR="005C712E">
        <w:t>“</w:t>
      </w:r>
      <w:r w:rsidRPr="007C4C41">
        <w:t>Citizen</w:t>
      </w:r>
      <w:r w:rsidR="00121033">
        <w:t>’</w:t>
      </w:r>
      <w:r w:rsidRPr="007C4C41">
        <w:t>s rights</w:t>
      </w:r>
      <w:r w:rsidR="005C712E">
        <w:t>”</w:t>
      </w:r>
      <w:r w:rsidRPr="007C4C41">
        <w:t xml:space="preserve"> secondary subject, tertiary subjects include:</w:t>
      </w:r>
    </w:p>
    <w:p w14:paraId="108F8949" w14:textId="72136D47" w:rsidR="00941167" w:rsidRPr="007C4C41" w:rsidRDefault="00BA4553" w:rsidP="00941167">
      <w:pPr>
        <w:ind w:firstLine="708"/>
      </w:pPr>
      <w:r>
        <w:lastRenderedPageBreak/>
        <w:t>“</w:t>
      </w:r>
      <w:r w:rsidR="00941167" w:rsidRPr="007C4C41">
        <w:t>Political rights, right to vote and to stand in elections</w:t>
      </w:r>
      <w:r>
        <w:t>”</w:t>
      </w:r>
      <w:r w:rsidR="00941167" w:rsidRPr="007C4C41">
        <w:t>.</w:t>
      </w:r>
    </w:p>
    <w:p w14:paraId="12D948A9" w14:textId="298F0AFE" w:rsidR="00A204E7" w:rsidRPr="007C4C41" w:rsidRDefault="00BA4553" w:rsidP="00B340EF">
      <w:pPr>
        <w:ind w:firstLine="708"/>
      </w:pPr>
      <w:r>
        <w:t>“</w:t>
      </w:r>
      <w:r w:rsidR="00941167" w:rsidRPr="007C4C41">
        <w:t>Social and economic rights</w:t>
      </w:r>
      <w:r>
        <w:t>”</w:t>
      </w:r>
      <w:r w:rsidR="00941167" w:rsidRPr="007C4C41">
        <w:t>.</w:t>
      </w:r>
    </w:p>
    <w:p w14:paraId="34C535B1" w14:textId="77777777" w:rsidR="00A204E7" w:rsidRPr="007C4C41" w:rsidRDefault="00A204E7" w:rsidP="00AD6E6E">
      <w:pPr>
        <w:pBdr>
          <w:top w:val="single" w:sz="4" w:space="1" w:color="auto"/>
          <w:left w:val="single" w:sz="4" w:space="4" w:color="auto"/>
          <w:bottom w:val="single" w:sz="4" w:space="1" w:color="auto"/>
          <w:right w:val="single" w:sz="4" w:space="4" w:color="auto"/>
        </w:pBdr>
        <w:spacing w:after="0" w:line="240" w:lineRule="auto"/>
        <w:jc w:val="center"/>
        <w:rPr>
          <w:b/>
          <w:bCs/>
        </w:rPr>
      </w:pPr>
      <w:r w:rsidRPr="007C4C41">
        <w:rPr>
          <w:b/>
          <w:bCs/>
        </w:rPr>
        <w:t>Metadata of a Subject</w:t>
      </w:r>
    </w:p>
    <w:p w14:paraId="0CA986EB" w14:textId="77777777" w:rsidR="00A204E7" w:rsidRPr="007C4C41" w:rsidRDefault="00A204E7" w:rsidP="00AD6E6E">
      <w:pPr>
        <w:pBdr>
          <w:top w:val="single" w:sz="4" w:space="1" w:color="auto"/>
          <w:left w:val="single" w:sz="4" w:space="4" w:color="auto"/>
          <w:bottom w:val="single" w:sz="4" w:space="1" w:color="auto"/>
          <w:right w:val="single" w:sz="4" w:space="4" w:color="auto"/>
        </w:pBdr>
      </w:pPr>
      <w:r w:rsidRPr="007C4C41">
        <w:t>Subjects are represented as numerical codes. Each segment of the code corresponds to a specific level in the hierarchy. The levels of granularity are as follows:</w:t>
      </w:r>
    </w:p>
    <w:p w14:paraId="5EA9A103" w14:textId="5B8235C9"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1.</w:t>
      </w:r>
      <w:r w:rsidRPr="007C4C41">
        <w:tab/>
      </w:r>
      <w:r w:rsidRPr="007C4C41">
        <w:rPr>
          <w:b/>
          <w:bCs/>
        </w:rPr>
        <w:t>Primary subject</w:t>
      </w:r>
      <w:r w:rsidRPr="007C4C41">
        <w:t xml:space="preserve">: This is the broadest level, representing overarching thematic areas within legislative activities. For example, the primary subject </w:t>
      </w:r>
      <w:r w:rsidR="00CC7690">
        <w:t>“</w:t>
      </w:r>
      <w:r w:rsidRPr="007C4C41">
        <w:t>4</w:t>
      </w:r>
      <w:r w:rsidR="00CC7690">
        <w:t>”</w:t>
      </w:r>
      <w:r w:rsidRPr="007C4C41">
        <w:t xml:space="preserve"> corresponds to </w:t>
      </w:r>
      <w:r w:rsidR="00CC7690">
        <w:t>“</w:t>
      </w:r>
      <w:r w:rsidRPr="007C4C41">
        <w:t>Economic, social, and territorial cohesion</w:t>
      </w:r>
      <w:r w:rsidR="00CC7690">
        <w:t>”</w:t>
      </w:r>
      <w:r w:rsidRPr="007C4C41">
        <w:t xml:space="preserve">, while </w:t>
      </w:r>
      <w:r w:rsidR="00CC7690">
        <w:t>“</w:t>
      </w:r>
      <w:r w:rsidRPr="007C4C41">
        <w:t>6</w:t>
      </w:r>
      <w:r w:rsidR="00CC7690">
        <w:t>”</w:t>
      </w:r>
      <w:r w:rsidRPr="007C4C41">
        <w:t xml:space="preserve"> represents </w:t>
      </w:r>
      <w:r w:rsidR="00CC7690">
        <w:t>“</w:t>
      </w:r>
      <w:r w:rsidRPr="007C4C41">
        <w:t>External relations of the Union</w:t>
      </w:r>
      <w:r w:rsidR="00CC7690">
        <w:t>”</w:t>
      </w:r>
      <w:r w:rsidRPr="007C4C41">
        <w:t>.</w:t>
      </w:r>
    </w:p>
    <w:p w14:paraId="2C92E069" w14:textId="4FEAB325"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2.</w:t>
      </w:r>
      <w:r w:rsidRPr="007C4C41">
        <w:rPr>
          <w:b/>
          <w:bCs/>
        </w:rPr>
        <w:tab/>
        <w:t>Secondary subject</w:t>
      </w:r>
      <w:r w:rsidRPr="007C4C41">
        <w:t xml:space="preserve">: This intermediate level refines the primary subject into more specific subfields. For example, the secondary subject </w:t>
      </w:r>
      <w:r w:rsidR="00A5663D">
        <w:t>“</w:t>
      </w:r>
      <w:r w:rsidRPr="007C4C41">
        <w:t>4.10</w:t>
      </w:r>
      <w:r w:rsidR="00A5663D">
        <w:t>”</w:t>
      </w:r>
      <w:r w:rsidRPr="007C4C41">
        <w:t xml:space="preserve"> under the primary subject </w:t>
      </w:r>
      <w:r w:rsidR="00A5663D">
        <w:t>“</w:t>
      </w:r>
      <w:r w:rsidRPr="007C4C41">
        <w:t>4</w:t>
      </w:r>
      <w:r w:rsidR="00A5663D">
        <w:t>”</w:t>
      </w:r>
      <w:r w:rsidRPr="007C4C41">
        <w:t xml:space="preserve"> refers to </w:t>
      </w:r>
      <w:r w:rsidR="00A5663D">
        <w:t>“</w:t>
      </w:r>
      <w:r w:rsidRPr="007C4C41">
        <w:t>Social policy, social charter and protocol</w:t>
      </w:r>
      <w:r w:rsidR="00A5663D">
        <w:t>”</w:t>
      </w:r>
      <w:r w:rsidRPr="007C4C41">
        <w:t xml:space="preserve">. Similarly, </w:t>
      </w:r>
      <w:r w:rsidR="00A5663D">
        <w:t>“</w:t>
      </w:r>
      <w:r w:rsidRPr="007C4C41">
        <w:t>6.10</w:t>
      </w:r>
      <w:r w:rsidR="00A5663D">
        <w:t>”</w:t>
      </w:r>
      <w:r w:rsidRPr="007C4C41">
        <w:t xml:space="preserve"> under the primary subject </w:t>
      </w:r>
      <w:r w:rsidR="00A5663D">
        <w:t>“</w:t>
      </w:r>
      <w:r w:rsidRPr="007C4C41">
        <w:t>6</w:t>
      </w:r>
      <w:r w:rsidR="00A5663D">
        <w:t>”</w:t>
      </w:r>
      <w:r w:rsidRPr="007C4C41">
        <w:t xml:space="preserve"> represents </w:t>
      </w:r>
      <w:r w:rsidR="00A5663D">
        <w:t>“</w:t>
      </w:r>
      <w:r w:rsidRPr="007C4C41">
        <w:t>Common foreign and security policy (CFSP)</w:t>
      </w:r>
      <w:r w:rsidR="00A5663D">
        <w:t>”</w:t>
      </w:r>
      <w:r w:rsidRPr="007C4C41">
        <w:t xml:space="preserve">. </w:t>
      </w:r>
    </w:p>
    <w:p w14:paraId="19B7DA56" w14:textId="3D0D054A" w:rsidR="00A204E7" w:rsidRDefault="00A204E7" w:rsidP="00AD6E6E">
      <w:pPr>
        <w:pBdr>
          <w:top w:val="single" w:sz="4" w:space="1" w:color="auto"/>
          <w:left w:val="single" w:sz="4" w:space="4" w:color="auto"/>
          <w:bottom w:val="single" w:sz="4" w:space="1" w:color="auto"/>
          <w:right w:val="single" w:sz="4" w:space="4" w:color="auto"/>
        </w:pBdr>
      </w:pPr>
      <w:r w:rsidRPr="007C4C41">
        <w:rPr>
          <w:b/>
          <w:bCs/>
        </w:rPr>
        <w:t>3.</w:t>
      </w:r>
      <w:r w:rsidRPr="007C4C41">
        <w:rPr>
          <w:b/>
          <w:bCs/>
        </w:rPr>
        <w:tab/>
        <w:t>Tertiary Subject</w:t>
      </w:r>
      <w:r w:rsidRPr="007C4C41">
        <w:t xml:space="preserve">: This is the most detailed level of granularity, specifying the particular focus within the secondary subject. For example, </w:t>
      </w:r>
      <w:r w:rsidR="004D3D67">
        <w:t>“</w:t>
      </w:r>
      <w:r w:rsidRPr="007C4C41">
        <w:t>4.10.03</w:t>
      </w:r>
      <w:r w:rsidR="004D3D67">
        <w:t>”</w:t>
      </w:r>
      <w:r w:rsidRPr="007C4C41">
        <w:t xml:space="preserve"> refers to </w:t>
      </w:r>
      <w:r w:rsidR="004D3D67">
        <w:t>“</w:t>
      </w:r>
      <w:r w:rsidRPr="007C4C41">
        <w:t>Child protection, children's rights</w:t>
      </w:r>
      <w:r w:rsidR="004D3D67">
        <w:t>”</w:t>
      </w:r>
      <w:r w:rsidRPr="007C4C41">
        <w:t xml:space="preserve">, a subset of the secondary subject “4.10”. Similarly, </w:t>
      </w:r>
      <w:r w:rsidR="00E614AD">
        <w:t>“</w:t>
      </w:r>
      <w:r w:rsidRPr="007C4C41">
        <w:t>6.10.09</w:t>
      </w:r>
      <w:r w:rsidR="00E614AD">
        <w:t>”</w:t>
      </w:r>
      <w:r w:rsidRPr="007C4C41">
        <w:t xml:space="preserve"> refers to </w:t>
      </w:r>
      <w:r w:rsidR="00E614AD">
        <w:t>“</w:t>
      </w:r>
      <w:r w:rsidRPr="007C4C41">
        <w:t>Human rights situation in the world</w:t>
      </w:r>
      <w:r w:rsidR="00E614AD">
        <w:t>”</w:t>
      </w:r>
      <w:r w:rsidRPr="007C4C41">
        <w:t>, a specific area within the secondary subject “6.10”.</w:t>
      </w:r>
    </w:p>
    <w:p w14:paraId="1392B20E" w14:textId="0C50F3FF" w:rsidR="00A2450E" w:rsidRPr="007C4C41" w:rsidRDefault="00A2450E" w:rsidP="00AD6E6E">
      <w:pPr>
        <w:pBdr>
          <w:top w:val="single" w:sz="4" w:space="1" w:color="auto"/>
          <w:left w:val="single" w:sz="4" w:space="4" w:color="auto"/>
          <w:bottom w:val="single" w:sz="4" w:space="1" w:color="auto"/>
          <w:right w:val="single" w:sz="4" w:space="4" w:color="auto"/>
        </w:pBdr>
      </w:pPr>
      <w:r w:rsidRPr="007C4C41">
        <w:t xml:space="preserve">A complete list of all </w:t>
      </w:r>
      <w:r>
        <w:t xml:space="preserve">primary, </w:t>
      </w:r>
      <w:r w:rsidRPr="007C4C41">
        <w:t>secondary</w:t>
      </w:r>
      <w:r>
        <w:t xml:space="preserve">, </w:t>
      </w:r>
      <w:r w:rsidRPr="007C4C41">
        <w:t xml:space="preserve">and tertiary subjects is included in </w:t>
      </w:r>
      <w:r w:rsidRPr="000343D6">
        <w:t xml:space="preserve">Appendix </w:t>
      </w:r>
      <w:r w:rsidR="008A371D">
        <w:t>C</w:t>
      </w:r>
      <w:r w:rsidRPr="000343D6">
        <w:t>.</w:t>
      </w:r>
      <w:r w:rsidRPr="007C4C41">
        <w:t xml:space="preserve"> </w:t>
      </w:r>
      <w:r w:rsidRPr="00B340EF">
        <w:rPr>
          <w:color w:val="FF0000"/>
        </w:rPr>
        <w:t xml:space="preserve"> </w:t>
      </w:r>
    </w:p>
    <w:p w14:paraId="43C5B5B9" w14:textId="6E90CCE3" w:rsidR="00A204E7" w:rsidRDefault="00051E13" w:rsidP="00A204E7">
      <w:r>
        <w:t>Figure 4.</w:t>
      </w:r>
      <w:r w:rsidR="00F35B69">
        <w:t>2</w:t>
      </w:r>
      <w:r w:rsidR="00E9785F" w:rsidRPr="007C4C41">
        <w:t xml:space="preserve"> illustrates the distribution of primary subjects across all bills, with </w:t>
      </w:r>
      <w:r w:rsidR="00A372D0">
        <w:t>“</w:t>
      </w:r>
      <w:r w:rsidR="00E9785F" w:rsidRPr="007C4C41">
        <w:t>Community policies</w:t>
      </w:r>
      <w:r w:rsidR="00A372D0">
        <w:t>”</w:t>
      </w:r>
      <w:r w:rsidR="00E9785F" w:rsidRPr="007C4C41">
        <w:t xml:space="preserve"> being the most prevalent, associated with 597 bills, followed by </w:t>
      </w:r>
      <w:r w:rsidR="00A372D0">
        <w:t>“</w:t>
      </w:r>
      <w:r w:rsidR="00E9785F" w:rsidRPr="007C4C41">
        <w:t>State and evolution of the Union</w:t>
      </w:r>
      <w:r w:rsidR="00A372D0">
        <w:t>”</w:t>
      </w:r>
      <w:r w:rsidR="00E9785F" w:rsidRPr="007C4C41">
        <w:t xml:space="preserve"> (569 bills) and </w:t>
      </w:r>
      <w:r w:rsidR="00A372D0">
        <w:t>“</w:t>
      </w:r>
      <w:r w:rsidR="00E9785F" w:rsidRPr="007C4C41">
        <w:t>External relations of the Union</w:t>
      </w:r>
      <w:r w:rsidR="00A372D0">
        <w:t>”</w:t>
      </w:r>
      <w:r w:rsidR="00E9785F" w:rsidRPr="007C4C41">
        <w:t xml:space="preserve"> (444 bills). Notably, subjects like </w:t>
      </w:r>
      <w:r w:rsidR="00A372D0">
        <w:t>“</w:t>
      </w:r>
      <w:r w:rsidR="00E9785F" w:rsidRPr="007C4C41">
        <w:t>Economic and monetary system</w:t>
      </w:r>
      <w:r w:rsidR="00A372D0">
        <w:t>”</w:t>
      </w:r>
      <w:r w:rsidR="00E9785F" w:rsidRPr="007C4C41">
        <w:t xml:space="preserve"> appear far less frequently, indicating a significant variation in the subject focus of the legislative agenda.</w:t>
      </w:r>
    </w:p>
    <w:p w14:paraId="6190DD58" w14:textId="77777777" w:rsidR="00F04588" w:rsidRDefault="00E9785F" w:rsidP="00F04588">
      <w:pPr>
        <w:keepNext/>
        <w:jc w:val="center"/>
      </w:pPr>
      <w:r w:rsidRPr="00011298">
        <w:rPr>
          <w:noProof/>
        </w:rPr>
        <w:drawing>
          <wp:inline distT="0" distB="0" distL="0" distR="0" wp14:anchorId="486631DB" wp14:editId="5837272C">
            <wp:extent cx="4104000" cy="2412000"/>
            <wp:effectExtent l="0" t="0" r="0" b="762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a:blip r:embed="rId16"/>
                    <a:stretch>
                      <a:fillRect/>
                    </a:stretch>
                  </pic:blipFill>
                  <pic:spPr>
                    <a:xfrm>
                      <a:off x="0" y="0"/>
                      <a:ext cx="4104000" cy="2412000"/>
                    </a:xfrm>
                    <a:prstGeom prst="rect">
                      <a:avLst/>
                    </a:prstGeom>
                  </pic:spPr>
                </pic:pic>
              </a:graphicData>
            </a:graphic>
          </wp:inline>
        </w:drawing>
      </w:r>
    </w:p>
    <w:p w14:paraId="641FBE66" w14:textId="3D928E9B" w:rsidR="00E9785F" w:rsidRPr="007C4C41" w:rsidRDefault="00F04588" w:rsidP="00371903">
      <w:pPr>
        <w:pStyle w:val="Caption"/>
      </w:pPr>
      <w:bookmarkStart w:id="38" w:name="_Toc195986370"/>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2</w:t>
      </w:r>
      <w:r w:rsidR="00506979">
        <w:fldChar w:fldCharType="end"/>
      </w:r>
      <w:r>
        <w:t xml:space="preserve"> – Distribution of primary subjects</w:t>
      </w:r>
      <w:bookmarkEnd w:id="38"/>
    </w:p>
    <w:p w14:paraId="5D00CF67" w14:textId="4ACDBADB" w:rsidR="00E5734B" w:rsidRPr="007C4C41" w:rsidRDefault="00A9300E" w:rsidP="00E5734B">
      <w:r>
        <w:t>Figures 4.3 and 4.4</w:t>
      </w:r>
      <w:r w:rsidR="00E5734B" w:rsidRPr="007C4C41">
        <w:t xml:space="preserve"> </w:t>
      </w:r>
      <w:r w:rsidR="00E5734B">
        <w:t>show</w:t>
      </w:r>
      <w:r w:rsidR="00E5734B" w:rsidRPr="007C4C41">
        <w:t xml:space="preserve"> the 10 most frequent secondary and tertiary subjects. </w:t>
      </w:r>
    </w:p>
    <w:p w14:paraId="44B36944" w14:textId="77777777" w:rsidR="00252EFD" w:rsidRDefault="004D7BC2" w:rsidP="00252EFD">
      <w:pPr>
        <w:keepNext/>
        <w:jc w:val="center"/>
      </w:pPr>
      <w:r w:rsidRPr="00AE707D">
        <w:rPr>
          <w:noProof/>
        </w:rPr>
        <w:lastRenderedPageBreak/>
        <w:drawing>
          <wp:inline distT="0" distB="0" distL="0" distR="0" wp14:anchorId="28CBCABF" wp14:editId="29E4DD32">
            <wp:extent cx="5004000" cy="2376000"/>
            <wp:effectExtent l="0" t="0" r="6350" b="5715"/>
            <wp:docPr id="1674811470" name="Imagem 1" descr="Uma imagem com texto, captura de ecrã, númer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4811470" name="Imagem 1" descr="Uma imagem com texto, captura de ecrã, número, file&#10;&#10;Os conteúdos gerados por IA poderão estar incorretos."/>
                    <pic:cNvPicPr/>
                  </pic:nvPicPr>
                  <pic:blipFill>
                    <a:blip r:embed="rId17"/>
                    <a:stretch>
                      <a:fillRect/>
                    </a:stretch>
                  </pic:blipFill>
                  <pic:spPr>
                    <a:xfrm>
                      <a:off x="0" y="0"/>
                      <a:ext cx="5004000" cy="2376000"/>
                    </a:xfrm>
                    <a:prstGeom prst="rect">
                      <a:avLst/>
                    </a:prstGeom>
                  </pic:spPr>
                </pic:pic>
              </a:graphicData>
            </a:graphic>
          </wp:inline>
        </w:drawing>
      </w:r>
    </w:p>
    <w:p w14:paraId="6EDD28E5" w14:textId="4ED3A2F1" w:rsidR="004D7BC2" w:rsidRPr="007C4C41" w:rsidRDefault="00252EFD" w:rsidP="00252EFD">
      <w:pPr>
        <w:pStyle w:val="Caption"/>
      </w:pPr>
      <w:bookmarkStart w:id="39" w:name="_Toc195986371"/>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3</w:t>
      </w:r>
      <w:r w:rsidR="00506979">
        <w:fldChar w:fldCharType="end"/>
      </w:r>
      <w:r>
        <w:t xml:space="preserve"> – Top 10 secondary subjects by frequency</w:t>
      </w:r>
      <w:bookmarkEnd w:id="39"/>
    </w:p>
    <w:p w14:paraId="6A9D4EE2" w14:textId="77777777" w:rsidR="00745841" w:rsidRDefault="00B06C11" w:rsidP="00745841">
      <w:pPr>
        <w:keepNext/>
        <w:jc w:val="center"/>
      </w:pPr>
      <w:r w:rsidRPr="00AC1AE5">
        <w:rPr>
          <w:noProof/>
          <w:lang w:eastAsia="pt-PT"/>
        </w:rPr>
        <w:drawing>
          <wp:inline distT="0" distB="0" distL="0" distR="0" wp14:anchorId="357BE483" wp14:editId="6DAEFBDE">
            <wp:extent cx="5004000" cy="2376000"/>
            <wp:effectExtent l="0" t="0" r="6350" b="5715"/>
            <wp:docPr id="1858929849" name="Imagem 1" descr="Uma imagem com texto, captura de ecrã, Paralel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8929849" name="Imagem 1" descr="Uma imagem com texto, captura de ecrã, Paralelo, file&#10;&#10;Os conteúdos gerados por IA poderão estar incorretos."/>
                    <pic:cNvPicPr/>
                  </pic:nvPicPr>
                  <pic:blipFill>
                    <a:blip r:embed="rId18"/>
                    <a:stretch>
                      <a:fillRect/>
                    </a:stretch>
                  </pic:blipFill>
                  <pic:spPr>
                    <a:xfrm>
                      <a:off x="0" y="0"/>
                      <a:ext cx="5004000" cy="2376000"/>
                    </a:xfrm>
                    <a:prstGeom prst="rect">
                      <a:avLst/>
                    </a:prstGeom>
                  </pic:spPr>
                </pic:pic>
              </a:graphicData>
            </a:graphic>
          </wp:inline>
        </w:drawing>
      </w:r>
    </w:p>
    <w:p w14:paraId="6F919621" w14:textId="065E9B1C" w:rsidR="00B06C11" w:rsidRDefault="00745841" w:rsidP="00C85AAD">
      <w:pPr>
        <w:pStyle w:val="Caption"/>
      </w:pPr>
      <w:bookmarkStart w:id="40" w:name="_Toc195986372"/>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4</w:t>
      </w:r>
      <w:r w:rsidR="00506979">
        <w:fldChar w:fldCharType="end"/>
      </w:r>
      <w:r>
        <w:t xml:space="preserve"> – Top 10 tertiary subjects by frequency</w:t>
      </w:r>
      <w:bookmarkEnd w:id="40"/>
    </w:p>
    <w:p w14:paraId="38EE5650" w14:textId="3A1DD210" w:rsidR="00AD6E6E" w:rsidRDefault="00AD6E6E" w:rsidP="00920DC8">
      <w:r w:rsidRPr="00846266">
        <w:t xml:space="preserve">The </w:t>
      </w:r>
      <w:r w:rsidR="00846266">
        <w:t>bills</w:t>
      </w:r>
      <w:r w:rsidRPr="00846266">
        <w:t xml:space="preserve"> are voted on by MEPs, who are elected at the national level across the 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Despite their national electoral basis, MEPs subsequently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A04368">
        <w:t xml:space="preserve">7 </w:t>
      </w:r>
      <w:r w:rsidRPr="00846266">
        <w:t>recognized political groups: the European People</w:t>
      </w:r>
      <w:r w:rsidR="00D71DDF">
        <w:t>’</w:t>
      </w:r>
      <w:r w:rsidRPr="00846266">
        <w:t xml:space="preserve">s Party (EPP), the Progressive Alliance of Socialists and Democrats (S&amp;D), Renew Europe (Renew), the Greens/European Free Alliance (Greens/EFA), the European Conservatives and Reformists (ECR), Identity and Democracy (ID), and The Left in the European Parliament (The Left). In addition, some MEPs remained </w:t>
      </w:r>
      <w:r w:rsidR="00DE66DF">
        <w:t>n</w:t>
      </w:r>
      <w:r w:rsidRPr="00846266">
        <w:t>on-</w:t>
      </w:r>
      <w:r w:rsidR="00DE66DF">
        <w:t>a</w:t>
      </w:r>
      <w:r w:rsidRPr="00846266">
        <w:t>ttached (NI), meaning they did not affiliate with any political group. A description of the</w:t>
      </w:r>
      <w:r w:rsidR="005135D9">
        <w:t xml:space="preserve"> 7</w:t>
      </w:r>
      <w:r w:rsidRPr="00846266">
        <w:t xml:space="preserve"> political groups, the NI set of MEPs, their political positions, and their number of seats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596793B2" w:rsidR="00BF1D1D" w:rsidRDefault="00920DC8" w:rsidP="00920DC8">
      <w:pPr>
        <w:rPr>
          <w:lang w:eastAsia="pt-PT"/>
        </w:rPr>
      </w:pPr>
      <w:r>
        <w:rPr>
          <w:lang w:eastAsia="pt-PT"/>
        </w:rPr>
        <w:t>Before developing the methods, we applied several preprocessing steps</w:t>
      </w:r>
      <w:r w:rsidR="00B340EF">
        <w:rPr>
          <w:lang w:eastAsia="pt-PT"/>
        </w:rPr>
        <w:t xml:space="preserve"> </w:t>
      </w:r>
      <w:r w:rsidR="008F18D1">
        <w:rPr>
          <w:lang w:eastAsia="pt-PT"/>
        </w:rPr>
        <w:t xml:space="preserve">to reduce data noise </w:t>
      </w:r>
      <w:r w:rsidR="003F7D7E">
        <w:rPr>
          <w:lang w:eastAsia="pt-PT"/>
        </w:rPr>
        <w:t>before</w:t>
      </w:r>
      <w:r w:rsidR="008F18D1">
        <w:rPr>
          <w:lang w:eastAsia="pt-PT"/>
        </w:rPr>
        <w:t xml:space="preserve"> inferring the co-voting networks.</w:t>
      </w:r>
      <w:r w:rsidR="000B4705">
        <w:rPr>
          <w:lang w:eastAsia="pt-PT"/>
        </w:rPr>
        <w:t xml:space="preserve"> Figure </w:t>
      </w:r>
      <w:r w:rsidR="006C5AA5">
        <w:rPr>
          <w:lang w:eastAsia="pt-PT"/>
        </w:rPr>
        <w:t>4.5</w:t>
      </w:r>
      <w:r w:rsidR="000B4705">
        <w:rPr>
          <w:lang w:eastAsia="pt-PT"/>
        </w:rPr>
        <w:t xml:space="preserve"> </w:t>
      </w:r>
      <w:r w:rsidR="000D2B26">
        <w:rPr>
          <w:lang w:eastAsia="pt-PT"/>
        </w:rPr>
        <w:t>summarizes the</w:t>
      </w:r>
      <w:r w:rsidR="000B4705">
        <w:rPr>
          <w:lang w:eastAsia="pt-PT"/>
        </w:rPr>
        <w:t xml:space="preserve"> steps that will be described below.</w:t>
      </w:r>
      <w:r>
        <w:rPr>
          <w:lang w:eastAsia="pt-PT"/>
        </w:rPr>
        <w:t xml:space="preserve"> </w:t>
      </w:r>
    </w:p>
    <w:p w14:paraId="034C549E" w14:textId="77777777" w:rsidR="00626D19" w:rsidRDefault="000B4705" w:rsidP="00626D19">
      <w:pPr>
        <w:keepNext/>
        <w:jc w:val="center"/>
      </w:pPr>
      <w:r>
        <w:rPr>
          <w:noProof/>
        </w:rPr>
        <w:lastRenderedPageBreak/>
        <w:drawing>
          <wp:inline distT="0" distB="0" distL="0" distR="0" wp14:anchorId="4C8BF1D5" wp14:editId="2FC95EF5">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0969F28F" w:rsidR="000B4705" w:rsidRDefault="00626D19" w:rsidP="00626D19">
      <w:pPr>
        <w:pStyle w:val="Caption"/>
      </w:pPr>
      <w:bookmarkStart w:id="41" w:name="_Toc195986373"/>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5</w:t>
      </w:r>
      <w:r w:rsidR="00506979">
        <w:fldChar w:fldCharType="end"/>
      </w:r>
      <w:r>
        <w:t xml:space="preserve"> – Data preprocessing steps</w:t>
      </w:r>
      <w:bookmarkEnd w:id="41"/>
    </w:p>
    <w:p w14:paraId="1DD64F51" w14:textId="6310B794" w:rsidR="006B1F17" w:rsidRDefault="00920DC8" w:rsidP="00920DC8">
      <w:pPr>
        <w:rPr>
          <w:lang w:eastAsia="pt-PT"/>
        </w:rPr>
      </w:pPr>
      <w:r>
        <w:rPr>
          <w:lang w:eastAsia="pt-PT"/>
        </w:rPr>
        <w:t xml:space="preserve">First, we opted to use a threshold as conservative as Schoch &amp; Brandes (2020) by excluding MEPs who participated in fewer than 50% of all roll-call votes. As </w:t>
      </w:r>
      <w:r w:rsidR="004C0B9B">
        <w:rPr>
          <w:lang w:eastAsia="pt-PT"/>
        </w:rPr>
        <w:t>illustrated</w:t>
      </w:r>
      <w:r>
        <w:rPr>
          <w:lang w:eastAsia="pt-PT"/>
        </w:rPr>
        <w:t xml:space="preserve"> in Figure </w:t>
      </w:r>
      <w:r w:rsidR="00C15609">
        <w:rPr>
          <w:lang w:eastAsia="pt-PT"/>
        </w:rPr>
        <w:t>4</w:t>
      </w:r>
      <w:r w:rsidR="0062014F">
        <w:rPr>
          <w:lang w:eastAsia="pt-PT"/>
        </w:rPr>
        <w:t>.</w:t>
      </w:r>
      <w:r w:rsidR="00BD01CE">
        <w:rPr>
          <w:lang w:eastAsia="pt-PT"/>
        </w:rPr>
        <w:t>6</w:t>
      </w:r>
      <w:r>
        <w:rPr>
          <w:lang w:eastAsia="pt-PT"/>
        </w:rPr>
        <w:t>, approximately 32.6% of MEPs did not serve the entire term, indicating a substantial portion with limited legislative activity. This ensures that our study is based on MEPs with significant voting activity, reducing distortions from MEPs who served for too little time to contribute meaningfully to our study.</w:t>
      </w:r>
    </w:p>
    <w:p w14:paraId="2C51D523" w14:textId="77777777" w:rsidR="004123B3" w:rsidRDefault="00920DC8" w:rsidP="004123B3">
      <w:pPr>
        <w:keepNext/>
        <w:jc w:val="center"/>
      </w:pPr>
      <w:r w:rsidRPr="001A09FD">
        <w:rPr>
          <w:noProof/>
        </w:rPr>
        <w:drawing>
          <wp:inline distT="0" distB="0" distL="0" distR="0" wp14:anchorId="7DEA6C40" wp14:editId="43C6C70A">
            <wp:extent cx="2631600" cy="2592000"/>
            <wp:effectExtent l="0" t="0" r="0" b="0"/>
            <wp:docPr id="143562734" name="Imagem 1" descr="Uma imagem com texto, captura de ecrã, diagrama, círcul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562734" name="Imagem 1" descr="Uma imagem com texto, captura de ecrã, diagrama, círculo&#10;&#10;Os conteúdos gerados por IA poderão estar incorretos."/>
                    <pic:cNvPicPr/>
                  </pic:nvPicPr>
                  <pic:blipFill>
                    <a:blip r:embed="rId20"/>
                    <a:stretch>
                      <a:fillRect/>
                    </a:stretch>
                  </pic:blipFill>
                  <pic:spPr>
                    <a:xfrm>
                      <a:off x="0" y="0"/>
                      <a:ext cx="2631600" cy="2592000"/>
                    </a:xfrm>
                    <a:prstGeom prst="rect">
                      <a:avLst/>
                    </a:prstGeom>
                  </pic:spPr>
                </pic:pic>
              </a:graphicData>
            </a:graphic>
          </wp:inline>
        </w:drawing>
      </w:r>
    </w:p>
    <w:p w14:paraId="38646152" w14:textId="6A78A0E8" w:rsidR="009F3942" w:rsidRPr="006B1F17" w:rsidRDefault="004123B3" w:rsidP="004123B3">
      <w:pPr>
        <w:pStyle w:val="Caption"/>
      </w:pPr>
      <w:bookmarkStart w:id="42" w:name="_Toc195986374"/>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6</w:t>
      </w:r>
      <w:r w:rsidR="00506979">
        <w:fldChar w:fldCharType="end"/>
      </w:r>
      <w:r>
        <w:t xml:space="preserve"> – Proportion of MEPs serving full term </w:t>
      </w:r>
      <w:r w:rsidR="009B4A97">
        <w:t>and</w:t>
      </w:r>
      <w:r>
        <w:t xml:space="preserve"> not full term</w:t>
      </w:r>
      <w:bookmarkEnd w:id="42"/>
    </w:p>
    <w:p w14:paraId="43BBF3A5" w14:textId="7D63E8E2" w:rsidR="004D7BC2" w:rsidRDefault="009F3942" w:rsidP="00DF5125">
      <w:r>
        <w:t>Secondly</w:t>
      </w:r>
      <w:r w:rsidRPr="007C4C41">
        <w:t>, we reclassified voting positions into a binary format: “supporting” including only “FOR” votes, and “not</w:t>
      </w:r>
      <w:r>
        <w:t>_</w:t>
      </w:r>
      <w:r w:rsidRPr="007C4C41">
        <w:t>supporting” encompassing “AGAINST”, “ABSENTION”, and “DID_NOT_VOTE”.</w:t>
      </w:r>
      <w:r>
        <w:t xml:space="preserve"> As </w:t>
      </w:r>
      <w:r w:rsidR="00DA5FA3">
        <w:t>illustrated</w:t>
      </w:r>
      <w:r>
        <w:t xml:space="preserve"> in Figure </w:t>
      </w:r>
      <w:r w:rsidR="008848F1">
        <w:t>4</w:t>
      </w:r>
      <w:r w:rsidR="0062014F">
        <w:t>.</w:t>
      </w:r>
      <w:r w:rsidR="00B34137">
        <w:t>7</w:t>
      </w:r>
      <w:r>
        <w:t>, there is a pronounced imbalance in voting positions, with “FOR” comprising most votes. Grouping the remaining three positions into “not_supporting” mitigates this imbalance and ensures that the roll-call data is suitable for the subsequent methodology, which only accepts binary voting positions.</w:t>
      </w:r>
    </w:p>
    <w:p w14:paraId="5016F3C4" w14:textId="77777777" w:rsidR="00A63E51" w:rsidRDefault="000725D7" w:rsidP="00A63E51">
      <w:pPr>
        <w:keepNext/>
        <w:jc w:val="center"/>
      </w:pPr>
      <w:r w:rsidRPr="00CA5631">
        <w:rPr>
          <w:noProof/>
        </w:rPr>
        <w:lastRenderedPageBreak/>
        <w:drawing>
          <wp:inline distT="0" distB="0" distL="0" distR="0" wp14:anchorId="5B2640A3" wp14:editId="11119B2C">
            <wp:extent cx="4140000" cy="1944000"/>
            <wp:effectExtent l="0" t="0" r="0" b="0"/>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a:blip r:embed="rId21"/>
                    <a:stretch>
                      <a:fillRect/>
                    </a:stretch>
                  </pic:blipFill>
                  <pic:spPr>
                    <a:xfrm>
                      <a:off x="0" y="0"/>
                      <a:ext cx="4140000" cy="1944000"/>
                    </a:xfrm>
                    <a:prstGeom prst="rect">
                      <a:avLst/>
                    </a:prstGeom>
                  </pic:spPr>
                </pic:pic>
              </a:graphicData>
            </a:graphic>
          </wp:inline>
        </w:drawing>
      </w:r>
    </w:p>
    <w:p w14:paraId="0DB4AB76" w14:textId="3D2C8CF8" w:rsidR="008E6496" w:rsidRPr="007C4C41" w:rsidRDefault="00A63E51" w:rsidP="00A63E51">
      <w:pPr>
        <w:pStyle w:val="Caption"/>
      </w:pPr>
      <w:bookmarkStart w:id="43" w:name="_Toc195986375"/>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7</w:t>
      </w:r>
      <w:r w:rsidR="00506979">
        <w:fldChar w:fldCharType="end"/>
      </w:r>
      <w:r>
        <w:t xml:space="preserve"> – Distribution of voting positions</w:t>
      </w:r>
      <w:bookmarkEnd w:id="43"/>
    </w:p>
    <w:p w14:paraId="6E09E34D" w14:textId="23EB9AB2" w:rsidR="000725D7" w:rsidRDefault="00EC0F4F" w:rsidP="008E6496">
      <w:r>
        <w:t>Next</w:t>
      </w:r>
      <w:r w:rsidRPr="007C4C41">
        <w:t xml:space="preserve">, following NOMINATE, we removed high-consensus bills. We excluded any bill where fewer than 2.5% of MEPs opposed the majority position. For example, if 98% of MEPs voted in support of a bill and only 2% did not support it, we would consider the bill too consensual. This step ensures that our study focuses only on bills with a minimum level of </w:t>
      </w:r>
      <w:r>
        <w:t>group</w:t>
      </w:r>
      <w:r w:rsidRPr="007C4C41">
        <w:t xml:space="preserve"> divisiveness, reducing the noise introduced by too-consensual bills.</w:t>
      </w:r>
    </w:p>
    <w:p w14:paraId="5B55943F" w14:textId="0EC8A4FD" w:rsidR="000477D0" w:rsidRDefault="0062014F" w:rsidP="002D2F71">
      <w:r>
        <w:t xml:space="preserve">Furthermore, as </w:t>
      </w:r>
      <w:r w:rsidR="00593ABA">
        <w:t>illustrated</w:t>
      </w:r>
      <w:r>
        <w:t xml:space="preserve"> in Figure </w:t>
      </w:r>
      <w:r w:rsidR="00593ABA">
        <w:t>4</w:t>
      </w:r>
      <w:r w:rsidR="00C63241">
        <w:t>.</w:t>
      </w:r>
      <w:r w:rsidR="00AC18C5">
        <w:t>8</w:t>
      </w:r>
      <w:r>
        <w:t>, some MEPs appear in multiple groups or as NI</w:t>
      </w:r>
      <w:r w:rsidR="005C3DAD">
        <w:t xml:space="preserve"> (non-attached)</w:t>
      </w:r>
      <w:r>
        <w:t xml:space="preserve">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along with the time spent in each. Whichever affiliation occupied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it is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7FBE4A50">
            <wp:extent cx="3960000" cy="2412000"/>
            <wp:effectExtent l="0" t="0" r="2540" b="762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a:blip r:embed="rId22"/>
                    <a:stretch>
                      <a:fillRect/>
                    </a:stretch>
                  </pic:blipFill>
                  <pic:spPr>
                    <a:xfrm>
                      <a:off x="0" y="0"/>
                      <a:ext cx="3960000" cy="2412000"/>
                    </a:xfrm>
                    <a:prstGeom prst="rect">
                      <a:avLst/>
                    </a:prstGeom>
                  </pic:spPr>
                </pic:pic>
              </a:graphicData>
            </a:graphic>
          </wp:inline>
        </w:drawing>
      </w:r>
    </w:p>
    <w:p w14:paraId="3040FE0D" w14:textId="11F9AFE5" w:rsidR="00DF5125" w:rsidRDefault="00506979" w:rsidP="00506979">
      <w:pPr>
        <w:pStyle w:val="Caption"/>
      </w:pPr>
      <w:bookmarkStart w:id="44" w:name="_Toc195986376"/>
      <w:r>
        <w:t xml:space="preserve">Figure </w:t>
      </w:r>
      <w:r>
        <w:fldChar w:fldCharType="begin"/>
      </w:r>
      <w:r>
        <w:instrText xml:space="preserve"> STYLEREF 1 \s </w:instrText>
      </w:r>
      <w:r>
        <w:fldChar w:fldCharType="separate"/>
      </w:r>
      <w:r w:rsidR="00ED6021">
        <w:rPr>
          <w:noProof/>
        </w:rPr>
        <w:t>4</w:t>
      </w:r>
      <w:r>
        <w:fldChar w:fldCharType="end"/>
      </w:r>
      <w:r>
        <w:t>.</w:t>
      </w:r>
      <w:r>
        <w:fldChar w:fldCharType="begin"/>
      </w:r>
      <w:r>
        <w:instrText xml:space="preserve"> SEQ Figure \* ARABIC \s 1 </w:instrText>
      </w:r>
      <w:r>
        <w:fldChar w:fldCharType="separate"/>
      </w:r>
      <w:r w:rsidR="00ED6021">
        <w:rPr>
          <w:noProof/>
        </w:rPr>
        <w:t>8</w:t>
      </w:r>
      <w:r>
        <w:fldChar w:fldCharType="end"/>
      </w:r>
      <w:r>
        <w:t xml:space="preserve"> – MEP affiliation change</w:t>
      </w:r>
      <w:bookmarkEnd w:id="44"/>
    </w:p>
    <w:p w14:paraId="6468AA2A" w14:textId="66EC0402" w:rsidR="00A1088D" w:rsidRDefault="004D3C8E" w:rsidP="000B4705">
      <w:r>
        <w:lastRenderedPageBreak/>
        <w:t>Finally</w:t>
      </w:r>
      <w:r w:rsidR="00CE3F9A" w:rsidRPr="007C4C41">
        <w:t>, we excluded all MEPs who spent more time as</w:t>
      </w:r>
      <w:r w:rsidR="00454D4E">
        <w:t xml:space="preserve"> </w:t>
      </w:r>
      <w:r w:rsidR="00C2759F">
        <w:t>NI</w:t>
      </w:r>
      <w:r w:rsidR="00CE3F9A" w:rsidRPr="007C4C41">
        <w:t xml:space="preserve"> than affiliated with any group. Since those MEPs lack significant group affiliation, their voting behavior does not contribute meaningfully to our study.</w:t>
      </w:r>
    </w:p>
    <w:p w14:paraId="2406B937" w14:textId="3B8E8518" w:rsidR="00911494" w:rsidRDefault="00911494" w:rsidP="000B4705">
      <w:r>
        <w:t xml:space="preserve">Table </w:t>
      </w:r>
      <w:r w:rsidR="00937E85">
        <w:t>4.1 summarizes the data before and after the preprocessing steps.</w:t>
      </w:r>
    </w:p>
    <w:p w14:paraId="6ED350D9" w14:textId="55A0B882" w:rsidR="00A56DEE" w:rsidRDefault="00A56DEE" w:rsidP="00A56DEE">
      <w:pPr>
        <w:pStyle w:val="Caption"/>
        <w:keepNext/>
      </w:pPr>
      <w:bookmarkStart w:id="45" w:name="_Toc195986381"/>
      <w:r>
        <w:t xml:space="preserve">Table </w:t>
      </w:r>
      <w:r>
        <w:fldChar w:fldCharType="begin"/>
      </w:r>
      <w:r>
        <w:instrText xml:space="preserve"> STYLEREF 1 \s </w:instrText>
      </w:r>
      <w:r>
        <w:fldChar w:fldCharType="separate"/>
      </w:r>
      <w:r w:rsidR="00ED6021">
        <w:rPr>
          <w:noProof/>
        </w:rPr>
        <w:t>4</w:t>
      </w:r>
      <w:r>
        <w:fldChar w:fldCharType="end"/>
      </w:r>
      <w:r>
        <w:t>.</w:t>
      </w:r>
      <w:r>
        <w:fldChar w:fldCharType="begin"/>
      </w:r>
      <w:r>
        <w:instrText xml:space="preserve"> SEQ Table \* ARABIC \s 1 </w:instrText>
      </w:r>
      <w:r>
        <w:fldChar w:fldCharType="separate"/>
      </w:r>
      <w:r w:rsidR="00ED6021">
        <w:rPr>
          <w:noProof/>
        </w:rPr>
        <w:t>1</w:t>
      </w:r>
      <w:r>
        <w:fldChar w:fldCharType="end"/>
      </w:r>
      <w:r>
        <w:t xml:space="preserve"> – Data before and after the preprocessing steps</w:t>
      </w:r>
      <w:bookmarkEnd w:id="45"/>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bookmarkEnd w:id="36"/>
    </w:tbl>
    <w:p w14:paraId="3BAF4141" w14:textId="77777777" w:rsidR="00514B85" w:rsidRDefault="00514B85" w:rsidP="00612952"/>
    <w:p w14:paraId="7BB426C5" w14:textId="26BCFFD4" w:rsidR="003265C9" w:rsidRDefault="00370DDA" w:rsidP="00612952">
      <w:r w:rsidRPr="00911494">
        <w:t xml:space="preserve">After </w:t>
      </w:r>
      <w:r w:rsidR="00FD20FA" w:rsidRPr="00911494">
        <w:t xml:space="preserve">preprocessing the data, we inferred the co-voting networks and obtained the relevant </w:t>
      </w:r>
      <w:r w:rsidR="00086208" w:rsidRPr="00911494">
        <w:t>voting</w:t>
      </w:r>
      <w:r w:rsidR="00FD20FA" w:rsidRPr="00911494">
        <w:t xml:space="preserve"> communities</w:t>
      </w:r>
      <w:r w:rsidRPr="00911494">
        <w:t>.</w:t>
      </w:r>
      <w:r>
        <w:t xml:space="preserve"> </w:t>
      </w:r>
    </w:p>
    <w:p w14:paraId="1114FC03" w14:textId="519FD4D1" w:rsidR="00C440A2" w:rsidRPr="007C4C41" w:rsidRDefault="00106988" w:rsidP="00612952">
      <w:r>
        <w:t>W</w:t>
      </w:r>
      <w:r w:rsidR="00000D19" w:rsidRPr="007C4C41">
        <w:t xml:space="preserve">e used the </w:t>
      </w:r>
      <w:r w:rsidR="004A5486">
        <w:t>Stochastic Degree Sequence Model (</w:t>
      </w:r>
      <w:r w:rsidR="00000D19" w:rsidRPr="007C4C41">
        <w:t>SDSM</w:t>
      </w:r>
      <w:r w:rsidR="004A5486">
        <w:t>)</w:t>
      </w:r>
      <w:r w:rsidR="00B76836" w:rsidRPr="007C4C41">
        <w:t xml:space="preserve"> to model the MEPs’ voting behavior. This model</w:t>
      </w:r>
      <w:r w:rsidR="00000D19" w:rsidRPr="007C4C41">
        <w:t xml:space="preserve"> allowed us to extract the binary backbone</w:t>
      </w:r>
      <w:r w:rsidR="00660165" w:rsidRPr="007C4C41">
        <w:t xml:space="preserve"> of a network.</w:t>
      </w:r>
      <w:r w:rsidR="007929B2">
        <w:t xml:space="preserve"> A network (or graph) is described by a pair </w:t>
      </w:r>
      <m:oMath>
        <m:r>
          <w:rPr>
            <w:rFonts w:ascii="Cambria Math" w:hAnsi="Cambria Math"/>
          </w:rPr>
          <m:t>(V,E)</m:t>
        </m:r>
      </m:oMath>
      <w:r w:rsidR="007929B2">
        <w:t xml:space="preserve"> where </w:t>
      </w:r>
      <m:oMath>
        <m:r>
          <w:rPr>
            <w:rFonts w:ascii="Cambria Math" w:hAnsi="Cambria Math"/>
          </w:rPr>
          <m:t>V</m:t>
        </m:r>
      </m:oMath>
      <w:r w:rsidR="007929B2">
        <w:t xml:space="preserve"> is the set of nodes and </w:t>
      </w:r>
      <m:oMath>
        <m:r>
          <w:rPr>
            <w:rFonts w:ascii="Cambria Math" w:hAnsi="Cambria Math"/>
          </w:rPr>
          <m:t>E</m:t>
        </m:r>
      </m:oMath>
      <w:r w:rsidR="007929B2">
        <w:t xml:space="preserve"> is the set of edges connecting the nodes</w:t>
      </w:r>
      <w:r w:rsidR="0084015B">
        <w:t>, which can</w:t>
      </w:r>
      <w:r w:rsidR="000E4A6E">
        <w:t xml:space="preserve"> be</w:t>
      </w:r>
      <w:r w:rsidR="0084015B">
        <w:t xml:space="preserve"> weighted or unweighted</w:t>
      </w:r>
      <w:r w:rsidR="007929B2">
        <w:t>.</w:t>
      </w:r>
      <w:r w:rsidR="00660165" w:rsidRPr="007C4C41">
        <w:t xml:space="preserve"> The backbone is an unweighted graph that preserves only the most significant edges</w:t>
      </w:r>
      <w:r w:rsidR="007929B2">
        <w:t xml:space="preserve"> (connections between MEPs)</w:t>
      </w:r>
      <w:r w:rsidR="00660165" w:rsidRPr="007C4C41">
        <w:t xml:space="preserve"> from the weighted bipartite projection. </w:t>
      </w:r>
      <w:r w:rsidR="00B76836" w:rsidRPr="007C4C41">
        <w:t xml:space="preserve">As such, we can model the network through an </w:t>
      </w:r>
      <m:oMath>
        <m:r>
          <w:rPr>
            <w:rFonts w:ascii="Cambria Math" w:hAnsi="Cambria Math"/>
          </w:rPr>
          <m:t>m × b</m:t>
        </m:r>
      </m:oMath>
      <w:r w:rsidR="00B76836" w:rsidRPr="007C4C41">
        <w:t xml:space="preserve"> matrix, which we denote by </w:t>
      </w:r>
      <m:oMath>
        <m:r>
          <w:rPr>
            <w:rFonts w:ascii="Cambria Math" w:hAnsi="Cambria Math"/>
          </w:rPr>
          <m:t>A</m:t>
        </m:r>
      </m:oMath>
      <w:r w:rsidR="00B76836" w:rsidRPr="007C4C41">
        <w:t xml:space="preserve">, where </w:t>
      </w:r>
      <m:oMath>
        <m:r>
          <w:rPr>
            <w:rFonts w:ascii="Cambria Math" w:hAnsi="Cambria Math"/>
          </w:rPr>
          <m:t>m</m:t>
        </m:r>
      </m:oMath>
      <w:r w:rsidR="00B76836" w:rsidRPr="007C4C41">
        <w:t xml:space="preserve"> is the number of MEPs, </w:t>
      </w:r>
      <m:oMath>
        <m:r>
          <w:rPr>
            <w:rFonts w:ascii="Cambria Math" w:hAnsi="Cambria Math"/>
          </w:rPr>
          <m:t>b</m:t>
        </m:r>
      </m:oMath>
      <w:r w:rsidR="00B76836" w:rsidRPr="007C4C41">
        <w:t xml:space="preserve"> the number of bills and it</w:t>
      </w:r>
      <w:r w:rsidR="00A6443D" w:rsidRPr="007C4C41">
        <w:t>s</w:t>
      </w:r>
      <w:r w:rsidR="00B76836" w:rsidRPr="007C4C41">
        <w:t xml:space="preserve"> </w:t>
      </w:r>
      <w:r w:rsidR="00A6443D" w:rsidRPr="007C4C41">
        <w:t xml:space="preserve">element </w:t>
      </w:r>
      <m:oMath>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 xml:space="preserve"> </m:t>
        </m:r>
      </m:oMath>
      <w:r w:rsidR="00A6443D" w:rsidRPr="007C4C41">
        <w:t xml:space="preserve">indicate whether MEP </w:t>
      </w:r>
      <m:oMath>
        <m:r>
          <w:rPr>
            <w:rFonts w:ascii="Cambria Math" w:hAnsi="Cambria Math"/>
          </w:rPr>
          <m:t>i</m:t>
        </m:r>
      </m:oMath>
      <w:r w:rsidR="00A6443D" w:rsidRPr="007C4C41">
        <w:t xml:space="preserve"> supported or not bill </w:t>
      </w:r>
      <m:oMath>
        <m:r>
          <w:rPr>
            <w:rFonts w:ascii="Cambria Math" w:hAnsi="Cambria Math"/>
          </w:rPr>
          <m:t>k</m:t>
        </m:r>
      </m:oMath>
      <w:r w:rsidR="00A6443D" w:rsidRPr="007C4C41">
        <w:t>.</w:t>
      </w:r>
      <w:r w:rsidR="007714BF" w:rsidRPr="007C4C41">
        <w:t xml:space="preserve"> </w:t>
      </w:r>
      <w:r w:rsidR="00F074AF" w:rsidRPr="007C4C41">
        <w:t xml:space="preserve">For instance, if MEP </w:t>
      </w:r>
      <m:oMath>
        <m:r>
          <w:rPr>
            <w:rFonts w:ascii="Cambria Math" w:hAnsi="Cambria Math"/>
          </w:rPr>
          <m:t>7</m:t>
        </m:r>
      </m:oMath>
      <w:r w:rsidR="00F074AF" w:rsidRPr="007C4C41">
        <w:t xml:space="preserve"> supported bill </w:t>
      </w:r>
      <m:oMath>
        <m:r>
          <w:rPr>
            <w:rFonts w:ascii="Cambria Math" w:hAnsi="Cambria Math"/>
          </w:rPr>
          <m:t>4</m:t>
        </m:r>
      </m:oMath>
      <w:r w:rsidR="00F074AF" w:rsidRPr="007C4C41">
        <w:t xml:space="preserve"> then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=1</m:t>
        </m:r>
      </m:oMath>
      <w:r w:rsidR="00890665" w:rsidRPr="007C4C41">
        <w:t>,</w:t>
      </w:r>
      <w:r w:rsidR="00F074AF" w:rsidRPr="007C4C41">
        <w:t xml:space="preserve"> otherwise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=0</m:t>
        </m:r>
      </m:oMath>
      <w:r w:rsidR="00890665" w:rsidRPr="007C4C41">
        <w:t>.</w:t>
      </w:r>
      <w:r w:rsidR="00612952" w:rsidRPr="007C4C41">
        <w:t xml:space="preserve"> </w:t>
      </w:r>
    </w:p>
    <w:p w14:paraId="68A0F5EA" w14:textId="71ECD4A3" w:rsidR="00DB7056" w:rsidRDefault="00A6443D" w:rsidP="00565C37">
      <w:r w:rsidRPr="007C4C41">
        <w:t xml:space="preserve">From matrix </w:t>
      </w:r>
      <m:oMath>
        <m:r>
          <w:rPr>
            <w:rFonts w:ascii="Cambria Math" w:hAnsi="Cambria Math"/>
          </w:rPr>
          <m:t>A</m:t>
        </m:r>
      </m:oMath>
      <w:r w:rsidRPr="007C4C41">
        <w:t xml:space="preserve"> we derived a </w:t>
      </w:r>
      <w:r w:rsidR="00243601" w:rsidRPr="007C4C41">
        <w:t>bi</w:t>
      </w:r>
      <w:r w:rsidRPr="007C4C41">
        <w:t xml:space="preserve">adjacency matrix </w:t>
      </w:r>
      <m:oMath>
        <m:r>
          <w:rPr>
            <w:rFonts w:ascii="Cambria Math" w:hAnsi="Cambria Math"/>
          </w:rPr>
          <m:t>B</m:t>
        </m:r>
      </m:oMath>
      <w:r w:rsidR="007929B2">
        <w:t xml:space="preserve">. A biadjacency matrix represents the connections between two distinct sets </w:t>
      </w:r>
      <w:r w:rsidR="00FD22E5">
        <w:t xml:space="preserve">(modes) </w:t>
      </w:r>
      <w:r w:rsidR="007929B2">
        <w:t>of nodes, hence describing a two-mode network, in which edges only exist between, rather than within, those two sets. Specifically</w:t>
      </w:r>
      <w:r w:rsidR="00403D04">
        <w:t>,</w:t>
      </w:r>
      <w:r w:rsidR="007929B2">
        <w:t xml:space="preserve"> </w:t>
      </w:r>
      <m:oMath>
        <m:r>
          <w:rPr>
            <w:rFonts w:ascii="Cambria Math" w:hAnsi="Cambria Math"/>
          </w:rPr>
          <m:t>B</m:t>
        </m:r>
      </m:oMath>
      <w:r w:rsidR="000411B0" w:rsidRPr="007C4C41">
        <w:t xml:space="preserve"> represents a two-mode network with </w:t>
      </w:r>
      <m:oMath>
        <m:r>
          <w:rPr>
            <w:rFonts w:ascii="Cambria Math" w:hAnsi="Cambria Math"/>
          </w:rPr>
          <m:t>m+2b</m:t>
        </m:r>
      </m:oMath>
      <w:r w:rsidR="000411B0" w:rsidRPr="007C4C41">
        <w:t xml:space="preserve"> </w:t>
      </w:r>
      <w:r w:rsidR="00243601" w:rsidRPr="007C4C41">
        <w:t>vertices</w:t>
      </w:r>
      <w:r w:rsidR="0006352E" w:rsidRPr="007C4C41">
        <w:t xml:space="preserve">, where the first mode consists of a set of vertices </w:t>
      </w:r>
      <m:oMath>
        <m:r>
          <w:rPr>
            <w:rFonts w:ascii="Cambria Math" w:hAnsi="Cambria Math"/>
          </w:rPr>
          <m:t>U</m:t>
        </m:r>
      </m:oMath>
      <w:r w:rsidR="000411B0" w:rsidRPr="007C4C41">
        <w:t xml:space="preserve"> </w:t>
      </w:r>
      <w:r w:rsidR="0006352E" w:rsidRPr="007C4C41">
        <w:t>which represents the</w:t>
      </w:r>
      <w:r w:rsidR="006D58EB" w:rsidRPr="007C4C41">
        <w:t xml:space="preserve"> </w:t>
      </w:r>
      <m:oMath>
        <m:r>
          <w:rPr>
            <w:rFonts w:ascii="Cambria Math" w:hAnsi="Cambria Math"/>
          </w:rPr>
          <m:t>m</m:t>
        </m:r>
      </m:oMath>
      <w:r w:rsidR="0006352E" w:rsidRPr="007C4C41">
        <w:t xml:space="preserve"> MEPs</w:t>
      </w:r>
      <w:r w:rsidR="006D58EB" w:rsidRPr="007C4C41">
        <w:t xml:space="preserve">, and the second mode consists of a set of vertices </w:t>
      </w:r>
      <m:oMath>
        <m:r>
          <w:rPr>
            <w:rFonts w:ascii="Cambria Math" w:hAnsi="Cambria Math"/>
          </w:rPr>
          <m:t>W</m:t>
        </m:r>
      </m:oMath>
      <w:r w:rsidR="006D58EB" w:rsidRPr="007C4C41">
        <w:t xml:space="preserve"> which contains two vertices per bill, indicating supporting or not supporting. 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=1</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=0</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=0</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=1</m:t>
        </m:r>
      </m:oMath>
      <w:r w:rsidR="00ED58B8" w:rsidRPr="007C4C41">
        <w:t>.</w:t>
      </w:r>
      <w:r w:rsidR="004917CF" w:rsidRPr="007C4C41">
        <w:t xml:space="preserve"> </w:t>
      </w:r>
      <w:r w:rsidR="00673ED6" w:rsidRPr="007C4C41">
        <w:t>More concretely, t</w:t>
      </w:r>
      <w:r w:rsidR="004917CF" w:rsidRPr="007C4C41">
        <w:t xml:space="preserve">he </w:t>
      </w:r>
      <w:r w:rsidR="00673ED6" w:rsidRPr="007C4C41">
        <w:t xml:space="preserve">rows of the </w:t>
      </w:r>
      <w:r w:rsidR="004917CF" w:rsidRPr="007C4C41">
        <w:t>biadjacency</w:t>
      </w:r>
      <w:r w:rsidR="00673ED6" w:rsidRPr="007C4C41">
        <w:t xml:space="preserve"> </w:t>
      </w:r>
      <w:r w:rsidR="001467AD" w:rsidRPr="007C4C41">
        <w:t xml:space="preserve">matrix </w:t>
      </w:r>
      <m:oMath>
        <m:r>
          <w:rPr>
            <w:rFonts w:ascii="Cambria Math" w:hAnsi="Cambria Math"/>
          </w:rPr>
          <m:t>B</m:t>
        </m:r>
      </m:oMath>
      <w:r w:rsidR="001467AD" w:rsidRPr="007C4C41">
        <w:t xml:space="preserve"> </w:t>
      </w:r>
      <w:r w:rsidR="00673ED6" w:rsidRPr="007C4C41">
        <w:t>represent</w:t>
      </w:r>
      <w:r w:rsidR="00BD6C03" w:rsidRPr="007C4C41">
        <w:t xml:space="preserve"> the</w:t>
      </w:r>
      <w:r w:rsidR="00673ED6" w:rsidRPr="007C4C41">
        <w:t xml:space="preserve"> vertices in set </w:t>
      </w:r>
      <m:oMath>
        <m:r>
          <w:rPr>
            <w:rFonts w:ascii="Cambria Math" w:hAnsi="Cambria Math"/>
          </w:rPr>
          <m:t>U</m:t>
        </m:r>
      </m:oMath>
      <w:r w:rsidR="00673ED6" w:rsidRPr="007C4C41">
        <w:t xml:space="preserve"> and the columns represent the vertices in set </w:t>
      </w:r>
      <m:oMath>
        <m:r>
          <w:rPr>
            <w:rFonts w:ascii="Cambria Math" w:hAnsi="Cambria Math"/>
          </w:rPr>
          <m:t>W</m:t>
        </m:r>
      </m:oMath>
      <w:r w:rsidR="00673ED6" w:rsidRPr="007C4C41">
        <w:t xml:space="preserve">, which means that if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673ED6" w:rsidRPr="007C4C41">
        <w:t xml:space="preserve"> then </w:t>
      </w:r>
      <w:r w:rsidR="00F522BA" w:rsidRPr="007C4C41">
        <w:t xml:space="preserve">vertex </w:t>
      </w:r>
      <m:oMath>
        <m:r>
          <w:rPr>
            <w:rFonts w:ascii="Cambria Math" w:hAnsi="Cambria Math"/>
          </w:rPr>
          <m:t>i</m:t>
        </m:r>
      </m:oMath>
      <w:r w:rsidR="00F522BA" w:rsidRPr="007C4C41">
        <w:t xml:space="preserve"> (MEP </w:t>
      </w:r>
      <m:oMath>
        <m:r>
          <w:rPr>
            <w:rFonts w:ascii="Cambria Math" w:hAnsi="Cambria Math"/>
          </w:rPr>
          <m:t>i</m:t>
        </m:r>
      </m:oMath>
      <w:r w:rsidR="00F522BA" w:rsidRPr="007C4C41">
        <w:t xml:space="preserve">) is connected to vertex </w:t>
      </w:r>
      <m:oMath>
        <m:r>
          <w:rPr>
            <w:rFonts w:ascii="Cambria Math" w:hAnsi="Cambria Math"/>
          </w:rPr>
          <m:t>k</m:t>
        </m:r>
      </m:oMath>
      <w:r w:rsidR="00921DC1" w:rsidRPr="007C4C41">
        <w:t xml:space="preserve"> in </w:t>
      </w:r>
      <m:oMath>
        <m:r>
          <w:rPr>
            <w:rFonts w:ascii="Cambria Math" w:hAnsi="Cambria Math"/>
          </w:rPr>
          <m:t>W</m:t>
        </m:r>
      </m:oMath>
      <w:r w:rsidR="00F522BA" w:rsidRPr="007C4C41">
        <w:t>.</w:t>
      </w:r>
      <w:r w:rsidR="00855D76" w:rsidRPr="007C4C41">
        <w:t xml:space="preserve"> </w:t>
      </w:r>
    </w:p>
    <w:p w14:paraId="3A4A908B" w14:textId="49F0C328" w:rsidR="00654094" w:rsidRPr="007C4C41" w:rsidRDefault="00855D76" w:rsidP="00565C37">
      <w:r w:rsidRPr="007C4C41">
        <w:t xml:space="preserve">To obtain the number of </w:t>
      </w:r>
      <w:r w:rsidR="001F041B" w:rsidRPr="007C4C41">
        <w:t>times each pair of MEPs supported the same bill</w:t>
      </w:r>
      <w:r w:rsidRPr="007C4C41">
        <w:t xml:space="preserve">, </w:t>
      </w:r>
      <w:r w:rsidR="008E5033" w:rsidRPr="007C4C41">
        <w:t xml:space="preserve">we constructed the </w:t>
      </w:r>
      <w:r w:rsidR="00747471" w:rsidRPr="00BF177D">
        <w:t>adjacency</w:t>
      </w:r>
      <w:r w:rsidR="008E5033" w:rsidRPr="007C4C41">
        <w:t xml:space="preserve"> matrix</w:t>
      </w:r>
      <w:r w:rsidR="00747471" w:rsidRPr="007C4C41">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oMath>
      <w:r w:rsidR="00BF4C93" w:rsidRPr="007C4C41">
        <w:t xml:space="preserve">associated with </w:t>
      </w:r>
      <w:r w:rsidR="00F672AC" w:rsidRPr="007C4C41">
        <w:t>a</w:t>
      </w:r>
      <w:r w:rsidR="00F70F5F" w:rsidRPr="007C4C41">
        <w:t xml:space="preserve"> </w:t>
      </w:r>
      <w:r w:rsidR="00F672AC" w:rsidRPr="007C4C41">
        <w:t>weighted graph, usually called bipartite projection</w:t>
      </w:r>
      <w:r w:rsidR="00BF177D">
        <w:t xml:space="preserve">. An adjacency matrix is a matrix with the same number of rows and columns </w:t>
      </w:r>
      <w:r w:rsidR="00BF177D">
        <w:lastRenderedPageBreak/>
        <w:t>indicating the weight of the edges between nodes in a single-mode network.</w:t>
      </w:r>
      <w:r w:rsidR="00C4227F" w:rsidRPr="007C4C41">
        <w:t xml:space="preserve"> </w:t>
      </w:r>
      <w:r w:rsidR="00BF177D">
        <w:t>Here</w:t>
      </w:r>
      <w:r w:rsidR="00C4227F" w:rsidRPr="007C4C41">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C4227F" w:rsidRPr="007C4C41">
        <w:t xml:space="preserve"> </w:t>
      </w:r>
      <w:r w:rsidR="0054305B" w:rsidRPr="007C4C41">
        <w:t>represents</w:t>
      </w:r>
      <w:r w:rsidR="00C4227F" w:rsidRPr="007C4C41">
        <w:t xml:space="preserve"> the number of times MEP </w:t>
      </w:r>
      <m:oMath>
        <m:r>
          <w:rPr>
            <w:rFonts w:ascii="Cambria Math" w:hAnsi="Cambria Math"/>
          </w:rPr>
          <m:t>i</m:t>
        </m:r>
      </m:oMath>
      <w:r w:rsidR="00C4227F" w:rsidRPr="007C4C41">
        <w:t xml:space="preserve"> and </w:t>
      </w:r>
      <w:r w:rsidR="00812009" w:rsidRPr="007C4C41">
        <w:t xml:space="preserve">MEP </w:t>
      </w:r>
      <m:oMath>
        <m:r>
          <w:rPr>
            <w:rFonts w:ascii="Cambria Math" w:hAnsi="Cambria Math"/>
          </w:rPr>
          <m:t>j</m:t>
        </m:r>
      </m:oMath>
      <w:r w:rsidR="00C4227F" w:rsidRPr="007C4C41">
        <w:t xml:space="preserve"> supported the same bill</w:t>
      </w:r>
      <w:r w:rsidR="00F672AC" w:rsidRPr="007C4C41">
        <w:t>.</w:t>
      </w:r>
      <w:r w:rsidR="007B789C" w:rsidRPr="007C4C41">
        <w:t xml:space="preserve"> The diagonal </w:t>
      </w:r>
      <w:r w:rsidR="00947AA0" w:rsidRPr="007C4C41">
        <w:t xml:space="preserve">elements </w:t>
      </w:r>
      <w:r w:rsidR="007B789C" w:rsidRPr="007C4C41">
        <w:t xml:space="preserve">of matrix </w:t>
      </w:r>
      <m:oMath>
        <m:r>
          <w:rPr>
            <w:rFonts w:ascii="Cambria Math" w:hAnsi="Cambria Math"/>
          </w:rPr>
          <m:t>P</m:t>
        </m:r>
      </m:oMath>
      <w:r w:rsidR="00C85182" w:rsidRPr="007C4C41">
        <w:t xml:space="preserve"> </w:t>
      </w:r>
      <w:r w:rsidR="00947AA0" w:rsidRPr="007C4C41">
        <w:t xml:space="preserve">indicate </w:t>
      </w:r>
      <w:r w:rsidR="00E711FF" w:rsidRPr="007C4C41">
        <w:t>the total number of votes cast by each MEP</w:t>
      </w:r>
      <w:r w:rsidR="00C85182" w:rsidRPr="007C4C41">
        <w:t>.</w:t>
      </w:r>
      <w:r w:rsidR="00565C37" w:rsidRPr="007C4C41">
        <w:t xml:space="preserve"> </w:t>
      </w:r>
    </w:p>
    <w:p w14:paraId="0E16D1C2" w14:textId="4E6BD5EE" w:rsidR="00282266" w:rsidRPr="007C4C41" w:rsidRDefault="009A7A66" w:rsidP="00B52170">
      <w:r w:rsidRPr="007C4C41">
        <w:t>Since we are interested in the most relevant edges, it is beneficial to reduce the information given by the bipartite projection (which is weighted) into an unweighted subgraph. This subgraph</w:t>
      </w:r>
      <w:r w:rsidR="00B16CE6" w:rsidRPr="007C4C41">
        <w:t xml:space="preserve"> </w:t>
      </w:r>
      <m:oMath>
        <m:r>
          <w:rPr>
            <w:rFonts w:ascii="Cambria Math" w:hAnsi="Cambria Math"/>
          </w:rPr>
          <m:t>P'</m:t>
        </m:r>
      </m:oMath>
      <w:r w:rsidRPr="007C4C41">
        <w:t xml:space="preserve"> is typically denoted by the backbone</w:t>
      </w:r>
      <w:r w:rsidR="00B16CE6" w:rsidRPr="007C4C41">
        <w:t xml:space="preserve"> of </w:t>
      </w:r>
      <m:oMath>
        <m:r>
          <w:rPr>
            <w:rFonts w:ascii="Cambria Math" w:hAnsi="Cambria Math"/>
          </w:rPr>
          <m:t>P</m:t>
        </m:r>
      </m:oMath>
      <w:r w:rsidR="00F524FB" w:rsidRPr="007C4C41">
        <w:t>.</w:t>
      </w:r>
    </w:p>
    <w:p w14:paraId="5994BECB" w14:textId="5C271809" w:rsidR="001A7835" w:rsidRPr="007C4C41" w:rsidRDefault="005C21B5" w:rsidP="00B52170">
      <w:r w:rsidRPr="007C4C41">
        <w:t xml:space="preserve">The SDSM </w:t>
      </w:r>
      <w:r w:rsidR="002C652A" w:rsidRPr="007C4C41">
        <w:t>constrains</w:t>
      </w:r>
      <w:r w:rsidR="00DA544A" w:rsidRPr="007C4C41">
        <w:t xml:space="preserve"> the expected row and column sums of the random bipartite graph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DA544A" w:rsidRPr="007C4C41">
        <w:t xml:space="preserve"> to ma</w:t>
      </w:r>
      <w:r w:rsidR="00476F70">
        <w:t>t</w:t>
      </w:r>
      <w:r w:rsidR="00DA544A" w:rsidRPr="007C4C41">
        <w:t xml:space="preserve">ch those of the bipartite graph </w:t>
      </w:r>
      <m:oMath>
        <m:r>
          <w:rPr>
            <w:rFonts w:ascii="Cambria Math" w:hAnsi="Cambria Math"/>
          </w:rPr>
          <m:t>B</m:t>
        </m:r>
      </m:oMath>
      <w:r w:rsidR="00DA544A" w:rsidRPr="007C4C41">
        <w:t>.</w:t>
      </w:r>
      <w:r w:rsidR="002C652A" w:rsidRPr="007C4C41">
        <w:t xml:space="preserve"> </w:t>
      </w:r>
      <w:r w:rsidR="004C28E0" w:rsidRPr="007C4C41">
        <w:t xml:space="preserve">Since </w:t>
      </w:r>
      <m:oMath>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oMath>
      <w:r w:rsidR="004C28E0" w:rsidRPr="007C4C41">
        <w:t xml:space="preserve"> is a Bernoulli random variable taking values of 1 or 0, </w:t>
      </w:r>
      <w:r w:rsidR="00E614A8" w:rsidRPr="007C4C41">
        <w:t>the sum of independent Bernoulli trials that aren’t necessarily identically distributed is a Poisson Binomial distribution</w:t>
      </w:r>
      <w:r w:rsidR="00B01478" w:rsidRPr="007C4C41">
        <w:t xml:space="preserve">, this means that the distribution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B</m:t>
                        </m:r>
                      </m:e>
                      <m:sup>
                        <m:r>
                          <w:rPr>
                            <w:rFonts w:ascii="Cambria Math" w:hAnsi="Cambria Math"/>
                          </w:rPr>
                          <m:t>*</m:t>
                        </m:r>
                      </m:sup>
                    </m:sSup>
                  </m:e>
                  <m:sup>
                    <m:r>
                      <w:rPr>
                        <w:rFonts w:ascii="Cambria Math" w:hAnsi="Cambria Math"/>
                      </w:rPr>
                      <m:t>T</m:t>
                    </m:r>
                  </m:sup>
                </m:sSup>
              </m:e>
            </m:d>
          </m:e>
          <m:sub>
            <m:r>
              <w:rPr>
                <w:rFonts w:ascii="Cambria Math" w:hAnsi="Cambria Math"/>
              </w:rPr>
              <m:t>ij</m:t>
            </m:r>
          </m:sub>
        </m:sSub>
      </m:oMath>
      <w:r w:rsidR="00CE1F85" w:rsidRPr="007C4C41">
        <w:t xml:space="preserve"> for all</w:t>
      </w:r>
      <w:r w:rsidR="00992DDB" w:rsidRPr="007C4C41">
        <w:t xml:space="preserve"> pair of MEPs</w:t>
      </w:r>
      <w:r w:rsidR="00CE1F85" w:rsidRPr="007C4C41">
        <w:t xml:space="preserve"> </w:t>
      </w:r>
      <m:oMath>
        <m:r>
          <w:rPr>
            <w:rFonts w:ascii="Cambria Math" w:hAnsi="Cambria Math"/>
          </w:rPr>
          <m:t>ij</m:t>
        </m:r>
      </m:oMath>
      <w:r w:rsidR="00CE1F85" w:rsidRPr="007C4C41">
        <w:t xml:space="preserve"> is also a Poisson Binomial distribution.</w:t>
      </w:r>
      <w:r w:rsidR="004F2C4B" w:rsidRPr="007C4C41">
        <w:t xml:space="preserve"> This distribution consists of modelling </w:t>
      </w:r>
      <w:r w:rsidR="004A3A1C" w:rsidRPr="007C4C41">
        <w:t xml:space="preserve">the probability of obtaining </w:t>
      </w:r>
      <m:oMath>
        <m:r>
          <w:rPr>
            <w:rFonts w:ascii="Cambria Math" w:hAnsi="Cambria Math"/>
          </w:rPr>
          <m:t>k</m:t>
        </m:r>
      </m:oMath>
      <w:r w:rsidR="004A3A1C" w:rsidRPr="007C4C41">
        <w:t xml:space="preserve"> successes in </w:t>
      </w:r>
      <m:oMath>
        <m:r>
          <w:rPr>
            <w:rFonts w:ascii="Cambria Math" w:hAnsi="Cambria Math"/>
          </w:rPr>
          <m:t>n</m:t>
        </m:r>
      </m:oMath>
      <w:r w:rsidR="004A3A1C" w:rsidRPr="007C4C41">
        <w:t xml:space="preserve"> trials.</w:t>
      </w:r>
      <w:r w:rsidR="00E36636" w:rsidRPr="007C4C41">
        <w:t xml:space="preserve"> </w:t>
      </w:r>
      <w:r w:rsidR="00ED4D23" w:rsidRPr="007C4C41">
        <w:t>In this case, the parameters of the Bernoulli random variables have a different probability of success</w:t>
      </w:r>
      <w:r w:rsidR="003D1CBF" w:rsidRPr="007C4C41">
        <w:t xml:space="preserve">, namely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oMath>
      <w:r w:rsidR="00A47166" w:rsidRPr="007C4C41">
        <w:t xml:space="preserve"> which using the </w:t>
      </w:r>
      <w:r w:rsidR="000E12B7">
        <w:t xml:space="preserve"> Bipartite Configuration Model (</w:t>
      </w:r>
      <w:r w:rsidR="00A47166" w:rsidRPr="007C4C41">
        <w:t>BiCM</w:t>
      </w:r>
      <w:r w:rsidR="000E12B7">
        <w:t>)</w:t>
      </w:r>
      <w:r w:rsidR="00A47166" w:rsidRPr="007C4C41">
        <w:t xml:space="preserve"> </w:t>
      </w:r>
      <w:r w:rsidR="003935EE" w:rsidRPr="007C4C41">
        <w:t>is computed as:</w:t>
      </w:r>
    </w:p>
    <w:p w14:paraId="2E1B7325" w14:textId="23F4E79C" w:rsidR="00EC7244" w:rsidRPr="007C4C41" w:rsidRDefault="00ED0703" w:rsidP="00ED0703">
      <w:r w:rsidRPr="007C4C41">
        <w:t xml:space="preserve">                                                 </w:t>
      </w:r>
      <w:r w:rsidR="001A7835" w:rsidRPr="007C4C41">
        <w:t xml:space="preserve">    </w:t>
      </w:r>
      <w:r w:rsidRPr="007C4C41">
        <w:t xml:space="preserve">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1+ 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en>
        </m:f>
      </m:oMath>
      <w:r w:rsidRPr="007C4C41">
        <w:t xml:space="preserve">                                                                     (3.1)</w:t>
      </w:r>
    </w:p>
    <w:p w14:paraId="605BC0F0" w14:textId="49E31A52" w:rsidR="00DB7056" w:rsidRDefault="00A564DF" w:rsidP="00EC7244">
      <w:r w:rsidRPr="007C4C41">
        <w:t xml:space="preserve">One way to perform </w:t>
      </w:r>
      <w:r w:rsidR="00464AA6" w:rsidRPr="007C4C41">
        <w:t xml:space="preserve">the </w:t>
      </w:r>
      <w:r w:rsidRPr="007C4C41">
        <w:t>backbone extraction is the statistical approach</w:t>
      </w:r>
      <w:r w:rsidR="00DE4948">
        <w:t>,</w:t>
      </w:r>
      <w:r w:rsidR="00190581" w:rsidRPr="007C4C41">
        <w:t xml:space="preserve"> which consists of</w:t>
      </w:r>
      <w:r w:rsidR="000015FA" w:rsidRPr="007C4C41">
        <w:t xml:space="preserve"> assuming a given null model </w:t>
      </w:r>
      <w:r w:rsidR="00FE72DF" w:rsidRPr="007C4C41">
        <w:t>for the distribution</w:t>
      </w:r>
      <w:r w:rsidR="00C407BB" w:rsidRPr="007C4C41">
        <w:t xml:space="preserve"> of the edge’s weight</w:t>
      </w:r>
      <w:r w:rsidR="002A2B4A" w:rsidRPr="007C4C41">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rsidR="00290BCF" w:rsidRPr="007C4C41">
        <w:t xml:space="preserve"> which in our case is a Poisson Binomial distribution</w:t>
      </w:r>
      <w:r w:rsidR="00C407BB" w:rsidRPr="007C4C41">
        <w:t>.</w:t>
      </w:r>
      <w:r w:rsidR="00B96BCB" w:rsidRPr="007C4C41">
        <w:t xml:space="preserve"> </w:t>
      </w:r>
    </w:p>
    <w:p w14:paraId="7B907605" w14:textId="5F9DFC3C" w:rsidR="00EC7244" w:rsidRPr="007C4C41" w:rsidRDefault="00B96BCB" w:rsidP="00EC7244">
      <w:r w:rsidRPr="007C4C41">
        <w:t xml:space="preserve">The </w:t>
      </w:r>
      <w:r w:rsidR="003D56C2" w:rsidRPr="007C4C41">
        <w:t>next</w:t>
      </w:r>
      <w:r w:rsidRPr="007C4C41">
        <w:t xml:space="preserve"> step </w:t>
      </w:r>
      <w:r w:rsidR="0064289F" w:rsidRPr="007C4C41">
        <w:t>is to compute</w:t>
      </w:r>
      <w:r w:rsidR="009F6863" w:rsidRPr="007C4C41">
        <w:t xml:space="preserve"> th</w:t>
      </w:r>
      <w:r w:rsidR="0064289F" w:rsidRPr="007C4C41">
        <w:t xml:space="preserve">e following probability: </w:t>
      </w:r>
      <m:oMath>
        <m:r>
          <w:rPr>
            <w:rFonts w:ascii="Cambria Math" w:hAnsi="Cambria Math"/>
          </w:rPr>
          <m:t>P(</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rsidR="00ED7265" w:rsidRPr="007C4C41">
        <w:t xml:space="preserve"> and compare it with </w:t>
      </w:r>
      <m:oMath>
        <m:f>
          <m:fPr>
            <m:ctrlPr>
              <w:rPr>
                <w:rFonts w:ascii="Cambria Math" w:hAnsi="Cambria Math"/>
                <w:i/>
              </w:rPr>
            </m:ctrlPr>
          </m:fPr>
          <m:num>
            <m:r>
              <w:rPr>
                <w:rFonts w:ascii="Cambria Math" w:hAnsi="Cambria Math"/>
              </w:rPr>
              <m:t>α</m:t>
            </m:r>
          </m:num>
          <m:den>
            <m:r>
              <w:rPr>
                <w:rFonts w:ascii="Cambria Math" w:hAnsi="Cambria Math"/>
              </w:rPr>
              <m:t>2</m:t>
            </m:r>
          </m:den>
        </m:f>
      </m:oMath>
      <w:r w:rsidR="00770BE9" w:rsidRPr="007C4C41">
        <w:t>.</w:t>
      </w:r>
      <w:r w:rsidR="00240577" w:rsidRPr="007C4C41">
        <w:t xml:space="preserve"> More specifically, we will keep the connections between MEP </w:t>
      </w:r>
      <m:oMath>
        <m:r>
          <w:rPr>
            <w:rFonts w:ascii="Cambria Math" w:hAnsi="Cambria Math"/>
          </w:rPr>
          <m:t>i</m:t>
        </m:r>
      </m:oMath>
      <w:r w:rsidR="00240577" w:rsidRPr="007C4C41">
        <w:t xml:space="preserve"> and MEP </w:t>
      </w:r>
      <m:oMath>
        <m:r>
          <w:rPr>
            <w:rFonts w:ascii="Cambria Math" w:hAnsi="Cambria Math"/>
          </w:rPr>
          <m:t>j</m:t>
        </m:r>
      </m:oMath>
      <w:r w:rsidR="00240577" w:rsidRPr="007C4C41">
        <w:t xml:space="preserve"> if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oMath>
      <w:r w:rsidR="00240577" w:rsidRPr="007C4C41">
        <w:t>.</w:t>
      </w:r>
      <w:r w:rsidR="00320810" w:rsidRPr="007C4C41">
        <w:t xml:space="preserve"> Through this approach</w:t>
      </w:r>
      <w:r w:rsidR="00D03047">
        <w:t>,</w:t>
      </w:r>
      <w:r w:rsidR="00320810" w:rsidRPr="007C4C41">
        <w:t xml:space="preserve"> we can obtain the subgraph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6064" w:rsidRPr="007C4C41">
        <w:t xml:space="preserve"> using</w:t>
      </w:r>
      <w:r w:rsidR="00FB488E" w:rsidRPr="007C4C41">
        <w:t>:</w:t>
      </w:r>
    </w:p>
    <w:p w14:paraId="5D901BD0" w14:textId="702D3EDA" w:rsidR="00FB488E" w:rsidRPr="007C4C41" w:rsidRDefault="003B74F5" w:rsidP="00EC7244">
      <w:r w:rsidRPr="007C4C41">
        <w:t xml:space="preserve">                                                     </w:t>
      </w:r>
      <w:r w:rsidR="00B27F05" w:rsidRPr="007C4C41">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e>
              <m:e>
                <m:r>
                  <w:rPr>
                    <w:rFonts w:ascii="Cambria Math" w:hAnsi="Cambria Math"/>
                  </w:rPr>
                  <m:t>0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 </m:t>
                </m:r>
                <m:f>
                  <m:fPr>
                    <m:ctrlPr>
                      <w:rPr>
                        <w:rFonts w:ascii="Cambria Math" w:hAnsi="Cambria Math"/>
                        <w:i/>
                      </w:rPr>
                    </m:ctrlPr>
                  </m:fPr>
                  <m:num>
                    <m:r>
                      <w:rPr>
                        <w:rFonts w:ascii="Cambria Math" w:hAnsi="Cambria Math"/>
                      </w:rPr>
                      <m:t>α</m:t>
                    </m:r>
                  </m:num>
                  <m:den>
                    <m:r>
                      <w:rPr>
                        <w:rFonts w:ascii="Cambria Math" w:hAnsi="Cambria Math"/>
                      </w:rPr>
                      <m:t>2</m:t>
                    </m:r>
                  </m:den>
                </m:f>
              </m:e>
            </m:eqArr>
          </m:e>
        </m:d>
      </m:oMath>
      <w:r w:rsidRPr="007C4C41">
        <w:t xml:space="preserve">                                               (3.2)            </w:t>
      </w:r>
    </w:p>
    <w:p w14:paraId="76EB2EAB" w14:textId="0FCCCE31" w:rsidR="00EF543F" w:rsidRDefault="00C465B1" w:rsidP="00CC712E">
      <w:r w:rsidRPr="007C4C41">
        <w:t xml:space="preserve">In our case, we set the significance level </w:t>
      </w:r>
      <m:oMath>
        <m:r>
          <w:rPr>
            <w:rFonts w:ascii="Cambria Math" w:hAnsi="Cambria Math"/>
          </w:rPr>
          <m:t>α</m:t>
        </m:r>
      </m:oMath>
      <w:r w:rsidRPr="007C4C41">
        <w:t xml:space="preserve"> to 0.01.</w:t>
      </w:r>
      <w:r w:rsidR="00D93242" w:rsidRPr="007C4C41">
        <w:t xml:space="preserve"> We used the R package backbone for all computations involving the SDSM.</w:t>
      </w:r>
      <w:r w:rsidR="00831F26" w:rsidRPr="007C4C41">
        <w:t xml:space="preserve"> </w:t>
      </w:r>
      <w:r w:rsidR="007D58D5" w:rsidRPr="007D58D5">
        <w:t xml:space="preserve">We began by applying </w:t>
      </w:r>
      <w:r w:rsidR="007D58D5">
        <w:t>the</w:t>
      </w:r>
      <w:r w:rsidR="007D58D5" w:rsidRPr="007D58D5">
        <w:t xml:space="preserve"> co-voting network construction method to </w:t>
      </w:r>
      <w:r w:rsidR="00D03047">
        <w:t>all subjects</w:t>
      </w:r>
      <w:r w:rsidR="007D58D5"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2B5A7101" w:rsidR="00F30A9D" w:rsidRPr="007C4C41" w:rsidRDefault="005957B8" w:rsidP="00F30A9D">
      <w:r>
        <w:lastRenderedPageBreak/>
        <w:t>Figure 4.</w:t>
      </w:r>
      <w:r w:rsidR="00121854">
        <w:t>9</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2FBCB6B4">
            <wp:extent cx="5759450" cy="2287270"/>
            <wp:effectExtent l="0" t="0" r="0" b="0"/>
            <wp:docPr id="630721520" name="Imagem 2" descr="Uma imagem com diagrama, texto, file,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descr="Uma imagem com diagrama, texto, file, Esquem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07A91D33" w14:textId="2E6897D7" w:rsidR="002B7301" w:rsidRDefault="005B4D1F" w:rsidP="00745F49">
      <w:pPr>
        <w:pStyle w:val="Caption"/>
      </w:pPr>
      <w:bookmarkStart w:id="46" w:name="_Toc195986377"/>
      <w:r>
        <w:t xml:space="preserve">Figure </w:t>
      </w:r>
      <w:r w:rsidR="00506979">
        <w:fldChar w:fldCharType="begin"/>
      </w:r>
      <w:r w:rsidR="00506979">
        <w:instrText xml:space="preserve"> STYLEREF 1 \s </w:instrText>
      </w:r>
      <w:r w:rsidR="00506979">
        <w:fldChar w:fldCharType="separate"/>
      </w:r>
      <w:r w:rsidR="00ED6021">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ED6021">
        <w:rPr>
          <w:noProof/>
        </w:rPr>
        <w:t>9</w:t>
      </w:r>
      <w:r w:rsidR="00506979">
        <w:fldChar w:fldCharType="end"/>
      </w:r>
      <w:r>
        <w:t xml:space="preserve"> – Methodology to obtain the relevant voting communities</w:t>
      </w:r>
      <w:bookmarkEnd w:id="46"/>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1D1CD158" w14:textId="4E8EEFB9" w:rsidR="00AA40E2" w:rsidRPr="007C4C41" w:rsidRDefault="00AA40E2" w:rsidP="00CC712E">
      <w:r w:rsidRPr="007C4C41">
        <w:t xml:space="preserve">During this process, we observed that the primary subject </w:t>
      </w:r>
      <w:r w:rsidR="007C7FB1">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p>
    <w:p w14:paraId="59C0B6D4" w14:textId="39C44B51" w:rsidR="00CB768D" w:rsidRDefault="00AA40E2" w:rsidP="00BF177D">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optimal modularity, group modularity, nationality modularity, group assortativity, nationality assortativity, average clustering coefficient, network density, percentage of remaining nodes, total detected communities</w:t>
      </w:r>
      <w:r w:rsidR="002F6892">
        <w:t>,</w:t>
      </w:r>
      <w:r w:rsidR="009E280D" w:rsidRPr="009E280D">
        <w:t xml:space="preserve"> and total relevant communities.</w:t>
      </w:r>
    </w:p>
    <w:p w14:paraId="3BC5803F" w14:textId="0545C194" w:rsidR="00825334" w:rsidRDefault="00845AF4" w:rsidP="00BF177D">
      <w:r>
        <w:t>The optimal, group</w:t>
      </w:r>
      <w:r w:rsidR="00FC1C8A">
        <w:t>,</w:t>
      </w:r>
      <w:r>
        <w:t xml:space="preserve"> and nationality modularity were computed </w:t>
      </w:r>
      <w:r w:rsidR="009D3F64">
        <w:t xml:space="preserve">using </w:t>
      </w:r>
      <w:r>
        <w:t xml:space="preserve">formula (3.3),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3BF44A75" w:rsidR="00F3650F" w:rsidRDefault="00F3650F" w:rsidP="00BF177D">
      <w:r>
        <w:lastRenderedPageBreak/>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(3.3)</w:t>
      </w:r>
    </w:p>
    <w:p w14:paraId="5FC015EE" w14:textId="27287A07" w:rsidR="00C3405E" w:rsidRDefault="004C7FE8" w:rsidP="00BF177D">
      <w:r>
        <w:t xml:space="preserve">The group and nationality assortativities were computed using formula (3.4),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53D50E3F"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(3.4)</w:t>
      </w:r>
    </w:p>
    <w:p w14:paraId="4F68C1ED" w14:textId="3D595959" w:rsidR="00BC4CE5" w:rsidRDefault="00BC4CE5" w:rsidP="00BF177D">
      <w:r>
        <w:t xml:space="preserve">The average clustering coefficient was computed according to formula (3.5),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F8663BB"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(3.5)</w:t>
      </w:r>
    </w:p>
    <w:p w14:paraId="609667B6" w14:textId="2010D693" w:rsidR="00F37813" w:rsidRDefault="00527A7F" w:rsidP="00BF177D">
      <w:r>
        <w:t xml:space="preserve">The network density </w:t>
      </w:r>
      <w:r w:rsidRPr="006139D0">
        <w:t>measures the proportion of possible connections (co-voting relationships) that exist in the network</w:t>
      </w:r>
      <w:r w:rsidR="00522015">
        <w:t>, according to formula (3.6)</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7B9D5479"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(3.6)</w:t>
      </w:r>
    </w:p>
    <w:p w14:paraId="7718B7B5" w14:textId="49E5D600"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according to formula (3.7).</w:t>
      </w:r>
    </w:p>
    <w:p w14:paraId="372491E6" w14:textId="524BA421"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(3.7)</w:t>
      </w:r>
    </w:p>
    <w:p w14:paraId="06EC3F87" w14:textId="3B442584" w:rsidR="00384A06" w:rsidRDefault="00384A06" w:rsidP="00BF177D">
      <w:r>
        <w:t xml:space="preserve">The total detected communities measures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The total relevant communities represents the network</w:t>
      </w:r>
      <w:r w:rsidR="00E6600F">
        <w:t>’</w:t>
      </w:r>
      <w:r>
        <w:t>s total number of relevant communities following the methodology.</w:t>
      </w:r>
    </w:p>
    <w:p w14:paraId="5485D284" w14:textId="5F4774B2" w:rsidR="00056E89" w:rsidRPr="007C4C41" w:rsidRDefault="00D9034D" w:rsidP="00056E89">
      <w:pPr>
        <w:pStyle w:val="Heading1"/>
      </w:pPr>
      <w:bookmarkStart w:id="47" w:name="_Toc195986360"/>
      <w:bookmarkStart w:id="48" w:name="_Toc195238892"/>
      <w:bookmarkStart w:id="49" w:name="_Toc410990274"/>
      <w:bookmarkStart w:id="50" w:name="_Toc410990286"/>
      <w:bookmarkStart w:id="51" w:name="_Toc412186399"/>
      <w:bookmarkStart w:id="52" w:name="_Toc412186504"/>
      <w:bookmarkStart w:id="53" w:name="_Toc412186529"/>
      <w:bookmarkStart w:id="54" w:name="_Toc412186600"/>
      <w:bookmarkStart w:id="55" w:name="_Toc412186630"/>
      <w:bookmarkStart w:id="56" w:name="_Toc115296808"/>
      <w:bookmarkStart w:id="57" w:name="_Toc144288766"/>
      <w:bookmarkStart w:id="58" w:name="_Toc144289844"/>
      <w:bookmarkStart w:id="59" w:name="_Toc146516593"/>
      <w:bookmarkStart w:id="60" w:name="_Toc146547690"/>
      <w:r>
        <w:lastRenderedPageBreak/>
        <w:t>R</w:t>
      </w:r>
      <w:r w:rsidR="00056E89">
        <w:t>esults and discussion</w:t>
      </w:r>
      <w:bookmarkEnd w:id="47"/>
    </w:p>
    <w:bookmarkEnd w:id="48"/>
    <w:bookmarkEnd w:id="49"/>
    <w:bookmarkEnd w:id="50"/>
    <w:bookmarkEnd w:id="51"/>
    <w:bookmarkEnd w:id="52"/>
    <w:bookmarkEnd w:id="53"/>
    <w:bookmarkEnd w:id="54"/>
    <w:bookmarkEnd w:id="55"/>
    <w:bookmarkEnd w:id="56"/>
    <w:bookmarkEnd w:id="57"/>
    <w:bookmarkEnd w:id="58"/>
    <w:bookmarkEnd w:id="59"/>
    <w:bookmarkEnd w:id="60"/>
    <w:p w14:paraId="76676C2D" w14:textId="2A808820" w:rsidR="00514B85" w:rsidRDefault="00E25FDD" w:rsidP="00527A7F">
      <w:pPr>
        <w:pStyle w:val="Listanumerada1"/>
        <w:numPr>
          <w:ilvl w:val="0"/>
          <w:numId w:val="0"/>
        </w:numPr>
        <w:spacing w:after="200" w:line="276" w:lineRule="auto"/>
        <w:contextualSpacing w:val="0"/>
      </w:pPr>
      <w:r w:rsidRPr="00E25FDD">
        <w:t xml:space="preserve">This chapter presents our findings on political (multi)polarization in the EP’s </w:t>
      </w:r>
      <w:r w:rsidR="002F29C6">
        <w:t>9</w:t>
      </w:r>
      <w:r w:rsidR="002F29C6" w:rsidRPr="002F29C6">
        <w:rPr>
          <w:vertAlign w:val="superscript"/>
        </w:rPr>
        <w:t>th</w:t>
      </w:r>
      <w:r w:rsidR="002F29C6">
        <w:t xml:space="preserve"> </w:t>
      </w:r>
      <w:r w:rsidRPr="00E25FDD">
        <w:t>term (2019-2024), focusing on how ideological divides, national interests, and European integration stances shape voting behavior. We address the research question</w:t>
      </w:r>
      <w:r w:rsidR="00FD0A3D">
        <w:t xml:space="preserve">: </w:t>
      </w:r>
      <w:r w:rsidR="006217CB">
        <w:t>h</w:t>
      </w:r>
      <w:r w:rsidR="00C800CF" w:rsidRPr="007C4C41">
        <w:t xml:space="preserve">ow has political (multi)polarization </w:t>
      </w:r>
      <w:r w:rsidR="00394FFC">
        <w:t xml:space="preserve">within the EP </w:t>
      </w:r>
      <w:r w:rsidR="00C800CF" w:rsidRPr="007C4C41">
        <w:t>been characterized over the past five years</w:t>
      </w:r>
      <w:r w:rsidR="00E600C6">
        <w:t>?</w:t>
      </w:r>
      <w:r w:rsidR="00E66A53">
        <w:t xml:space="preserve"> </w:t>
      </w:r>
      <w:r w:rsidR="00ED5995">
        <w:t>B</w:t>
      </w:r>
      <w:r w:rsidRPr="00E25FDD">
        <w:t xml:space="preserve">y examining co-voting patterns among MEPs, highlighting synergies and antagonisms between political groups, and showing how (multi)polarization fluctuates across </w:t>
      </w:r>
      <w:r w:rsidR="004D7572">
        <w:t xml:space="preserve">all </w:t>
      </w:r>
      <w:r w:rsidR="00805FD2">
        <w:t>subjects</w:t>
      </w:r>
      <w:r w:rsidRPr="00E25FDD">
        <w:t xml:space="preserve"> and within the various primary and secondary legislative subjects. </w:t>
      </w:r>
    </w:p>
    <w:p w14:paraId="10662FA8" w14:textId="79FBFE10" w:rsidR="0002370A" w:rsidRPr="0002370A" w:rsidRDefault="0002370A" w:rsidP="00535A24">
      <w:r w:rsidRPr="0002370A">
        <w:t>We begin th</w:t>
      </w:r>
      <w:r w:rsidR="000020BD">
        <w:t>is chapter</w:t>
      </w:r>
      <w:r w:rsidRPr="0002370A">
        <w:t xml:space="preserve"> by analyzing the </w:t>
      </w:r>
      <w:r w:rsidR="000279D5">
        <w:t xml:space="preserve">obtained </w:t>
      </w:r>
      <w:r w:rsidRPr="0002370A">
        <w:t>voting communities, which can be seen in Figure 5.1</w:t>
      </w:r>
      <w:r w:rsidR="00FE6FA3">
        <w:t xml:space="preserve"> (matri</w:t>
      </w:r>
      <w:r w:rsidR="0063007B">
        <w:t>ces</w:t>
      </w:r>
      <w:r w:rsidR="00FE6FA3">
        <w:t>) and in Figure 5.2 (co-voting networks)</w:t>
      </w:r>
      <w:r w:rsidRPr="0002370A">
        <w:t>.</w:t>
      </w:r>
    </w:p>
    <w:p w14:paraId="0DBDEC60" w14:textId="309B3D72" w:rsidR="00C2042D" w:rsidRDefault="0002370A" w:rsidP="0002370A">
      <w:pPr>
        <w:jc w:val="center"/>
      </w:pPr>
      <w:r w:rsidRPr="00C2042D">
        <w:rPr>
          <w:noProof/>
        </w:rPr>
        <w:drawing>
          <wp:inline distT="0" distB="0" distL="0" distR="0" wp14:anchorId="4E91024C" wp14:editId="668A161F">
            <wp:extent cx="4536000" cy="5826282"/>
            <wp:effectExtent l="19050" t="19050" r="17145" b="22225"/>
            <wp:docPr id="43782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000" cy="5826282"/>
                    </a:xfrm>
                    <a:prstGeom prst="rect">
                      <a:avLst/>
                    </a:prstGeom>
                    <a:noFill/>
                    <a:ln>
                      <a:solidFill>
                        <a:schemeClr val="tx1"/>
                      </a:solidFill>
                    </a:ln>
                  </pic:spPr>
                </pic:pic>
              </a:graphicData>
            </a:graphic>
          </wp:inline>
        </w:drawing>
      </w:r>
    </w:p>
    <w:p w14:paraId="71A77602" w14:textId="3F7EC879" w:rsidR="0002370A" w:rsidRPr="000B6B22" w:rsidRDefault="0002370A" w:rsidP="0002370A">
      <w:pPr>
        <w:pStyle w:val="Caption"/>
      </w:pPr>
      <w:bookmarkStart w:id="61" w:name="_Toc195986378"/>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1</w:t>
      </w:r>
      <w:r>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61"/>
    </w:p>
    <w:p w14:paraId="4DE9CC85" w14:textId="3A2D7CEA" w:rsidR="00FE6FA3" w:rsidRDefault="00FE6FA3" w:rsidP="00FE6FA3">
      <w:pPr>
        <w:jc w:val="center"/>
        <w:rPr>
          <w:b/>
          <w:bCs/>
        </w:rPr>
      </w:pPr>
      <w:r w:rsidRPr="00C6043C">
        <w:rPr>
          <w:noProof/>
        </w:rPr>
        <w:lastRenderedPageBreak/>
        <w:drawing>
          <wp:inline distT="0" distB="0" distL="0" distR="0" wp14:anchorId="7E1DF5DF" wp14:editId="375FE89A">
            <wp:extent cx="5957473" cy="8426211"/>
            <wp:effectExtent l="19050" t="19050" r="24765" b="1333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695" cy="8454813"/>
                    </a:xfrm>
                    <a:prstGeom prst="rect">
                      <a:avLst/>
                    </a:prstGeom>
                    <a:noFill/>
                    <a:ln>
                      <a:solidFill>
                        <a:schemeClr val="tx1"/>
                      </a:solidFill>
                    </a:ln>
                  </pic:spPr>
                </pic:pic>
              </a:graphicData>
            </a:graphic>
          </wp:inline>
        </w:drawing>
      </w:r>
    </w:p>
    <w:p w14:paraId="365054BE" w14:textId="2BF77491" w:rsidR="00FE6FA3" w:rsidRDefault="00FE6FA3" w:rsidP="00FE6FA3">
      <w:pPr>
        <w:pStyle w:val="Caption"/>
        <w:rPr>
          <w:rFonts w:eastAsia="Calibri"/>
          <w:lang w:eastAsia="en-US"/>
        </w:rPr>
      </w:pPr>
      <w:bookmarkStart w:id="62" w:name="_Toc195986379"/>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2</w:t>
      </w:r>
      <w:r>
        <w:fldChar w:fldCharType="end"/>
      </w:r>
      <w:r>
        <w:t xml:space="preserve"> – Co-voting networks for </w:t>
      </w:r>
      <w:r w:rsidR="009A7F56">
        <w:t>all subjects a</w:t>
      </w:r>
      <w:r w:rsidR="00087E45">
        <w:t>nd</w:t>
      </w:r>
      <w:r>
        <w:t xml:space="preserve"> primary subjects</w:t>
      </w:r>
      <w:bookmarkEnd w:id="62"/>
    </w:p>
    <w:p w14:paraId="5137016B" w14:textId="5A7A9F5E" w:rsidR="00C2042D" w:rsidRPr="00447538" w:rsidRDefault="0002370A" w:rsidP="0002370A">
      <w:r w:rsidRPr="0047186F">
        <w:lastRenderedPageBreak/>
        <w:t>F</w:t>
      </w:r>
      <w:r w:rsidR="00C2042D" w:rsidRPr="0047186F">
        <w:t>or all subjects</w:t>
      </w:r>
      <w:r w:rsidR="00C2042D">
        <w:t xml:space="preserve">, </w:t>
      </w:r>
      <w:r>
        <w:t xml:space="preserve">we can observe that </w:t>
      </w:r>
      <w:r w:rsidR="00C2042D" w:rsidRPr="000931A5">
        <w:t>community 0 is heavily dominated by the EPP with a notable presence of Renew</w:t>
      </w:r>
      <w:r w:rsidR="00C2042D">
        <w:t xml:space="preserve"> (Renew Europe)</w:t>
      </w:r>
      <w:r w:rsidR="00C2042D" w:rsidRPr="000931A5">
        <w:t>, indicating a strong pro-EU alignment.</w:t>
      </w:r>
      <w:r w:rsidR="00C2042D" w:rsidRPr="00FF068C">
        <w:t xml:space="preserve"> </w:t>
      </w:r>
      <w:r w:rsidR="00C2042D" w:rsidRPr="007C4C41">
        <w:t>Community 1</w:t>
      </w:r>
      <w:r w:rsidR="00C2042D">
        <w:t xml:space="preserve"> </w:t>
      </w:r>
      <w:r w:rsidR="00C2042D" w:rsidRPr="007C4C41">
        <w:t>is dominated by S&amp;D with a notable presence of Renew, signifying a distinct center-left-leaning bloc. Community 2 comprises ECR</w:t>
      </w:r>
      <w:r w:rsidR="006958DC">
        <w:t xml:space="preserve"> and ID</w:t>
      </w:r>
      <w:r w:rsidR="00C2042D" w:rsidRPr="007C4C41">
        <w:t>, showing a clear separation of far-right and Euros</w:t>
      </w:r>
      <w:r w:rsidR="00C2042D">
        <w:t>ce</w:t>
      </w:r>
      <w:r w:rsidR="00C2042D" w:rsidRPr="007C4C41">
        <w:t xml:space="preserve">ptic groups. Community 3 is composed of </w:t>
      </w:r>
      <w:r w:rsidR="00C2042D">
        <w:t>Greens</w:t>
      </w:r>
      <w:r w:rsidR="00C2042D" w:rsidRPr="007C4C41">
        <w:t>/EFA, The Left, and a minority of S&amp;D, forming a progressive, left-leaning coalition.</w:t>
      </w:r>
      <w:r w:rsidR="00187102">
        <w:t xml:space="preserve"> </w:t>
      </w:r>
      <w:r w:rsidR="00C2042D" w:rsidRPr="007C4C41">
        <w:t>The EPP and S&amp;D remain structurally separated, reinforcing the ideological divide between center-right and center-left.</w:t>
      </w:r>
      <w:r w:rsidR="00C2042D">
        <w:t xml:space="preserve"> </w:t>
      </w:r>
      <w:r w:rsidR="00C2042D" w:rsidRPr="007C4C41">
        <w:t>Renew is split between aligning with the center-left (S&amp;D) and the center-right (EPP), reflecting its ideological flexibility and centrist position in the EP.</w:t>
      </w:r>
      <w:r w:rsidR="00C2042D">
        <w:t xml:space="preserve"> </w:t>
      </w:r>
      <w:r w:rsidR="00C2042D" w:rsidRPr="007C4C41">
        <w:t>The Eurosceptic and far-right groups (ECR and ID) form an isolated community.</w:t>
      </w:r>
      <w:r w:rsidR="00C2042D">
        <w:t xml:space="preserve"> </w:t>
      </w:r>
      <w:r w:rsidR="00C2042D" w:rsidRPr="007C4C41">
        <w:t>Greens and GUE/NGL cluster together, suggesting subject alliances on environmental and social issues.</w:t>
      </w:r>
    </w:p>
    <w:p w14:paraId="7FDD7C92" w14:textId="7FE70B0B" w:rsidR="00C2042D" w:rsidRPr="007C4C41" w:rsidRDefault="00C2042D" w:rsidP="00C2042D">
      <w:r w:rsidRPr="007C4C41">
        <w:t xml:space="preserve">The voting network on </w:t>
      </w:r>
      <w:r w:rsidR="0047186F">
        <w:t>“</w:t>
      </w:r>
      <w:r w:rsidRPr="0047186F">
        <w:t>European citizenship</w:t>
      </w:r>
      <w:r w:rsidR="0047186F">
        <w:t>”</w:t>
      </w:r>
      <w:r w:rsidRPr="007C4C41">
        <w:t xml:space="preserve"> divides into four communities. Community 0 combines members of the EPP and S</w:t>
      </w:r>
      <w:r>
        <w:t>&amp;</w:t>
      </w:r>
      <w:r w:rsidRPr="007C4C41">
        <w:t>D, suggesting that these two major groups share significant common ground on citizenship-related issues. Meanwhile, Community 1 is exclusively composed of ID, indicating that MEPs from this group coalesce as a distinct bloc. Community 2 is entirely composed of ECR, reinforcing their cohesive internal alignment. Lastly, Community 3 is another cluster of EPP members, separate from the EPP faction in Community 0, which hints at a further internal split or nuance in the EPP’s stance on European citizenship.</w:t>
      </w:r>
    </w:p>
    <w:p w14:paraId="6F00EC7D" w14:textId="25EC032B" w:rsidR="00C2042D" w:rsidRPr="007C4C41" w:rsidRDefault="00C2042D" w:rsidP="00C2042D">
      <w:r w:rsidRPr="007C4C41">
        <w:t xml:space="preserve">Turning to the </w:t>
      </w:r>
      <w:r w:rsidR="00405039">
        <w:t>“</w:t>
      </w:r>
      <w:r w:rsidRPr="00405039">
        <w:t>Internal market, single market</w:t>
      </w:r>
      <w:r w:rsidR="00405039">
        <w:t>”</w:t>
      </w:r>
      <w:r w:rsidRPr="007C4C41">
        <w:t xml:space="preserve"> subject, there are four communities with varying mixes of political groups. Community 0 contains only </w:t>
      </w:r>
      <w:r>
        <w:t>Greens</w:t>
      </w:r>
      <w:r w:rsidRPr="007C4C41">
        <w:t>/EFA, pointing to a specialized environmental pro-sustainability position on market issues. Community 1 merges EPP, S</w:t>
      </w:r>
      <w:r>
        <w:t>&amp;</w:t>
      </w:r>
      <w:r w:rsidRPr="007C4C41">
        <w:t>D, and Renew, reflecting a broader, more centrist alliance that cooperates on trade, growth, and single market policies. Community 2 features ECR alone, suggesting that the conservative and reformist leanings remain tightly cohesive. Finally, Community 3 is made up of The Left, indicating a separate stance on market integration matters that differentiates them from the other blocs.</w:t>
      </w:r>
    </w:p>
    <w:p w14:paraId="117D7691" w14:textId="61DD0A4C" w:rsidR="00C2042D" w:rsidRPr="007C4C41" w:rsidRDefault="00C2042D" w:rsidP="00C2042D">
      <w:r w:rsidRPr="007C4C41">
        <w:t xml:space="preserve">For </w:t>
      </w:r>
      <w:r w:rsidR="0055769C">
        <w:t>“</w:t>
      </w:r>
      <w:r w:rsidRPr="0055769C">
        <w:t>Community policies</w:t>
      </w:r>
      <w:r w:rsidR="0055769C">
        <w:t>”</w:t>
      </w:r>
      <w:r w:rsidRPr="007C4C41">
        <w:t xml:space="preserve">, four major clusters emerge. Community 0 consists of EPP and Renew, forming a pro-integration </w:t>
      </w:r>
      <w:r>
        <w:t>and</w:t>
      </w:r>
      <w:r w:rsidRPr="007C4C41">
        <w:t xml:space="preserve"> centrist-oriented bloc. Community 1 unites The Left, S</w:t>
      </w:r>
      <w:r>
        <w:t>&amp;</w:t>
      </w:r>
      <w:r w:rsidRPr="007C4C41">
        <w:t xml:space="preserve">D, and </w:t>
      </w:r>
      <w:r>
        <w:t>Greens</w:t>
      </w:r>
      <w:r w:rsidRPr="007C4C41">
        <w:t xml:space="preserve">/EFA, representing a progressive axis spanning </w:t>
      </w:r>
      <w:r>
        <w:t>social democrats</w:t>
      </w:r>
      <w:r w:rsidRPr="007C4C41">
        <w:t>, leftists, and greens. Community 2 brings together ECR and ID, pointing to a Euros</w:t>
      </w:r>
      <w:r>
        <w:t>c</w:t>
      </w:r>
      <w:r w:rsidRPr="007C4C41">
        <w:t>eptic or conservative stance. Curiously, Community 3 includes another segment of S</w:t>
      </w:r>
      <w:r>
        <w:t>&amp;</w:t>
      </w:r>
      <w:r w:rsidRPr="007C4C41">
        <w:t xml:space="preserve">D, indicating some internal divergence among </w:t>
      </w:r>
      <w:r>
        <w:t>social democrats</w:t>
      </w:r>
      <w:r w:rsidRPr="007C4C41">
        <w:t xml:space="preserve"> in their stance on community policies.</w:t>
      </w:r>
    </w:p>
    <w:p w14:paraId="153A5598" w14:textId="26C777E5" w:rsidR="00C2042D" w:rsidRPr="007C4C41" w:rsidRDefault="00C2042D" w:rsidP="00C2042D">
      <w:r>
        <w:t xml:space="preserve">For </w:t>
      </w:r>
      <w:r w:rsidR="00E9029C">
        <w:t>“</w:t>
      </w:r>
      <w:r w:rsidRPr="00E9029C">
        <w:t>Economic, social and territorial cohesion</w:t>
      </w:r>
      <w:r w:rsidR="00E9029C">
        <w:t>”</w:t>
      </w:r>
      <w:r w:rsidRPr="007C4C41">
        <w:t>, a larger number of communities are detected,</w:t>
      </w:r>
      <w:r>
        <w:t xml:space="preserve"> which is consistent with the fact that this was one of the most multi-polarized primary subjects.</w:t>
      </w:r>
      <w:r w:rsidRPr="007C4C41">
        <w:t xml:space="preserve"> </w:t>
      </w:r>
      <w:r>
        <w:t>E</w:t>
      </w:r>
      <w:r w:rsidRPr="007C4C41">
        <w:t>ight</w:t>
      </w:r>
      <w:r>
        <w:t xml:space="preserve"> relevant communities were detected</w:t>
      </w:r>
      <w:r w:rsidRPr="007C4C41">
        <w:t xml:space="preserve"> in total, reflecting a broader range of nuanced positions. Community 0 is purely EPP, implying a dedicated conservative or center-right stance. Community 1 mixes S</w:t>
      </w:r>
      <w:r>
        <w:t>&amp;</w:t>
      </w:r>
      <w:r w:rsidRPr="007C4C41">
        <w:t xml:space="preserve">D, Renew, and EPP, showing that some EPP members are more closely aligned with centrist or social-democratic viewpoints on cohesion issues. </w:t>
      </w:r>
      <w:r w:rsidRPr="007C4C41">
        <w:lastRenderedPageBreak/>
        <w:t>Community 2 joins ECR and ID, forming a Euro</w:t>
      </w:r>
      <w:r>
        <w:t>sc</w:t>
      </w:r>
      <w:r w:rsidRPr="007C4C41">
        <w:t xml:space="preserve">eptic </w:t>
      </w:r>
      <w:r>
        <w:t>and</w:t>
      </w:r>
      <w:r w:rsidRPr="007C4C41">
        <w:t xml:space="preserve"> more nationalist alliance. Community 3 features </w:t>
      </w:r>
      <w:r>
        <w:t>Greens</w:t>
      </w:r>
      <w:r w:rsidRPr="007C4C41">
        <w:t xml:space="preserve">/EFA, while Community 4 contains another group of ECR, signifying an internal cleavage </w:t>
      </w:r>
      <w:r>
        <w:t>and</w:t>
      </w:r>
      <w:r w:rsidRPr="007C4C41">
        <w:t xml:space="preserve"> variety of positions among the ECR. Community 5 is S</w:t>
      </w:r>
      <w:r>
        <w:t>&amp;</w:t>
      </w:r>
      <w:r w:rsidRPr="007C4C41">
        <w:t>D alone, Community 6 is only Renew, and Community 7 features The Left.</w:t>
      </w:r>
    </w:p>
    <w:p w14:paraId="79F2758B" w14:textId="2A3A4FF3" w:rsidR="00C2042D" w:rsidRPr="007C4C41" w:rsidRDefault="00C2042D" w:rsidP="00C2042D">
      <w:r w:rsidRPr="009E066E">
        <w:t xml:space="preserve">In the </w:t>
      </w:r>
      <w:r w:rsidR="009E066E">
        <w:t>“</w:t>
      </w:r>
      <w:r w:rsidRPr="009E066E">
        <w:t>External relations of the Union</w:t>
      </w:r>
      <w:r w:rsidR="009E066E">
        <w:t>”</w:t>
      </w:r>
      <w:r w:rsidRPr="007C4C41">
        <w:t xml:space="preserve"> </w:t>
      </w:r>
      <w:r>
        <w:t>subject</w:t>
      </w:r>
      <w:r w:rsidRPr="007C4C41">
        <w:t>, eight communities likewise appear</w:t>
      </w:r>
      <w:r>
        <w:t>, which is also consistent with the fact that this was one of the most multi-polarized primary subjects</w:t>
      </w:r>
      <w:r w:rsidRPr="007C4C41">
        <w:t>. Community 0 comprises S</w:t>
      </w:r>
      <w:r>
        <w:t>&amp;</w:t>
      </w:r>
      <w:r w:rsidRPr="007C4C41">
        <w:t>D, Renew, and EPP, suggesting a cooperative stance among mainstream, pro-EU groupings. Community 1 is another purely EPP contingent, indicating some internal differentiation within the largest center-right party. Community 2 features S</w:t>
      </w:r>
      <w:r>
        <w:t>&amp;</w:t>
      </w:r>
      <w:r w:rsidRPr="007C4C41">
        <w:t xml:space="preserve">D and </w:t>
      </w:r>
      <w:r>
        <w:t>Greens</w:t>
      </w:r>
      <w:r w:rsidRPr="007C4C41">
        <w:t>/EFA together, illustrating a socially progressive and environmental approach to external relations. Community 3 is S</w:t>
      </w:r>
      <w:r>
        <w:t>&amp;</w:t>
      </w:r>
      <w:r w:rsidRPr="007C4C41">
        <w:t xml:space="preserve">D once again, implying that </w:t>
      </w:r>
      <w:r>
        <w:t>social democrats</w:t>
      </w:r>
      <w:r w:rsidRPr="007C4C41">
        <w:t xml:space="preserve"> occupy multiple distinct sub-blocs. Community 4 unites ECR and ID, aligning conservative and Euros</w:t>
      </w:r>
      <w:r>
        <w:t>c</w:t>
      </w:r>
      <w:r w:rsidRPr="007C4C41">
        <w:t>eptic elements on foreign policy. Community 5 is exclusively ID, while Community 6 is Renew alone. Finally, Community 7 is The Left, signifying an independent leftist approach.</w:t>
      </w:r>
    </w:p>
    <w:p w14:paraId="659440B7" w14:textId="28BCA328" w:rsidR="00C2042D" w:rsidRPr="007C4C41" w:rsidRDefault="00C2042D" w:rsidP="00C2042D">
      <w:bookmarkStart w:id="63" w:name="_Hlk192669991"/>
      <w:r w:rsidRPr="007C4C41">
        <w:t xml:space="preserve">In the </w:t>
      </w:r>
      <w:r w:rsidR="00C32E48">
        <w:t>“</w:t>
      </w:r>
      <w:r w:rsidRPr="00C32E48">
        <w:t>Area of freedom, security and justice</w:t>
      </w:r>
      <w:r w:rsidR="00C32E48">
        <w:t>”</w:t>
      </w:r>
      <w:r w:rsidRPr="007C4C41">
        <w:t xml:space="preserve"> subject, </w:t>
      </w:r>
      <w:r>
        <w:t>4</w:t>
      </w:r>
      <w:r w:rsidRPr="007C4C41">
        <w:t xml:space="preserve"> distinct communities emerge, each aggregating multiple groups. Community 0 clusters EPP, ECR, and ID, highlighting a coalescence of center-right, reformist, and nationalist views. Community 1 fuses S</w:t>
      </w:r>
      <w:r>
        <w:t>&amp;</w:t>
      </w:r>
      <w:r w:rsidRPr="007C4C41">
        <w:t xml:space="preserve">D, Renew, and a portion of EPP, implying a cross-center and social-democratic blend on freedom and security matters. Community 2 is </w:t>
      </w:r>
      <w:r>
        <w:t>Greens</w:t>
      </w:r>
      <w:r w:rsidRPr="007C4C41">
        <w:t>/EFA alone, reiterating that green and environmental voices remain distinct on these justice issues. Community 3 comprises The Left, capturing a purely leftist stance separate from the other coalitions.</w:t>
      </w:r>
    </w:p>
    <w:bookmarkEnd w:id="63"/>
    <w:p w14:paraId="0383A9FD" w14:textId="49FAB17D" w:rsidR="00C2042D" w:rsidRDefault="00C2042D" w:rsidP="00C2042D">
      <w:pPr>
        <w:pStyle w:val="Listanumerada1"/>
        <w:numPr>
          <w:ilvl w:val="0"/>
          <w:numId w:val="0"/>
        </w:numPr>
        <w:spacing w:after="200" w:line="276" w:lineRule="auto"/>
        <w:contextualSpacing w:val="0"/>
        <w:rPr>
          <w:rFonts w:eastAsia="Calibri"/>
          <w:lang w:eastAsia="en-US"/>
        </w:rPr>
      </w:pPr>
      <w:r w:rsidRPr="007C4C41">
        <w:rPr>
          <w:rFonts w:eastAsia="Calibri"/>
          <w:lang w:eastAsia="en-US"/>
        </w:rPr>
        <w:t>Finally, fo</w:t>
      </w:r>
      <w:r w:rsidRPr="0032105F">
        <w:rPr>
          <w:rFonts w:eastAsia="Calibri"/>
          <w:lang w:eastAsia="en-US"/>
        </w:rPr>
        <w:t xml:space="preserve">r </w:t>
      </w:r>
      <w:r w:rsidR="0032105F">
        <w:rPr>
          <w:rFonts w:eastAsia="Calibri"/>
          <w:lang w:eastAsia="en-US"/>
        </w:rPr>
        <w:t>“</w:t>
      </w:r>
      <w:r w:rsidRPr="0032105F">
        <w:rPr>
          <w:rFonts w:eastAsia="Calibri"/>
          <w:lang w:eastAsia="en-US"/>
        </w:rPr>
        <w:t>State and evolution of the Union</w:t>
      </w:r>
      <w:r w:rsidR="0032105F">
        <w:rPr>
          <w:rFonts w:eastAsia="Calibri"/>
          <w:lang w:eastAsia="en-US"/>
        </w:rPr>
        <w:t>”</w:t>
      </w:r>
      <w:r w:rsidRPr="0032105F">
        <w:rPr>
          <w:rFonts w:eastAsia="Calibri"/>
          <w:lang w:eastAsia="en-US"/>
        </w:rPr>
        <w:t xml:space="preserve"> </w:t>
      </w:r>
      <w:r>
        <w:rPr>
          <w:rFonts w:eastAsia="Calibri"/>
          <w:lang w:eastAsia="en-US"/>
        </w:rPr>
        <w:t>5</w:t>
      </w:r>
      <w:r w:rsidRPr="007C4C41">
        <w:rPr>
          <w:rFonts w:eastAsia="Calibri"/>
          <w:lang w:eastAsia="en-US"/>
        </w:rPr>
        <w:t xml:space="preserve"> communities materialize. Community 0 gathers S</w:t>
      </w:r>
      <w:r>
        <w:rPr>
          <w:rFonts w:eastAsia="Calibri"/>
          <w:lang w:eastAsia="en-US"/>
        </w:rPr>
        <w:t>&amp;</w:t>
      </w:r>
      <w:r w:rsidRPr="007C4C41">
        <w:rPr>
          <w:rFonts w:eastAsia="Calibri"/>
          <w:lang w:eastAsia="en-US"/>
        </w:rPr>
        <w:t>D and EPP in one alliance, while Community 1 is solely ID, reaffirming the group’s distinct stance. Community 2 features ECR, indicating that ECR MEPs gather under their banner. Community 3 combines S</w:t>
      </w:r>
      <w:r>
        <w:rPr>
          <w:rFonts w:eastAsia="Calibri"/>
          <w:lang w:eastAsia="en-US"/>
        </w:rPr>
        <w:t>&amp;</w:t>
      </w:r>
      <w:r w:rsidRPr="007C4C41">
        <w:rPr>
          <w:rFonts w:eastAsia="Calibri"/>
          <w:lang w:eastAsia="en-US"/>
        </w:rPr>
        <w:t>D, EPP, and Renew, reflecting a mainstream coalition that crosses party lines. Community 4 is yet another cluster of S</w:t>
      </w:r>
      <w:r>
        <w:rPr>
          <w:rFonts w:eastAsia="Calibri"/>
          <w:lang w:eastAsia="en-US"/>
        </w:rPr>
        <w:t>&amp;</w:t>
      </w:r>
      <w:r w:rsidRPr="007C4C41">
        <w:rPr>
          <w:rFonts w:eastAsia="Calibri"/>
          <w:lang w:eastAsia="en-US"/>
        </w:rPr>
        <w:t>D and EPP, reinforcing the idea that moderate pro-integration parties remain somewhat subdivided in their approach, perhaps differentiating on specific bills or ideological nuances regarding further EU integration.</w:t>
      </w:r>
    </w:p>
    <w:p w14:paraId="66302177" w14:textId="0F3496B2" w:rsidR="00FE6FA3" w:rsidRDefault="00B52A1D" w:rsidP="00FE6FA3">
      <w:pPr>
        <w:pStyle w:val="Listanumerada1"/>
        <w:numPr>
          <w:ilvl w:val="0"/>
          <w:numId w:val="0"/>
        </w:numPr>
        <w:spacing w:after="200" w:line="276" w:lineRule="auto"/>
        <w:contextualSpacing w:val="0"/>
      </w:pPr>
      <w:r w:rsidRPr="00B52A1D">
        <w:t xml:space="preserve">In addition to </w:t>
      </w:r>
      <w:r w:rsidR="00D60893">
        <w:t>analyzing</w:t>
      </w:r>
      <w:r w:rsidRPr="00B52A1D">
        <w:t xml:space="preserve"> the</w:t>
      </w:r>
      <w:r w:rsidR="00082D91">
        <w:t xml:space="preserve"> obtained</w:t>
      </w:r>
      <w:r w:rsidRPr="00B52A1D">
        <w:t xml:space="preserve"> voting communities</w:t>
      </w:r>
      <w:r w:rsidR="00FE6FA3">
        <w:t>, we computed modularity metrics to evaluate the structural (multi)polarization of the co-voting networks. To obtain the optimal modularity, w</w:t>
      </w:r>
      <w:r w:rsidR="00FE6FA3" w:rsidRPr="00576B63">
        <w:t xml:space="preserve">e applied the Louvain community detection algorithm, setting the resolution parameter to 1 to avoid bias toward broader or narrower communities, and then computed the resulting optimal modularity. By maintaining a neutral resolution, this measure captures how strongly the </w:t>
      </w:r>
      <w:r w:rsidR="00DB6973">
        <w:t>co-</w:t>
      </w:r>
      <w:r w:rsidR="00FE6FA3" w:rsidRPr="00576B63">
        <w:t>voting network is divided into distinct blocs</w:t>
      </w:r>
      <w:r w:rsidR="00FE6FA3">
        <w:t>,</w:t>
      </w:r>
      <w:r w:rsidR="00FE6FA3" w:rsidRPr="00576B63">
        <w:t xml:space="preserve"> without relying on predefined group or nationality labels.</w:t>
      </w:r>
      <w:r w:rsidR="00FE6FA3">
        <w:t xml:space="preserve"> In turn, to obtain the group modularity, w</w:t>
      </w:r>
      <w:r w:rsidR="00FE6FA3" w:rsidRPr="006139D0">
        <w:t>e constrained the partitioning so that each community consisted exclusively of MEPs from the same group and calculated its modularity. This measure evaluates the extent to which voting blocs align with group affiliations.</w:t>
      </w:r>
      <w:r w:rsidR="00FE6FA3">
        <w:t xml:space="preserve"> Finally, to obtain the nationality modularity, w</w:t>
      </w:r>
      <w:r w:rsidR="00FE6FA3" w:rsidRPr="006139D0">
        <w:t xml:space="preserve">e constrained the </w:t>
      </w:r>
      <w:r w:rsidR="00FE6FA3" w:rsidRPr="006139D0">
        <w:lastRenderedPageBreak/>
        <w:t xml:space="preserve">partitioning so that each community consisted exclusively of MEPs from the same country and calculated its modularity. This measure examines whether national interests influence voting behavior, regardless of </w:t>
      </w:r>
      <w:r w:rsidR="00FE6FA3">
        <w:t>group</w:t>
      </w:r>
      <w:r w:rsidR="00FE6FA3" w:rsidRPr="006139D0">
        <w:t xml:space="preserve"> affiliation.</w:t>
      </w:r>
      <w:r w:rsidR="00FE6FA3">
        <w:t xml:space="preserve">                    </w:t>
      </w:r>
    </w:p>
    <w:p w14:paraId="5F80CA57" w14:textId="77777777" w:rsidR="00FE6FA3" w:rsidRDefault="00FE6FA3" w:rsidP="00FE6FA3">
      <w:r>
        <w:t>The g</w:t>
      </w:r>
      <w:r w:rsidRPr="006139D0">
        <w:t>roup assortativity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r>
        <w:t>assortativity</w:t>
      </w:r>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are included in the network, which, in turn, ensures a broader representation and more robust results. On the other hand, a small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3720CD6" w14:textId="0E5821D4" w:rsidR="00FE6FA3" w:rsidRDefault="00FE6FA3" w:rsidP="00FE6FA3">
      <w:r>
        <w:t xml:space="preserve">The results </w:t>
      </w:r>
      <w:r w:rsidR="009E4C84">
        <w:t xml:space="preserve">of </w:t>
      </w:r>
      <w:r w:rsidR="006518CA">
        <w:t>these</w:t>
      </w:r>
      <w:r w:rsidR="009E4C84">
        <w:t xml:space="preserve"> statistics </w:t>
      </w:r>
      <w:r>
        <w:t>are presented in Tables 5.1 and 5.2.</w:t>
      </w:r>
    </w:p>
    <w:p w14:paraId="196339F2" w14:textId="324F8EED" w:rsidR="00FE6FA3" w:rsidRDefault="00FE6FA3" w:rsidP="00FE6FA3">
      <w:pPr>
        <w:pStyle w:val="Caption"/>
        <w:keepNext/>
      </w:pPr>
      <w:bookmarkStart w:id="64" w:name="_Toc195986382"/>
      <w:r>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1</w:t>
      </w:r>
      <w:r>
        <w:fldChar w:fldCharType="end"/>
      </w:r>
      <w:r>
        <w:t xml:space="preserve"> – Modularities and assortativities for the primary subjects</w:t>
      </w:r>
      <w:bookmarkEnd w:id="6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r w:rsidRPr="00793A97">
              <w:rPr>
                <w:rFonts w:eastAsia="Times New Roman" w:cs="Calibri"/>
                <w:color w:val="000000"/>
                <w:sz w:val="18"/>
                <w:szCs w:val="18"/>
                <w:lang w:val="pt-PT" w:eastAsia="pt-PT"/>
              </w:rPr>
              <w:t>All subjects</w:t>
            </w:r>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2CCF5213" w14:textId="00CEBEF7" w:rsidR="00FE6FA3" w:rsidRDefault="00FE6FA3" w:rsidP="00FE6FA3">
      <w:pPr>
        <w:pStyle w:val="Caption"/>
        <w:keepNext/>
      </w:pPr>
      <w:bookmarkStart w:id="65" w:name="_Toc195986383"/>
      <w:r>
        <w:lastRenderedPageBreak/>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2</w:t>
      </w:r>
      <w:r>
        <w:fldChar w:fldCharType="end"/>
      </w:r>
      <w:r>
        <w:t xml:space="preserve"> – Structural statistics for the primary subjects</w:t>
      </w:r>
      <w:bookmarkEnd w:id="65"/>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Pr>
                <w:rFonts w:eastAsia="Times New Roman" w:cs="Calibri"/>
                <w:color w:val="000000"/>
                <w:sz w:val="18"/>
                <w:szCs w:val="18"/>
                <w:lang w:val="pt-PT" w:eastAsia="pt-PT"/>
              </w:rPr>
              <w:t>All subjects</w:t>
            </w:r>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Community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2A41F71E" w14:textId="77777777" w:rsidR="00FE6FA3" w:rsidRDefault="00FE6FA3" w:rsidP="00FE6FA3"/>
    <w:p w14:paraId="3FB20487" w14:textId="67097C3E" w:rsidR="00FE6FA3" w:rsidRDefault="00FE6FA3" w:rsidP="00FE6FA3">
      <w:r w:rsidRPr="00155BF9">
        <w:t xml:space="preserve">The results indicate a </w:t>
      </w:r>
      <w:r>
        <w:t>moderate</w:t>
      </w:r>
      <w:r w:rsidRPr="00155BF9">
        <w:t xml:space="preserve"> </w:t>
      </w:r>
      <w:r>
        <w:t>level</w:t>
      </w:r>
      <w:r w:rsidRPr="00155BF9">
        <w:t xml:space="preserve"> of (multi)polarization in the </w:t>
      </w:r>
      <w:r>
        <w:t xml:space="preserve">EP </w:t>
      </w:r>
      <w:r w:rsidRPr="00155BF9">
        <w:t>during the</w:t>
      </w:r>
      <w:r>
        <w:t xml:space="preserve"> 9</w:t>
      </w:r>
      <w:r w:rsidRPr="00AF4479">
        <w:rPr>
          <w:vertAlign w:val="superscript"/>
        </w:rPr>
        <w:t>th</w:t>
      </w:r>
      <w:r>
        <w:t xml:space="preserve"> </w:t>
      </w:r>
      <w:r w:rsidRPr="00155BF9">
        <w:t>term</w:t>
      </w:r>
      <w:r w:rsidR="003001B9">
        <w:t xml:space="preserve"> </w:t>
      </w:r>
      <w:r w:rsidR="003001B9" w:rsidRPr="00E63433">
        <w:t>for all subjects</w:t>
      </w:r>
      <w:r w:rsidRPr="00E63433">
        <w:t xml:space="preserve">. The moderate optimal modularity (0.520) and group modularity (0.406) suggest that </w:t>
      </w:r>
      <w:r w:rsidRPr="00155BF9">
        <w:t xml:space="preserve">MEPs tend to form </w:t>
      </w:r>
      <w:r>
        <w:t xml:space="preserve">relatively </w:t>
      </w:r>
      <w:r w:rsidRPr="00155BF9">
        <w:t xml:space="preserve">well-defined voting blocs along political group lines, reinforcing ideological segmentation. </w:t>
      </w:r>
      <w:r w:rsidRPr="001D619A">
        <w:t xml:space="preserve">The </w:t>
      </w:r>
      <w:r>
        <w:t xml:space="preserve">low </w:t>
      </w:r>
      <w:r w:rsidRPr="001D619A">
        <w:t>difference between the optimal and group modularity suggests that group affiliation explains a significant portion of voting behavior but does not fully determine it. Other factors, such as policy-specific preferences and cross-</w:t>
      </w:r>
      <w:r>
        <w:t>group</w:t>
      </w:r>
      <w:r w:rsidRPr="001D619A">
        <w:t xml:space="preserve"> coalitions, influence the structure of voting communities. </w:t>
      </w:r>
      <w:r w:rsidRPr="001B2FAC">
        <w:t>The moderate value of group assortativity (0.512) indicates that while MEPs do tend to vote with their group colleagues, inter-</w:t>
      </w:r>
      <w:r>
        <w:t>group</w:t>
      </w:r>
      <w:r w:rsidRPr="001B2FAC">
        <w:t xml:space="preserve"> cooperation is relatively common. This aligns with the moderate group modularity score.</w:t>
      </w:r>
      <w:r>
        <w:t xml:space="preserve"> </w:t>
      </w:r>
      <w:r w:rsidRPr="008B0463">
        <w:t xml:space="preserve">In contrast, the low nationality modularity (0.041) and nationality assortativity (0.044) confirm that national affiliations play a minimal role in structuring voting behavior, highlighting that (multi)polarization is primarily driven by ideological rather than national divides. </w:t>
      </w:r>
      <w:r w:rsidRPr="00F52B87">
        <w:t>Additionally, the high clustering coefficient (0.654) and the relatively low network density (0.190) suggest that there is significant coalescence within groups</w:t>
      </w:r>
      <w:r>
        <w:t>,</w:t>
      </w:r>
      <w:r w:rsidRPr="00F52B87">
        <w:t xml:space="preserve"> and interactions between </w:t>
      </w:r>
      <w:r>
        <w:t>voting communities</w:t>
      </w:r>
      <w:r w:rsidRPr="00F52B87">
        <w:t xml:space="preserve"> are limited. The presence of 5 total communities, of which 4 are relevant, </w:t>
      </w:r>
      <w:r>
        <w:t>shows that the voting communities extend beyond a polarized scenario, revealing multi-polarization</w:t>
      </w:r>
      <w:r w:rsidRPr="00F52B87">
        <w:t>. Furthermore, the high retention of nodes (</w:t>
      </w:r>
      <w:r>
        <w:t xml:space="preserve">approximately </w:t>
      </w:r>
      <w:r w:rsidRPr="00F52B87">
        <w:t xml:space="preserve">95%) and the large number of bills considered (1890) indicate a robust analysis, ensuring that these </w:t>
      </w:r>
      <w:r>
        <w:t>multi-</w:t>
      </w:r>
      <w:r w:rsidRPr="00F52B87">
        <w:t>polarization patterns are broadly representative of parliamentary activity.</w:t>
      </w:r>
    </w:p>
    <w:p w14:paraId="2B648596" w14:textId="67B383AC" w:rsidR="00FE6FA3" w:rsidRPr="007C4C41" w:rsidRDefault="00FE6FA3" w:rsidP="00FE6FA3">
      <w:r w:rsidRPr="007C4C41">
        <w:t xml:space="preserve">In the case of </w:t>
      </w:r>
      <w:r w:rsidR="00E63433">
        <w:t>“</w:t>
      </w:r>
      <w:r w:rsidRPr="00E63433">
        <w:t>European citizenship</w:t>
      </w:r>
      <w:r w:rsidR="00E63433">
        <w:t>”</w:t>
      </w:r>
      <w:r w:rsidRPr="00E63433">
        <w:t>,</w:t>
      </w:r>
      <w:r w:rsidRPr="007C4C41">
        <w:t xml:space="preserve"> the optimal modularity of 0.483 and the </w:t>
      </w:r>
      <w:r>
        <w:t>group</w:t>
      </w:r>
      <w:r w:rsidRPr="007C4C41">
        <w:t xml:space="preserve"> modularity of 0.412 differed by about 0.071. As a result, the data suggests that voting blocs for this subject</w:t>
      </w:r>
      <w:r>
        <w:t xml:space="preserve"> are weakly</w:t>
      </w:r>
      <w:r w:rsidRPr="007C4C41">
        <w:t xml:space="preserve"> </w:t>
      </w:r>
      <w:r>
        <w:t>multi-</w:t>
      </w:r>
      <w:r w:rsidRPr="007C4C41">
        <w:t>polarized</w:t>
      </w:r>
      <w:r>
        <w:t>. Still</w:t>
      </w:r>
      <w:r w:rsidR="00E456D1">
        <w:t>,</w:t>
      </w:r>
      <w:r>
        <w:t xml:space="preserve"> MEPs</w:t>
      </w:r>
      <w:r w:rsidRPr="007C4C41">
        <w:t xml:space="preserve"> align mostly closely with group lines. The </w:t>
      </w:r>
      <w:r>
        <w:t>group</w:t>
      </w:r>
      <w:r w:rsidRPr="007C4C41">
        <w:t xml:space="preserve"> assortativity of 0.625 reinforces that MEPs generally co-vote with their groups. The network density, at 0.062, is low, signifying a degree of fragmentation, while the average clustering coefficient near 0.485 signifies modest cohesion among MEPs who do converge.</w:t>
      </w:r>
    </w:p>
    <w:p w14:paraId="4A659D77" w14:textId="204D295C" w:rsidR="00FE6FA3" w:rsidRPr="007C4C41" w:rsidRDefault="00FE6FA3" w:rsidP="00FE6FA3">
      <w:r w:rsidRPr="007C4C41">
        <w:lastRenderedPageBreak/>
        <w:t xml:space="preserve">For the </w:t>
      </w:r>
      <w:r w:rsidRPr="0017120E">
        <w:t xml:space="preserve">subject </w:t>
      </w:r>
      <w:r w:rsidR="0017120E">
        <w:t>“</w:t>
      </w:r>
      <w:r w:rsidRPr="0017120E">
        <w:t>Internal market, single market</w:t>
      </w:r>
      <w:r w:rsidR="0017120E">
        <w:t>”</w:t>
      </w:r>
      <w:r w:rsidRPr="0017120E">
        <w:t>, the optimal</w:t>
      </w:r>
      <w:r w:rsidRPr="007C4C41">
        <w:t xml:space="preserve"> modularity of 0.718 indicates a high level of multi-polarization. The partisan modularity of 0.609 remains high, and their difference of 0.109 is comparatively small. This indicates that group alignment strongly dictates the detected voting communities. The high </w:t>
      </w:r>
      <w:r>
        <w:t>group</w:t>
      </w:r>
      <w:r w:rsidRPr="007C4C41">
        <w:t xml:space="preserve"> assortativity of 0.787 further confirms that MEPs predominantly vote within their groups. The network density is low at 0.066, consistent with fragmented </w:t>
      </w:r>
      <w:r>
        <w:t>voting communities</w:t>
      </w:r>
      <w:r w:rsidRPr="007C4C41">
        <w:t xml:space="preserve"> that rarely cooperate across </w:t>
      </w:r>
      <w:r>
        <w:t>group</w:t>
      </w:r>
      <w:r w:rsidRPr="007C4C41">
        <w:t xml:space="preserve"> lines.</w:t>
      </w:r>
    </w:p>
    <w:p w14:paraId="3756AD21" w14:textId="0F515611" w:rsidR="00FE6FA3" w:rsidRPr="007C4C41" w:rsidRDefault="00FE6FA3" w:rsidP="00FE6FA3">
      <w:r w:rsidRPr="007C4C41">
        <w:t xml:space="preserve">Regarding </w:t>
      </w:r>
      <w:r w:rsidR="00C0677F">
        <w:t>“</w:t>
      </w:r>
      <w:r w:rsidRPr="00C0677F">
        <w:t>Community policies</w:t>
      </w:r>
      <w:r w:rsidR="00C0677F">
        <w:t>”</w:t>
      </w:r>
      <w:r w:rsidRPr="007C4C41">
        <w:t xml:space="preserve">, the optimal modularity was around 0.553, signifying a moderate degree of multi-polarization, whereas the partisan modularity of 0.413 produced a difference of 0.14. This still implies that </w:t>
      </w:r>
      <w:r>
        <w:t>groups</w:t>
      </w:r>
      <w:r w:rsidRPr="007C4C41">
        <w:t xml:space="preserve"> shape the voting communities</w:t>
      </w:r>
      <w:r w:rsidR="007B7C9B">
        <w:t>,</w:t>
      </w:r>
      <w:r w:rsidRPr="007C4C41">
        <w:t xml:space="preserve"> but not as strongly as in more multi-polarized subjects. Additionally, the network density of 0.117 is the highest among the primary subjects, pointing to a more interconnected pattern of co-voting. The </w:t>
      </w:r>
      <w:r>
        <w:t>group</w:t>
      </w:r>
      <w:r w:rsidRPr="007C4C41">
        <w:t xml:space="preserve"> assortativity of 0.553 corroborates an environment that is moderately driven by </w:t>
      </w:r>
      <w:r>
        <w:t>group</w:t>
      </w:r>
      <w:r w:rsidRPr="007C4C41">
        <w:t xml:space="preserve"> identity yet open to inter-</w:t>
      </w:r>
      <w:r>
        <w:t>group</w:t>
      </w:r>
      <w:r w:rsidRPr="007C4C41">
        <w:t xml:space="preserve"> voting.</w:t>
      </w:r>
    </w:p>
    <w:p w14:paraId="133CAF18" w14:textId="1AE9BFB4" w:rsidR="00FE6FA3" w:rsidRPr="007C4C41" w:rsidRDefault="00A610BC" w:rsidP="00FE6FA3">
      <w:r>
        <w:t>“</w:t>
      </w:r>
      <w:r w:rsidR="00FE6FA3" w:rsidRPr="00A610BC">
        <w:t>Economic, social and territorial cohesion</w:t>
      </w:r>
      <w:r>
        <w:t>”</w:t>
      </w:r>
      <w:r w:rsidR="00FE6FA3" w:rsidRPr="007C4C41">
        <w:t xml:space="preserve"> had an optimal modularity of 0.662 and a </w:t>
      </w:r>
      <w:r w:rsidR="00FE6FA3">
        <w:t>group</w:t>
      </w:r>
      <w:r w:rsidR="00FE6FA3" w:rsidRPr="007C4C41">
        <w:t xml:space="preserve"> modularity of 0.549, resulting in a difference of 0.113. Here, the results indicate high multi-polarization that is largely structured along party lines. Indeed, the </w:t>
      </w:r>
      <w:r w:rsidR="00FE6FA3">
        <w:t>group</w:t>
      </w:r>
      <w:r w:rsidR="00FE6FA3" w:rsidRPr="007C4C41">
        <w:t xml:space="preserve"> assortativity of 0.</w:t>
      </w:r>
      <w:r w:rsidR="00FE6FA3">
        <w:t>740</w:t>
      </w:r>
      <w:r w:rsidR="00FE6FA3" w:rsidRPr="007C4C41">
        <w:t xml:space="preserve"> reveals that MEPs frequently remain within their group when casting votes. The network density, at 0.059, is one of the lowest, signifying well-separated voting </w:t>
      </w:r>
      <w:r w:rsidR="00FE6FA3">
        <w:t>communities</w:t>
      </w:r>
      <w:r w:rsidR="00FE6FA3" w:rsidRPr="007C4C41">
        <w:t xml:space="preserve"> with little cross-group collaboration.</w:t>
      </w:r>
    </w:p>
    <w:p w14:paraId="1A15F8F9" w14:textId="50B37067" w:rsidR="00FE6FA3" w:rsidRPr="007C4C41" w:rsidRDefault="00421424" w:rsidP="00FE6FA3">
      <w:r>
        <w:t>“</w:t>
      </w:r>
      <w:r w:rsidR="00FE6FA3" w:rsidRPr="00421424">
        <w:t>Economic and monetary system</w:t>
      </w:r>
      <w:r>
        <w:t>”</w:t>
      </w:r>
      <w:r w:rsidR="00FE6FA3" w:rsidRPr="007C4C41">
        <w:t xml:space="preserve"> showed a notably high optimal modularity of 0.803 but a </w:t>
      </w:r>
      <w:r w:rsidR="00FE6FA3">
        <w:t>group</w:t>
      </w:r>
      <w:r w:rsidR="00FE6FA3" w:rsidRPr="007C4C41">
        <w:t xml:space="preserve"> modularity of 0.48</w:t>
      </w:r>
      <w:r w:rsidR="00FE6FA3">
        <w:t>4</w:t>
      </w:r>
      <w:r w:rsidR="00FE6FA3" w:rsidRPr="007C4C41">
        <w:t>, resulting in a difference of 0.3</w:t>
      </w:r>
      <w:r w:rsidR="00FE6FA3">
        <w:t>19</w:t>
      </w:r>
      <w:r w:rsidR="00FE6FA3" w:rsidRPr="007C4C41">
        <w:t xml:space="preserve">. This wide gap ordinarily implies that </w:t>
      </w:r>
      <w:r w:rsidR="00FE6FA3">
        <w:t>group</w:t>
      </w:r>
      <w:r w:rsidR="00FE6FA3" w:rsidRPr="007C4C41">
        <w:t xml:space="preserve"> alignment does not fully account for the subject’s high multi-polarization. However, the </w:t>
      </w:r>
      <w:r w:rsidR="00FE6FA3">
        <w:t>group</w:t>
      </w:r>
      <w:r w:rsidR="00FE6FA3" w:rsidRPr="007C4C41">
        <w:t xml:space="preserve"> assortativity is extremely high at 0.99</w:t>
      </w:r>
      <w:r w:rsidR="00FE6FA3">
        <w:t>1</w:t>
      </w:r>
      <w:r w:rsidR="00FE6FA3" w:rsidRPr="007C4C41">
        <w:t xml:space="preserve">, indicating that MEPs </w:t>
      </w:r>
      <w:r w:rsidR="00FE6FA3">
        <w:t>rarely</w:t>
      </w:r>
      <w:r w:rsidR="00FE6FA3" w:rsidRPr="007C4C41">
        <w:t xml:space="preserve"> cross group lines. The national</w:t>
      </w:r>
      <w:r w:rsidR="00FE6FA3">
        <w:t>ity</w:t>
      </w:r>
      <w:r w:rsidR="00FE6FA3" w:rsidRPr="007C4C41">
        <w:t xml:space="preserve"> modularity of 0.549 also stands out, highlighting the possibility that nationality bears significant weight. Conflicting as these indicators might seem, one must remember that this subject has only 31 bills</w:t>
      </w:r>
      <w:r w:rsidR="00FE6FA3">
        <w:t xml:space="preserve"> and comprises only 12,4% of the eligible MEPs</w:t>
      </w:r>
      <w:r w:rsidR="00FE6FA3" w:rsidRPr="007C4C41">
        <w:t xml:space="preserve">, which severely restricts the reliability of inferences. Hence, it is reasonable to exclude Economic and monetary system from </w:t>
      </w:r>
      <w:r w:rsidR="00FE6FA3">
        <w:t>a</w:t>
      </w:r>
      <w:r w:rsidR="00FE6FA3" w:rsidRPr="007C4C41">
        <w:t xml:space="preserve"> categorization as either “most multi-polarized” or “most cooperative”</w:t>
      </w:r>
      <w:r w:rsidR="00FE6FA3">
        <w:t>,</w:t>
      </w:r>
      <w:r w:rsidR="00FE6FA3" w:rsidRPr="007C4C41">
        <w:t xml:space="preserve"> as the metrics provide mixed signals in the context of insufficient data.</w:t>
      </w:r>
    </w:p>
    <w:p w14:paraId="57FD2659" w14:textId="0422EF74" w:rsidR="00FE6FA3" w:rsidRPr="007C4C41" w:rsidRDefault="00E82ABC" w:rsidP="00FE6FA3">
      <w:r>
        <w:t>“</w:t>
      </w:r>
      <w:r w:rsidR="00FE6FA3" w:rsidRPr="00E82ABC">
        <w:t>External relations of the Union</w:t>
      </w:r>
      <w:r>
        <w:t>”</w:t>
      </w:r>
      <w:r w:rsidR="00FE6FA3" w:rsidRPr="007C4C41">
        <w:t xml:space="preserve"> registered an optimal modularity of 0.715 and a </w:t>
      </w:r>
      <w:r w:rsidR="00FE6FA3">
        <w:t>group</w:t>
      </w:r>
      <w:r w:rsidR="00FE6FA3" w:rsidRPr="007C4C41">
        <w:t xml:space="preserve"> modularity of 0.605, implying a difference of 0.110. This subject thus emerges as highly multi-polarized, primarily reflecting strong group influence. The </w:t>
      </w:r>
      <w:r w:rsidR="00FE6FA3">
        <w:t>group</w:t>
      </w:r>
      <w:r w:rsidR="00FE6FA3" w:rsidRPr="007C4C41">
        <w:t xml:space="preserve"> assortativity, at 0.736, supports the idea that MEPs are closely loyal to their groups, while the network density, at 0.063, indicates sharply demarcated voting </w:t>
      </w:r>
      <w:r w:rsidR="00FE6FA3">
        <w:t xml:space="preserve">communities </w:t>
      </w:r>
      <w:r w:rsidR="00FE6FA3" w:rsidRPr="007C4C41">
        <w:t>with minimal across-group cooperation.</w:t>
      </w:r>
    </w:p>
    <w:p w14:paraId="25B4FF86" w14:textId="45DEA7E9" w:rsidR="00FE6FA3" w:rsidRPr="007C4C41" w:rsidRDefault="00A64767" w:rsidP="00FE6FA3">
      <w:r>
        <w:t>“</w:t>
      </w:r>
      <w:r w:rsidR="00FE6FA3" w:rsidRPr="00A64767">
        <w:t>Area of freedom, security and justice</w:t>
      </w:r>
      <w:r>
        <w:t>”</w:t>
      </w:r>
      <w:r w:rsidR="00FE6FA3" w:rsidRPr="007C4C41">
        <w:t xml:space="preserve"> displayed an optimal modularity of 0.607 versus a </w:t>
      </w:r>
      <w:r w:rsidR="00FE6FA3">
        <w:t>group</w:t>
      </w:r>
      <w:r w:rsidR="00FE6FA3" w:rsidRPr="007C4C41">
        <w:t xml:space="preserve"> modularity of 0.522, for a difference of 0.085. The small gap points again to a subject </w:t>
      </w:r>
      <w:r w:rsidR="00FE6FA3" w:rsidRPr="007C4C41">
        <w:lastRenderedPageBreak/>
        <w:t xml:space="preserve">that is highly </w:t>
      </w:r>
      <w:r w:rsidR="00FE6FA3">
        <w:t>multi-</w:t>
      </w:r>
      <w:r w:rsidR="00FE6FA3" w:rsidRPr="007C4C41">
        <w:t xml:space="preserve">polarized and driven by group structuring. The group assortativity of 0.663 confirms that although MEPs occasionally cross </w:t>
      </w:r>
      <w:r w:rsidR="00FE6FA3">
        <w:t>group</w:t>
      </w:r>
      <w:r w:rsidR="00FE6FA3" w:rsidRPr="007C4C41">
        <w:t xml:space="preserve"> lines, most remain loyal to their groups. The network density, at 0.065, is similarly low, as one might anticipate for a multi-polarized subject.</w:t>
      </w:r>
    </w:p>
    <w:p w14:paraId="2BBB6D54" w14:textId="567893CA" w:rsidR="00FE6FA3" w:rsidRDefault="00FE6FA3" w:rsidP="00FE6FA3">
      <w:pPr>
        <w:pStyle w:val="Listanumerada1"/>
        <w:numPr>
          <w:ilvl w:val="0"/>
          <w:numId w:val="0"/>
        </w:numPr>
        <w:spacing w:after="200" w:line="276" w:lineRule="auto"/>
        <w:contextualSpacing w:val="0"/>
        <w:rPr>
          <w:rFonts w:eastAsia="Calibri"/>
          <w:b/>
          <w:bCs/>
          <w:lang w:eastAsia="en-US"/>
        </w:rPr>
      </w:pPr>
      <w:r w:rsidRPr="007C4C41">
        <w:t xml:space="preserve">Finally, </w:t>
      </w:r>
      <w:r w:rsidR="00E72E2E">
        <w:t>“</w:t>
      </w:r>
      <w:r w:rsidRPr="00E72E2E">
        <w:t>State and evolution of the Union</w:t>
      </w:r>
      <w:r w:rsidR="00E72E2E">
        <w:t>”</w:t>
      </w:r>
      <w:r w:rsidRPr="007C4C41">
        <w:t xml:space="preserve"> revealed an optimal modularity of 0.586, paired with a </w:t>
      </w:r>
      <w:r>
        <w:t>group</w:t>
      </w:r>
      <w:r w:rsidRPr="007C4C41">
        <w:t xml:space="preserve"> modularity of 0.350, resulting in a notably large difference of 0.236. This marks it as an outlier in terms of its relatively moderate multi-polarization and significantly </w:t>
      </w:r>
      <w:r>
        <w:t>low</w:t>
      </w:r>
      <w:r w:rsidRPr="007C4C41">
        <w:t xml:space="preserve"> group modularity. The </w:t>
      </w:r>
      <w:r>
        <w:t>group</w:t>
      </w:r>
      <w:r w:rsidRPr="007C4C41">
        <w:t xml:space="preserve"> assortativity of 0.423, the lowest of any primary subject, aligns with the idea that traditional </w:t>
      </w:r>
      <w:r>
        <w:t>groups</w:t>
      </w:r>
      <w:r w:rsidRPr="007C4C41">
        <w:t xml:space="preserve"> do not dominate the voting structure. Since this subject relates primarily to E</w:t>
      </w:r>
      <w:r>
        <w:t>U</w:t>
      </w:r>
      <w:r w:rsidRPr="007C4C41">
        <w:t xml:space="preserve"> integration, the data indicates that ideological divides may pivot around Euros</w:t>
      </w:r>
      <w:r>
        <w:t>c</w:t>
      </w:r>
      <w:r w:rsidRPr="007C4C41">
        <w:t>eptics versus Euroenthusiasts, rather than typical left-right or group-based categories.</w:t>
      </w:r>
    </w:p>
    <w:p w14:paraId="2CC3DB79" w14:textId="2ED05246" w:rsidR="00B52A1D" w:rsidRDefault="001E351F" w:rsidP="00B52A1D">
      <w:r>
        <w:t>In Table 5.3</w:t>
      </w:r>
      <w:r w:rsidR="00B52A1D">
        <w:t xml:space="preserve"> we</w:t>
      </w:r>
      <w:r w:rsidR="00B52A1D" w:rsidRPr="00B52A1D">
        <w:t xml:space="preserve"> compare the differences between all subjects and each primary subject.</w:t>
      </w:r>
    </w:p>
    <w:p w14:paraId="2AAD9F04" w14:textId="0CE9DFD6" w:rsidR="00B52A1D" w:rsidRDefault="00B52A1D" w:rsidP="00B52A1D">
      <w:pPr>
        <w:jc w:val="center"/>
      </w:pPr>
      <w:bookmarkStart w:id="66" w:name="_Toc195986384"/>
      <w:r>
        <w:t xml:space="preserve">Table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Table \* ARABIC \s 1 </w:instrText>
      </w:r>
      <w:r>
        <w:fldChar w:fldCharType="separate"/>
      </w:r>
      <w:r w:rsidR="00ED6021">
        <w:rPr>
          <w:noProof/>
        </w:rPr>
        <w:t>3</w:t>
      </w:r>
      <w:r>
        <w:fldChar w:fldCharType="end"/>
      </w:r>
      <w:r>
        <w:t xml:space="preserve"> – Modularities and assortativities differences between all subjects and each primary subject</w:t>
      </w:r>
      <w:bookmarkEnd w:id="66"/>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35AC480E" w14:textId="5F59A56D" w:rsidR="00FE6FA3" w:rsidRDefault="00B52A1D" w:rsidP="00FE6FA3">
      <w:r>
        <w:t>W</w:t>
      </w:r>
      <w:r w:rsidR="00FE6FA3">
        <w:t>e can observe that t</w:t>
      </w:r>
      <w:r w:rsidR="00FE6FA3" w:rsidRPr="00663FE0">
        <w:t>he optimal modularities in nearly all</w:t>
      </w:r>
      <w:r w:rsidR="00FE6FA3">
        <w:t xml:space="preserve"> primary</w:t>
      </w:r>
      <w:r w:rsidR="00FE6FA3" w:rsidRPr="00663FE0">
        <w:t xml:space="preserve"> subjects are higher than in </w:t>
      </w:r>
      <w:r w:rsidR="00E71024">
        <w:t>all subjects</w:t>
      </w:r>
      <w:r w:rsidR="00FE6FA3" w:rsidRPr="00663FE0">
        <w:t xml:space="preserve"> (</w:t>
      </w:r>
      <w:r w:rsidR="00FE6FA3">
        <w:t>except for</w:t>
      </w:r>
      <w:r w:rsidR="00FE6FA3" w:rsidRPr="00663FE0">
        <w:t xml:space="preserve"> </w:t>
      </w:r>
      <w:r w:rsidR="00D2287C">
        <w:t>“</w:t>
      </w:r>
      <w:r w:rsidR="00FE6FA3" w:rsidRPr="00663FE0">
        <w:t>European citizenship</w:t>
      </w:r>
      <w:r w:rsidR="00D2287C">
        <w:t>”</w:t>
      </w:r>
      <w:r w:rsidR="00FE6FA3" w:rsidRPr="00663FE0">
        <w:t xml:space="preserve">), which implies that multi-polarization tends to be more pronounced at the </w:t>
      </w:r>
      <w:r w:rsidR="00FE6FA3">
        <w:t xml:space="preserve">primary </w:t>
      </w:r>
      <w:r w:rsidR="00FE6FA3" w:rsidRPr="00663FE0">
        <w:t xml:space="preserve">subject level than </w:t>
      </w:r>
      <w:r w:rsidR="00B561E4">
        <w:t xml:space="preserve">across </w:t>
      </w:r>
      <w:r w:rsidR="00E55FD9">
        <w:t>all subject</w:t>
      </w:r>
      <w:r w:rsidR="00217D4F">
        <w:t>s</w:t>
      </w:r>
      <w:r w:rsidR="00FE6FA3" w:rsidRPr="00663FE0">
        <w:t>. This finding suggests that MEPs form more sharply defined coalitions when focusing on narrower policy topics.</w:t>
      </w:r>
      <w:r w:rsidR="00AA697F">
        <w:t xml:space="preserve"> </w:t>
      </w:r>
      <w:r w:rsidR="00FE6FA3" w:rsidRPr="00663FE0">
        <w:t xml:space="preserve">Likewise, the group modularity and group assortativity generally exceed their values from </w:t>
      </w:r>
      <w:r w:rsidR="005107E3">
        <w:t>all subjects</w:t>
      </w:r>
      <w:r w:rsidR="00FE6FA3" w:rsidRPr="00663FE0">
        <w:t xml:space="preserve"> in all</w:t>
      </w:r>
      <w:r w:rsidR="00FE6FA3">
        <w:t xml:space="preserve"> primary</w:t>
      </w:r>
      <w:r w:rsidR="00FE6FA3" w:rsidRPr="00663FE0">
        <w:t xml:space="preserve"> subjects except State and evolution of the Union, where</w:t>
      </w:r>
      <w:r w:rsidR="00FE6FA3">
        <w:t xml:space="preserve">, </w:t>
      </w:r>
      <w:r w:rsidR="00FE6FA3" w:rsidRPr="00663FE0">
        <w:t>consistent</w:t>
      </w:r>
      <w:r w:rsidR="00FE6FA3">
        <w:t>ly</w:t>
      </w:r>
      <w:r w:rsidR="00FE6FA3" w:rsidRPr="00663FE0">
        <w:t xml:space="preserve"> with our earlier interpretation</w:t>
      </w:r>
      <w:r w:rsidR="00FE6FA3">
        <w:t xml:space="preserve">, </w:t>
      </w:r>
      <w:r w:rsidR="00FE6FA3" w:rsidRPr="00663FE0">
        <w:t xml:space="preserve">traditional </w:t>
      </w:r>
      <w:r w:rsidR="00FE6FA3">
        <w:t>group</w:t>
      </w:r>
      <w:r w:rsidR="00FE6FA3" w:rsidRPr="00663FE0">
        <w:t xml:space="preserve"> lines fail to fully account for the voting patterns driven by Euros</w:t>
      </w:r>
      <w:r w:rsidR="00FE6FA3">
        <w:t>c</w:t>
      </w:r>
      <w:r w:rsidR="00FE6FA3" w:rsidRPr="00663FE0">
        <w:t xml:space="preserve">eptic versus Euroenthusiastic cleavages. For all other </w:t>
      </w:r>
      <w:r w:rsidR="00FE6FA3">
        <w:t xml:space="preserve">primary </w:t>
      </w:r>
      <w:r w:rsidR="00FE6FA3" w:rsidRPr="00663FE0">
        <w:t xml:space="preserve">subjects, these higher-than-term-level differences indicate that </w:t>
      </w:r>
      <w:r w:rsidR="00FE6FA3">
        <w:t>group</w:t>
      </w:r>
      <w:r w:rsidR="00FE6FA3" w:rsidRPr="00663FE0">
        <w:t xml:space="preserve"> affiliations are better explanatory factors when MEPs concentrate on </w:t>
      </w:r>
      <w:r w:rsidR="00FE6FA3">
        <w:t>primary subjects</w:t>
      </w:r>
      <w:r w:rsidR="00FE6FA3" w:rsidRPr="00663FE0">
        <w:t>.</w:t>
      </w:r>
      <w:r>
        <w:t xml:space="preserve"> </w:t>
      </w:r>
      <w:r w:rsidR="00FE6FA3" w:rsidRPr="00663FE0">
        <w:t xml:space="preserve">In a similar pattern, the nationality modularity and nationality assortativity are also </w:t>
      </w:r>
      <w:r w:rsidR="00FE6FA3">
        <w:t>always</w:t>
      </w:r>
      <w:r w:rsidR="00FE6FA3" w:rsidRPr="00663FE0">
        <w:t xml:space="preserve"> higher than </w:t>
      </w:r>
      <w:r w:rsidR="00A469B7">
        <w:t>across all subjects</w:t>
      </w:r>
      <w:r w:rsidR="00FE6FA3">
        <w:t xml:space="preserve">. </w:t>
      </w:r>
      <w:r w:rsidR="00FE6FA3" w:rsidRPr="00663FE0">
        <w:t>This implies that MEP national</w:t>
      </w:r>
      <w:r w:rsidR="00FE6FA3">
        <w:t>ity</w:t>
      </w:r>
      <w:r w:rsidR="00FE6FA3" w:rsidRPr="00663FE0">
        <w:t xml:space="preserve"> plays a slightly bigger role in shaping voting behavior at the </w:t>
      </w:r>
      <w:r w:rsidR="00FE6FA3">
        <w:t xml:space="preserve">primary </w:t>
      </w:r>
      <w:r w:rsidR="00FE6FA3" w:rsidRPr="00663FE0">
        <w:t xml:space="preserve">subject level than across </w:t>
      </w:r>
      <w:r w:rsidR="00D513C0">
        <w:t>all subjects</w:t>
      </w:r>
      <w:r w:rsidR="00FE6FA3" w:rsidRPr="00663FE0">
        <w:t>.</w:t>
      </w:r>
      <w:r w:rsidR="00FE6FA3">
        <w:t xml:space="preserve"> </w:t>
      </w:r>
    </w:p>
    <w:p w14:paraId="1CF3DEE7" w14:textId="606F4119" w:rsidR="00C2042D" w:rsidRDefault="00C2042D" w:rsidP="00C2042D">
      <w:pPr>
        <w:pStyle w:val="Listanumerada1"/>
        <w:numPr>
          <w:ilvl w:val="0"/>
          <w:numId w:val="0"/>
        </w:numPr>
        <w:spacing w:after="200" w:line="276" w:lineRule="auto"/>
        <w:contextualSpacing w:val="0"/>
      </w:pPr>
      <w:r>
        <w:lastRenderedPageBreak/>
        <w:t xml:space="preserve">Having examined </w:t>
      </w:r>
      <w:r w:rsidR="009C6594">
        <w:t>multi-</w:t>
      </w:r>
      <w:r>
        <w:t xml:space="preserve">polarization across the primary subjects, we refine our analysis by exploring secondary subjects, allowing for an even greater detailed assessment of how (multi)polarization manifests within secondary subjects. This level of granularity helps identify whether the broader multi-polarization patterns observed in </w:t>
      </w:r>
      <w:r w:rsidR="0039562B">
        <w:t xml:space="preserve">all subjects and </w:t>
      </w:r>
      <w:r>
        <w:t>primary subjects persist or whether distinct voting dynamics emerge in more specialized secondary subjects.</w:t>
      </w:r>
    </w:p>
    <w:p w14:paraId="6E9544D2" w14:textId="29EDC3A1" w:rsidR="00B52A1D" w:rsidRDefault="00B52A1D" w:rsidP="00B52A1D">
      <w:r>
        <w:t>The relevant voting communities for all secondary subjects can be seen in Figure 5.</w:t>
      </w:r>
      <w:r w:rsidR="00762E8C">
        <w:t>3</w:t>
      </w:r>
      <w:r>
        <w:t>.</w:t>
      </w:r>
    </w:p>
    <w:p w14:paraId="3C5A3193" w14:textId="57A1C64E" w:rsidR="00B52A1D" w:rsidRDefault="00B52A1D" w:rsidP="00B52A1D">
      <w:pPr>
        <w:pStyle w:val="Listanumerada1"/>
        <w:numPr>
          <w:ilvl w:val="0"/>
          <w:numId w:val="0"/>
        </w:numPr>
        <w:spacing w:after="200" w:line="276" w:lineRule="auto"/>
        <w:contextualSpacing w:val="0"/>
        <w:jc w:val="center"/>
        <w:rPr>
          <w:highlight w:val="yellow"/>
        </w:rPr>
      </w:pPr>
      <w:r w:rsidRPr="00647CE4">
        <w:rPr>
          <w:noProof/>
        </w:rPr>
        <w:drawing>
          <wp:inline distT="0" distB="0" distL="0" distR="0" wp14:anchorId="74418343" wp14:editId="466A20A7">
            <wp:extent cx="4830521" cy="5976000"/>
            <wp:effectExtent l="19050" t="19050" r="27305" b="24765"/>
            <wp:docPr id="187857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0521" cy="5976000"/>
                    </a:xfrm>
                    <a:prstGeom prst="rect">
                      <a:avLst/>
                    </a:prstGeom>
                    <a:noFill/>
                    <a:ln>
                      <a:solidFill>
                        <a:schemeClr val="tx1"/>
                      </a:solidFill>
                    </a:ln>
                  </pic:spPr>
                </pic:pic>
              </a:graphicData>
            </a:graphic>
          </wp:inline>
        </w:drawing>
      </w:r>
    </w:p>
    <w:p w14:paraId="3A135FB0" w14:textId="5F8B06BB" w:rsidR="003001B9" w:rsidRDefault="00B52A1D" w:rsidP="00826F81">
      <w:pPr>
        <w:pStyle w:val="Caption"/>
      </w:pPr>
      <w:bookmarkStart w:id="67" w:name="_Toc195986380"/>
      <w:r>
        <w:t xml:space="preserve">Figure </w:t>
      </w:r>
      <w:r>
        <w:fldChar w:fldCharType="begin"/>
      </w:r>
      <w:r>
        <w:instrText xml:space="preserve"> STYLEREF 1 \s </w:instrText>
      </w:r>
      <w:r>
        <w:fldChar w:fldCharType="separate"/>
      </w:r>
      <w:r w:rsidR="00ED6021">
        <w:rPr>
          <w:noProof/>
        </w:rPr>
        <w:t>5</w:t>
      </w:r>
      <w:r>
        <w:fldChar w:fldCharType="end"/>
      </w:r>
      <w:r>
        <w:t>.</w:t>
      </w:r>
      <w:r>
        <w:fldChar w:fldCharType="begin"/>
      </w:r>
      <w:r>
        <w:instrText xml:space="preserve"> SEQ Figure \* ARABIC \s 1 </w:instrText>
      </w:r>
      <w:r>
        <w:fldChar w:fldCharType="separate"/>
      </w:r>
      <w:r w:rsidR="00ED6021">
        <w:rPr>
          <w:noProof/>
        </w:rPr>
        <w:t>3</w:t>
      </w:r>
      <w:r>
        <w:fldChar w:fldCharType="end"/>
      </w:r>
      <w:r>
        <w:t xml:space="preserve"> – </w:t>
      </w:r>
      <w:r w:rsidR="00E56BDA">
        <w:t>R</w:t>
      </w:r>
      <w:r>
        <w:t>elevant</w:t>
      </w:r>
      <w:r w:rsidR="0096600E">
        <w:t xml:space="preserve"> voting</w:t>
      </w:r>
      <w:r>
        <w:t xml:space="preserve"> communities for secondary subjects</w:t>
      </w:r>
      <w:bookmarkEnd w:id="67"/>
    </w:p>
    <w:p w14:paraId="7725F127" w14:textId="68440BDF" w:rsidR="00B52A1D" w:rsidRPr="00254AB4" w:rsidRDefault="00B52A1D" w:rsidP="00B52A1D">
      <w:r>
        <w:t xml:space="preserve">The voting communities across secondary subjects follow the same pattern observed in the primary subjects, also reflecting a notable deviation from the communities that emerge when considering all subjects. However, most of the same alliances in the primary subjects persist in the secondary subjects, with a few notable exceptions: the triple synergy among The Left, </w:t>
      </w:r>
      <w:r>
        <w:lastRenderedPageBreak/>
        <w:t>S&amp;D and Greens/EFA; the alliance between S&amp;D and Greens/EFA; and the triple synergy among S&amp;D, Renew and EPP – all of which are absent from every secondary subject.</w:t>
      </w:r>
      <w:r w:rsidR="00885DD2">
        <w:t xml:space="preserve"> </w:t>
      </w:r>
      <w:r>
        <w:t>The co-voting networks of all secondary subjects are depicted in Appendix E.</w:t>
      </w:r>
    </w:p>
    <w:p w14:paraId="52BAF8AB" w14:textId="4E2368AF" w:rsidR="00C2042D" w:rsidRDefault="00C34DE7" w:rsidP="00C34DE7">
      <w:pPr>
        <w:pStyle w:val="Listanumerada1"/>
        <w:numPr>
          <w:ilvl w:val="0"/>
          <w:numId w:val="0"/>
        </w:numPr>
        <w:spacing w:after="200" w:line="276" w:lineRule="auto"/>
        <w:contextualSpacing w:val="0"/>
        <w:rPr>
          <w:rFonts w:eastAsia="Calibri"/>
          <w:lang w:eastAsia="en-US"/>
        </w:rPr>
      </w:pPr>
      <w:r w:rsidRPr="00AC7B52">
        <w:t>Then, we applied the same statistics to</w:t>
      </w:r>
      <w:r w:rsidR="006B519B">
        <w:t xml:space="preserve"> the</w:t>
      </w:r>
      <w:r w:rsidRPr="00AC7B52">
        <w:t xml:space="preserve"> secondary subjects, starting with </w:t>
      </w:r>
      <w:r w:rsidR="00C2042D" w:rsidRPr="00AC7B52">
        <w:t>computing modularity and assortativity statistics (Table 5.</w:t>
      </w:r>
      <w:r w:rsidR="00E35B8C">
        <w:t>4</w:t>
      </w:r>
      <w:r w:rsidR="00C2042D" w:rsidRPr="00AC7B52">
        <w:t>) to evaluate the degree of group and national alignment within each secondary subject. Additionally, structural statistics (Table 5.</w:t>
      </w:r>
      <w:r w:rsidR="00552294">
        <w:t>5</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1D703AA7" w14:textId="4F1AA39F" w:rsidR="00B3081C" w:rsidRDefault="00B3081C" w:rsidP="00B3081C">
      <w:pPr>
        <w:pStyle w:val="Caption"/>
        <w:keepNext/>
      </w:pPr>
      <w:bookmarkStart w:id="68" w:name="_Toc195986385"/>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4</w:t>
      </w:r>
      <w:r w:rsidR="00A56DEE">
        <w:fldChar w:fldCharType="end"/>
      </w:r>
      <w:r>
        <w:t xml:space="preserve"> – Modularities and assortativities for the secondary subjects</w:t>
      </w:r>
      <w:bookmarkEnd w:id="68"/>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625B928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sidR="00667A5C">
              <w:rPr>
                <w:sz w:val="18"/>
                <w:szCs w:val="18"/>
              </w:rPr>
              <w:t xml:space="preserve"> </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7AF1B693" w14:textId="77777777" w:rsidR="00AC7B52" w:rsidRPr="00AC7B52" w:rsidRDefault="00AC7B52" w:rsidP="00AC7B52">
      <w:pPr>
        <w:rPr>
          <w:lang w:eastAsia="pt-PT"/>
        </w:rPr>
      </w:pPr>
    </w:p>
    <w:p w14:paraId="0134B6B1" w14:textId="5550AED7" w:rsidR="00D242E1" w:rsidRDefault="00D242E1" w:rsidP="00D242E1">
      <w:pPr>
        <w:pStyle w:val="Caption"/>
        <w:keepNext/>
      </w:pPr>
      <w:bookmarkStart w:id="69" w:name="_Toc195986386"/>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5</w:t>
      </w:r>
      <w:r w:rsidR="00A56DEE">
        <w:fldChar w:fldCharType="end"/>
      </w:r>
      <w:r>
        <w:t xml:space="preserve"> – Structural statistics for the secondary subjects</w:t>
      </w:r>
      <w:bookmarkEnd w:id="69"/>
    </w:p>
    <w:tbl>
      <w:tblPr>
        <w:tblStyle w:val="GridTable1Light-Accent3"/>
        <w:tblW w:w="9329" w:type="dxa"/>
        <w:jc w:val="center"/>
        <w:tblLook w:val="04A0" w:firstRow="1" w:lastRow="0" w:firstColumn="1" w:lastColumn="0" w:noHBand="0" w:noVBand="1"/>
      </w:tblPr>
      <w:tblGrid>
        <w:gridCol w:w="3114"/>
        <w:gridCol w:w="1006"/>
        <w:gridCol w:w="964"/>
        <w:gridCol w:w="1057"/>
        <w:gridCol w:w="1188"/>
        <w:gridCol w:w="1436"/>
        <w:gridCol w:w="829"/>
      </w:tblGrid>
      <w:tr w:rsidR="00B135D1" w:rsidRPr="00AB5C75" w14:paraId="289D5E74" w14:textId="77777777" w:rsidTr="008E5503">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741"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436"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829"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2B7BD5" w:rsidRPr="00AB5C75" w14:paraId="3B11CCE3"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741"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741"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29D633" w14:textId="24937609"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741"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741"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741"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741"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741"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8E5503">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741"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8E5503">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741"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7F6F1592" w14:textId="77777777" w:rsidR="00AC7B52" w:rsidRDefault="00AC7B52" w:rsidP="005D2B47">
      <w:pPr>
        <w:pStyle w:val="Listanumerada1"/>
        <w:numPr>
          <w:ilvl w:val="0"/>
          <w:numId w:val="0"/>
        </w:numPr>
        <w:spacing w:after="200" w:line="276" w:lineRule="auto"/>
      </w:pPr>
    </w:p>
    <w:p w14:paraId="39572F51" w14:textId="1EE0589C" w:rsidR="005D2B47" w:rsidRPr="005D2B47" w:rsidRDefault="005D2B47" w:rsidP="00D77FC2">
      <w:pPr>
        <w:pStyle w:val="Listanumerada1"/>
        <w:numPr>
          <w:ilvl w:val="0"/>
          <w:numId w:val="0"/>
        </w:numPr>
        <w:spacing w:after="200" w:line="276" w:lineRule="auto"/>
        <w:contextualSpacing w:val="0"/>
        <w:rPr>
          <w:b/>
          <w:sz w:val="20"/>
          <w:szCs w:val="20"/>
        </w:rPr>
      </w:pPr>
      <w:r>
        <w:t>From the modularity, assortativity</w:t>
      </w:r>
      <w:r w:rsidR="0041131B">
        <w:t>,</w:t>
      </w:r>
      <w:r>
        <w:t xml:space="preserve"> and structural network statistics</w:t>
      </w:r>
      <w:r w:rsidR="0041131B">
        <w:t>,</w:t>
      </w:r>
      <w:r>
        <w:t xml:space="preserve"> we can interpret that the most multi-polarized secondary subjects are </w:t>
      </w:r>
      <w:r w:rsidR="006904A3">
        <w:t>“</w:t>
      </w:r>
      <w:r w:rsidRPr="00095D0A">
        <w:t>Common foreign and security policy</w:t>
      </w:r>
      <w:r w:rsidR="006904A3">
        <w:t>”</w:t>
      </w:r>
      <w:r>
        <w:t xml:space="preserve">, </w:t>
      </w:r>
      <w:r w:rsidR="006904A3">
        <w:t>“</w:t>
      </w:r>
      <w:r>
        <w:t>Common commercial policy in general</w:t>
      </w:r>
      <w:r w:rsidR="006904A3">
        <w:t>”</w:t>
      </w:r>
      <w:r>
        <w:t xml:space="preserve">, </w:t>
      </w:r>
      <w:r w:rsidR="00D01E1D">
        <w:t>“</w:t>
      </w:r>
      <w:r>
        <w:t>Relations with third countries</w:t>
      </w:r>
      <w:r w:rsidR="00D01E1D">
        <w:t>”</w:t>
      </w:r>
      <w:r>
        <w:t xml:space="preserve"> and </w:t>
      </w:r>
      <w:r w:rsidR="00D01E1D">
        <w:t>“</w:t>
      </w:r>
      <w:r>
        <w:t>Environmental policy</w:t>
      </w:r>
      <w:r w:rsidR="00D01E1D">
        <w:t>”</w:t>
      </w:r>
      <w:r>
        <w:t xml:space="preserve">. </w:t>
      </w:r>
      <w:r>
        <w:lastRenderedPageBreak/>
        <w:t xml:space="preserve">Meanwhile, </w:t>
      </w:r>
      <w:r w:rsidR="008237EF">
        <w:t>“</w:t>
      </w:r>
      <w:r>
        <w:t>Information and communications in general</w:t>
      </w:r>
      <w:r w:rsidR="008C07DF">
        <w:t>”</w:t>
      </w:r>
      <w:r>
        <w:t xml:space="preserve"> exhibits a significant two-bloc polarization. On the other hand, the most cooperative secondary subjects are </w:t>
      </w:r>
      <w:r w:rsidR="00033405">
        <w:t>“</w:t>
      </w:r>
      <w:r>
        <w:t>Budget of the Union</w:t>
      </w:r>
      <w:r w:rsidR="00033405">
        <w:t>”</w:t>
      </w:r>
      <w:r>
        <w:t xml:space="preserve">, </w:t>
      </w:r>
      <w:r w:rsidR="00033405">
        <w:t>“</w:t>
      </w:r>
      <w:r>
        <w:t>Agricultural policies and economies</w:t>
      </w:r>
      <w:r w:rsidR="00033405">
        <w:t>”</w:t>
      </w:r>
      <w:r w:rsidR="003030C0">
        <w:t>,</w:t>
      </w:r>
      <w:r>
        <w:t xml:space="preserve"> and </w:t>
      </w:r>
      <w:r w:rsidR="00033405">
        <w:t>“</w:t>
      </w:r>
      <w:r>
        <w:t>Social policy, social charter and protocol</w:t>
      </w:r>
      <w:r w:rsidR="00033405">
        <w:t>”</w:t>
      </w:r>
      <w:r>
        <w:t>.</w:t>
      </w:r>
    </w:p>
    <w:p w14:paraId="5A530111" w14:textId="58D9FE83" w:rsidR="00010361" w:rsidRDefault="006677A0" w:rsidP="00D77FC2">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Table 5.</w:t>
      </w:r>
      <w:r w:rsidR="005B7BD5">
        <w:t>6</w:t>
      </w:r>
      <w:r w:rsidR="00B03628">
        <w:t>.</w:t>
      </w:r>
    </w:p>
    <w:p w14:paraId="162C590D" w14:textId="6ABDC76B" w:rsidR="005B7BD5" w:rsidRDefault="005B7BD5" w:rsidP="005B7BD5">
      <w:pPr>
        <w:pStyle w:val="Caption"/>
        <w:keepNext/>
      </w:pPr>
      <w:bookmarkStart w:id="70" w:name="_Toc195986387"/>
      <w:r>
        <w:t xml:space="preserve">Table </w:t>
      </w:r>
      <w:r w:rsidR="00A56DEE">
        <w:fldChar w:fldCharType="begin"/>
      </w:r>
      <w:r w:rsidR="00A56DEE">
        <w:instrText xml:space="preserve"> STYLEREF 1 \s </w:instrText>
      </w:r>
      <w:r w:rsidR="00A56DEE">
        <w:fldChar w:fldCharType="separate"/>
      </w:r>
      <w:r w:rsidR="00ED6021">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ED6021">
        <w:rPr>
          <w:noProof/>
        </w:rPr>
        <w:t>6</w:t>
      </w:r>
      <w:r w:rsidR="00A56DEE">
        <w:fldChar w:fldCharType="end"/>
      </w:r>
      <w:r>
        <w:t xml:space="preserve"> – Modularities and assortativities differences between all subjects and the secondary subjects</w:t>
      </w:r>
      <w:bookmarkEnd w:id="70"/>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Optimal modularity</w:t>
            </w:r>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modularity</w:t>
            </w:r>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modularity</w:t>
            </w:r>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assortativity</w:t>
            </w:r>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assortativity</w:t>
            </w:r>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4609C40A"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4BB7353B"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77373">
              <w:rPr>
                <w:sz w:val="18"/>
                <w:szCs w:val="18"/>
              </w:rPr>
              <w:t>0</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006E809F"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sidR="006D3AB5">
              <w:rPr>
                <w:sz w:val="18"/>
                <w:szCs w:val="18"/>
              </w:rPr>
              <w:t>0</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68ED17B3"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74693E">
              <w:rPr>
                <w:sz w:val="18"/>
                <w:szCs w:val="18"/>
              </w:rPr>
              <w:t>0</w:t>
            </w:r>
          </w:p>
        </w:tc>
        <w:tc>
          <w:tcPr>
            <w:tcW w:w="1042" w:type="dxa"/>
            <w:noWrap/>
            <w:vAlign w:val="center"/>
            <w:hideMark/>
          </w:tcPr>
          <w:p w14:paraId="7F6858D3" w14:textId="3EBA1598"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048D1">
              <w:rPr>
                <w:sz w:val="18"/>
                <w:szCs w:val="18"/>
              </w:rPr>
              <w:t>0</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488566ED"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sidR="007A4243">
              <w:rPr>
                <w:sz w:val="18"/>
                <w:szCs w:val="18"/>
              </w:rPr>
              <w:t>0</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20A815ED" w14:textId="317378A0" w:rsidR="00CE00EA" w:rsidRDefault="006B11A8" w:rsidP="005D2CD6">
      <w:pPr>
        <w:tabs>
          <w:tab w:val="left" w:pos="6613"/>
        </w:tabs>
      </w:pPr>
      <w:r>
        <w:t>The subjects</w:t>
      </w:r>
      <w:r w:rsidRPr="00066DD1">
        <w:t xml:space="preserve"> </w:t>
      </w:r>
      <w:r w:rsidR="00466868">
        <w:t>“</w:t>
      </w:r>
      <w:r w:rsidRPr="00066DD1">
        <w:t>Budget of the Union</w:t>
      </w:r>
      <w:r w:rsidR="00466868">
        <w:t>”</w:t>
      </w:r>
      <w:r w:rsidRPr="00066DD1">
        <w:t xml:space="preserve">, </w:t>
      </w:r>
      <w:r w:rsidR="00466868">
        <w:t>“</w:t>
      </w:r>
      <w:r w:rsidRPr="00066DD1">
        <w:t xml:space="preserve">Social </w:t>
      </w:r>
      <w:r w:rsidR="002816DB">
        <w:t>p</w:t>
      </w:r>
      <w:r w:rsidRPr="00066DD1">
        <w:t xml:space="preserve">olicy, </w:t>
      </w:r>
      <w:r w:rsidR="00274C2A">
        <w:t>s</w:t>
      </w:r>
      <w:r w:rsidRPr="00066DD1">
        <w:t xml:space="preserve">ocial </w:t>
      </w:r>
      <w:r w:rsidR="00274C2A">
        <w:t>c</w:t>
      </w:r>
      <w:r w:rsidRPr="00066DD1">
        <w:t xml:space="preserve">harter and </w:t>
      </w:r>
      <w:r w:rsidR="00274C2A">
        <w:t>p</w:t>
      </w:r>
      <w:r w:rsidRPr="00066DD1">
        <w:t>rotocol</w:t>
      </w:r>
      <w:r w:rsidR="00466868">
        <w:t>”</w:t>
      </w:r>
      <w:r w:rsidRPr="00066DD1">
        <w:t xml:space="preserve">, and </w:t>
      </w:r>
      <w:r w:rsidR="00466868">
        <w:t>“</w:t>
      </w:r>
      <w:r w:rsidRPr="00066DD1">
        <w:t xml:space="preserve">Agricultural </w:t>
      </w:r>
      <w:r w:rsidR="001405BE">
        <w:t>p</w:t>
      </w:r>
      <w:r w:rsidRPr="00066DD1">
        <w:t xml:space="preserve">olicies and </w:t>
      </w:r>
      <w:r w:rsidR="001405BE">
        <w:t>e</w:t>
      </w:r>
      <w:r w:rsidRPr="00066DD1">
        <w:t>conomies</w:t>
      </w:r>
      <w:r w:rsidR="00466868">
        <w:t>”</w:t>
      </w:r>
      <w:r w:rsidRPr="00066DD1">
        <w:t xml:space="preserve">, which we earlier identified as the least multi-polarized secondary subjects, also show </w:t>
      </w:r>
      <w:r>
        <w:t>lower</w:t>
      </w:r>
      <w:r w:rsidRPr="00066DD1">
        <w:t xml:space="preserve"> values of optimal modularity relative to </w:t>
      </w:r>
      <w:r w:rsidR="006D0FE1">
        <w:t>all subjects</w:t>
      </w:r>
      <w:r w:rsidR="00314278">
        <w:t>. I</w:t>
      </w:r>
      <w:r w:rsidRPr="00066DD1">
        <w:t xml:space="preserve">n other words, these three subjects exhibit </w:t>
      </w:r>
      <w:r w:rsidR="00F874FC">
        <w:t xml:space="preserve">a </w:t>
      </w:r>
      <w:r w:rsidRPr="00066DD1">
        <w:t xml:space="preserve">lower multi-polarization than seen in the </w:t>
      </w:r>
      <w:r w:rsidR="00AD2A40">
        <w:t>all subjects</w:t>
      </w:r>
      <w:r w:rsidR="004D238A">
        <w:t>’</w:t>
      </w:r>
      <w:r w:rsidRPr="00066DD1">
        <w:t xml:space="preserve"> voting network. Meanwhile, all other secondary subjects surpass the </w:t>
      </w:r>
      <w:r w:rsidR="00D17A4C">
        <w:t>all subjects</w:t>
      </w:r>
      <w:r w:rsidR="00573604">
        <w:t xml:space="preserve"> </w:t>
      </w:r>
      <w:r w:rsidRPr="00066DD1">
        <w:t xml:space="preserve">level in terms of multi-polarization, </w:t>
      </w:r>
      <w:r>
        <w:t>except</w:t>
      </w:r>
      <w:r w:rsidRPr="00066DD1">
        <w:t xml:space="preserve"> </w:t>
      </w:r>
      <w:r w:rsidR="004D238A">
        <w:t>“</w:t>
      </w:r>
      <w:r w:rsidRPr="00066DD1">
        <w:t xml:space="preserve">Information and </w:t>
      </w:r>
      <w:r w:rsidR="002816DB">
        <w:t>c</w:t>
      </w:r>
      <w:r w:rsidRPr="00066DD1">
        <w:t xml:space="preserve">ommunications in </w:t>
      </w:r>
      <w:r w:rsidR="002816DB" w:rsidRPr="00AD4C07">
        <w:t>g</w:t>
      </w:r>
      <w:r w:rsidRPr="00AD4C07">
        <w:t>eneral</w:t>
      </w:r>
      <w:r w:rsidR="004D238A">
        <w:t>”</w:t>
      </w:r>
      <w:r w:rsidRPr="00066DD1">
        <w:t>, which edges toward two-</w:t>
      </w:r>
      <w:r>
        <w:t>bloc</w:t>
      </w:r>
      <w:r w:rsidRPr="00066DD1">
        <w:t xml:space="preserve"> polarization rather than multi-polarization, owing to its two </w:t>
      </w:r>
      <w:r w:rsidR="00AD4C07">
        <w:t>relevant</w:t>
      </w:r>
      <w:r w:rsidRPr="00066DD1">
        <w:t xml:space="preserve"> communities.</w:t>
      </w:r>
      <w:r w:rsidR="005D2CD6">
        <w:t xml:space="preserve"> </w:t>
      </w:r>
      <w:r w:rsidRPr="00066DD1">
        <w:t xml:space="preserve">From the group perspective, these same three lesser </w:t>
      </w:r>
      <w:r>
        <w:t>multi-</w:t>
      </w:r>
      <w:r w:rsidRPr="00066DD1">
        <w:t>polarized subjects also register</w:t>
      </w:r>
      <w:r>
        <w:t xml:space="preserve"> a</w:t>
      </w:r>
      <w:r w:rsidRPr="00066DD1">
        <w:t xml:space="preserve"> lower group modularity and group assortativity than </w:t>
      </w:r>
      <w:r w:rsidR="00812738">
        <w:t>all subjects</w:t>
      </w:r>
      <w:r w:rsidRPr="00066DD1">
        <w:t xml:space="preserve">. Such a comparative decrease indicates that, in these </w:t>
      </w:r>
      <w:r>
        <w:t>secondary subjects</w:t>
      </w:r>
      <w:r w:rsidRPr="00066DD1">
        <w:t xml:space="preserve">, </w:t>
      </w:r>
      <w:r>
        <w:t>group</w:t>
      </w:r>
      <w:r w:rsidRPr="00066DD1">
        <w:t xml:space="preserve"> membership exerts a weaker influence on voting patterns than it does in </w:t>
      </w:r>
      <w:r w:rsidR="00672DCE">
        <w:t>all subjects</w:t>
      </w:r>
      <w:r w:rsidRPr="00066DD1">
        <w:t xml:space="preserve">. By contrast, all other secondary subjects intensify the role of </w:t>
      </w:r>
      <w:r>
        <w:t>group</w:t>
      </w:r>
      <w:r w:rsidRPr="00066DD1">
        <w:t xml:space="preserve"> affiliation in co-voting dynamics.</w:t>
      </w:r>
      <w:r w:rsidR="005D2CD6">
        <w:t xml:space="preserve"> </w:t>
      </w:r>
      <w:r w:rsidRPr="00066DD1">
        <w:t xml:space="preserve">Regarding </w:t>
      </w:r>
      <w:r>
        <w:t xml:space="preserve">MEP </w:t>
      </w:r>
      <w:r w:rsidRPr="00066DD1">
        <w:t xml:space="preserve">nationality, every secondary subject surpasses the </w:t>
      </w:r>
      <w:r w:rsidR="000A0102">
        <w:t>all subjects</w:t>
      </w:r>
      <w:r w:rsidR="00EF6565">
        <w:t xml:space="preserve"> </w:t>
      </w:r>
      <w:r w:rsidRPr="00066DD1">
        <w:t xml:space="preserve">level baseline for nationality modularity and nationality assortativity. While the overall increments remain relatively modest, except in </w:t>
      </w:r>
      <w:r w:rsidR="00EF6565">
        <w:t>“</w:t>
      </w:r>
      <w:r w:rsidRPr="00066DD1">
        <w:t xml:space="preserve">Information and </w:t>
      </w:r>
      <w:r w:rsidR="00DC4B90">
        <w:t>c</w:t>
      </w:r>
      <w:r w:rsidRPr="00066DD1">
        <w:t xml:space="preserve">ommunications in </w:t>
      </w:r>
      <w:r w:rsidR="00DC4B90">
        <w:t>g</w:t>
      </w:r>
      <w:r w:rsidRPr="00066DD1">
        <w:t>eneral</w:t>
      </w:r>
      <w:r w:rsidR="00EF6565">
        <w:t>”</w:t>
      </w:r>
      <w:r w:rsidR="00573604">
        <w:t xml:space="preserve">, </w:t>
      </w:r>
      <w:r w:rsidRPr="00066DD1">
        <w:t>where the nationality difference is conspicuously large</w:t>
      </w:r>
      <w:r w:rsidR="00573604">
        <w:t xml:space="preserve">, </w:t>
      </w:r>
      <w:r w:rsidRPr="00066DD1">
        <w:t xml:space="preserve">this pattern implies that MEPs’ country of origin holds a somewhat more significant role in shaping voting communities than observed in the </w:t>
      </w:r>
      <w:r w:rsidR="001F373F">
        <w:t>all subjects</w:t>
      </w:r>
      <w:r w:rsidRPr="00066DD1">
        <w:t>’ network.</w:t>
      </w:r>
    </w:p>
    <w:p w14:paraId="54E12B61" w14:textId="7E45E543" w:rsidR="00906560" w:rsidRPr="007C4C41" w:rsidRDefault="00906560" w:rsidP="00232FD9">
      <w:pPr>
        <w:pStyle w:val="Heading1"/>
      </w:pPr>
      <w:bookmarkStart w:id="71" w:name="_Toc410990275"/>
      <w:bookmarkStart w:id="72" w:name="_Toc410990287"/>
      <w:bookmarkStart w:id="73" w:name="_Toc412186400"/>
      <w:bookmarkStart w:id="74" w:name="_Toc412186505"/>
      <w:bookmarkStart w:id="75" w:name="_Toc412186530"/>
      <w:bookmarkStart w:id="76" w:name="_Toc412186601"/>
      <w:bookmarkStart w:id="77" w:name="_Toc412186631"/>
      <w:bookmarkStart w:id="78" w:name="_Toc115296809"/>
      <w:bookmarkStart w:id="79" w:name="_Toc144288767"/>
      <w:bookmarkStart w:id="80" w:name="_Toc144289845"/>
      <w:bookmarkStart w:id="81" w:name="_Toc146516594"/>
      <w:bookmarkStart w:id="82" w:name="_Toc146547691"/>
      <w:bookmarkStart w:id="83" w:name="_Toc195986361"/>
      <w:r w:rsidRPr="007C4C41">
        <w:lastRenderedPageBreak/>
        <w:t>Conclusions</w:t>
      </w:r>
      <w:bookmarkEnd w:id="71"/>
      <w:bookmarkEnd w:id="72"/>
      <w:bookmarkEnd w:id="73"/>
      <w:bookmarkEnd w:id="74"/>
      <w:bookmarkEnd w:id="75"/>
      <w:bookmarkEnd w:id="76"/>
      <w:bookmarkEnd w:id="77"/>
      <w:r w:rsidRPr="007C4C41">
        <w:t xml:space="preserve"> and </w:t>
      </w:r>
      <w:r w:rsidR="004D7637" w:rsidRPr="007C4C41">
        <w:t>F</w:t>
      </w:r>
      <w:r w:rsidRPr="007C4C41">
        <w:t xml:space="preserve">uture </w:t>
      </w:r>
      <w:bookmarkEnd w:id="78"/>
      <w:bookmarkEnd w:id="79"/>
      <w:bookmarkEnd w:id="80"/>
      <w:bookmarkEnd w:id="81"/>
      <w:bookmarkEnd w:id="82"/>
      <w:r w:rsidR="004D7637" w:rsidRPr="007C4C41">
        <w:t>R</w:t>
      </w:r>
      <w:r w:rsidR="005D7FD2" w:rsidRPr="007C4C41">
        <w:t>esearch</w:t>
      </w:r>
      <w:bookmarkEnd w:id="83"/>
    </w:p>
    <w:p w14:paraId="3CFF6030" w14:textId="77777777" w:rsidR="00A77898" w:rsidRDefault="00F87111" w:rsidP="00F87111">
      <w:r w:rsidRPr="003C7346">
        <w:t xml:space="preserve">This </w:t>
      </w:r>
      <w:r w:rsidR="00A77898">
        <w:t>thesis set out to investigate the structure of political (multi)polarization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SDSM,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Euroscepticism versus Euroenthusiasm</w:t>
      </w:r>
      <w:r w:rsidR="003A19A7">
        <w:t xml:space="preserve"> – </w:t>
      </w:r>
      <w:r w:rsidRPr="000F3531">
        <w:t>that cuts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modularities,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784566AF"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term. HowTheyVote.eu continues to collect roll-call voting data, thereby enabling a longitudinal perspective on how (multi)polarization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inclusive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84" w:name="_Toc410990277"/>
      <w:bookmarkStart w:id="85" w:name="_Toc410990289"/>
      <w:bookmarkStart w:id="86" w:name="_Toc412186402"/>
      <w:bookmarkStart w:id="87" w:name="_Toc412186507"/>
      <w:bookmarkStart w:id="88" w:name="_Toc412186532"/>
      <w:bookmarkStart w:id="89" w:name="_Toc412186603"/>
      <w:bookmarkStart w:id="90" w:name="_Toc412186633"/>
      <w:bookmarkStart w:id="91" w:name="_Toc115296810"/>
      <w:bookmarkStart w:id="92" w:name="_Toc144288768"/>
      <w:bookmarkStart w:id="93" w:name="_Toc144289846"/>
      <w:bookmarkStart w:id="94" w:name="_Toc146516595"/>
      <w:bookmarkStart w:id="95" w:name="_Toc146547692"/>
      <w:bookmarkStart w:id="96" w:name="_Toc195986362"/>
      <w:r w:rsidRPr="00825F37">
        <w:rPr>
          <w:lang w:val="pt-PT"/>
        </w:rPr>
        <w:lastRenderedPageBreak/>
        <w:t>Bibliograph</w:t>
      </w:r>
      <w:bookmarkEnd w:id="84"/>
      <w:bookmarkEnd w:id="85"/>
      <w:bookmarkEnd w:id="86"/>
      <w:bookmarkEnd w:id="87"/>
      <w:bookmarkEnd w:id="88"/>
      <w:bookmarkEnd w:id="89"/>
      <w:bookmarkEnd w:id="90"/>
      <w:r w:rsidRPr="00825F37">
        <w:rPr>
          <w:lang w:val="pt-PT"/>
        </w:rPr>
        <w:t>ical R</w:t>
      </w:r>
      <w:r w:rsidR="005D01A7" w:rsidRPr="00825F37">
        <w:rPr>
          <w:lang w:val="pt-PT"/>
        </w:rPr>
        <w:t>eferences</w:t>
      </w:r>
      <w:bookmarkEnd w:id="91"/>
      <w:bookmarkEnd w:id="92"/>
      <w:bookmarkEnd w:id="93"/>
      <w:bookmarkEnd w:id="94"/>
      <w:bookmarkEnd w:id="95"/>
      <w:bookmarkEnd w:id="96"/>
    </w:p>
    <w:p w14:paraId="5E2C45F1" w14:textId="22F172CA" w:rsidR="002336C7" w:rsidRPr="00145702" w:rsidRDefault="002336C7" w:rsidP="00296846">
      <w:pPr>
        <w:rPr>
          <w:rFonts w:asciiTheme="minorHAnsi" w:eastAsia="Times New Roman" w:hAnsiTheme="minorHAnsi" w:cstheme="minorHAnsi"/>
        </w:rPr>
      </w:pPr>
      <w:r w:rsidRPr="00386770">
        <w:rPr>
          <w:rFonts w:asciiTheme="minorHAnsi" w:eastAsia="Times New Roman" w:hAnsiTheme="minorHAnsi" w:cstheme="minorHAnsi"/>
          <w:lang w:val="pt-PT"/>
        </w:rPr>
        <w:t xml:space="preserve">Apergis,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7"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Arbatli, E., &amp; Rosenberg, D. (2021). United we stand, divided we rule: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8"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Majlesi,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9"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Bor,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30"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Börzel, T. A., Broniecki, P., Hartlapp, M., &amp; Obholzer,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31"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32"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Dustmann,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33"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Cherepnalkoski,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4"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Colantone, I., &amp; Stanig,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5"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6"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Peydró,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7"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8"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9"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40"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Dustmann,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41"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42"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r w:rsidRPr="00A438CD">
        <w:rPr>
          <w:rFonts w:asciiTheme="minorHAnsi" w:eastAsia="Times New Roman" w:hAnsiTheme="minorHAnsi" w:cstheme="minorHAnsi"/>
          <w:lang w:val="pt-PT"/>
        </w:rPr>
        <w:t xml:space="preserve">Fuks,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43"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r w:rsidRPr="00F762E0">
        <w:rPr>
          <w:rFonts w:asciiTheme="minorHAnsi" w:eastAsia="Times New Roman" w:hAnsiTheme="minorHAnsi" w:cstheme="minorHAnsi"/>
          <w:lang w:val="pt-PT"/>
        </w:rPr>
        <w:t xml:space="preserve">Funke, M., Schularick, M., &amp; Trebesch,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4"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5"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6"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Gestefeld,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7"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Grechyna,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8" w:history="1">
        <w:r w:rsidRPr="00A438CD">
          <w:rPr>
            <w:rStyle w:val="Hyperlink"/>
            <w:rFonts w:asciiTheme="minorHAnsi" w:eastAsia="Times New Roman" w:hAnsiTheme="minorHAnsi" w:cstheme="minorHAnsi"/>
          </w:rPr>
          <w:t>https://doi.org/10.1016/j.econlet.2016.04.018</w:t>
        </w:r>
      </w:hyperlink>
    </w:p>
    <w:p w14:paraId="123F7DF0" w14:textId="7777777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9" w:history="1">
        <w:r w:rsidRPr="00A438CD">
          <w:rPr>
            <w:rStyle w:val="Hyperlink"/>
            <w:rFonts w:asciiTheme="minorHAnsi" w:eastAsia="Times New Roman" w:hAnsiTheme="minorHAnsi" w:cstheme="minorHAnsi"/>
          </w:rPr>
          <w:t>https://doi.org/10.1007/978-3-031-08974-9_12</w:t>
        </w:r>
      </w:hyperlink>
    </w:p>
    <w:p w14:paraId="28CF15C3" w14:textId="77777777" w:rsidR="002336C7" w:rsidRPr="00A438CD" w:rsidRDefault="002336C7" w:rsidP="002336C7">
      <w:pPr>
        <w:spacing w:after="0" w:line="240" w:lineRule="auto"/>
        <w:rPr>
          <w:rFonts w:asciiTheme="minorHAnsi" w:eastAsia="Times New Roman" w:hAnsiTheme="minorHAnsi" w:cstheme="minorHAnsi"/>
        </w:rPr>
      </w:pPr>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Halla, M., Wagner, A. F., &amp; Zweimüller,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50"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51"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52"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53"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4"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5"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Huijsmans,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6"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7"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8"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9"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60"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61"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62"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lastRenderedPageBreak/>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63"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4"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5"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Somer-Topcu,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6"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Markus, A., Smith, B., &amp; Hancocks,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7"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8"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Polarized America The Dance of Ideology and Unequal Riches</w:t>
      </w:r>
      <w:r w:rsidRPr="00C75AB1">
        <w:rPr>
          <w:rFonts w:asciiTheme="minorHAnsi" w:eastAsia="Times New Roman" w:hAnsiTheme="minorHAnsi" w:cstheme="minorHAnsi"/>
        </w:rPr>
        <w:t xml:space="preserve">. </w:t>
      </w:r>
      <w:hyperlink r:id="rId69"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70"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71"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72"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73"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4"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5"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692859C7" w14:textId="1068773E" w:rsidR="002336C7" w:rsidRPr="00A438CD" w:rsidRDefault="002336C7" w:rsidP="001D6AF1">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Patkós, V. (2023). 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6"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Spirling,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7"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8" w:history="1">
        <w:r w:rsidRPr="000F4449">
          <w:rPr>
            <w:rStyle w:val="Hyperlink"/>
            <w:rFonts w:asciiTheme="minorHAnsi" w:eastAsia="Times New Roman" w:hAnsiTheme="minorHAnsi" w:cstheme="minorHAnsi"/>
          </w:rPr>
          <w:t>https://www.pewresearch.org/politics/2014/06/12/political-polarization-in-the-american-public/</w:t>
        </w:r>
      </w:hyperlink>
    </w:p>
    <w:p w14:paraId="07F28FF4" w14:textId="530F46B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9"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Servent,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80"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81"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2" w:history="1">
        <w:r w:rsidRPr="00A438CD">
          <w:rPr>
            <w:rStyle w:val="Hyperlink"/>
            <w:rFonts w:asciiTheme="minorHAnsi" w:eastAsia="Times New Roman" w:hAnsiTheme="minorHAnsi" w:cstheme="minorHAnsi"/>
          </w:rPr>
          <w:t>https://doi.org/10.1007/s11109-015-9323-7</w:t>
        </w:r>
      </w:hyperlink>
    </w:p>
    <w:p w14:paraId="5015245E" w14:textId="18C50651"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3"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polarisation compared: creating the comparative political polarisation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4"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39A3827F" w14:textId="77777777" w:rsidR="001653EF" w:rsidRDefault="001653EF" w:rsidP="0063161C">
      <w:pPr>
        <w:rPr>
          <w:lang w:eastAsia="pt-PT"/>
        </w:rPr>
      </w:pPr>
    </w:p>
    <w:p w14:paraId="27C2114D" w14:textId="77777777" w:rsidR="001653EF" w:rsidRDefault="001653EF" w:rsidP="0063161C">
      <w:pPr>
        <w:rPr>
          <w:lang w:eastAsia="pt-PT"/>
        </w:rPr>
      </w:pPr>
    </w:p>
    <w:p w14:paraId="209FF9B7" w14:textId="77777777" w:rsidR="001653EF" w:rsidRDefault="001653EF" w:rsidP="0063161C">
      <w:pPr>
        <w:rPr>
          <w:lang w:eastAsia="pt-PT"/>
        </w:rPr>
      </w:pPr>
    </w:p>
    <w:p w14:paraId="7D943630"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97" w:name="_Toc195986363"/>
      <w:r w:rsidRPr="007C4C41">
        <w:lastRenderedPageBreak/>
        <w:t xml:space="preserve">Appendix </w:t>
      </w:r>
      <w:r>
        <w:t>A</w:t>
      </w:r>
      <w:bookmarkEnd w:id="97"/>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77777777" w:rsidR="00D238EB" w:rsidRPr="007C4C41" w:rsidRDefault="00D238EB" w:rsidP="00D238EB">
      <w:r w:rsidRPr="007C4C41">
        <w:t>The EP is the only directly elected supranational institution within the EU and serves as its legislative branch. It plays a central role in the EU's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The COVID-19 pandemic (2020–2022): The outbreak of the coronavirus pandemic triggered an unprecedented public health and economic crisis, leading the EP to adopt emergency measures, including the NextGenerationEU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47617F">
      <w:pPr>
        <w:pStyle w:val="ListParagraph"/>
        <w:numPr>
          <w:ilvl w:val="0"/>
          <w:numId w:val="17"/>
        </w:numPr>
      </w:pPr>
      <w:r w:rsidRPr="007C4C41">
        <w:t>Abolition of the UK’s 73 seats: The departure of UK MEPs resulted in a significant political realignment within the EP, affecting the balance of power among the political groups.</w:t>
      </w:r>
    </w:p>
    <w:p w14:paraId="510CBABB" w14:textId="77777777" w:rsidR="0047617F" w:rsidRPr="007C4C41" w:rsidRDefault="0047617F" w:rsidP="0047617F">
      <w:pPr>
        <w:pStyle w:val="ListParagraph"/>
        <w:numPr>
          <w:ilvl w:val="0"/>
          <w:numId w:val="17"/>
        </w:numPr>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1E7D1355" w14:textId="70646F99" w:rsidR="00D238EB" w:rsidRDefault="0047617F" w:rsidP="0047617F">
      <w:r w:rsidRPr="007C4C41">
        <w:t>As a result, the composition of the EP before and after Brexit was as follows:</w:t>
      </w:r>
    </w:p>
    <w:p w14:paraId="3BE2F591" w14:textId="6051B924" w:rsidR="0047617F" w:rsidRDefault="003D7591" w:rsidP="003D7591">
      <w:pPr>
        <w:jc w:val="center"/>
        <w:rPr>
          <w:lang w:eastAsia="pt-PT"/>
        </w:rPr>
      </w:pPr>
      <w:r>
        <w:rPr>
          <w:noProof/>
        </w:rPr>
        <w:lastRenderedPageBreak/>
        <w:drawing>
          <wp:inline distT="0" distB="0" distL="0" distR="0" wp14:anchorId="3A3891BD" wp14:editId="273BDC93">
            <wp:extent cx="3114000" cy="5259600"/>
            <wp:effectExtent l="0" t="0" r="0" b="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89C9A33" w14:textId="77777777" w:rsidR="00374E7E" w:rsidRDefault="00374E7E" w:rsidP="003D7591">
      <w:pPr>
        <w:jc w:val="center"/>
        <w:rPr>
          <w:lang w:eastAsia="pt-PT"/>
        </w:rPr>
      </w:pPr>
    </w:p>
    <w:p w14:paraId="75499741" w14:textId="77777777" w:rsidR="007C2A5F" w:rsidRDefault="007C2A5F" w:rsidP="003D7591">
      <w:pPr>
        <w:jc w:val="center"/>
        <w:rPr>
          <w:lang w:eastAsia="pt-PT"/>
        </w:rPr>
      </w:pPr>
    </w:p>
    <w:p w14:paraId="636C81F3" w14:textId="77777777" w:rsidR="007C2A5F" w:rsidRDefault="007C2A5F" w:rsidP="003D7591">
      <w:pPr>
        <w:jc w:val="center"/>
        <w:rPr>
          <w:lang w:eastAsia="pt-PT"/>
        </w:rPr>
      </w:pPr>
    </w:p>
    <w:p w14:paraId="3C0C2D8E" w14:textId="77777777" w:rsidR="007C2A5F" w:rsidRDefault="007C2A5F" w:rsidP="003D7591">
      <w:pPr>
        <w:jc w:val="center"/>
        <w:rPr>
          <w:lang w:eastAsia="pt-PT"/>
        </w:rPr>
      </w:pPr>
    </w:p>
    <w:p w14:paraId="3C20658E" w14:textId="77777777" w:rsidR="007C2A5F" w:rsidRDefault="007C2A5F" w:rsidP="003D7591">
      <w:pPr>
        <w:jc w:val="center"/>
        <w:rPr>
          <w:lang w:eastAsia="pt-PT"/>
        </w:rPr>
      </w:pPr>
    </w:p>
    <w:p w14:paraId="03860478" w14:textId="77777777" w:rsidR="007C2A5F" w:rsidRDefault="007C2A5F" w:rsidP="003D7591">
      <w:pPr>
        <w:jc w:val="center"/>
        <w:rPr>
          <w:lang w:eastAsia="pt-PT"/>
        </w:rPr>
      </w:pPr>
    </w:p>
    <w:p w14:paraId="366483CE" w14:textId="77777777" w:rsidR="007C2A5F" w:rsidRDefault="007C2A5F" w:rsidP="003D7591">
      <w:pPr>
        <w:jc w:val="center"/>
        <w:rPr>
          <w:lang w:eastAsia="pt-PT"/>
        </w:rPr>
      </w:pPr>
    </w:p>
    <w:p w14:paraId="1B5CAFA8" w14:textId="77777777" w:rsidR="007C2A5F" w:rsidRDefault="007C2A5F" w:rsidP="003D7591">
      <w:pPr>
        <w:jc w:val="center"/>
        <w:rPr>
          <w:lang w:eastAsia="pt-PT"/>
        </w:rPr>
      </w:pPr>
    </w:p>
    <w:p w14:paraId="6893801D" w14:textId="77777777" w:rsidR="002A0C08" w:rsidRDefault="002A0C08" w:rsidP="003D7591">
      <w:pPr>
        <w:jc w:val="center"/>
        <w:rPr>
          <w:lang w:eastAsia="pt-PT"/>
        </w:rPr>
      </w:pPr>
    </w:p>
    <w:p w14:paraId="7F8BB93E" w14:textId="77777777" w:rsidR="002A0C08" w:rsidRDefault="002A0C08" w:rsidP="003D7591">
      <w:pPr>
        <w:jc w:val="center"/>
        <w:rPr>
          <w:lang w:eastAsia="pt-PT"/>
        </w:rPr>
      </w:pPr>
    </w:p>
    <w:p w14:paraId="37A4DDD9" w14:textId="77777777" w:rsidR="00FA3B92" w:rsidRDefault="00FA3B92" w:rsidP="00FA3B92">
      <w:pPr>
        <w:pStyle w:val="Heading1"/>
        <w:numPr>
          <w:ilvl w:val="0"/>
          <w:numId w:val="0"/>
        </w:numPr>
        <w:ind w:left="284" w:hanging="284"/>
      </w:pPr>
      <w:bookmarkStart w:id="98" w:name="_Toc195986364"/>
      <w:r w:rsidRPr="007C4C41">
        <w:lastRenderedPageBreak/>
        <w:t xml:space="preserve">Appendix </w:t>
      </w:r>
      <w:r>
        <w:t>B</w:t>
      </w:r>
      <w:bookmarkEnd w:id="98"/>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77777777" w:rsidR="00FA3B92" w:rsidRPr="007C4C41" w:rsidRDefault="00FA3B92" w:rsidP="00FA3B92">
      <w:r w:rsidRPr="007C4C41">
        <w:t>The platform focuses on roll-call votes, where individual MEPs' votes are recorded and published. Not all parliamentary votes are roll-call: some are conducted via a show of hands or are secret and thus are not included in the platform's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77777777" w:rsidR="00FA3B92" w:rsidRPr="007C4C41" w:rsidRDefault="00FA3B92" w:rsidP="00FA3B92">
      <w:pPr>
        <w:rPr>
          <w:b/>
          <w:bCs/>
        </w:rPr>
      </w:pPr>
      <w:r w:rsidRPr="007C4C41">
        <w:rPr>
          <w:b/>
          <w:bCs/>
        </w:rPr>
        <w:t>Legislative Observatory of the EP</w:t>
      </w:r>
    </w:p>
    <w:p w14:paraId="0CEA6124" w14:textId="77777777" w:rsidR="00FA3B92" w:rsidRPr="007C4C41" w:rsidRDefault="00FA3B92" w:rsidP="00FA3B92">
      <w:r w:rsidRPr="007C4C41">
        <w:t>The Legislative Observatory of the EP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77777777" w:rsidR="00FA3B92" w:rsidRPr="007C4C41" w:rsidRDefault="00FA3B92" w:rsidP="00FA3B92">
      <w:r w:rsidRPr="007C4C41">
        <w:t>It provides detailed documentation, compiling references to legislative texts, proposed amendments, committee reports, plenary votes, and interinstitutional negotiations. Moreover, the Legislative Observatory</w:t>
      </w:r>
      <w:r>
        <w:t xml:space="preserve"> of the</w:t>
      </w:r>
      <w:r w:rsidRPr="007C4C41">
        <w:t xml:space="preserve"> EP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77777777" w:rsidR="00FA3B92" w:rsidRPr="007C4C41" w:rsidRDefault="00FA3B92" w:rsidP="00FA3B92">
      <w:r w:rsidRPr="007C4C41">
        <w:t xml:space="preserve">We used the Legislative Observatory 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99" w:name="_Toc195986365"/>
      <w:r w:rsidRPr="007C4C41">
        <w:lastRenderedPageBreak/>
        <w:t xml:space="preserve">Appendix </w:t>
      </w:r>
      <w:r w:rsidR="006E11FE">
        <w:t>C</w:t>
      </w:r>
      <w:bookmarkEnd w:id="99"/>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2.10.03 Standardisation, EC/EU standards and trade mark,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r w:rsidRPr="00F13657">
              <w:rPr>
                <w:sz w:val="16"/>
                <w:szCs w:val="16"/>
              </w:rPr>
              <w:t>2.40.02 Public services,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3.10.02 Processed products, agri-foodstuffs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3.10.09 Plant health legislation, organic farming, agro-genetics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3.10.12 Agrimonetary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3.20.06 Transport regulations, road safety, roadworthiness tests, driving licence</w:t>
            </w:r>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3.40.09 Defence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3.50.02 Framework programme and research programmes</w:t>
            </w:r>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3.70.13 Dangerous substances, toxic and radioactive wastes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3.70.17 European ecolabel and ecolabelling, ecodesign</w:t>
            </w:r>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4.10.10 Social protection,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4.15.05 Industrial restructuring, job losses, redundancies, relocations, Globalisation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4.15.12 Workers protection and rights, labour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4.45.02 Cultural programmes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4.70.01 Structural funds, investment funds in general, programmes</w:t>
            </w:r>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5.03 Global economy and globalisation</w:t>
            </w:r>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5.10.02 Price policy, price stabilisation</w:t>
            </w:r>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6.10.02 Common security and defence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6.20.02 Export/import control, trade defence,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6.30.01 Generalised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6.40.11 Relations with industrialised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6.40.13 Relations with/in the context of international organisations: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6.40.14 Relations with non-governmental organisations,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6.40.15 European neighbourhood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100" w:name="_Toc195986366"/>
      <w:r w:rsidRPr="007C4C41">
        <w:lastRenderedPageBreak/>
        <w:t xml:space="preserve">Appendix </w:t>
      </w:r>
      <w:r w:rsidR="00F15BA0">
        <w:t>D</w:t>
      </w:r>
      <w:bookmarkEnd w:id="100"/>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6"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77777777" w:rsidR="00BC1BCA" w:rsidRPr="007C4C41" w:rsidRDefault="00BC1BCA" w:rsidP="00BC1BCA">
      <w:pPr>
        <w:ind w:left="708"/>
      </w:pPr>
      <w:r w:rsidRPr="007C4C41">
        <w:t xml:space="preserve">The S&amp;D is the second-largest group in the EP. It is composed of social democratic, socialist, and labor parties, advocating for social justice, workers'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protections, and fair trade, while supporting regulations on big corporations to promote fairness. Economically, S&amp;D favors progressive taxation, strong social protections, and EU-wide policies to </w:t>
      </w:r>
      <w:r w:rsidRPr="007C4C41">
        <w:lastRenderedPageBreak/>
        <w:t>reduce inequality. It supports a stronger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In foreign relations, S&amp;D supports EU enlargement, global human rights, and fair trade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7C4C41">
        <w:t xml:space="preserve">In: </w:t>
      </w:r>
      <w:hyperlink r:id="rId87"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protections.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8"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7777777"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protections to reduce economic inequality. In foreign policy, </w:t>
      </w:r>
      <w:r w:rsidRPr="00490991">
        <w:t>Greens/EFA advocates fair trade,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9"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77777777"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In foreign policy, it supports international cooperation, and fair</w:t>
      </w:r>
      <w:r>
        <w:t xml:space="preserve"> </w:t>
      </w:r>
      <w:r w:rsidRPr="00052B78">
        <w:t>trade</w:t>
      </w:r>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90"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1"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77777777"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Europe.</w:t>
      </w:r>
    </w:p>
    <w:p w14:paraId="2E79D5ED" w14:textId="77777777" w:rsidR="00BC1BCA" w:rsidRDefault="00BC1BCA" w:rsidP="00BC1BCA">
      <w:pPr>
        <w:ind w:left="708"/>
        <w:jc w:val="right"/>
        <w:rPr>
          <w:i/>
          <w:iCs/>
        </w:rPr>
      </w:pPr>
      <w:r w:rsidRPr="007C4C41">
        <w:rPr>
          <w:i/>
          <w:iCs/>
        </w:rPr>
        <w:t xml:space="preserve">In: </w:t>
      </w:r>
      <w:hyperlink r:id="rId92" w:history="1">
        <w:r w:rsidRPr="000232EB">
          <w:rPr>
            <w:rStyle w:val="Hyperlink"/>
            <w:i/>
            <w:iCs/>
          </w:rPr>
          <w:t>https://patriots.eu/home</w:t>
        </w:r>
      </w:hyperlink>
    </w:p>
    <w:p w14:paraId="1310B726" w14:textId="77777777" w:rsidR="00BC1BCA" w:rsidRDefault="00BC1BCA" w:rsidP="00BC1BCA">
      <w:pPr>
        <w:ind w:left="708"/>
        <w:jc w:val="right"/>
      </w:pPr>
      <w:hyperlink r:id="rId93"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5">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8EEFFFD" w14:textId="78AC623C" w:rsidR="000276F8" w:rsidRDefault="00F92524" w:rsidP="001E3431">
      <w:pPr>
        <w:pStyle w:val="Heading1"/>
        <w:numPr>
          <w:ilvl w:val="0"/>
          <w:numId w:val="0"/>
        </w:numPr>
        <w:ind w:left="360" w:hanging="360"/>
      </w:pPr>
      <w:bookmarkStart w:id="101" w:name="_Toc195986367"/>
      <w:r w:rsidRPr="007C4C41">
        <w:lastRenderedPageBreak/>
        <w:t xml:space="preserve">Appendix </w:t>
      </w:r>
      <w:r w:rsidR="007C2A5F">
        <w:t>E</w:t>
      </w:r>
      <w:bookmarkEnd w:id="101"/>
    </w:p>
    <w:p w14:paraId="558B3FAD" w14:textId="7E6D8B47" w:rsidR="001E3431" w:rsidRPr="001E3431" w:rsidRDefault="004B3316" w:rsidP="004B3316">
      <w:pPr>
        <w:jc w:val="center"/>
        <w:rPr>
          <w:lang w:eastAsia="pt-PT"/>
        </w:rPr>
      </w:pPr>
      <w:r>
        <w:rPr>
          <w:noProof/>
          <w:lang w:eastAsia="pt-PT"/>
        </w:rPr>
        <w:drawing>
          <wp:inline distT="0" distB="0" distL="0" distR="0" wp14:anchorId="4B85197B" wp14:editId="42B8EF79">
            <wp:extent cx="4293704" cy="8236585"/>
            <wp:effectExtent l="19050" t="19050" r="12065" b="12065"/>
            <wp:docPr id="1169658181" name="Picture 3" descr="A collage of images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8181" name="Picture 3" descr="A collage of images of different colors&#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6348" cy="8260841"/>
                    </a:xfrm>
                    <a:prstGeom prst="rect">
                      <a:avLst/>
                    </a:prstGeom>
                    <a:noFill/>
                    <a:ln>
                      <a:solidFill>
                        <a:schemeClr val="tx1"/>
                      </a:solidFill>
                    </a:ln>
                  </pic:spPr>
                </pic:pic>
              </a:graphicData>
            </a:graphic>
          </wp:inline>
        </w:drawing>
      </w:r>
    </w:p>
    <w:p w14:paraId="2990EA92" w14:textId="24B4377B" w:rsidR="00E218D4" w:rsidRDefault="00E218D4" w:rsidP="00E218D4">
      <w:pPr>
        <w:pStyle w:val="Heading1"/>
        <w:numPr>
          <w:ilvl w:val="0"/>
          <w:numId w:val="0"/>
        </w:numPr>
        <w:ind w:left="284" w:hanging="284"/>
      </w:pPr>
      <w:bookmarkStart w:id="102" w:name="_Toc195986368"/>
      <w:r w:rsidRPr="007C4C41">
        <w:lastRenderedPageBreak/>
        <w:t xml:space="preserve">Appendix </w:t>
      </w:r>
      <w:r w:rsidR="007C2A5F">
        <w:t>F</w:t>
      </w:r>
      <w:bookmarkEnd w:id="102"/>
    </w:p>
    <w:p w14:paraId="64DE33F0" w14:textId="0771E4A1" w:rsidR="00E218D4" w:rsidRDefault="006E19FB" w:rsidP="006E19FB">
      <w:pPr>
        <w:jc w:val="center"/>
        <w:rPr>
          <w:lang w:eastAsia="pt-PT"/>
        </w:rPr>
      </w:pPr>
      <w:r>
        <w:rPr>
          <w:noProof/>
          <w:lang w:eastAsia="pt-PT"/>
        </w:rPr>
        <w:drawing>
          <wp:inline distT="0" distB="0" distL="0" distR="0" wp14:anchorId="375CA74A" wp14:editId="22D31873">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A4BBE" w14:textId="77777777" w:rsidR="00F01CD8" w:rsidRPr="007C4C41" w:rsidRDefault="00F01CD8" w:rsidP="00940100">
      <w:pPr>
        <w:spacing w:after="0" w:line="240" w:lineRule="auto"/>
      </w:pPr>
      <w:r w:rsidRPr="007C4C41">
        <w:separator/>
      </w:r>
    </w:p>
  </w:endnote>
  <w:endnote w:type="continuationSeparator" w:id="0">
    <w:p w14:paraId="18F4AD67" w14:textId="77777777" w:rsidR="00F01CD8" w:rsidRPr="007C4C41" w:rsidRDefault="00F01CD8" w:rsidP="00940100">
      <w:pPr>
        <w:spacing w:after="0" w:line="240" w:lineRule="auto"/>
      </w:pPr>
      <w:r w:rsidRPr="007C4C41">
        <w:continuationSeparator/>
      </w:r>
    </w:p>
  </w:endnote>
  <w:endnote w:type="continuationNotice" w:id="1">
    <w:p w14:paraId="6F28DECB" w14:textId="77777777" w:rsidR="00F01CD8" w:rsidRPr="007C4C41" w:rsidRDefault="00F01C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68E81" w14:textId="77777777" w:rsidR="00F01CD8" w:rsidRPr="007C4C41" w:rsidRDefault="00F01CD8" w:rsidP="00940100">
      <w:pPr>
        <w:spacing w:after="0" w:line="240" w:lineRule="auto"/>
      </w:pPr>
      <w:r w:rsidRPr="007C4C41">
        <w:separator/>
      </w:r>
    </w:p>
  </w:footnote>
  <w:footnote w:type="continuationSeparator" w:id="0">
    <w:p w14:paraId="54C9954E" w14:textId="77777777" w:rsidR="00F01CD8" w:rsidRPr="007C4C41" w:rsidRDefault="00F01CD8" w:rsidP="00940100">
      <w:pPr>
        <w:spacing w:after="0" w:line="240" w:lineRule="auto"/>
      </w:pPr>
      <w:r w:rsidRPr="007C4C41">
        <w:continuationSeparator/>
      </w:r>
    </w:p>
  </w:footnote>
  <w:footnote w:type="continuationNotice" w:id="1">
    <w:p w14:paraId="2A6CD03E" w14:textId="77777777" w:rsidR="00F01CD8" w:rsidRPr="007C4C41" w:rsidRDefault="00F01C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4"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5"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39"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5"/>
  </w:num>
  <w:num w:numId="2" w16cid:durableId="521894879">
    <w:abstractNumId w:val="20"/>
  </w:num>
  <w:num w:numId="3" w16cid:durableId="1693727371">
    <w:abstractNumId w:val="36"/>
  </w:num>
  <w:num w:numId="4" w16cid:durableId="1332566552">
    <w:abstractNumId w:val="35"/>
  </w:num>
  <w:num w:numId="5" w16cid:durableId="1375349146">
    <w:abstractNumId w:val="35"/>
  </w:num>
  <w:num w:numId="6" w16cid:durableId="1006324487">
    <w:abstractNumId w:val="10"/>
  </w:num>
  <w:num w:numId="7" w16cid:durableId="2043699349">
    <w:abstractNumId w:val="0"/>
  </w:num>
  <w:num w:numId="8" w16cid:durableId="966206829">
    <w:abstractNumId w:val="39"/>
  </w:num>
  <w:num w:numId="9" w16cid:durableId="817697010">
    <w:abstractNumId w:val="3"/>
  </w:num>
  <w:num w:numId="10" w16cid:durableId="74979953">
    <w:abstractNumId w:val="9"/>
  </w:num>
  <w:num w:numId="11" w16cid:durableId="1395271607">
    <w:abstractNumId w:val="28"/>
  </w:num>
  <w:num w:numId="12" w16cid:durableId="63111387">
    <w:abstractNumId w:val="17"/>
  </w:num>
  <w:num w:numId="13" w16cid:durableId="2005425668">
    <w:abstractNumId w:val="19"/>
  </w:num>
  <w:num w:numId="14" w16cid:durableId="609051287">
    <w:abstractNumId w:val="32"/>
  </w:num>
  <w:num w:numId="15" w16cid:durableId="646250806">
    <w:abstractNumId w:val="15"/>
  </w:num>
  <w:num w:numId="16" w16cid:durableId="662390579">
    <w:abstractNumId w:val="11"/>
  </w:num>
  <w:num w:numId="17" w16cid:durableId="1937053858">
    <w:abstractNumId w:val="13"/>
  </w:num>
  <w:num w:numId="18" w16cid:durableId="542449562">
    <w:abstractNumId w:val="6"/>
  </w:num>
  <w:num w:numId="19" w16cid:durableId="1866363035">
    <w:abstractNumId w:val="22"/>
  </w:num>
  <w:num w:numId="20" w16cid:durableId="1991249596">
    <w:abstractNumId w:val="38"/>
  </w:num>
  <w:num w:numId="21" w16cid:durableId="1154377859">
    <w:abstractNumId w:val="25"/>
  </w:num>
  <w:num w:numId="22" w16cid:durableId="691150762">
    <w:abstractNumId w:val="1"/>
  </w:num>
  <w:num w:numId="23" w16cid:durableId="2134051100">
    <w:abstractNumId w:val="12"/>
  </w:num>
  <w:num w:numId="24" w16cid:durableId="1266494751">
    <w:abstractNumId w:val="18"/>
  </w:num>
  <w:num w:numId="25" w16cid:durableId="827327137">
    <w:abstractNumId w:val="2"/>
  </w:num>
  <w:num w:numId="26" w16cid:durableId="20598332">
    <w:abstractNumId w:val="4"/>
  </w:num>
  <w:num w:numId="27" w16cid:durableId="469329237">
    <w:abstractNumId w:val="24"/>
  </w:num>
  <w:num w:numId="28" w16cid:durableId="1159420356">
    <w:abstractNumId w:val="16"/>
  </w:num>
  <w:num w:numId="29" w16cid:durableId="1725064249">
    <w:abstractNumId w:val="21"/>
  </w:num>
  <w:num w:numId="30" w16cid:durableId="192038151">
    <w:abstractNumId w:val="33"/>
  </w:num>
  <w:num w:numId="31" w16cid:durableId="435709723">
    <w:abstractNumId w:val="27"/>
  </w:num>
  <w:num w:numId="32" w16cid:durableId="419452616">
    <w:abstractNumId w:val="5"/>
  </w:num>
  <w:num w:numId="33" w16cid:durableId="782262350">
    <w:abstractNumId w:val="34"/>
  </w:num>
  <w:num w:numId="34" w16cid:durableId="151873215">
    <w:abstractNumId w:val="37"/>
  </w:num>
  <w:num w:numId="35" w16cid:durableId="1113403499">
    <w:abstractNumId w:val="8"/>
  </w:num>
  <w:num w:numId="36" w16cid:durableId="1294826727">
    <w:abstractNumId w:val="40"/>
  </w:num>
  <w:num w:numId="37" w16cid:durableId="2021926905">
    <w:abstractNumId w:val="31"/>
  </w:num>
  <w:num w:numId="38" w16cid:durableId="359549851">
    <w:abstractNumId w:val="26"/>
  </w:num>
  <w:num w:numId="39" w16cid:durableId="1949267409">
    <w:abstractNumId w:val="7"/>
  </w:num>
  <w:num w:numId="40" w16cid:durableId="563611139">
    <w:abstractNumId w:val="30"/>
  </w:num>
  <w:num w:numId="41" w16cid:durableId="1562787229">
    <w:abstractNumId w:val="20"/>
  </w:num>
  <w:num w:numId="42" w16cid:durableId="1810588085">
    <w:abstractNumId w:val="14"/>
  </w:num>
  <w:num w:numId="43" w16cid:durableId="1294604721">
    <w:abstractNumId w:val="29"/>
  </w:num>
  <w:num w:numId="44" w16cid:durableId="2141730207">
    <w:abstractNumId w:val="23"/>
  </w:num>
  <w:num w:numId="45" w16cid:durableId="1756779512">
    <w:abstractNumId w:val="3"/>
  </w:num>
  <w:num w:numId="46" w16cid:durableId="61428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7242"/>
    <w:rsid w:val="00007693"/>
    <w:rsid w:val="000076F8"/>
    <w:rsid w:val="000078F9"/>
    <w:rsid w:val="00007C37"/>
    <w:rsid w:val="00010361"/>
    <w:rsid w:val="00010A78"/>
    <w:rsid w:val="00010B9E"/>
    <w:rsid w:val="00011298"/>
    <w:rsid w:val="000114E5"/>
    <w:rsid w:val="00011B93"/>
    <w:rsid w:val="0001262D"/>
    <w:rsid w:val="00013C87"/>
    <w:rsid w:val="00013FF8"/>
    <w:rsid w:val="000144C0"/>
    <w:rsid w:val="00014C1D"/>
    <w:rsid w:val="0001566D"/>
    <w:rsid w:val="00015812"/>
    <w:rsid w:val="000158D0"/>
    <w:rsid w:val="00015EE8"/>
    <w:rsid w:val="00016132"/>
    <w:rsid w:val="00016953"/>
    <w:rsid w:val="00016A18"/>
    <w:rsid w:val="00016A24"/>
    <w:rsid w:val="000205C0"/>
    <w:rsid w:val="0002109A"/>
    <w:rsid w:val="00021E33"/>
    <w:rsid w:val="00022272"/>
    <w:rsid w:val="0002370A"/>
    <w:rsid w:val="00023F3D"/>
    <w:rsid w:val="0002443B"/>
    <w:rsid w:val="00024587"/>
    <w:rsid w:val="000245A5"/>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43D6"/>
    <w:rsid w:val="00034AB3"/>
    <w:rsid w:val="00034C3D"/>
    <w:rsid w:val="00035ACE"/>
    <w:rsid w:val="000370D3"/>
    <w:rsid w:val="00037716"/>
    <w:rsid w:val="00040254"/>
    <w:rsid w:val="0004055B"/>
    <w:rsid w:val="00040DE0"/>
    <w:rsid w:val="00041199"/>
    <w:rsid w:val="000411B0"/>
    <w:rsid w:val="000417AE"/>
    <w:rsid w:val="00041CDF"/>
    <w:rsid w:val="000420EA"/>
    <w:rsid w:val="00044329"/>
    <w:rsid w:val="000445D7"/>
    <w:rsid w:val="0004644B"/>
    <w:rsid w:val="00046E0D"/>
    <w:rsid w:val="000477D0"/>
    <w:rsid w:val="000478FF"/>
    <w:rsid w:val="000511F6"/>
    <w:rsid w:val="00051E13"/>
    <w:rsid w:val="00052566"/>
    <w:rsid w:val="00052A15"/>
    <w:rsid w:val="00052B78"/>
    <w:rsid w:val="00053055"/>
    <w:rsid w:val="00053394"/>
    <w:rsid w:val="00054DB7"/>
    <w:rsid w:val="00055134"/>
    <w:rsid w:val="000554BD"/>
    <w:rsid w:val="00056AAE"/>
    <w:rsid w:val="00056E89"/>
    <w:rsid w:val="00057636"/>
    <w:rsid w:val="00057FAA"/>
    <w:rsid w:val="00060A6E"/>
    <w:rsid w:val="00060C16"/>
    <w:rsid w:val="0006146E"/>
    <w:rsid w:val="000618B2"/>
    <w:rsid w:val="000620E3"/>
    <w:rsid w:val="00062324"/>
    <w:rsid w:val="000625E0"/>
    <w:rsid w:val="00062EF0"/>
    <w:rsid w:val="00063153"/>
    <w:rsid w:val="0006352E"/>
    <w:rsid w:val="00063664"/>
    <w:rsid w:val="000643BB"/>
    <w:rsid w:val="0006511C"/>
    <w:rsid w:val="00065177"/>
    <w:rsid w:val="0006590A"/>
    <w:rsid w:val="00065ED1"/>
    <w:rsid w:val="00065F01"/>
    <w:rsid w:val="000667E7"/>
    <w:rsid w:val="00066DA9"/>
    <w:rsid w:val="00066DD1"/>
    <w:rsid w:val="00067279"/>
    <w:rsid w:val="000672F8"/>
    <w:rsid w:val="00067340"/>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DBF"/>
    <w:rsid w:val="000770AC"/>
    <w:rsid w:val="00077B75"/>
    <w:rsid w:val="000800F6"/>
    <w:rsid w:val="00080861"/>
    <w:rsid w:val="00080DF2"/>
    <w:rsid w:val="00080F47"/>
    <w:rsid w:val="00081E3E"/>
    <w:rsid w:val="000823A6"/>
    <w:rsid w:val="00082554"/>
    <w:rsid w:val="000829E5"/>
    <w:rsid w:val="00082D91"/>
    <w:rsid w:val="00083380"/>
    <w:rsid w:val="000834E1"/>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A01"/>
    <w:rsid w:val="0009502E"/>
    <w:rsid w:val="000954CD"/>
    <w:rsid w:val="00095685"/>
    <w:rsid w:val="00095733"/>
    <w:rsid w:val="00095789"/>
    <w:rsid w:val="00095FDA"/>
    <w:rsid w:val="000962BF"/>
    <w:rsid w:val="00096892"/>
    <w:rsid w:val="00096BFA"/>
    <w:rsid w:val="0009788B"/>
    <w:rsid w:val="000979D6"/>
    <w:rsid w:val="000A0102"/>
    <w:rsid w:val="000A07C7"/>
    <w:rsid w:val="000A1809"/>
    <w:rsid w:val="000A330C"/>
    <w:rsid w:val="000A3EEF"/>
    <w:rsid w:val="000A46A5"/>
    <w:rsid w:val="000A47A1"/>
    <w:rsid w:val="000A4E48"/>
    <w:rsid w:val="000A4E82"/>
    <w:rsid w:val="000A5596"/>
    <w:rsid w:val="000A5630"/>
    <w:rsid w:val="000A5B89"/>
    <w:rsid w:val="000A5EB5"/>
    <w:rsid w:val="000A61D9"/>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E60"/>
    <w:rsid w:val="000B40AB"/>
    <w:rsid w:val="000B4705"/>
    <w:rsid w:val="000B4EB0"/>
    <w:rsid w:val="000B4F0F"/>
    <w:rsid w:val="000B5F15"/>
    <w:rsid w:val="000B6B22"/>
    <w:rsid w:val="000B6CA6"/>
    <w:rsid w:val="000B6E96"/>
    <w:rsid w:val="000B7DA0"/>
    <w:rsid w:val="000B7EDD"/>
    <w:rsid w:val="000C004E"/>
    <w:rsid w:val="000C0B9C"/>
    <w:rsid w:val="000C10C5"/>
    <w:rsid w:val="000C29D8"/>
    <w:rsid w:val="000C2B85"/>
    <w:rsid w:val="000C2E78"/>
    <w:rsid w:val="000C324C"/>
    <w:rsid w:val="000C3756"/>
    <w:rsid w:val="000C3CA9"/>
    <w:rsid w:val="000C5C76"/>
    <w:rsid w:val="000C63C9"/>
    <w:rsid w:val="000C7663"/>
    <w:rsid w:val="000C7833"/>
    <w:rsid w:val="000C7927"/>
    <w:rsid w:val="000D2667"/>
    <w:rsid w:val="000D271E"/>
    <w:rsid w:val="000D2B26"/>
    <w:rsid w:val="000D2F27"/>
    <w:rsid w:val="000D3830"/>
    <w:rsid w:val="000D43F1"/>
    <w:rsid w:val="000D4CCC"/>
    <w:rsid w:val="000D4CEE"/>
    <w:rsid w:val="000D4E2D"/>
    <w:rsid w:val="000D50DE"/>
    <w:rsid w:val="000D5B8C"/>
    <w:rsid w:val="000D6611"/>
    <w:rsid w:val="000D793F"/>
    <w:rsid w:val="000D7CF5"/>
    <w:rsid w:val="000E00A9"/>
    <w:rsid w:val="000E0C2B"/>
    <w:rsid w:val="000E12B7"/>
    <w:rsid w:val="000E1CE0"/>
    <w:rsid w:val="000E3267"/>
    <w:rsid w:val="000E337A"/>
    <w:rsid w:val="000E3724"/>
    <w:rsid w:val="000E3FE1"/>
    <w:rsid w:val="000E469C"/>
    <w:rsid w:val="000E4A2D"/>
    <w:rsid w:val="000E4A6E"/>
    <w:rsid w:val="000E4ACB"/>
    <w:rsid w:val="000E4F4F"/>
    <w:rsid w:val="000E4F97"/>
    <w:rsid w:val="000E50BC"/>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531"/>
    <w:rsid w:val="000F3A15"/>
    <w:rsid w:val="000F3EC9"/>
    <w:rsid w:val="000F4449"/>
    <w:rsid w:val="000F45F9"/>
    <w:rsid w:val="000F5A97"/>
    <w:rsid w:val="000F5B9A"/>
    <w:rsid w:val="000F6948"/>
    <w:rsid w:val="000F69FA"/>
    <w:rsid w:val="000F73F5"/>
    <w:rsid w:val="000F7637"/>
    <w:rsid w:val="000F7C34"/>
    <w:rsid w:val="000F7CC4"/>
    <w:rsid w:val="000F7DAD"/>
    <w:rsid w:val="001003E8"/>
    <w:rsid w:val="00100CA5"/>
    <w:rsid w:val="00100FA5"/>
    <w:rsid w:val="001018BE"/>
    <w:rsid w:val="001025E8"/>
    <w:rsid w:val="00103CCD"/>
    <w:rsid w:val="00104452"/>
    <w:rsid w:val="001044DB"/>
    <w:rsid w:val="001046B6"/>
    <w:rsid w:val="00104910"/>
    <w:rsid w:val="00104D57"/>
    <w:rsid w:val="00104EC0"/>
    <w:rsid w:val="00104F06"/>
    <w:rsid w:val="00106988"/>
    <w:rsid w:val="00106C05"/>
    <w:rsid w:val="00106DB1"/>
    <w:rsid w:val="001075BB"/>
    <w:rsid w:val="00107B4B"/>
    <w:rsid w:val="00107B9A"/>
    <w:rsid w:val="00107D3B"/>
    <w:rsid w:val="00107DA2"/>
    <w:rsid w:val="001101C8"/>
    <w:rsid w:val="001101CB"/>
    <w:rsid w:val="001101F6"/>
    <w:rsid w:val="0011031D"/>
    <w:rsid w:val="00111624"/>
    <w:rsid w:val="00111AA6"/>
    <w:rsid w:val="001123E2"/>
    <w:rsid w:val="001125C9"/>
    <w:rsid w:val="0011299B"/>
    <w:rsid w:val="001133A0"/>
    <w:rsid w:val="0011368D"/>
    <w:rsid w:val="00114857"/>
    <w:rsid w:val="001149BC"/>
    <w:rsid w:val="00115879"/>
    <w:rsid w:val="00115C03"/>
    <w:rsid w:val="00117FF5"/>
    <w:rsid w:val="00120054"/>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91"/>
    <w:rsid w:val="0012695B"/>
    <w:rsid w:val="0012718F"/>
    <w:rsid w:val="00127259"/>
    <w:rsid w:val="0012766D"/>
    <w:rsid w:val="00127F12"/>
    <w:rsid w:val="00130C27"/>
    <w:rsid w:val="001313AB"/>
    <w:rsid w:val="00132A2D"/>
    <w:rsid w:val="00132C06"/>
    <w:rsid w:val="0013318A"/>
    <w:rsid w:val="00134BAD"/>
    <w:rsid w:val="00134F66"/>
    <w:rsid w:val="00134FF9"/>
    <w:rsid w:val="00135576"/>
    <w:rsid w:val="001358FA"/>
    <w:rsid w:val="00135DF8"/>
    <w:rsid w:val="00136482"/>
    <w:rsid w:val="001366E2"/>
    <w:rsid w:val="00137518"/>
    <w:rsid w:val="00137EE9"/>
    <w:rsid w:val="001405BE"/>
    <w:rsid w:val="00141962"/>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F8E"/>
    <w:rsid w:val="001515A7"/>
    <w:rsid w:val="001521C1"/>
    <w:rsid w:val="00152390"/>
    <w:rsid w:val="00152B0D"/>
    <w:rsid w:val="00153F27"/>
    <w:rsid w:val="0015473A"/>
    <w:rsid w:val="00155BF9"/>
    <w:rsid w:val="00155C2F"/>
    <w:rsid w:val="00155D20"/>
    <w:rsid w:val="00156096"/>
    <w:rsid w:val="001562CF"/>
    <w:rsid w:val="00156552"/>
    <w:rsid w:val="00156813"/>
    <w:rsid w:val="0015725B"/>
    <w:rsid w:val="0016090A"/>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6B19"/>
    <w:rsid w:val="0016786E"/>
    <w:rsid w:val="00167979"/>
    <w:rsid w:val="00167C3D"/>
    <w:rsid w:val="00167F85"/>
    <w:rsid w:val="00170101"/>
    <w:rsid w:val="00171061"/>
    <w:rsid w:val="0017120E"/>
    <w:rsid w:val="00171588"/>
    <w:rsid w:val="00171829"/>
    <w:rsid w:val="001742C6"/>
    <w:rsid w:val="0017470D"/>
    <w:rsid w:val="00174F15"/>
    <w:rsid w:val="001754F8"/>
    <w:rsid w:val="00175AB5"/>
    <w:rsid w:val="00175CA7"/>
    <w:rsid w:val="00176C79"/>
    <w:rsid w:val="0017791B"/>
    <w:rsid w:val="001801E1"/>
    <w:rsid w:val="0018081A"/>
    <w:rsid w:val="0018081C"/>
    <w:rsid w:val="0018118A"/>
    <w:rsid w:val="001812B8"/>
    <w:rsid w:val="00181517"/>
    <w:rsid w:val="001830D6"/>
    <w:rsid w:val="00183252"/>
    <w:rsid w:val="00183CD0"/>
    <w:rsid w:val="0018421E"/>
    <w:rsid w:val="00184C08"/>
    <w:rsid w:val="00186154"/>
    <w:rsid w:val="00186A82"/>
    <w:rsid w:val="00186E59"/>
    <w:rsid w:val="00187102"/>
    <w:rsid w:val="001877A2"/>
    <w:rsid w:val="00187DB0"/>
    <w:rsid w:val="00190581"/>
    <w:rsid w:val="00190C92"/>
    <w:rsid w:val="001919BB"/>
    <w:rsid w:val="00191A04"/>
    <w:rsid w:val="001929BF"/>
    <w:rsid w:val="001943F8"/>
    <w:rsid w:val="00194CDA"/>
    <w:rsid w:val="00194D93"/>
    <w:rsid w:val="001957A2"/>
    <w:rsid w:val="00195C81"/>
    <w:rsid w:val="00195C9F"/>
    <w:rsid w:val="0019600F"/>
    <w:rsid w:val="00196C1F"/>
    <w:rsid w:val="0019740A"/>
    <w:rsid w:val="001A0548"/>
    <w:rsid w:val="001A0860"/>
    <w:rsid w:val="001A09FD"/>
    <w:rsid w:val="001A1BC2"/>
    <w:rsid w:val="001A1D80"/>
    <w:rsid w:val="001A1D97"/>
    <w:rsid w:val="001A1EE7"/>
    <w:rsid w:val="001A1EEB"/>
    <w:rsid w:val="001A2D34"/>
    <w:rsid w:val="001A318B"/>
    <w:rsid w:val="001A3325"/>
    <w:rsid w:val="001A382A"/>
    <w:rsid w:val="001A3DBD"/>
    <w:rsid w:val="001A48C3"/>
    <w:rsid w:val="001A503A"/>
    <w:rsid w:val="001A596F"/>
    <w:rsid w:val="001A5D0A"/>
    <w:rsid w:val="001A6179"/>
    <w:rsid w:val="001A62F0"/>
    <w:rsid w:val="001A66C7"/>
    <w:rsid w:val="001A6C31"/>
    <w:rsid w:val="001A7835"/>
    <w:rsid w:val="001A78B7"/>
    <w:rsid w:val="001B01D8"/>
    <w:rsid w:val="001B0714"/>
    <w:rsid w:val="001B0B5F"/>
    <w:rsid w:val="001B26CF"/>
    <w:rsid w:val="001B2FAC"/>
    <w:rsid w:val="001B37B1"/>
    <w:rsid w:val="001B458F"/>
    <w:rsid w:val="001B524F"/>
    <w:rsid w:val="001B540E"/>
    <w:rsid w:val="001B57DE"/>
    <w:rsid w:val="001B57EB"/>
    <w:rsid w:val="001B5821"/>
    <w:rsid w:val="001B5C6B"/>
    <w:rsid w:val="001B60A7"/>
    <w:rsid w:val="001B69D0"/>
    <w:rsid w:val="001B7352"/>
    <w:rsid w:val="001B7608"/>
    <w:rsid w:val="001B76D0"/>
    <w:rsid w:val="001B7C77"/>
    <w:rsid w:val="001C0233"/>
    <w:rsid w:val="001C0D4D"/>
    <w:rsid w:val="001C0F59"/>
    <w:rsid w:val="001C1464"/>
    <w:rsid w:val="001C1D9A"/>
    <w:rsid w:val="001C1DDC"/>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584"/>
    <w:rsid w:val="001C7714"/>
    <w:rsid w:val="001C7C2F"/>
    <w:rsid w:val="001D07B6"/>
    <w:rsid w:val="001D08CD"/>
    <w:rsid w:val="001D0FF3"/>
    <w:rsid w:val="001D1EB6"/>
    <w:rsid w:val="001D229C"/>
    <w:rsid w:val="001D3414"/>
    <w:rsid w:val="001D3CBB"/>
    <w:rsid w:val="001D619A"/>
    <w:rsid w:val="001D64F0"/>
    <w:rsid w:val="001D67F6"/>
    <w:rsid w:val="001D6A7F"/>
    <w:rsid w:val="001D6AF1"/>
    <w:rsid w:val="001D7226"/>
    <w:rsid w:val="001D7516"/>
    <w:rsid w:val="001D7F57"/>
    <w:rsid w:val="001E02D9"/>
    <w:rsid w:val="001E09BC"/>
    <w:rsid w:val="001E10AD"/>
    <w:rsid w:val="001E1357"/>
    <w:rsid w:val="001E18B3"/>
    <w:rsid w:val="001E1C1F"/>
    <w:rsid w:val="001E1F16"/>
    <w:rsid w:val="001E20FD"/>
    <w:rsid w:val="001E3325"/>
    <w:rsid w:val="001E3431"/>
    <w:rsid w:val="001E351F"/>
    <w:rsid w:val="001E477F"/>
    <w:rsid w:val="001E54EA"/>
    <w:rsid w:val="001E59BB"/>
    <w:rsid w:val="001E5F3B"/>
    <w:rsid w:val="001E6D04"/>
    <w:rsid w:val="001E7112"/>
    <w:rsid w:val="001E7318"/>
    <w:rsid w:val="001E7541"/>
    <w:rsid w:val="001E768C"/>
    <w:rsid w:val="001E7B6F"/>
    <w:rsid w:val="001F0003"/>
    <w:rsid w:val="001F041B"/>
    <w:rsid w:val="001F0CA8"/>
    <w:rsid w:val="001F158A"/>
    <w:rsid w:val="001F15B5"/>
    <w:rsid w:val="001F15CF"/>
    <w:rsid w:val="001F1791"/>
    <w:rsid w:val="001F2A56"/>
    <w:rsid w:val="001F2ECA"/>
    <w:rsid w:val="001F3348"/>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4E73"/>
    <w:rsid w:val="00205C14"/>
    <w:rsid w:val="002061E9"/>
    <w:rsid w:val="00206940"/>
    <w:rsid w:val="002074AD"/>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29C6"/>
    <w:rsid w:val="002229DC"/>
    <w:rsid w:val="0022318F"/>
    <w:rsid w:val="002235A9"/>
    <w:rsid w:val="002239FF"/>
    <w:rsid w:val="00223D06"/>
    <w:rsid w:val="00224EB6"/>
    <w:rsid w:val="002254C6"/>
    <w:rsid w:val="00226462"/>
    <w:rsid w:val="00226E1D"/>
    <w:rsid w:val="00227627"/>
    <w:rsid w:val="00230246"/>
    <w:rsid w:val="00230E7C"/>
    <w:rsid w:val="002322D3"/>
    <w:rsid w:val="00232FA9"/>
    <w:rsid w:val="00232FD9"/>
    <w:rsid w:val="002336C7"/>
    <w:rsid w:val="00233760"/>
    <w:rsid w:val="00233C82"/>
    <w:rsid w:val="002347FB"/>
    <w:rsid w:val="002364B6"/>
    <w:rsid w:val="00237C7A"/>
    <w:rsid w:val="0024010D"/>
    <w:rsid w:val="00240577"/>
    <w:rsid w:val="002408E0"/>
    <w:rsid w:val="00240D84"/>
    <w:rsid w:val="00241E74"/>
    <w:rsid w:val="00242283"/>
    <w:rsid w:val="0024231F"/>
    <w:rsid w:val="00243564"/>
    <w:rsid w:val="00243601"/>
    <w:rsid w:val="002437D9"/>
    <w:rsid w:val="00243F72"/>
    <w:rsid w:val="00244730"/>
    <w:rsid w:val="002451F9"/>
    <w:rsid w:val="002456E3"/>
    <w:rsid w:val="00246534"/>
    <w:rsid w:val="00247093"/>
    <w:rsid w:val="002476D9"/>
    <w:rsid w:val="002479FB"/>
    <w:rsid w:val="00247F24"/>
    <w:rsid w:val="00250738"/>
    <w:rsid w:val="00250AA1"/>
    <w:rsid w:val="00251255"/>
    <w:rsid w:val="0025198E"/>
    <w:rsid w:val="0025231F"/>
    <w:rsid w:val="002527C2"/>
    <w:rsid w:val="00252866"/>
    <w:rsid w:val="00252E0A"/>
    <w:rsid w:val="00252EFD"/>
    <w:rsid w:val="00253679"/>
    <w:rsid w:val="002547FC"/>
    <w:rsid w:val="00254AB4"/>
    <w:rsid w:val="00254CE1"/>
    <w:rsid w:val="00254ED5"/>
    <w:rsid w:val="00254FE8"/>
    <w:rsid w:val="002557F4"/>
    <w:rsid w:val="00255FCB"/>
    <w:rsid w:val="002568C1"/>
    <w:rsid w:val="002575C3"/>
    <w:rsid w:val="00257DBD"/>
    <w:rsid w:val="00260009"/>
    <w:rsid w:val="00260A43"/>
    <w:rsid w:val="002613DE"/>
    <w:rsid w:val="002623CC"/>
    <w:rsid w:val="00262466"/>
    <w:rsid w:val="00263227"/>
    <w:rsid w:val="00263490"/>
    <w:rsid w:val="00263DCB"/>
    <w:rsid w:val="00263F81"/>
    <w:rsid w:val="00263FA7"/>
    <w:rsid w:val="002657D7"/>
    <w:rsid w:val="00266790"/>
    <w:rsid w:val="0027000B"/>
    <w:rsid w:val="00270BF7"/>
    <w:rsid w:val="002710CF"/>
    <w:rsid w:val="002732C7"/>
    <w:rsid w:val="002741AE"/>
    <w:rsid w:val="0027439A"/>
    <w:rsid w:val="002748FB"/>
    <w:rsid w:val="00274B25"/>
    <w:rsid w:val="00274C2A"/>
    <w:rsid w:val="002764FC"/>
    <w:rsid w:val="00276A1B"/>
    <w:rsid w:val="00277805"/>
    <w:rsid w:val="00280414"/>
    <w:rsid w:val="00280FDA"/>
    <w:rsid w:val="0028158D"/>
    <w:rsid w:val="002816DB"/>
    <w:rsid w:val="00281F26"/>
    <w:rsid w:val="00282147"/>
    <w:rsid w:val="00282266"/>
    <w:rsid w:val="002827A5"/>
    <w:rsid w:val="00282A2B"/>
    <w:rsid w:val="00282E28"/>
    <w:rsid w:val="00282F6B"/>
    <w:rsid w:val="0028406B"/>
    <w:rsid w:val="00284467"/>
    <w:rsid w:val="0028483D"/>
    <w:rsid w:val="00284B23"/>
    <w:rsid w:val="0028505A"/>
    <w:rsid w:val="00285854"/>
    <w:rsid w:val="002858BA"/>
    <w:rsid w:val="00285E03"/>
    <w:rsid w:val="00286034"/>
    <w:rsid w:val="0028644C"/>
    <w:rsid w:val="002866EE"/>
    <w:rsid w:val="00286822"/>
    <w:rsid w:val="00286AC7"/>
    <w:rsid w:val="00286E47"/>
    <w:rsid w:val="00286FB3"/>
    <w:rsid w:val="00287875"/>
    <w:rsid w:val="00290BCF"/>
    <w:rsid w:val="00291889"/>
    <w:rsid w:val="00292BCC"/>
    <w:rsid w:val="00293DFE"/>
    <w:rsid w:val="002941FA"/>
    <w:rsid w:val="00294375"/>
    <w:rsid w:val="00294641"/>
    <w:rsid w:val="00295139"/>
    <w:rsid w:val="002954FE"/>
    <w:rsid w:val="00295E65"/>
    <w:rsid w:val="00295F07"/>
    <w:rsid w:val="002966F5"/>
    <w:rsid w:val="0029681D"/>
    <w:rsid w:val="00296846"/>
    <w:rsid w:val="00297032"/>
    <w:rsid w:val="0029781B"/>
    <w:rsid w:val="00297CC3"/>
    <w:rsid w:val="002A017F"/>
    <w:rsid w:val="002A0C08"/>
    <w:rsid w:val="002A18AF"/>
    <w:rsid w:val="002A1998"/>
    <w:rsid w:val="002A2B4A"/>
    <w:rsid w:val="002A2CD7"/>
    <w:rsid w:val="002A3B82"/>
    <w:rsid w:val="002A49D9"/>
    <w:rsid w:val="002A5E63"/>
    <w:rsid w:val="002A62B9"/>
    <w:rsid w:val="002A66B1"/>
    <w:rsid w:val="002A6834"/>
    <w:rsid w:val="002B04CF"/>
    <w:rsid w:val="002B0B62"/>
    <w:rsid w:val="002B0C8D"/>
    <w:rsid w:val="002B1B55"/>
    <w:rsid w:val="002B1EBC"/>
    <w:rsid w:val="002B200B"/>
    <w:rsid w:val="002B4199"/>
    <w:rsid w:val="002B45BC"/>
    <w:rsid w:val="002B476D"/>
    <w:rsid w:val="002B60DB"/>
    <w:rsid w:val="002B6C5B"/>
    <w:rsid w:val="002B7301"/>
    <w:rsid w:val="002B78DA"/>
    <w:rsid w:val="002B7BD5"/>
    <w:rsid w:val="002C0120"/>
    <w:rsid w:val="002C07E5"/>
    <w:rsid w:val="002C16EB"/>
    <w:rsid w:val="002C1974"/>
    <w:rsid w:val="002C1BCE"/>
    <w:rsid w:val="002C200B"/>
    <w:rsid w:val="002C287C"/>
    <w:rsid w:val="002C2CEC"/>
    <w:rsid w:val="002C2D14"/>
    <w:rsid w:val="002C301A"/>
    <w:rsid w:val="002C36CA"/>
    <w:rsid w:val="002C4A73"/>
    <w:rsid w:val="002C4DE2"/>
    <w:rsid w:val="002C5292"/>
    <w:rsid w:val="002C52CE"/>
    <w:rsid w:val="002C5EF2"/>
    <w:rsid w:val="002C652A"/>
    <w:rsid w:val="002C67A7"/>
    <w:rsid w:val="002C6B62"/>
    <w:rsid w:val="002D0599"/>
    <w:rsid w:val="002D0BF1"/>
    <w:rsid w:val="002D140A"/>
    <w:rsid w:val="002D1852"/>
    <w:rsid w:val="002D2F71"/>
    <w:rsid w:val="002D348B"/>
    <w:rsid w:val="002D3627"/>
    <w:rsid w:val="002D3F66"/>
    <w:rsid w:val="002D4D40"/>
    <w:rsid w:val="002D5111"/>
    <w:rsid w:val="002D59B6"/>
    <w:rsid w:val="002D7104"/>
    <w:rsid w:val="002D7280"/>
    <w:rsid w:val="002D7345"/>
    <w:rsid w:val="002D7B5D"/>
    <w:rsid w:val="002E01C5"/>
    <w:rsid w:val="002E0DB5"/>
    <w:rsid w:val="002E0F9C"/>
    <w:rsid w:val="002E1D5F"/>
    <w:rsid w:val="002E238D"/>
    <w:rsid w:val="002E3893"/>
    <w:rsid w:val="002E4361"/>
    <w:rsid w:val="002E5476"/>
    <w:rsid w:val="002E6617"/>
    <w:rsid w:val="002E6680"/>
    <w:rsid w:val="002E6978"/>
    <w:rsid w:val="002E7648"/>
    <w:rsid w:val="002E7B7D"/>
    <w:rsid w:val="002E7C4E"/>
    <w:rsid w:val="002F00A7"/>
    <w:rsid w:val="002F0317"/>
    <w:rsid w:val="002F03FE"/>
    <w:rsid w:val="002F0573"/>
    <w:rsid w:val="002F29C6"/>
    <w:rsid w:val="002F2EEF"/>
    <w:rsid w:val="002F3DEF"/>
    <w:rsid w:val="002F3F44"/>
    <w:rsid w:val="002F44E8"/>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486"/>
    <w:rsid w:val="00301314"/>
    <w:rsid w:val="00301AA4"/>
    <w:rsid w:val="00302541"/>
    <w:rsid w:val="00302599"/>
    <w:rsid w:val="003030C0"/>
    <w:rsid w:val="00304099"/>
    <w:rsid w:val="0030477F"/>
    <w:rsid w:val="00304A8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623B"/>
    <w:rsid w:val="00326280"/>
    <w:rsid w:val="0032644B"/>
    <w:rsid w:val="003265C9"/>
    <w:rsid w:val="003270ED"/>
    <w:rsid w:val="0032769C"/>
    <w:rsid w:val="0033005A"/>
    <w:rsid w:val="003312C1"/>
    <w:rsid w:val="00332050"/>
    <w:rsid w:val="003324F3"/>
    <w:rsid w:val="00332E1F"/>
    <w:rsid w:val="00333291"/>
    <w:rsid w:val="00334494"/>
    <w:rsid w:val="00334893"/>
    <w:rsid w:val="003361D2"/>
    <w:rsid w:val="003367FD"/>
    <w:rsid w:val="003402D6"/>
    <w:rsid w:val="00340CFD"/>
    <w:rsid w:val="00341811"/>
    <w:rsid w:val="00341DB7"/>
    <w:rsid w:val="00342F14"/>
    <w:rsid w:val="00343105"/>
    <w:rsid w:val="003434BD"/>
    <w:rsid w:val="00343744"/>
    <w:rsid w:val="0034382C"/>
    <w:rsid w:val="00345493"/>
    <w:rsid w:val="00345CDA"/>
    <w:rsid w:val="00346730"/>
    <w:rsid w:val="003475C0"/>
    <w:rsid w:val="0034761B"/>
    <w:rsid w:val="00351E73"/>
    <w:rsid w:val="00351EFC"/>
    <w:rsid w:val="0035263D"/>
    <w:rsid w:val="003536F0"/>
    <w:rsid w:val="003550C6"/>
    <w:rsid w:val="003554A0"/>
    <w:rsid w:val="00355DDB"/>
    <w:rsid w:val="00355F1D"/>
    <w:rsid w:val="00356E38"/>
    <w:rsid w:val="00356FBB"/>
    <w:rsid w:val="0035725C"/>
    <w:rsid w:val="003577F4"/>
    <w:rsid w:val="00357A33"/>
    <w:rsid w:val="0036029A"/>
    <w:rsid w:val="003603BD"/>
    <w:rsid w:val="00360ECA"/>
    <w:rsid w:val="0036119C"/>
    <w:rsid w:val="0036143C"/>
    <w:rsid w:val="0036223B"/>
    <w:rsid w:val="0036267F"/>
    <w:rsid w:val="00362A53"/>
    <w:rsid w:val="00362D60"/>
    <w:rsid w:val="00363477"/>
    <w:rsid w:val="0036361A"/>
    <w:rsid w:val="00364CDB"/>
    <w:rsid w:val="00364E4C"/>
    <w:rsid w:val="00365870"/>
    <w:rsid w:val="00366244"/>
    <w:rsid w:val="0036646F"/>
    <w:rsid w:val="00366D64"/>
    <w:rsid w:val="00367016"/>
    <w:rsid w:val="00367A78"/>
    <w:rsid w:val="00370DDA"/>
    <w:rsid w:val="00371903"/>
    <w:rsid w:val="00371D1C"/>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F65"/>
    <w:rsid w:val="00381071"/>
    <w:rsid w:val="003813C2"/>
    <w:rsid w:val="003826AA"/>
    <w:rsid w:val="00382CB8"/>
    <w:rsid w:val="00382FA6"/>
    <w:rsid w:val="00384A06"/>
    <w:rsid w:val="00384E73"/>
    <w:rsid w:val="00385126"/>
    <w:rsid w:val="003857D1"/>
    <w:rsid w:val="0038591F"/>
    <w:rsid w:val="00385926"/>
    <w:rsid w:val="00385CCF"/>
    <w:rsid w:val="003866C8"/>
    <w:rsid w:val="00386770"/>
    <w:rsid w:val="00386825"/>
    <w:rsid w:val="00386AD6"/>
    <w:rsid w:val="003875B2"/>
    <w:rsid w:val="00387789"/>
    <w:rsid w:val="00387BB8"/>
    <w:rsid w:val="00387EC8"/>
    <w:rsid w:val="003905FD"/>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7A"/>
    <w:rsid w:val="003A4FB7"/>
    <w:rsid w:val="003A5170"/>
    <w:rsid w:val="003A5C60"/>
    <w:rsid w:val="003A64BA"/>
    <w:rsid w:val="003A74C2"/>
    <w:rsid w:val="003A75C4"/>
    <w:rsid w:val="003A76BD"/>
    <w:rsid w:val="003A7A04"/>
    <w:rsid w:val="003A7CC4"/>
    <w:rsid w:val="003A7CF3"/>
    <w:rsid w:val="003B1A57"/>
    <w:rsid w:val="003B21C6"/>
    <w:rsid w:val="003B2582"/>
    <w:rsid w:val="003B2E6D"/>
    <w:rsid w:val="003B33BB"/>
    <w:rsid w:val="003B4CE0"/>
    <w:rsid w:val="003B5A79"/>
    <w:rsid w:val="003B6051"/>
    <w:rsid w:val="003B7499"/>
    <w:rsid w:val="003B74F5"/>
    <w:rsid w:val="003B7C28"/>
    <w:rsid w:val="003B7FB8"/>
    <w:rsid w:val="003C088B"/>
    <w:rsid w:val="003C1FBE"/>
    <w:rsid w:val="003C2E2A"/>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F99"/>
    <w:rsid w:val="003D02AD"/>
    <w:rsid w:val="003D1CBF"/>
    <w:rsid w:val="003D3804"/>
    <w:rsid w:val="003D3ADB"/>
    <w:rsid w:val="003D4483"/>
    <w:rsid w:val="003D4D61"/>
    <w:rsid w:val="003D4F01"/>
    <w:rsid w:val="003D51B1"/>
    <w:rsid w:val="003D56C2"/>
    <w:rsid w:val="003D5997"/>
    <w:rsid w:val="003D5AE0"/>
    <w:rsid w:val="003D6521"/>
    <w:rsid w:val="003D679A"/>
    <w:rsid w:val="003D7311"/>
    <w:rsid w:val="003D7591"/>
    <w:rsid w:val="003D776E"/>
    <w:rsid w:val="003D7A31"/>
    <w:rsid w:val="003E27F3"/>
    <w:rsid w:val="003E2819"/>
    <w:rsid w:val="003E2BEE"/>
    <w:rsid w:val="003E2F50"/>
    <w:rsid w:val="003E30DB"/>
    <w:rsid w:val="003E374B"/>
    <w:rsid w:val="003E37F2"/>
    <w:rsid w:val="003E3FDA"/>
    <w:rsid w:val="003E41E0"/>
    <w:rsid w:val="003E4A6B"/>
    <w:rsid w:val="003E513D"/>
    <w:rsid w:val="003E5591"/>
    <w:rsid w:val="003E5781"/>
    <w:rsid w:val="003E5F76"/>
    <w:rsid w:val="003E65D2"/>
    <w:rsid w:val="003E669F"/>
    <w:rsid w:val="003E6C69"/>
    <w:rsid w:val="003E71B7"/>
    <w:rsid w:val="003F01DB"/>
    <w:rsid w:val="003F0CBD"/>
    <w:rsid w:val="003F258A"/>
    <w:rsid w:val="003F2663"/>
    <w:rsid w:val="003F3AB8"/>
    <w:rsid w:val="003F3B23"/>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039"/>
    <w:rsid w:val="00405B86"/>
    <w:rsid w:val="00407941"/>
    <w:rsid w:val="00407AB7"/>
    <w:rsid w:val="00407C5E"/>
    <w:rsid w:val="0041085F"/>
    <w:rsid w:val="004111F7"/>
    <w:rsid w:val="0041131B"/>
    <w:rsid w:val="00412385"/>
    <w:rsid w:val="004123B3"/>
    <w:rsid w:val="004125D2"/>
    <w:rsid w:val="00412824"/>
    <w:rsid w:val="00412A40"/>
    <w:rsid w:val="004132C7"/>
    <w:rsid w:val="00413935"/>
    <w:rsid w:val="004139A7"/>
    <w:rsid w:val="00413B4A"/>
    <w:rsid w:val="0041460B"/>
    <w:rsid w:val="00415C0A"/>
    <w:rsid w:val="00416485"/>
    <w:rsid w:val="00417C42"/>
    <w:rsid w:val="00417FE2"/>
    <w:rsid w:val="0042084B"/>
    <w:rsid w:val="00420CB0"/>
    <w:rsid w:val="00421424"/>
    <w:rsid w:val="00421915"/>
    <w:rsid w:val="0042217F"/>
    <w:rsid w:val="00422BBB"/>
    <w:rsid w:val="00422D6F"/>
    <w:rsid w:val="0042395F"/>
    <w:rsid w:val="004247D2"/>
    <w:rsid w:val="00425449"/>
    <w:rsid w:val="00425F72"/>
    <w:rsid w:val="00425F90"/>
    <w:rsid w:val="00426662"/>
    <w:rsid w:val="004273CE"/>
    <w:rsid w:val="00427A6D"/>
    <w:rsid w:val="004300BE"/>
    <w:rsid w:val="0043041A"/>
    <w:rsid w:val="00430548"/>
    <w:rsid w:val="00431107"/>
    <w:rsid w:val="004312D8"/>
    <w:rsid w:val="00431A7A"/>
    <w:rsid w:val="00433946"/>
    <w:rsid w:val="00433A30"/>
    <w:rsid w:val="00434211"/>
    <w:rsid w:val="00434502"/>
    <w:rsid w:val="004349DF"/>
    <w:rsid w:val="00434D80"/>
    <w:rsid w:val="00436CC6"/>
    <w:rsid w:val="004373E8"/>
    <w:rsid w:val="00437510"/>
    <w:rsid w:val="004379ED"/>
    <w:rsid w:val="00437A62"/>
    <w:rsid w:val="00437BFA"/>
    <w:rsid w:val="00440024"/>
    <w:rsid w:val="00440E2A"/>
    <w:rsid w:val="00440ED6"/>
    <w:rsid w:val="00441A8C"/>
    <w:rsid w:val="00441F15"/>
    <w:rsid w:val="00442659"/>
    <w:rsid w:val="00442FC5"/>
    <w:rsid w:val="00443CB3"/>
    <w:rsid w:val="00444A13"/>
    <w:rsid w:val="00444E57"/>
    <w:rsid w:val="00445000"/>
    <w:rsid w:val="00445B37"/>
    <w:rsid w:val="00446249"/>
    <w:rsid w:val="004466C0"/>
    <w:rsid w:val="0044673F"/>
    <w:rsid w:val="0044677E"/>
    <w:rsid w:val="00446BAB"/>
    <w:rsid w:val="00447036"/>
    <w:rsid w:val="00447538"/>
    <w:rsid w:val="004477FE"/>
    <w:rsid w:val="00447F31"/>
    <w:rsid w:val="00447F7E"/>
    <w:rsid w:val="0045010B"/>
    <w:rsid w:val="00450651"/>
    <w:rsid w:val="00450C3B"/>
    <w:rsid w:val="004511FA"/>
    <w:rsid w:val="00451D20"/>
    <w:rsid w:val="0045219F"/>
    <w:rsid w:val="004523B9"/>
    <w:rsid w:val="004524B5"/>
    <w:rsid w:val="004524FE"/>
    <w:rsid w:val="004530E9"/>
    <w:rsid w:val="00453339"/>
    <w:rsid w:val="00453B6A"/>
    <w:rsid w:val="0045493F"/>
    <w:rsid w:val="00454D4E"/>
    <w:rsid w:val="00455624"/>
    <w:rsid w:val="00456BBB"/>
    <w:rsid w:val="00457277"/>
    <w:rsid w:val="00457884"/>
    <w:rsid w:val="004607A4"/>
    <w:rsid w:val="00460F6B"/>
    <w:rsid w:val="00460FA3"/>
    <w:rsid w:val="0046157A"/>
    <w:rsid w:val="004617F9"/>
    <w:rsid w:val="00462BF9"/>
    <w:rsid w:val="00462C44"/>
    <w:rsid w:val="00462ECC"/>
    <w:rsid w:val="0046302D"/>
    <w:rsid w:val="00463857"/>
    <w:rsid w:val="004638E2"/>
    <w:rsid w:val="00464AA6"/>
    <w:rsid w:val="00464D3C"/>
    <w:rsid w:val="00464E74"/>
    <w:rsid w:val="00464F0C"/>
    <w:rsid w:val="00465272"/>
    <w:rsid w:val="0046652A"/>
    <w:rsid w:val="004667F8"/>
    <w:rsid w:val="00466868"/>
    <w:rsid w:val="00466D14"/>
    <w:rsid w:val="004671AB"/>
    <w:rsid w:val="00467662"/>
    <w:rsid w:val="00467773"/>
    <w:rsid w:val="00470A19"/>
    <w:rsid w:val="00470BDC"/>
    <w:rsid w:val="0047153C"/>
    <w:rsid w:val="0047186F"/>
    <w:rsid w:val="00471E97"/>
    <w:rsid w:val="004723D9"/>
    <w:rsid w:val="004727F6"/>
    <w:rsid w:val="00472AF2"/>
    <w:rsid w:val="00473233"/>
    <w:rsid w:val="00473703"/>
    <w:rsid w:val="00473E50"/>
    <w:rsid w:val="00474233"/>
    <w:rsid w:val="0047470F"/>
    <w:rsid w:val="0047481A"/>
    <w:rsid w:val="00474F49"/>
    <w:rsid w:val="0047509F"/>
    <w:rsid w:val="00475756"/>
    <w:rsid w:val="004757E7"/>
    <w:rsid w:val="004759FE"/>
    <w:rsid w:val="00475EDD"/>
    <w:rsid w:val="0047617F"/>
    <w:rsid w:val="00476B1B"/>
    <w:rsid w:val="00476F70"/>
    <w:rsid w:val="00480766"/>
    <w:rsid w:val="00480AAF"/>
    <w:rsid w:val="00480E02"/>
    <w:rsid w:val="0048140C"/>
    <w:rsid w:val="004814BF"/>
    <w:rsid w:val="00482072"/>
    <w:rsid w:val="004820A6"/>
    <w:rsid w:val="004821E5"/>
    <w:rsid w:val="0048229B"/>
    <w:rsid w:val="004824C3"/>
    <w:rsid w:val="00482CEB"/>
    <w:rsid w:val="00482D27"/>
    <w:rsid w:val="00483554"/>
    <w:rsid w:val="00483AE5"/>
    <w:rsid w:val="004842C9"/>
    <w:rsid w:val="004846A9"/>
    <w:rsid w:val="00484D63"/>
    <w:rsid w:val="00484FD5"/>
    <w:rsid w:val="00485A6E"/>
    <w:rsid w:val="00485AA1"/>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CCC"/>
    <w:rsid w:val="004A5371"/>
    <w:rsid w:val="004A5486"/>
    <w:rsid w:val="004A5586"/>
    <w:rsid w:val="004A5F71"/>
    <w:rsid w:val="004A61BD"/>
    <w:rsid w:val="004A6F2B"/>
    <w:rsid w:val="004A7A35"/>
    <w:rsid w:val="004B0473"/>
    <w:rsid w:val="004B05B9"/>
    <w:rsid w:val="004B2016"/>
    <w:rsid w:val="004B2607"/>
    <w:rsid w:val="004B2821"/>
    <w:rsid w:val="004B2EB5"/>
    <w:rsid w:val="004B3316"/>
    <w:rsid w:val="004B34CA"/>
    <w:rsid w:val="004B4B3C"/>
    <w:rsid w:val="004B5ED2"/>
    <w:rsid w:val="004B6B72"/>
    <w:rsid w:val="004C0642"/>
    <w:rsid w:val="004C0788"/>
    <w:rsid w:val="004C0789"/>
    <w:rsid w:val="004C0959"/>
    <w:rsid w:val="004C0B9B"/>
    <w:rsid w:val="004C1241"/>
    <w:rsid w:val="004C25C4"/>
    <w:rsid w:val="004C272C"/>
    <w:rsid w:val="004C28E0"/>
    <w:rsid w:val="004C2982"/>
    <w:rsid w:val="004C29A1"/>
    <w:rsid w:val="004C2FC4"/>
    <w:rsid w:val="004C34D3"/>
    <w:rsid w:val="004C355B"/>
    <w:rsid w:val="004C3646"/>
    <w:rsid w:val="004C4509"/>
    <w:rsid w:val="004C4932"/>
    <w:rsid w:val="004C4D0B"/>
    <w:rsid w:val="004C5554"/>
    <w:rsid w:val="004C5976"/>
    <w:rsid w:val="004C5D72"/>
    <w:rsid w:val="004C601B"/>
    <w:rsid w:val="004C6239"/>
    <w:rsid w:val="004C6582"/>
    <w:rsid w:val="004C75AF"/>
    <w:rsid w:val="004C778C"/>
    <w:rsid w:val="004C7FE8"/>
    <w:rsid w:val="004D073F"/>
    <w:rsid w:val="004D126E"/>
    <w:rsid w:val="004D128F"/>
    <w:rsid w:val="004D1BE8"/>
    <w:rsid w:val="004D238A"/>
    <w:rsid w:val="004D24BE"/>
    <w:rsid w:val="004D2CF1"/>
    <w:rsid w:val="004D3568"/>
    <w:rsid w:val="004D3885"/>
    <w:rsid w:val="004D3C8E"/>
    <w:rsid w:val="004D3D67"/>
    <w:rsid w:val="004D3E8F"/>
    <w:rsid w:val="004D5222"/>
    <w:rsid w:val="004D67B3"/>
    <w:rsid w:val="004D7572"/>
    <w:rsid w:val="004D7637"/>
    <w:rsid w:val="004D7BC2"/>
    <w:rsid w:val="004D7E21"/>
    <w:rsid w:val="004E0066"/>
    <w:rsid w:val="004E03E3"/>
    <w:rsid w:val="004E05BE"/>
    <w:rsid w:val="004E0C55"/>
    <w:rsid w:val="004E1542"/>
    <w:rsid w:val="004E1D35"/>
    <w:rsid w:val="004E1E00"/>
    <w:rsid w:val="004E21B0"/>
    <w:rsid w:val="004E2374"/>
    <w:rsid w:val="004E23F9"/>
    <w:rsid w:val="004E2BDA"/>
    <w:rsid w:val="004E3D45"/>
    <w:rsid w:val="004E5335"/>
    <w:rsid w:val="004E53ED"/>
    <w:rsid w:val="004E5951"/>
    <w:rsid w:val="004E59E4"/>
    <w:rsid w:val="004E612F"/>
    <w:rsid w:val="004E6422"/>
    <w:rsid w:val="004E6872"/>
    <w:rsid w:val="004E6BE2"/>
    <w:rsid w:val="004E7D87"/>
    <w:rsid w:val="004F026F"/>
    <w:rsid w:val="004F05F2"/>
    <w:rsid w:val="004F16C1"/>
    <w:rsid w:val="004F20DA"/>
    <w:rsid w:val="004F2C4B"/>
    <w:rsid w:val="004F300B"/>
    <w:rsid w:val="004F43F0"/>
    <w:rsid w:val="004F4B6A"/>
    <w:rsid w:val="004F4B92"/>
    <w:rsid w:val="004F6403"/>
    <w:rsid w:val="004F6A90"/>
    <w:rsid w:val="004F72BE"/>
    <w:rsid w:val="004F75EE"/>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BB3"/>
    <w:rsid w:val="00504C65"/>
    <w:rsid w:val="0050559B"/>
    <w:rsid w:val="00505652"/>
    <w:rsid w:val="00505A10"/>
    <w:rsid w:val="00505F32"/>
    <w:rsid w:val="00506979"/>
    <w:rsid w:val="00506ECD"/>
    <w:rsid w:val="005075BB"/>
    <w:rsid w:val="00507DAD"/>
    <w:rsid w:val="005107E3"/>
    <w:rsid w:val="0051111B"/>
    <w:rsid w:val="0051158E"/>
    <w:rsid w:val="005117F1"/>
    <w:rsid w:val="005119E6"/>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739"/>
    <w:rsid w:val="00522015"/>
    <w:rsid w:val="005220E7"/>
    <w:rsid w:val="005225BB"/>
    <w:rsid w:val="00522B8F"/>
    <w:rsid w:val="00522F06"/>
    <w:rsid w:val="00523ADF"/>
    <w:rsid w:val="00523CB7"/>
    <w:rsid w:val="0052427D"/>
    <w:rsid w:val="00524C8A"/>
    <w:rsid w:val="00525BF4"/>
    <w:rsid w:val="00526017"/>
    <w:rsid w:val="00526650"/>
    <w:rsid w:val="005267D0"/>
    <w:rsid w:val="00526E93"/>
    <w:rsid w:val="0052751F"/>
    <w:rsid w:val="00527A7F"/>
    <w:rsid w:val="00527D09"/>
    <w:rsid w:val="0053022E"/>
    <w:rsid w:val="00530823"/>
    <w:rsid w:val="005319AE"/>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48A"/>
    <w:rsid w:val="0054305B"/>
    <w:rsid w:val="00543F59"/>
    <w:rsid w:val="00544251"/>
    <w:rsid w:val="00545545"/>
    <w:rsid w:val="005464FA"/>
    <w:rsid w:val="00546569"/>
    <w:rsid w:val="00546E35"/>
    <w:rsid w:val="00547FA2"/>
    <w:rsid w:val="00550106"/>
    <w:rsid w:val="005512E5"/>
    <w:rsid w:val="00551731"/>
    <w:rsid w:val="005517F9"/>
    <w:rsid w:val="0055224E"/>
    <w:rsid w:val="00552294"/>
    <w:rsid w:val="0055281B"/>
    <w:rsid w:val="0055292B"/>
    <w:rsid w:val="00552C98"/>
    <w:rsid w:val="005535BF"/>
    <w:rsid w:val="00553E63"/>
    <w:rsid w:val="00553ECC"/>
    <w:rsid w:val="00554D1C"/>
    <w:rsid w:val="005554C8"/>
    <w:rsid w:val="0055611D"/>
    <w:rsid w:val="005568A2"/>
    <w:rsid w:val="00556EEC"/>
    <w:rsid w:val="0055769C"/>
    <w:rsid w:val="005610DA"/>
    <w:rsid w:val="00561218"/>
    <w:rsid w:val="00562E43"/>
    <w:rsid w:val="00563985"/>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EE0"/>
    <w:rsid w:val="00574025"/>
    <w:rsid w:val="005752EA"/>
    <w:rsid w:val="0057586B"/>
    <w:rsid w:val="00575C7C"/>
    <w:rsid w:val="005763E1"/>
    <w:rsid w:val="00576585"/>
    <w:rsid w:val="00576B31"/>
    <w:rsid w:val="00576B63"/>
    <w:rsid w:val="00576CAA"/>
    <w:rsid w:val="00576D3D"/>
    <w:rsid w:val="00576DF0"/>
    <w:rsid w:val="0057783A"/>
    <w:rsid w:val="00577BDA"/>
    <w:rsid w:val="00580888"/>
    <w:rsid w:val="00580C15"/>
    <w:rsid w:val="0058428B"/>
    <w:rsid w:val="0058441D"/>
    <w:rsid w:val="00584A0E"/>
    <w:rsid w:val="005854BC"/>
    <w:rsid w:val="00585C9C"/>
    <w:rsid w:val="005902C3"/>
    <w:rsid w:val="00590D51"/>
    <w:rsid w:val="00591413"/>
    <w:rsid w:val="005917C5"/>
    <w:rsid w:val="00592017"/>
    <w:rsid w:val="00592CEC"/>
    <w:rsid w:val="005932C4"/>
    <w:rsid w:val="00593ABA"/>
    <w:rsid w:val="00593C8F"/>
    <w:rsid w:val="00594084"/>
    <w:rsid w:val="00594275"/>
    <w:rsid w:val="005955B9"/>
    <w:rsid w:val="005957B8"/>
    <w:rsid w:val="00595CA8"/>
    <w:rsid w:val="00597115"/>
    <w:rsid w:val="00597300"/>
    <w:rsid w:val="0059776C"/>
    <w:rsid w:val="00597A6A"/>
    <w:rsid w:val="005A170E"/>
    <w:rsid w:val="005A2203"/>
    <w:rsid w:val="005A24C6"/>
    <w:rsid w:val="005A2582"/>
    <w:rsid w:val="005A26A2"/>
    <w:rsid w:val="005A2830"/>
    <w:rsid w:val="005A2EBF"/>
    <w:rsid w:val="005A3969"/>
    <w:rsid w:val="005A4BB4"/>
    <w:rsid w:val="005A50CD"/>
    <w:rsid w:val="005A51D0"/>
    <w:rsid w:val="005A545C"/>
    <w:rsid w:val="005A5590"/>
    <w:rsid w:val="005A55EC"/>
    <w:rsid w:val="005A5B4A"/>
    <w:rsid w:val="005A60C5"/>
    <w:rsid w:val="005A63CB"/>
    <w:rsid w:val="005A6C89"/>
    <w:rsid w:val="005A71F5"/>
    <w:rsid w:val="005A74E8"/>
    <w:rsid w:val="005B0F96"/>
    <w:rsid w:val="005B325A"/>
    <w:rsid w:val="005B34B9"/>
    <w:rsid w:val="005B3522"/>
    <w:rsid w:val="005B35DF"/>
    <w:rsid w:val="005B38A5"/>
    <w:rsid w:val="005B3BA4"/>
    <w:rsid w:val="005B3E27"/>
    <w:rsid w:val="005B43B5"/>
    <w:rsid w:val="005B4D1F"/>
    <w:rsid w:val="005B58BE"/>
    <w:rsid w:val="005B5AE2"/>
    <w:rsid w:val="005B6997"/>
    <w:rsid w:val="005B6E84"/>
    <w:rsid w:val="005B717E"/>
    <w:rsid w:val="005B7B8F"/>
    <w:rsid w:val="005B7BD5"/>
    <w:rsid w:val="005C1089"/>
    <w:rsid w:val="005C153C"/>
    <w:rsid w:val="005C1664"/>
    <w:rsid w:val="005C177D"/>
    <w:rsid w:val="005C21B5"/>
    <w:rsid w:val="005C2BB3"/>
    <w:rsid w:val="005C390A"/>
    <w:rsid w:val="005C394F"/>
    <w:rsid w:val="005C396B"/>
    <w:rsid w:val="005C3DAD"/>
    <w:rsid w:val="005C3E51"/>
    <w:rsid w:val="005C3EFC"/>
    <w:rsid w:val="005C4654"/>
    <w:rsid w:val="005C46B4"/>
    <w:rsid w:val="005C4739"/>
    <w:rsid w:val="005C5770"/>
    <w:rsid w:val="005C5DE4"/>
    <w:rsid w:val="005C65A7"/>
    <w:rsid w:val="005C712E"/>
    <w:rsid w:val="005C72D8"/>
    <w:rsid w:val="005C7968"/>
    <w:rsid w:val="005D01A7"/>
    <w:rsid w:val="005D03CA"/>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C92"/>
    <w:rsid w:val="005D7CBE"/>
    <w:rsid w:val="005D7D32"/>
    <w:rsid w:val="005D7D43"/>
    <w:rsid w:val="005D7E5B"/>
    <w:rsid w:val="005D7FD2"/>
    <w:rsid w:val="005E06B0"/>
    <w:rsid w:val="005E06FF"/>
    <w:rsid w:val="005E08E6"/>
    <w:rsid w:val="005E0A41"/>
    <w:rsid w:val="005E14F8"/>
    <w:rsid w:val="005E168B"/>
    <w:rsid w:val="005E16C8"/>
    <w:rsid w:val="005E1A72"/>
    <w:rsid w:val="005E1D9B"/>
    <w:rsid w:val="005E25DD"/>
    <w:rsid w:val="005E29D3"/>
    <w:rsid w:val="005E2ED9"/>
    <w:rsid w:val="005E2FB1"/>
    <w:rsid w:val="005E4075"/>
    <w:rsid w:val="005E40CD"/>
    <w:rsid w:val="005E496B"/>
    <w:rsid w:val="005E4FAE"/>
    <w:rsid w:val="005E5BD2"/>
    <w:rsid w:val="005E6C14"/>
    <w:rsid w:val="005E6E37"/>
    <w:rsid w:val="005E7E78"/>
    <w:rsid w:val="005F0046"/>
    <w:rsid w:val="005F0F7E"/>
    <w:rsid w:val="005F1054"/>
    <w:rsid w:val="005F19D1"/>
    <w:rsid w:val="005F1D5C"/>
    <w:rsid w:val="005F23E1"/>
    <w:rsid w:val="005F2AF5"/>
    <w:rsid w:val="005F2B08"/>
    <w:rsid w:val="005F3070"/>
    <w:rsid w:val="005F3159"/>
    <w:rsid w:val="005F3F49"/>
    <w:rsid w:val="005F5113"/>
    <w:rsid w:val="005F5214"/>
    <w:rsid w:val="005F5486"/>
    <w:rsid w:val="005F56A1"/>
    <w:rsid w:val="005F7428"/>
    <w:rsid w:val="005F74D5"/>
    <w:rsid w:val="005F7594"/>
    <w:rsid w:val="00600B44"/>
    <w:rsid w:val="00600BE2"/>
    <w:rsid w:val="0060191F"/>
    <w:rsid w:val="00602292"/>
    <w:rsid w:val="00602619"/>
    <w:rsid w:val="00602710"/>
    <w:rsid w:val="00603509"/>
    <w:rsid w:val="00603552"/>
    <w:rsid w:val="00603CC3"/>
    <w:rsid w:val="00603D66"/>
    <w:rsid w:val="00603FB0"/>
    <w:rsid w:val="006041E5"/>
    <w:rsid w:val="006043AA"/>
    <w:rsid w:val="006059CB"/>
    <w:rsid w:val="0060609F"/>
    <w:rsid w:val="00606A65"/>
    <w:rsid w:val="00610172"/>
    <w:rsid w:val="006104CA"/>
    <w:rsid w:val="006105AB"/>
    <w:rsid w:val="00610DCC"/>
    <w:rsid w:val="0061106D"/>
    <w:rsid w:val="00611B3D"/>
    <w:rsid w:val="00612473"/>
    <w:rsid w:val="00612952"/>
    <w:rsid w:val="00613438"/>
    <w:rsid w:val="006139D0"/>
    <w:rsid w:val="00613DC3"/>
    <w:rsid w:val="006146B7"/>
    <w:rsid w:val="00614E28"/>
    <w:rsid w:val="00614FEC"/>
    <w:rsid w:val="00615023"/>
    <w:rsid w:val="00615264"/>
    <w:rsid w:val="00615277"/>
    <w:rsid w:val="006157AF"/>
    <w:rsid w:val="00616A84"/>
    <w:rsid w:val="00617071"/>
    <w:rsid w:val="00617240"/>
    <w:rsid w:val="00617AF9"/>
    <w:rsid w:val="006200BA"/>
    <w:rsid w:val="0062014F"/>
    <w:rsid w:val="00620FC7"/>
    <w:rsid w:val="006217CB"/>
    <w:rsid w:val="00622207"/>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1235"/>
    <w:rsid w:val="0063161C"/>
    <w:rsid w:val="00631C89"/>
    <w:rsid w:val="00631D3A"/>
    <w:rsid w:val="00633894"/>
    <w:rsid w:val="0063406C"/>
    <w:rsid w:val="0063427E"/>
    <w:rsid w:val="00634A3E"/>
    <w:rsid w:val="00634FFB"/>
    <w:rsid w:val="006354AE"/>
    <w:rsid w:val="00635CA9"/>
    <w:rsid w:val="00636069"/>
    <w:rsid w:val="0063624A"/>
    <w:rsid w:val="006366E2"/>
    <w:rsid w:val="00637E02"/>
    <w:rsid w:val="006410DF"/>
    <w:rsid w:val="006416F7"/>
    <w:rsid w:val="006422A2"/>
    <w:rsid w:val="0064289F"/>
    <w:rsid w:val="00644343"/>
    <w:rsid w:val="00646CEE"/>
    <w:rsid w:val="0065120F"/>
    <w:rsid w:val="00651214"/>
    <w:rsid w:val="0065162B"/>
    <w:rsid w:val="006518CA"/>
    <w:rsid w:val="0065192E"/>
    <w:rsid w:val="00651BB3"/>
    <w:rsid w:val="00651BF2"/>
    <w:rsid w:val="00654094"/>
    <w:rsid w:val="006557D2"/>
    <w:rsid w:val="00655D06"/>
    <w:rsid w:val="0065662B"/>
    <w:rsid w:val="006566B8"/>
    <w:rsid w:val="00656878"/>
    <w:rsid w:val="00657A20"/>
    <w:rsid w:val="00660165"/>
    <w:rsid w:val="006603A7"/>
    <w:rsid w:val="006610D3"/>
    <w:rsid w:val="00661D05"/>
    <w:rsid w:val="00661DBA"/>
    <w:rsid w:val="00662457"/>
    <w:rsid w:val="00662E47"/>
    <w:rsid w:val="006631AD"/>
    <w:rsid w:val="006631AE"/>
    <w:rsid w:val="00663514"/>
    <w:rsid w:val="00663583"/>
    <w:rsid w:val="00663FE0"/>
    <w:rsid w:val="00664D1A"/>
    <w:rsid w:val="00665EBF"/>
    <w:rsid w:val="00666A49"/>
    <w:rsid w:val="00666DA3"/>
    <w:rsid w:val="0066703F"/>
    <w:rsid w:val="006670EB"/>
    <w:rsid w:val="006673FC"/>
    <w:rsid w:val="00667475"/>
    <w:rsid w:val="006677A0"/>
    <w:rsid w:val="006679D6"/>
    <w:rsid w:val="00667A5C"/>
    <w:rsid w:val="00667F6F"/>
    <w:rsid w:val="0067098E"/>
    <w:rsid w:val="00670B96"/>
    <w:rsid w:val="006712DF"/>
    <w:rsid w:val="006719CE"/>
    <w:rsid w:val="00671CAD"/>
    <w:rsid w:val="006721FC"/>
    <w:rsid w:val="006722BC"/>
    <w:rsid w:val="00672391"/>
    <w:rsid w:val="00672DCE"/>
    <w:rsid w:val="0067382A"/>
    <w:rsid w:val="00673ED6"/>
    <w:rsid w:val="0067420D"/>
    <w:rsid w:val="006753F5"/>
    <w:rsid w:val="0067608A"/>
    <w:rsid w:val="0067624C"/>
    <w:rsid w:val="0067661D"/>
    <w:rsid w:val="006769DF"/>
    <w:rsid w:val="006776C8"/>
    <w:rsid w:val="00677F38"/>
    <w:rsid w:val="006809F7"/>
    <w:rsid w:val="006813C8"/>
    <w:rsid w:val="0068184E"/>
    <w:rsid w:val="0068236B"/>
    <w:rsid w:val="006847D0"/>
    <w:rsid w:val="00684DFA"/>
    <w:rsid w:val="006859A0"/>
    <w:rsid w:val="00686168"/>
    <w:rsid w:val="00686EF0"/>
    <w:rsid w:val="006871C9"/>
    <w:rsid w:val="00687309"/>
    <w:rsid w:val="00687C5D"/>
    <w:rsid w:val="006904A3"/>
    <w:rsid w:val="00690C91"/>
    <w:rsid w:val="00690DF3"/>
    <w:rsid w:val="00691A0F"/>
    <w:rsid w:val="00691B3F"/>
    <w:rsid w:val="00693D9B"/>
    <w:rsid w:val="00694D4D"/>
    <w:rsid w:val="006958DC"/>
    <w:rsid w:val="0069596D"/>
    <w:rsid w:val="00695A63"/>
    <w:rsid w:val="00695A93"/>
    <w:rsid w:val="006A0661"/>
    <w:rsid w:val="006A140D"/>
    <w:rsid w:val="006A17B1"/>
    <w:rsid w:val="006A21FC"/>
    <w:rsid w:val="006A23C4"/>
    <w:rsid w:val="006A29B4"/>
    <w:rsid w:val="006A3281"/>
    <w:rsid w:val="006A3A0D"/>
    <w:rsid w:val="006A4874"/>
    <w:rsid w:val="006A5202"/>
    <w:rsid w:val="006A6170"/>
    <w:rsid w:val="006A68FB"/>
    <w:rsid w:val="006A7794"/>
    <w:rsid w:val="006B0918"/>
    <w:rsid w:val="006B0E39"/>
    <w:rsid w:val="006B11A8"/>
    <w:rsid w:val="006B1F17"/>
    <w:rsid w:val="006B23BF"/>
    <w:rsid w:val="006B2535"/>
    <w:rsid w:val="006B26FD"/>
    <w:rsid w:val="006B2935"/>
    <w:rsid w:val="006B3787"/>
    <w:rsid w:val="006B3F16"/>
    <w:rsid w:val="006B401C"/>
    <w:rsid w:val="006B475D"/>
    <w:rsid w:val="006B519B"/>
    <w:rsid w:val="006B5607"/>
    <w:rsid w:val="006B573A"/>
    <w:rsid w:val="006B6BFA"/>
    <w:rsid w:val="006B744F"/>
    <w:rsid w:val="006B75B3"/>
    <w:rsid w:val="006C0504"/>
    <w:rsid w:val="006C1023"/>
    <w:rsid w:val="006C11F2"/>
    <w:rsid w:val="006C18CE"/>
    <w:rsid w:val="006C1C90"/>
    <w:rsid w:val="006C1DD9"/>
    <w:rsid w:val="006C2659"/>
    <w:rsid w:val="006C27C8"/>
    <w:rsid w:val="006C2CA2"/>
    <w:rsid w:val="006C37C5"/>
    <w:rsid w:val="006C3A71"/>
    <w:rsid w:val="006C4F14"/>
    <w:rsid w:val="006C51A8"/>
    <w:rsid w:val="006C5295"/>
    <w:rsid w:val="006C53EB"/>
    <w:rsid w:val="006C54DC"/>
    <w:rsid w:val="006C5535"/>
    <w:rsid w:val="006C5AA5"/>
    <w:rsid w:val="006C5CF3"/>
    <w:rsid w:val="006C613D"/>
    <w:rsid w:val="006C6F5F"/>
    <w:rsid w:val="006C7EC4"/>
    <w:rsid w:val="006D0AA5"/>
    <w:rsid w:val="006D0F84"/>
    <w:rsid w:val="006D0FE1"/>
    <w:rsid w:val="006D1021"/>
    <w:rsid w:val="006D3A5E"/>
    <w:rsid w:val="006D3AB5"/>
    <w:rsid w:val="006D4466"/>
    <w:rsid w:val="006D4BD0"/>
    <w:rsid w:val="006D58EB"/>
    <w:rsid w:val="006D6916"/>
    <w:rsid w:val="006D6FAA"/>
    <w:rsid w:val="006D7D25"/>
    <w:rsid w:val="006D7E72"/>
    <w:rsid w:val="006E01CD"/>
    <w:rsid w:val="006E11FE"/>
    <w:rsid w:val="006E148C"/>
    <w:rsid w:val="006E14D5"/>
    <w:rsid w:val="006E19FB"/>
    <w:rsid w:val="006E2907"/>
    <w:rsid w:val="006E300A"/>
    <w:rsid w:val="006E328B"/>
    <w:rsid w:val="006E3B7B"/>
    <w:rsid w:val="006E54A8"/>
    <w:rsid w:val="006E56FB"/>
    <w:rsid w:val="006E58F4"/>
    <w:rsid w:val="006E6A85"/>
    <w:rsid w:val="006E6FFA"/>
    <w:rsid w:val="006E7869"/>
    <w:rsid w:val="006E79DD"/>
    <w:rsid w:val="006E7ECE"/>
    <w:rsid w:val="006F0E5E"/>
    <w:rsid w:val="006F0EA7"/>
    <w:rsid w:val="006F14FF"/>
    <w:rsid w:val="006F17C6"/>
    <w:rsid w:val="006F2535"/>
    <w:rsid w:val="006F2597"/>
    <w:rsid w:val="006F2926"/>
    <w:rsid w:val="006F5345"/>
    <w:rsid w:val="006F53A2"/>
    <w:rsid w:val="006F7525"/>
    <w:rsid w:val="006F7A23"/>
    <w:rsid w:val="006F7B37"/>
    <w:rsid w:val="007009FF"/>
    <w:rsid w:val="007015B7"/>
    <w:rsid w:val="00701EE7"/>
    <w:rsid w:val="00702E2F"/>
    <w:rsid w:val="0070364F"/>
    <w:rsid w:val="00704367"/>
    <w:rsid w:val="007047F9"/>
    <w:rsid w:val="0070525F"/>
    <w:rsid w:val="0070614B"/>
    <w:rsid w:val="007063A3"/>
    <w:rsid w:val="00707420"/>
    <w:rsid w:val="0070769F"/>
    <w:rsid w:val="00710778"/>
    <w:rsid w:val="00710C24"/>
    <w:rsid w:val="0071128B"/>
    <w:rsid w:val="00711C53"/>
    <w:rsid w:val="007125CB"/>
    <w:rsid w:val="0071263A"/>
    <w:rsid w:val="00712690"/>
    <w:rsid w:val="0071288C"/>
    <w:rsid w:val="0071318A"/>
    <w:rsid w:val="00713C82"/>
    <w:rsid w:val="00713DD6"/>
    <w:rsid w:val="00714C66"/>
    <w:rsid w:val="007152BC"/>
    <w:rsid w:val="00715C1B"/>
    <w:rsid w:val="0071632F"/>
    <w:rsid w:val="0071693A"/>
    <w:rsid w:val="00716B7E"/>
    <w:rsid w:val="00717A0D"/>
    <w:rsid w:val="007204F2"/>
    <w:rsid w:val="0072057A"/>
    <w:rsid w:val="00720607"/>
    <w:rsid w:val="00720B98"/>
    <w:rsid w:val="00720BCC"/>
    <w:rsid w:val="00721113"/>
    <w:rsid w:val="00721CA5"/>
    <w:rsid w:val="0072294C"/>
    <w:rsid w:val="00722CD6"/>
    <w:rsid w:val="00722DFA"/>
    <w:rsid w:val="00723017"/>
    <w:rsid w:val="00723AC4"/>
    <w:rsid w:val="00724200"/>
    <w:rsid w:val="007245C3"/>
    <w:rsid w:val="007255D1"/>
    <w:rsid w:val="00725836"/>
    <w:rsid w:val="0072593A"/>
    <w:rsid w:val="00726199"/>
    <w:rsid w:val="00727B0A"/>
    <w:rsid w:val="00727BFD"/>
    <w:rsid w:val="00730FEC"/>
    <w:rsid w:val="0073182F"/>
    <w:rsid w:val="00731888"/>
    <w:rsid w:val="00731AA6"/>
    <w:rsid w:val="007321C8"/>
    <w:rsid w:val="00732589"/>
    <w:rsid w:val="00732690"/>
    <w:rsid w:val="007328C0"/>
    <w:rsid w:val="00732BDF"/>
    <w:rsid w:val="00735837"/>
    <w:rsid w:val="00735F09"/>
    <w:rsid w:val="00735F27"/>
    <w:rsid w:val="007361F2"/>
    <w:rsid w:val="00736414"/>
    <w:rsid w:val="00737084"/>
    <w:rsid w:val="00737574"/>
    <w:rsid w:val="0073773A"/>
    <w:rsid w:val="00737D58"/>
    <w:rsid w:val="00740529"/>
    <w:rsid w:val="00740B40"/>
    <w:rsid w:val="007416A9"/>
    <w:rsid w:val="007424D9"/>
    <w:rsid w:val="00742694"/>
    <w:rsid w:val="00743161"/>
    <w:rsid w:val="007432D7"/>
    <w:rsid w:val="007438FC"/>
    <w:rsid w:val="00743D5A"/>
    <w:rsid w:val="007443B4"/>
    <w:rsid w:val="00744463"/>
    <w:rsid w:val="007450F1"/>
    <w:rsid w:val="00745493"/>
    <w:rsid w:val="00745841"/>
    <w:rsid w:val="00745F49"/>
    <w:rsid w:val="0074649F"/>
    <w:rsid w:val="007465BD"/>
    <w:rsid w:val="0074693E"/>
    <w:rsid w:val="007469FA"/>
    <w:rsid w:val="00746D38"/>
    <w:rsid w:val="00746E41"/>
    <w:rsid w:val="00747471"/>
    <w:rsid w:val="00747751"/>
    <w:rsid w:val="00747A25"/>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DDA"/>
    <w:rsid w:val="00755EB5"/>
    <w:rsid w:val="00756218"/>
    <w:rsid w:val="007570F1"/>
    <w:rsid w:val="0076027D"/>
    <w:rsid w:val="007609B7"/>
    <w:rsid w:val="00760B21"/>
    <w:rsid w:val="007611C2"/>
    <w:rsid w:val="00761454"/>
    <w:rsid w:val="00761EFE"/>
    <w:rsid w:val="0076274D"/>
    <w:rsid w:val="00762775"/>
    <w:rsid w:val="00762E8C"/>
    <w:rsid w:val="007631AF"/>
    <w:rsid w:val="00763D2C"/>
    <w:rsid w:val="00764520"/>
    <w:rsid w:val="00764551"/>
    <w:rsid w:val="00765ACB"/>
    <w:rsid w:val="00765D72"/>
    <w:rsid w:val="00765ED4"/>
    <w:rsid w:val="007662EF"/>
    <w:rsid w:val="00766E7F"/>
    <w:rsid w:val="00766ED4"/>
    <w:rsid w:val="00767C70"/>
    <w:rsid w:val="0077030F"/>
    <w:rsid w:val="007703C5"/>
    <w:rsid w:val="00770894"/>
    <w:rsid w:val="007708AB"/>
    <w:rsid w:val="007708EA"/>
    <w:rsid w:val="00770BE9"/>
    <w:rsid w:val="00770C6B"/>
    <w:rsid w:val="0077116A"/>
    <w:rsid w:val="007714BF"/>
    <w:rsid w:val="00771656"/>
    <w:rsid w:val="00771AC3"/>
    <w:rsid w:val="0077204A"/>
    <w:rsid w:val="00772A51"/>
    <w:rsid w:val="007740EF"/>
    <w:rsid w:val="007745A0"/>
    <w:rsid w:val="00775548"/>
    <w:rsid w:val="00775915"/>
    <w:rsid w:val="00777212"/>
    <w:rsid w:val="00777C4B"/>
    <w:rsid w:val="0078039F"/>
    <w:rsid w:val="0078197C"/>
    <w:rsid w:val="00781E19"/>
    <w:rsid w:val="00781E65"/>
    <w:rsid w:val="007823D5"/>
    <w:rsid w:val="007829EC"/>
    <w:rsid w:val="00782C85"/>
    <w:rsid w:val="0078362B"/>
    <w:rsid w:val="00784909"/>
    <w:rsid w:val="00784C02"/>
    <w:rsid w:val="007853E4"/>
    <w:rsid w:val="007854B3"/>
    <w:rsid w:val="00785E68"/>
    <w:rsid w:val="007870A4"/>
    <w:rsid w:val="0079021A"/>
    <w:rsid w:val="00790A4E"/>
    <w:rsid w:val="00791215"/>
    <w:rsid w:val="00791371"/>
    <w:rsid w:val="00791E0F"/>
    <w:rsid w:val="00792415"/>
    <w:rsid w:val="00792633"/>
    <w:rsid w:val="007928B5"/>
    <w:rsid w:val="007929B2"/>
    <w:rsid w:val="007935D7"/>
    <w:rsid w:val="00793A2B"/>
    <w:rsid w:val="00793A97"/>
    <w:rsid w:val="00793D1E"/>
    <w:rsid w:val="00795569"/>
    <w:rsid w:val="00795905"/>
    <w:rsid w:val="00795BA2"/>
    <w:rsid w:val="00796334"/>
    <w:rsid w:val="00796DC5"/>
    <w:rsid w:val="00796DDC"/>
    <w:rsid w:val="007978B2"/>
    <w:rsid w:val="007A0251"/>
    <w:rsid w:val="007A0561"/>
    <w:rsid w:val="007A13D3"/>
    <w:rsid w:val="007A14DC"/>
    <w:rsid w:val="007A1FC8"/>
    <w:rsid w:val="007A227E"/>
    <w:rsid w:val="007A2343"/>
    <w:rsid w:val="007A2683"/>
    <w:rsid w:val="007A2D99"/>
    <w:rsid w:val="007A362D"/>
    <w:rsid w:val="007A3B8A"/>
    <w:rsid w:val="007A3BF9"/>
    <w:rsid w:val="007A4243"/>
    <w:rsid w:val="007A4B64"/>
    <w:rsid w:val="007A55B4"/>
    <w:rsid w:val="007A62F1"/>
    <w:rsid w:val="007A648D"/>
    <w:rsid w:val="007A65BB"/>
    <w:rsid w:val="007A6CC4"/>
    <w:rsid w:val="007A74E3"/>
    <w:rsid w:val="007A7905"/>
    <w:rsid w:val="007B0493"/>
    <w:rsid w:val="007B0D3A"/>
    <w:rsid w:val="007B130B"/>
    <w:rsid w:val="007B19F5"/>
    <w:rsid w:val="007B2086"/>
    <w:rsid w:val="007B2463"/>
    <w:rsid w:val="007B295D"/>
    <w:rsid w:val="007B2C34"/>
    <w:rsid w:val="007B2F54"/>
    <w:rsid w:val="007B317D"/>
    <w:rsid w:val="007B3DD3"/>
    <w:rsid w:val="007B4AFC"/>
    <w:rsid w:val="007B5089"/>
    <w:rsid w:val="007B54D5"/>
    <w:rsid w:val="007B57A3"/>
    <w:rsid w:val="007B57B8"/>
    <w:rsid w:val="007B589D"/>
    <w:rsid w:val="007B5E12"/>
    <w:rsid w:val="007B600B"/>
    <w:rsid w:val="007B614C"/>
    <w:rsid w:val="007B6754"/>
    <w:rsid w:val="007B6C03"/>
    <w:rsid w:val="007B7805"/>
    <w:rsid w:val="007B789C"/>
    <w:rsid w:val="007B7A01"/>
    <w:rsid w:val="007B7C9B"/>
    <w:rsid w:val="007B7CCA"/>
    <w:rsid w:val="007C00D2"/>
    <w:rsid w:val="007C0367"/>
    <w:rsid w:val="007C10CD"/>
    <w:rsid w:val="007C2377"/>
    <w:rsid w:val="007C2963"/>
    <w:rsid w:val="007C2A5F"/>
    <w:rsid w:val="007C2FCD"/>
    <w:rsid w:val="007C32AB"/>
    <w:rsid w:val="007C3D9D"/>
    <w:rsid w:val="007C4C41"/>
    <w:rsid w:val="007C4F7D"/>
    <w:rsid w:val="007C523D"/>
    <w:rsid w:val="007C5AB0"/>
    <w:rsid w:val="007C5C99"/>
    <w:rsid w:val="007C63E1"/>
    <w:rsid w:val="007C6E85"/>
    <w:rsid w:val="007C70EE"/>
    <w:rsid w:val="007C713B"/>
    <w:rsid w:val="007C7FB1"/>
    <w:rsid w:val="007D0A4E"/>
    <w:rsid w:val="007D1738"/>
    <w:rsid w:val="007D234E"/>
    <w:rsid w:val="007D24E0"/>
    <w:rsid w:val="007D24EC"/>
    <w:rsid w:val="007D2566"/>
    <w:rsid w:val="007D4169"/>
    <w:rsid w:val="007D4A3F"/>
    <w:rsid w:val="007D58D5"/>
    <w:rsid w:val="007D7B3A"/>
    <w:rsid w:val="007D7D6A"/>
    <w:rsid w:val="007D7DFD"/>
    <w:rsid w:val="007E389A"/>
    <w:rsid w:val="007E4C11"/>
    <w:rsid w:val="007E50B9"/>
    <w:rsid w:val="007E6DDA"/>
    <w:rsid w:val="007E7EC4"/>
    <w:rsid w:val="007F059C"/>
    <w:rsid w:val="007F090D"/>
    <w:rsid w:val="007F0ECF"/>
    <w:rsid w:val="007F139F"/>
    <w:rsid w:val="007F1E36"/>
    <w:rsid w:val="007F28E3"/>
    <w:rsid w:val="007F34D7"/>
    <w:rsid w:val="007F35D9"/>
    <w:rsid w:val="007F364F"/>
    <w:rsid w:val="007F3B6C"/>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C49"/>
    <w:rsid w:val="00802DC0"/>
    <w:rsid w:val="00802DE5"/>
    <w:rsid w:val="008032AD"/>
    <w:rsid w:val="008037D5"/>
    <w:rsid w:val="00804209"/>
    <w:rsid w:val="00804301"/>
    <w:rsid w:val="0080449C"/>
    <w:rsid w:val="00804561"/>
    <w:rsid w:val="00805FD2"/>
    <w:rsid w:val="00805FE6"/>
    <w:rsid w:val="00806C4E"/>
    <w:rsid w:val="00806E52"/>
    <w:rsid w:val="00806E73"/>
    <w:rsid w:val="00810D5A"/>
    <w:rsid w:val="008115A0"/>
    <w:rsid w:val="00811A25"/>
    <w:rsid w:val="00811F02"/>
    <w:rsid w:val="00812009"/>
    <w:rsid w:val="008121DD"/>
    <w:rsid w:val="00812738"/>
    <w:rsid w:val="0081285D"/>
    <w:rsid w:val="00814414"/>
    <w:rsid w:val="00814476"/>
    <w:rsid w:val="0081487E"/>
    <w:rsid w:val="00814C8A"/>
    <w:rsid w:val="0081600A"/>
    <w:rsid w:val="00816347"/>
    <w:rsid w:val="008164D5"/>
    <w:rsid w:val="00816B48"/>
    <w:rsid w:val="00816EFB"/>
    <w:rsid w:val="00817290"/>
    <w:rsid w:val="00817A39"/>
    <w:rsid w:val="00817D01"/>
    <w:rsid w:val="008204ED"/>
    <w:rsid w:val="008206EE"/>
    <w:rsid w:val="00820746"/>
    <w:rsid w:val="00820EFF"/>
    <w:rsid w:val="0082150B"/>
    <w:rsid w:val="00821A27"/>
    <w:rsid w:val="00821F00"/>
    <w:rsid w:val="008220B6"/>
    <w:rsid w:val="00822293"/>
    <w:rsid w:val="00822AA5"/>
    <w:rsid w:val="00822DBB"/>
    <w:rsid w:val="008231F7"/>
    <w:rsid w:val="008237EF"/>
    <w:rsid w:val="00823BE5"/>
    <w:rsid w:val="00823BFF"/>
    <w:rsid w:val="00824113"/>
    <w:rsid w:val="008243F2"/>
    <w:rsid w:val="00825334"/>
    <w:rsid w:val="00825F37"/>
    <w:rsid w:val="00826F81"/>
    <w:rsid w:val="0082739A"/>
    <w:rsid w:val="008274AC"/>
    <w:rsid w:val="00827584"/>
    <w:rsid w:val="008279F5"/>
    <w:rsid w:val="00827C76"/>
    <w:rsid w:val="00830B4E"/>
    <w:rsid w:val="00830BA3"/>
    <w:rsid w:val="00830D40"/>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3B8"/>
    <w:rsid w:val="00845AF4"/>
    <w:rsid w:val="00846266"/>
    <w:rsid w:val="00846B1B"/>
    <w:rsid w:val="008472E0"/>
    <w:rsid w:val="008474B4"/>
    <w:rsid w:val="00847508"/>
    <w:rsid w:val="0085114C"/>
    <w:rsid w:val="00851552"/>
    <w:rsid w:val="00851832"/>
    <w:rsid w:val="00851A5F"/>
    <w:rsid w:val="008523EE"/>
    <w:rsid w:val="00852BC0"/>
    <w:rsid w:val="0085339B"/>
    <w:rsid w:val="0085370A"/>
    <w:rsid w:val="008539FB"/>
    <w:rsid w:val="00853FD4"/>
    <w:rsid w:val="008540E6"/>
    <w:rsid w:val="0085534C"/>
    <w:rsid w:val="00855364"/>
    <w:rsid w:val="00855851"/>
    <w:rsid w:val="00855D76"/>
    <w:rsid w:val="00855E4A"/>
    <w:rsid w:val="00856091"/>
    <w:rsid w:val="00856193"/>
    <w:rsid w:val="00856363"/>
    <w:rsid w:val="00856513"/>
    <w:rsid w:val="00856DE0"/>
    <w:rsid w:val="00857953"/>
    <w:rsid w:val="00857A83"/>
    <w:rsid w:val="00857C24"/>
    <w:rsid w:val="00857D0C"/>
    <w:rsid w:val="00857DCE"/>
    <w:rsid w:val="0086137E"/>
    <w:rsid w:val="00861608"/>
    <w:rsid w:val="0086248D"/>
    <w:rsid w:val="00862DC6"/>
    <w:rsid w:val="00863221"/>
    <w:rsid w:val="00863329"/>
    <w:rsid w:val="008634BC"/>
    <w:rsid w:val="008637B9"/>
    <w:rsid w:val="00863824"/>
    <w:rsid w:val="00863A9F"/>
    <w:rsid w:val="00865348"/>
    <w:rsid w:val="00865A25"/>
    <w:rsid w:val="00865F18"/>
    <w:rsid w:val="008661DC"/>
    <w:rsid w:val="00866D9A"/>
    <w:rsid w:val="00867A09"/>
    <w:rsid w:val="00870168"/>
    <w:rsid w:val="00870CC1"/>
    <w:rsid w:val="00871CAD"/>
    <w:rsid w:val="00872446"/>
    <w:rsid w:val="00872F02"/>
    <w:rsid w:val="00873377"/>
    <w:rsid w:val="00873453"/>
    <w:rsid w:val="0087354E"/>
    <w:rsid w:val="008737A2"/>
    <w:rsid w:val="008738BD"/>
    <w:rsid w:val="00875099"/>
    <w:rsid w:val="008750A1"/>
    <w:rsid w:val="00875473"/>
    <w:rsid w:val="00875EDD"/>
    <w:rsid w:val="00877CF9"/>
    <w:rsid w:val="00877F42"/>
    <w:rsid w:val="00880979"/>
    <w:rsid w:val="00880BBD"/>
    <w:rsid w:val="00880F4F"/>
    <w:rsid w:val="00881169"/>
    <w:rsid w:val="008815B6"/>
    <w:rsid w:val="00881636"/>
    <w:rsid w:val="0088188F"/>
    <w:rsid w:val="00881AB2"/>
    <w:rsid w:val="00881ADB"/>
    <w:rsid w:val="00881C5F"/>
    <w:rsid w:val="0088278F"/>
    <w:rsid w:val="00882E87"/>
    <w:rsid w:val="00883CF3"/>
    <w:rsid w:val="008848F1"/>
    <w:rsid w:val="0088497A"/>
    <w:rsid w:val="008856B5"/>
    <w:rsid w:val="00885DD2"/>
    <w:rsid w:val="00886623"/>
    <w:rsid w:val="00887034"/>
    <w:rsid w:val="008902B2"/>
    <w:rsid w:val="00890665"/>
    <w:rsid w:val="008917AD"/>
    <w:rsid w:val="00891908"/>
    <w:rsid w:val="0089196D"/>
    <w:rsid w:val="00891C7D"/>
    <w:rsid w:val="00892506"/>
    <w:rsid w:val="0089265F"/>
    <w:rsid w:val="00892862"/>
    <w:rsid w:val="0089312C"/>
    <w:rsid w:val="0089363C"/>
    <w:rsid w:val="008937EF"/>
    <w:rsid w:val="008938BD"/>
    <w:rsid w:val="00894873"/>
    <w:rsid w:val="008948E2"/>
    <w:rsid w:val="00894B48"/>
    <w:rsid w:val="0089503D"/>
    <w:rsid w:val="00897582"/>
    <w:rsid w:val="008976E2"/>
    <w:rsid w:val="008A0C6D"/>
    <w:rsid w:val="008A0D25"/>
    <w:rsid w:val="008A0E1F"/>
    <w:rsid w:val="008A105E"/>
    <w:rsid w:val="008A133A"/>
    <w:rsid w:val="008A22CC"/>
    <w:rsid w:val="008A242D"/>
    <w:rsid w:val="008A2766"/>
    <w:rsid w:val="008A371D"/>
    <w:rsid w:val="008A38EE"/>
    <w:rsid w:val="008A4486"/>
    <w:rsid w:val="008A46F5"/>
    <w:rsid w:val="008A4C35"/>
    <w:rsid w:val="008A4C8C"/>
    <w:rsid w:val="008A59C0"/>
    <w:rsid w:val="008A62E1"/>
    <w:rsid w:val="008A694E"/>
    <w:rsid w:val="008A6A98"/>
    <w:rsid w:val="008A77C0"/>
    <w:rsid w:val="008A78E3"/>
    <w:rsid w:val="008B0463"/>
    <w:rsid w:val="008B056B"/>
    <w:rsid w:val="008B082E"/>
    <w:rsid w:val="008B0969"/>
    <w:rsid w:val="008B1824"/>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AD"/>
    <w:rsid w:val="008C10D2"/>
    <w:rsid w:val="008C154B"/>
    <w:rsid w:val="008C20E6"/>
    <w:rsid w:val="008C2B43"/>
    <w:rsid w:val="008C2D03"/>
    <w:rsid w:val="008C3377"/>
    <w:rsid w:val="008C386C"/>
    <w:rsid w:val="008C3A39"/>
    <w:rsid w:val="008C3D87"/>
    <w:rsid w:val="008C4022"/>
    <w:rsid w:val="008C4186"/>
    <w:rsid w:val="008C4DF0"/>
    <w:rsid w:val="008C5202"/>
    <w:rsid w:val="008C5AF0"/>
    <w:rsid w:val="008C75DC"/>
    <w:rsid w:val="008C7890"/>
    <w:rsid w:val="008C79A9"/>
    <w:rsid w:val="008D087F"/>
    <w:rsid w:val="008D16C6"/>
    <w:rsid w:val="008D189B"/>
    <w:rsid w:val="008D1AEE"/>
    <w:rsid w:val="008D2078"/>
    <w:rsid w:val="008D30D4"/>
    <w:rsid w:val="008D341C"/>
    <w:rsid w:val="008D3D24"/>
    <w:rsid w:val="008D4A89"/>
    <w:rsid w:val="008D630B"/>
    <w:rsid w:val="008D7453"/>
    <w:rsid w:val="008D74E6"/>
    <w:rsid w:val="008D7652"/>
    <w:rsid w:val="008D7987"/>
    <w:rsid w:val="008E03C6"/>
    <w:rsid w:val="008E0CA9"/>
    <w:rsid w:val="008E0CE4"/>
    <w:rsid w:val="008E1B91"/>
    <w:rsid w:val="008E311C"/>
    <w:rsid w:val="008E4E72"/>
    <w:rsid w:val="008E5033"/>
    <w:rsid w:val="008E5503"/>
    <w:rsid w:val="008E56BC"/>
    <w:rsid w:val="008E6496"/>
    <w:rsid w:val="008E731F"/>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4395"/>
    <w:rsid w:val="00904C57"/>
    <w:rsid w:val="00905610"/>
    <w:rsid w:val="009061A3"/>
    <w:rsid w:val="00906444"/>
    <w:rsid w:val="00906560"/>
    <w:rsid w:val="00906621"/>
    <w:rsid w:val="009077B2"/>
    <w:rsid w:val="00907E94"/>
    <w:rsid w:val="00907EA9"/>
    <w:rsid w:val="00910CE4"/>
    <w:rsid w:val="00911455"/>
    <w:rsid w:val="00911494"/>
    <w:rsid w:val="0091171E"/>
    <w:rsid w:val="00911B05"/>
    <w:rsid w:val="009128C5"/>
    <w:rsid w:val="0091375E"/>
    <w:rsid w:val="0091395E"/>
    <w:rsid w:val="009143C6"/>
    <w:rsid w:val="009143DB"/>
    <w:rsid w:val="00914BA1"/>
    <w:rsid w:val="00914C6B"/>
    <w:rsid w:val="00915432"/>
    <w:rsid w:val="00915CF9"/>
    <w:rsid w:val="00916370"/>
    <w:rsid w:val="009163AD"/>
    <w:rsid w:val="009164C0"/>
    <w:rsid w:val="009169AC"/>
    <w:rsid w:val="00917485"/>
    <w:rsid w:val="009177A1"/>
    <w:rsid w:val="009200DB"/>
    <w:rsid w:val="0092019E"/>
    <w:rsid w:val="00920DC8"/>
    <w:rsid w:val="00920FB4"/>
    <w:rsid w:val="00921385"/>
    <w:rsid w:val="00921816"/>
    <w:rsid w:val="00921AE0"/>
    <w:rsid w:val="00921C94"/>
    <w:rsid w:val="00921DC1"/>
    <w:rsid w:val="00922B83"/>
    <w:rsid w:val="00923335"/>
    <w:rsid w:val="0092410E"/>
    <w:rsid w:val="0092453A"/>
    <w:rsid w:val="009246E6"/>
    <w:rsid w:val="00924F12"/>
    <w:rsid w:val="00925A4E"/>
    <w:rsid w:val="0092619D"/>
    <w:rsid w:val="009261FC"/>
    <w:rsid w:val="00926425"/>
    <w:rsid w:val="0092652D"/>
    <w:rsid w:val="009265F0"/>
    <w:rsid w:val="00927200"/>
    <w:rsid w:val="00927460"/>
    <w:rsid w:val="00927F7A"/>
    <w:rsid w:val="009302A0"/>
    <w:rsid w:val="00930331"/>
    <w:rsid w:val="00930503"/>
    <w:rsid w:val="00930634"/>
    <w:rsid w:val="00930D45"/>
    <w:rsid w:val="00932C55"/>
    <w:rsid w:val="00932E83"/>
    <w:rsid w:val="009331F9"/>
    <w:rsid w:val="00933C28"/>
    <w:rsid w:val="00933C3D"/>
    <w:rsid w:val="0093593D"/>
    <w:rsid w:val="00935A57"/>
    <w:rsid w:val="00935DA1"/>
    <w:rsid w:val="00935DBA"/>
    <w:rsid w:val="0093600F"/>
    <w:rsid w:val="0093605A"/>
    <w:rsid w:val="00936DEB"/>
    <w:rsid w:val="00936E3E"/>
    <w:rsid w:val="009371D8"/>
    <w:rsid w:val="00937786"/>
    <w:rsid w:val="00937E85"/>
    <w:rsid w:val="00940100"/>
    <w:rsid w:val="00940736"/>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50E2"/>
    <w:rsid w:val="0094531A"/>
    <w:rsid w:val="00945788"/>
    <w:rsid w:val="00945DF2"/>
    <w:rsid w:val="00945F00"/>
    <w:rsid w:val="009466CC"/>
    <w:rsid w:val="00947266"/>
    <w:rsid w:val="00947641"/>
    <w:rsid w:val="00947AA0"/>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EBF"/>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E78"/>
    <w:rsid w:val="00970397"/>
    <w:rsid w:val="009704B6"/>
    <w:rsid w:val="00970846"/>
    <w:rsid w:val="00970D30"/>
    <w:rsid w:val="00970E84"/>
    <w:rsid w:val="0097162F"/>
    <w:rsid w:val="009716B6"/>
    <w:rsid w:val="00971946"/>
    <w:rsid w:val="0097251D"/>
    <w:rsid w:val="00972EBB"/>
    <w:rsid w:val="00973761"/>
    <w:rsid w:val="0097427B"/>
    <w:rsid w:val="009744F4"/>
    <w:rsid w:val="0097482A"/>
    <w:rsid w:val="00974929"/>
    <w:rsid w:val="00974AAB"/>
    <w:rsid w:val="00976EA1"/>
    <w:rsid w:val="0097708B"/>
    <w:rsid w:val="0097720A"/>
    <w:rsid w:val="0097790C"/>
    <w:rsid w:val="00977AE8"/>
    <w:rsid w:val="00980100"/>
    <w:rsid w:val="00981BAF"/>
    <w:rsid w:val="00981E98"/>
    <w:rsid w:val="009827D8"/>
    <w:rsid w:val="0098283C"/>
    <w:rsid w:val="00982905"/>
    <w:rsid w:val="00982FF1"/>
    <w:rsid w:val="009844F8"/>
    <w:rsid w:val="00985186"/>
    <w:rsid w:val="00985D16"/>
    <w:rsid w:val="0098616E"/>
    <w:rsid w:val="00986173"/>
    <w:rsid w:val="009863BD"/>
    <w:rsid w:val="0099012A"/>
    <w:rsid w:val="009909AC"/>
    <w:rsid w:val="00990DF2"/>
    <w:rsid w:val="009911B5"/>
    <w:rsid w:val="00991513"/>
    <w:rsid w:val="00991822"/>
    <w:rsid w:val="009923DD"/>
    <w:rsid w:val="00992494"/>
    <w:rsid w:val="00992DDB"/>
    <w:rsid w:val="00992F92"/>
    <w:rsid w:val="00993785"/>
    <w:rsid w:val="00993B88"/>
    <w:rsid w:val="0099477C"/>
    <w:rsid w:val="00994990"/>
    <w:rsid w:val="00994C04"/>
    <w:rsid w:val="00994D03"/>
    <w:rsid w:val="00994E5B"/>
    <w:rsid w:val="009956FD"/>
    <w:rsid w:val="00995A4F"/>
    <w:rsid w:val="00996516"/>
    <w:rsid w:val="009965DC"/>
    <w:rsid w:val="00997686"/>
    <w:rsid w:val="0099769F"/>
    <w:rsid w:val="009A03EC"/>
    <w:rsid w:val="009A0452"/>
    <w:rsid w:val="009A13C8"/>
    <w:rsid w:val="009A1E09"/>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ADB"/>
    <w:rsid w:val="009B0EFF"/>
    <w:rsid w:val="009B2AC2"/>
    <w:rsid w:val="009B3097"/>
    <w:rsid w:val="009B31F2"/>
    <w:rsid w:val="009B4A97"/>
    <w:rsid w:val="009B5159"/>
    <w:rsid w:val="009B5667"/>
    <w:rsid w:val="009B5A7E"/>
    <w:rsid w:val="009B5E9D"/>
    <w:rsid w:val="009B5F6A"/>
    <w:rsid w:val="009B6BA1"/>
    <w:rsid w:val="009B712E"/>
    <w:rsid w:val="009B78F8"/>
    <w:rsid w:val="009C121E"/>
    <w:rsid w:val="009C1229"/>
    <w:rsid w:val="009C225D"/>
    <w:rsid w:val="009C250F"/>
    <w:rsid w:val="009C2A9F"/>
    <w:rsid w:val="009C2BFA"/>
    <w:rsid w:val="009C38BF"/>
    <w:rsid w:val="009C38F1"/>
    <w:rsid w:val="009C3EB9"/>
    <w:rsid w:val="009C4107"/>
    <w:rsid w:val="009C440B"/>
    <w:rsid w:val="009C57FD"/>
    <w:rsid w:val="009C5A16"/>
    <w:rsid w:val="009C603B"/>
    <w:rsid w:val="009C641C"/>
    <w:rsid w:val="009C6594"/>
    <w:rsid w:val="009C76C9"/>
    <w:rsid w:val="009C77E6"/>
    <w:rsid w:val="009C7AC4"/>
    <w:rsid w:val="009C7BCC"/>
    <w:rsid w:val="009C7C33"/>
    <w:rsid w:val="009D026E"/>
    <w:rsid w:val="009D09D4"/>
    <w:rsid w:val="009D1717"/>
    <w:rsid w:val="009D1CBB"/>
    <w:rsid w:val="009D3200"/>
    <w:rsid w:val="009D3F64"/>
    <w:rsid w:val="009D4A0A"/>
    <w:rsid w:val="009D5802"/>
    <w:rsid w:val="009D5CE0"/>
    <w:rsid w:val="009D64C3"/>
    <w:rsid w:val="009D698B"/>
    <w:rsid w:val="009D6B31"/>
    <w:rsid w:val="009D6E8F"/>
    <w:rsid w:val="009D759E"/>
    <w:rsid w:val="009E00E2"/>
    <w:rsid w:val="009E04B7"/>
    <w:rsid w:val="009E0531"/>
    <w:rsid w:val="009E0620"/>
    <w:rsid w:val="009E066E"/>
    <w:rsid w:val="009E0672"/>
    <w:rsid w:val="009E0C19"/>
    <w:rsid w:val="009E145B"/>
    <w:rsid w:val="009E1824"/>
    <w:rsid w:val="009E1888"/>
    <w:rsid w:val="009E280D"/>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F062B"/>
    <w:rsid w:val="009F0F4C"/>
    <w:rsid w:val="009F10E6"/>
    <w:rsid w:val="009F1114"/>
    <w:rsid w:val="009F2014"/>
    <w:rsid w:val="009F3238"/>
    <w:rsid w:val="009F3942"/>
    <w:rsid w:val="009F3964"/>
    <w:rsid w:val="009F402E"/>
    <w:rsid w:val="009F45D3"/>
    <w:rsid w:val="009F4AC0"/>
    <w:rsid w:val="009F4AE7"/>
    <w:rsid w:val="009F4BCD"/>
    <w:rsid w:val="009F4D58"/>
    <w:rsid w:val="009F6863"/>
    <w:rsid w:val="009F6D09"/>
    <w:rsid w:val="009F7581"/>
    <w:rsid w:val="009F780E"/>
    <w:rsid w:val="00A002CE"/>
    <w:rsid w:val="00A0098D"/>
    <w:rsid w:val="00A01429"/>
    <w:rsid w:val="00A01683"/>
    <w:rsid w:val="00A01C2A"/>
    <w:rsid w:val="00A01EC7"/>
    <w:rsid w:val="00A02168"/>
    <w:rsid w:val="00A0323D"/>
    <w:rsid w:val="00A037D6"/>
    <w:rsid w:val="00A04368"/>
    <w:rsid w:val="00A0577F"/>
    <w:rsid w:val="00A05DAF"/>
    <w:rsid w:val="00A06962"/>
    <w:rsid w:val="00A076C8"/>
    <w:rsid w:val="00A1017D"/>
    <w:rsid w:val="00A1019E"/>
    <w:rsid w:val="00A103F1"/>
    <w:rsid w:val="00A105CB"/>
    <w:rsid w:val="00A1088D"/>
    <w:rsid w:val="00A11902"/>
    <w:rsid w:val="00A11A43"/>
    <w:rsid w:val="00A12BCF"/>
    <w:rsid w:val="00A12C8A"/>
    <w:rsid w:val="00A12C8C"/>
    <w:rsid w:val="00A131F5"/>
    <w:rsid w:val="00A13E0E"/>
    <w:rsid w:val="00A1436C"/>
    <w:rsid w:val="00A14924"/>
    <w:rsid w:val="00A14B9E"/>
    <w:rsid w:val="00A155EE"/>
    <w:rsid w:val="00A15B9E"/>
    <w:rsid w:val="00A16447"/>
    <w:rsid w:val="00A204E7"/>
    <w:rsid w:val="00A20FE3"/>
    <w:rsid w:val="00A21229"/>
    <w:rsid w:val="00A21775"/>
    <w:rsid w:val="00A218F2"/>
    <w:rsid w:val="00A21CE3"/>
    <w:rsid w:val="00A223F0"/>
    <w:rsid w:val="00A22788"/>
    <w:rsid w:val="00A22E59"/>
    <w:rsid w:val="00A2302B"/>
    <w:rsid w:val="00A2308D"/>
    <w:rsid w:val="00A23B3E"/>
    <w:rsid w:val="00A24164"/>
    <w:rsid w:val="00A2450E"/>
    <w:rsid w:val="00A2456F"/>
    <w:rsid w:val="00A24939"/>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BD3"/>
    <w:rsid w:val="00A45016"/>
    <w:rsid w:val="00A45921"/>
    <w:rsid w:val="00A45B0D"/>
    <w:rsid w:val="00A469B7"/>
    <w:rsid w:val="00A47166"/>
    <w:rsid w:val="00A47C39"/>
    <w:rsid w:val="00A50D08"/>
    <w:rsid w:val="00A5180E"/>
    <w:rsid w:val="00A5222F"/>
    <w:rsid w:val="00A52CC7"/>
    <w:rsid w:val="00A52D79"/>
    <w:rsid w:val="00A52FF8"/>
    <w:rsid w:val="00A53503"/>
    <w:rsid w:val="00A5356F"/>
    <w:rsid w:val="00A53BB5"/>
    <w:rsid w:val="00A53F44"/>
    <w:rsid w:val="00A540D6"/>
    <w:rsid w:val="00A540EB"/>
    <w:rsid w:val="00A54BE7"/>
    <w:rsid w:val="00A558AF"/>
    <w:rsid w:val="00A564DF"/>
    <w:rsid w:val="00A5663D"/>
    <w:rsid w:val="00A56B1E"/>
    <w:rsid w:val="00A56D6B"/>
    <w:rsid w:val="00A56DEE"/>
    <w:rsid w:val="00A56EF2"/>
    <w:rsid w:val="00A5726C"/>
    <w:rsid w:val="00A57466"/>
    <w:rsid w:val="00A57705"/>
    <w:rsid w:val="00A60051"/>
    <w:rsid w:val="00A60332"/>
    <w:rsid w:val="00A60506"/>
    <w:rsid w:val="00A60B19"/>
    <w:rsid w:val="00A60B65"/>
    <w:rsid w:val="00A61066"/>
    <w:rsid w:val="00A610BC"/>
    <w:rsid w:val="00A6168B"/>
    <w:rsid w:val="00A629CB"/>
    <w:rsid w:val="00A629FC"/>
    <w:rsid w:val="00A6359E"/>
    <w:rsid w:val="00A6389B"/>
    <w:rsid w:val="00A63E51"/>
    <w:rsid w:val="00A63F5A"/>
    <w:rsid w:val="00A6443D"/>
    <w:rsid w:val="00A645D1"/>
    <w:rsid w:val="00A64767"/>
    <w:rsid w:val="00A6613A"/>
    <w:rsid w:val="00A66165"/>
    <w:rsid w:val="00A664F8"/>
    <w:rsid w:val="00A66D2B"/>
    <w:rsid w:val="00A67450"/>
    <w:rsid w:val="00A701B1"/>
    <w:rsid w:val="00A70744"/>
    <w:rsid w:val="00A70D25"/>
    <w:rsid w:val="00A70D51"/>
    <w:rsid w:val="00A70EAD"/>
    <w:rsid w:val="00A71997"/>
    <w:rsid w:val="00A71A60"/>
    <w:rsid w:val="00A7203F"/>
    <w:rsid w:val="00A7233E"/>
    <w:rsid w:val="00A72860"/>
    <w:rsid w:val="00A7292C"/>
    <w:rsid w:val="00A73FCB"/>
    <w:rsid w:val="00A742F6"/>
    <w:rsid w:val="00A743EC"/>
    <w:rsid w:val="00A74709"/>
    <w:rsid w:val="00A749F5"/>
    <w:rsid w:val="00A75146"/>
    <w:rsid w:val="00A76173"/>
    <w:rsid w:val="00A77310"/>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5EAE"/>
    <w:rsid w:val="00A96237"/>
    <w:rsid w:val="00A97470"/>
    <w:rsid w:val="00A97888"/>
    <w:rsid w:val="00A97A1E"/>
    <w:rsid w:val="00A97AF6"/>
    <w:rsid w:val="00AA00C3"/>
    <w:rsid w:val="00AA037B"/>
    <w:rsid w:val="00AA16BD"/>
    <w:rsid w:val="00AA2C1F"/>
    <w:rsid w:val="00AA2D77"/>
    <w:rsid w:val="00AA32F0"/>
    <w:rsid w:val="00AA332B"/>
    <w:rsid w:val="00AA33EF"/>
    <w:rsid w:val="00AA40E2"/>
    <w:rsid w:val="00AA43EB"/>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286B"/>
    <w:rsid w:val="00AB2E64"/>
    <w:rsid w:val="00AB3F01"/>
    <w:rsid w:val="00AB419C"/>
    <w:rsid w:val="00AB450C"/>
    <w:rsid w:val="00AB45E0"/>
    <w:rsid w:val="00AB4CE3"/>
    <w:rsid w:val="00AB4CED"/>
    <w:rsid w:val="00AB5637"/>
    <w:rsid w:val="00AB5C75"/>
    <w:rsid w:val="00AB7171"/>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5342"/>
    <w:rsid w:val="00AC553E"/>
    <w:rsid w:val="00AC5BBE"/>
    <w:rsid w:val="00AC694B"/>
    <w:rsid w:val="00AC6A3F"/>
    <w:rsid w:val="00AC7006"/>
    <w:rsid w:val="00AC718D"/>
    <w:rsid w:val="00AC752D"/>
    <w:rsid w:val="00AC793E"/>
    <w:rsid w:val="00AC7B52"/>
    <w:rsid w:val="00AC7D8B"/>
    <w:rsid w:val="00AD0B6A"/>
    <w:rsid w:val="00AD0DDD"/>
    <w:rsid w:val="00AD2A0E"/>
    <w:rsid w:val="00AD2A40"/>
    <w:rsid w:val="00AD38AE"/>
    <w:rsid w:val="00AD3A9E"/>
    <w:rsid w:val="00AD3BCB"/>
    <w:rsid w:val="00AD3CCD"/>
    <w:rsid w:val="00AD4071"/>
    <w:rsid w:val="00AD41E3"/>
    <w:rsid w:val="00AD4C07"/>
    <w:rsid w:val="00AD5A85"/>
    <w:rsid w:val="00AD6E6E"/>
    <w:rsid w:val="00AD774D"/>
    <w:rsid w:val="00AE0D97"/>
    <w:rsid w:val="00AE19AC"/>
    <w:rsid w:val="00AE28B6"/>
    <w:rsid w:val="00AE2DD3"/>
    <w:rsid w:val="00AE3087"/>
    <w:rsid w:val="00AE3329"/>
    <w:rsid w:val="00AE3614"/>
    <w:rsid w:val="00AE4CD7"/>
    <w:rsid w:val="00AE50BA"/>
    <w:rsid w:val="00AE52DE"/>
    <w:rsid w:val="00AE5DB4"/>
    <w:rsid w:val="00AE620A"/>
    <w:rsid w:val="00AE6BA2"/>
    <w:rsid w:val="00AE6FA9"/>
    <w:rsid w:val="00AE707D"/>
    <w:rsid w:val="00AE718C"/>
    <w:rsid w:val="00AE7E1D"/>
    <w:rsid w:val="00AF1490"/>
    <w:rsid w:val="00AF157E"/>
    <w:rsid w:val="00AF158A"/>
    <w:rsid w:val="00AF27DB"/>
    <w:rsid w:val="00AF2F2C"/>
    <w:rsid w:val="00AF3BE4"/>
    <w:rsid w:val="00AF4118"/>
    <w:rsid w:val="00AF4479"/>
    <w:rsid w:val="00AF44B1"/>
    <w:rsid w:val="00AF480A"/>
    <w:rsid w:val="00AF5324"/>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6C11"/>
    <w:rsid w:val="00B071D8"/>
    <w:rsid w:val="00B07F51"/>
    <w:rsid w:val="00B1097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F6F"/>
    <w:rsid w:val="00B16314"/>
    <w:rsid w:val="00B16B0E"/>
    <w:rsid w:val="00B16CE6"/>
    <w:rsid w:val="00B20364"/>
    <w:rsid w:val="00B208AF"/>
    <w:rsid w:val="00B20A1B"/>
    <w:rsid w:val="00B20C8D"/>
    <w:rsid w:val="00B20F13"/>
    <w:rsid w:val="00B20FFE"/>
    <w:rsid w:val="00B21223"/>
    <w:rsid w:val="00B2143A"/>
    <w:rsid w:val="00B21D8D"/>
    <w:rsid w:val="00B22A37"/>
    <w:rsid w:val="00B232CB"/>
    <w:rsid w:val="00B23463"/>
    <w:rsid w:val="00B23C10"/>
    <w:rsid w:val="00B244CC"/>
    <w:rsid w:val="00B24547"/>
    <w:rsid w:val="00B2460F"/>
    <w:rsid w:val="00B24AE7"/>
    <w:rsid w:val="00B26A93"/>
    <w:rsid w:val="00B27F05"/>
    <w:rsid w:val="00B3018F"/>
    <w:rsid w:val="00B3049A"/>
    <w:rsid w:val="00B3081C"/>
    <w:rsid w:val="00B30C9E"/>
    <w:rsid w:val="00B30DE6"/>
    <w:rsid w:val="00B31E02"/>
    <w:rsid w:val="00B33879"/>
    <w:rsid w:val="00B338A1"/>
    <w:rsid w:val="00B340EF"/>
    <w:rsid w:val="00B34137"/>
    <w:rsid w:val="00B3453F"/>
    <w:rsid w:val="00B352FA"/>
    <w:rsid w:val="00B35728"/>
    <w:rsid w:val="00B35ABE"/>
    <w:rsid w:val="00B36698"/>
    <w:rsid w:val="00B36D83"/>
    <w:rsid w:val="00B37A4D"/>
    <w:rsid w:val="00B37D38"/>
    <w:rsid w:val="00B400D7"/>
    <w:rsid w:val="00B40DC7"/>
    <w:rsid w:val="00B413C2"/>
    <w:rsid w:val="00B417D2"/>
    <w:rsid w:val="00B41EB0"/>
    <w:rsid w:val="00B42144"/>
    <w:rsid w:val="00B42A9E"/>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4DAB"/>
    <w:rsid w:val="00B55C72"/>
    <w:rsid w:val="00B55D38"/>
    <w:rsid w:val="00B5607B"/>
    <w:rsid w:val="00B56101"/>
    <w:rsid w:val="00B561E4"/>
    <w:rsid w:val="00B564BE"/>
    <w:rsid w:val="00B5661F"/>
    <w:rsid w:val="00B56825"/>
    <w:rsid w:val="00B57E08"/>
    <w:rsid w:val="00B60448"/>
    <w:rsid w:val="00B60D75"/>
    <w:rsid w:val="00B60F33"/>
    <w:rsid w:val="00B61035"/>
    <w:rsid w:val="00B6168D"/>
    <w:rsid w:val="00B61803"/>
    <w:rsid w:val="00B61A53"/>
    <w:rsid w:val="00B61B01"/>
    <w:rsid w:val="00B61E97"/>
    <w:rsid w:val="00B629E7"/>
    <w:rsid w:val="00B62AFF"/>
    <w:rsid w:val="00B62F86"/>
    <w:rsid w:val="00B636DD"/>
    <w:rsid w:val="00B63B81"/>
    <w:rsid w:val="00B63E82"/>
    <w:rsid w:val="00B644B3"/>
    <w:rsid w:val="00B65E9A"/>
    <w:rsid w:val="00B66443"/>
    <w:rsid w:val="00B66956"/>
    <w:rsid w:val="00B669F5"/>
    <w:rsid w:val="00B6709A"/>
    <w:rsid w:val="00B67168"/>
    <w:rsid w:val="00B67321"/>
    <w:rsid w:val="00B67A1E"/>
    <w:rsid w:val="00B70545"/>
    <w:rsid w:val="00B70697"/>
    <w:rsid w:val="00B70CE0"/>
    <w:rsid w:val="00B7165C"/>
    <w:rsid w:val="00B71809"/>
    <w:rsid w:val="00B71DC3"/>
    <w:rsid w:val="00B7250A"/>
    <w:rsid w:val="00B7277A"/>
    <w:rsid w:val="00B72CAE"/>
    <w:rsid w:val="00B73096"/>
    <w:rsid w:val="00B73528"/>
    <w:rsid w:val="00B73718"/>
    <w:rsid w:val="00B74044"/>
    <w:rsid w:val="00B75618"/>
    <w:rsid w:val="00B7592D"/>
    <w:rsid w:val="00B76836"/>
    <w:rsid w:val="00B7776A"/>
    <w:rsid w:val="00B77E6C"/>
    <w:rsid w:val="00B80458"/>
    <w:rsid w:val="00B8109D"/>
    <w:rsid w:val="00B8127A"/>
    <w:rsid w:val="00B81318"/>
    <w:rsid w:val="00B81C99"/>
    <w:rsid w:val="00B8224A"/>
    <w:rsid w:val="00B82A00"/>
    <w:rsid w:val="00B82EA6"/>
    <w:rsid w:val="00B836B8"/>
    <w:rsid w:val="00B83B8F"/>
    <w:rsid w:val="00B83E8F"/>
    <w:rsid w:val="00B844C7"/>
    <w:rsid w:val="00B84A9C"/>
    <w:rsid w:val="00B8568A"/>
    <w:rsid w:val="00B85808"/>
    <w:rsid w:val="00B85D27"/>
    <w:rsid w:val="00B86E53"/>
    <w:rsid w:val="00B87312"/>
    <w:rsid w:val="00B9055B"/>
    <w:rsid w:val="00B90879"/>
    <w:rsid w:val="00B90EB9"/>
    <w:rsid w:val="00B91071"/>
    <w:rsid w:val="00B91AD7"/>
    <w:rsid w:val="00B91B6E"/>
    <w:rsid w:val="00B94595"/>
    <w:rsid w:val="00B9475E"/>
    <w:rsid w:val="00B94850"/>
    <w:rsid w:val="00B94D64"/>
    <w:rsid w:val="00B958D1"/>
    <w:rsid w:val="00B96B9D"/>
    <w:rsid w:val="00B96BCB"/>
    <w:rsid w:val="00B96E37"/>
    <w:rsid w:val="00B96F6E"/>
    <w:rsid w:val="00B978BB"/>
    <w:rsid w:val="00B97F87"/>
    <w:rsid w:val="00BA0292"/>
    <w:rsid w:val="00BA03C7"/>
    <w:rsid w:val="00BA0D89"/>
    <w:rsid w:val="00BA20C6"/>
    <w:rsid w:val="00BA3322"/>
    <w:rsid w:val="00BA3988"/>
    <w:rsid w:val="00BA3EB8"/>
    <w:rsid w:val="00BA4219"/>
    <w:rsid w:val="00BA4553"/>
    <w:rsid w:val="00BA4B80"/>
    <w:rsid w:val="00BA51C7"/>
    <w:rsid w:val="00BA5ED8"/>
    <w:rsid w:val="00BA60C7"/>
    <w:rsid w:val="00BA6960"/>
    <w:rsid w:val="00BA6B2C"/>
    <w:rsid w:val="00BA6F06"/>
    <w:rsid w:val="00BB00E2"/>
    <w:rsid w:val="00BB030D"/>
    <w:rsid w:val="00BB0BD4"/>
    <w:rsid w:val="00BB0CE6"/>
    <w:rsid w:val="00BB1027"/>
    <w:rsid w:val="00BB2977"/>
    <w:rsid w:val="00BB3356"/>
    <w:rsid w:val="00BB3425"/>
    <w:rsid w:val="00BB3532"/>
    <w:rsid w:val="00BB41B6"/>
    <w:rsid w:val="00BB4EE4"/>
    <w:rsid w:val="00BB5468"/>
    <w:rsid w:val="00BB57C5"/>
    <w:rsid w:val="00BB6BA1"/>
    <w:rsid w:val="00BB6E47"/>
    <w:rsid w:val="00BB7019"/>
    <w:rsid w:val="00BB7E75"/>
    <w:rsid w:val="00BC050A"/>
    <w:rsid w:val="00BC0829"/>
    <w:rsid w:val="00BC098B"/>
    <w:rsid w:val="00BC1025"/>
    <w:rsid w:val="00BC11D9"/>
    <w:rsid w:val="00BC1B63"/>
    <w:rsid w:val="00BC1B72"/>
    <w:rsid w:val="00BC1BCA"/>
    <w:rsid w:val="00BC24FB"/>
    <w:rsid w:val="00BC29D3"/>
    <w:rsid w:val="00BC3035"/>
    <w:rsid w:val="00BC33A6"/>
    <w:rsid w:val="00BC34B0"/>
    <w:rsid w:val="00BC3E91"/>
    <w:rsid w:val="00BC3FBF"/>
    <w:rsid w:val="00BC424E"/>
    <w:rsid w:val="00BC4748"/>
    <w:rsid w:val="00BC4CE5"/>
    <w:rsid w:val="00BC508B"/>
    <w:rsid w:val="00BC5103"/>
    <w:rsid w:val="00BC5949"/>
    <w:rsid w:val="00BC5CA7"/>
    <w:rsid w:val="00BC7053"/>
    <w:rsid w:val="00BC7402"/>
    <w:rsid w:val="00BC78A2"/>
    <w:rsid w:val="00BC7B5A"/>
    <w:rsid w:val="00BD01CE"/>
    <w:rsid w:val="00BD16D6"/>
    <w:rsid w:val="00BD2407"/>
    <w:rsid w:val="00BD2A24"/>
    <w:rsid w:val="00BD3979"/>
    <w:rsid w:val="00BD3D13"/>
    <w:rsid w:val="00BD405A"/>
    <w:rsid w:val="00BD4297"/>
    <w:rsid w:val="00BD49CC"/>
    <w:rsid w:val="00BD4B55"/>
    <w:rsid w:val="00BD51E1"/>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96F"/>
    <w:rsid w:val="00BE31C6"/>
    <w:rsid w:val="00BE5319"/>
    <w:rsid w:val="00BE591E"/>
    <w:rsid w:val="00BE661A"/>
    <w:rsid w:val="00BE71BE"/>
    <w:rsid w:val="00BE79D9"/>
    <w:rsid w:val="00BE7C05"/>
    <w:rsid w:val="00BE7D8A"/>
    <w:rsid w:val="00BF177D"/>
    <w:rsid w:val="00BF1D1D"/>
    <w:rsid w:val="00BF3093"/>
    <w:rsid w:val="00BF342E"/>
    <w:rsid w:val="00BF3B83"/>
    <w:rsid w:val="00BF44E7"/>
    <w:rsid w:val="00BF4516"/>
    <w:rsid w:val="00BF47AE"/>
    <w:rsid w:val="00BF4C93"/>
    <w:rsid w:val="00BF599C"/>
    <w:rsid w:val="00BF6035"/>
    <w:rsid w:val="00BF679F"/>
    <w:rsid w:val="00BF772E"/>
    <w:rsid w:val="00BF7B8D"/>
    <w:rsid w:val="00C0178F"/>
    <w:rsid w:val="00C02090"/>
    <w:rsid w:val="00C04ABC"/>
    <w:rsid w:val="00C05779"/>
    <w:rsid w:val="00C05DDD"/>
    <w:rsid w:val="00C0677F"/>
    <w:rsid w:val="00C06D36"/>
    <w:rsid w:val="00C10C85"/>
    <w:rsid w:val="00C10CB6"/>
    <w:rsid w:val="00C10F11"/>
    <w:rsid w:val="00C115D4"/>
    <w:rsid w:val="00C11D1C"/>
    <w:rsid w:val="00C120FE"/>
    <w:rsid w:val="00C12461"/>
    <w:rsid w:val="00C12560"/>
    <w:rsid w:val="00C12BD4"/>
    <w:rsid w:val="00C14474"/>
    <w:rsid w:val="00C146E9"/>
    <w:rsid w:val="00C14835"/>
    <w:rsid w:val="00C14B0F"/>
    <w:rsid w:val="00C14C1B"/>
    <w:rsid w:val="00C14EEC"/>
    <w:rsid w:val="00C15094"/>
    <w:rsid w:val="00C15609"/>
    <w:rsid w:val="00C15874"/>
    <w:rsid w:val="00C168B7"/>
    <w:rsid w:val="00C1690A"/>
    <w:rsid w:val="00C2042D"/>
    <w:rsid w:val="00C20EE5"/>
    <w:rsid w:val="00C22800"/>
    <w:rsid w:val="00C22B72"/>
    <w:rsid w:val="00C23192"/>
    <w:rsid w:val="00C237C8"/>
    <w:rsid w:val="00C23CC2"/>
    <w:rsid w:val="00C244D1"/>
    <w:rsid w:val="00C25003"/>
    <w:rsid w:val="00C26276"/>
    <w:rsid w:val="00C26C15"/>
    <w:rsid w:val="00C2759F"/>
    <w:rsid w:val="00C278C5"/>
    <w:rsid w:val="00C27A27"/>
    <w:rsid w:val="00C27C74"/>
    <w:rsid w:val="00C306C6"/>
    <w:rsid w:val="00C308FC"/>
    <w:rsid w:val="00C313DC"/>
    <w:rsid w:val="00C31451"/>
    <w:rsid w:val="00C318BB"/>
    <w:rsid w:val="00C32697"/>
    <w:rsid w:val="00C32A19"/>
    <w:rsid w:val="00C32E48"/>
    <w:rsid w:val="00C3327D"/>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672"/>
    <w:rsid w:val="00C4398C"/>
    <w:rsid w:val="00C43C3D"/>
    <w:rsid w:val="00C440A2"/>
    <w:rsid w:val="00C44552"/>
    <w:rsid w:val="00C45128"/>
    <w:rsid w:val="00C465B1"/>
    <w:rsid w:val="00C4735C"/>
    <w:rsid w:val="00C47B4C"/>
    <w:rsid w:val="00C50931"/>
    <w:rsid w:val="00C514F6"/>
    <w:rsid w:val="00C5177D"/>
    <w:rsid w:val="00C51BD3"/>
    <w:rsid w:val="00C51C8D"/>
    <w:rsid w:val="00C5451C"/>
    <w:rsid w:val="00C55249"/>
    <w:rsid w:val="00C5547B"/>
    <w:rsid w:val="00C557E9"/>
    <w:rsid w:val="00C56734"/>
    <w:rsid w:val="00C56CF9"/>
    <w:rsid w:val="00C5708D"/>
    <w:rsid w:val="00C57707"/>
    <w:rsid w:val="00C601F5"/>
    <w:rsid w:val="00C61051"/>
    <w:rsid w:val="00C61C3B"/>
    <w:rsid w:val="00C61C81"/>
    <w:rsid w:val="00C62C96"/>
    <w:rsid w:val="00C62DAE"/>
    <w:rsid w:val="00C63241"/>
    <w:rsid w:val="00C63660"/>
    <w:rsid w:val="00C637C6"/>
    <w:rsid w:val="00C63B70"/>
    <w:rsid w:val="00C63C51"/>
    <w:rsid w:val="00C6535B"/>
    <w:rsid w:val="00C656F4"/>
    <w:rsid w:val="00C66CB4"/>
    <w:rsid w:val="00C66E28"/>
    <w:rsid w:val="00C67021"/>
    <w:rsid w:val="00C67955"/>
    <w:rsid w:val="00C704DE"/>
    <w:rsid w:val="00C7086E"/>
    <w:rsid w:val="00C708C4"/>
    <w:rsid w:val="00C71145"/>
    <w:rsid w:val="00C711DA"/>
    <w:rsid w:val="00C712C7"/>
    <w:rsid w:val="00C71462"/>
    <w:rsid w:val="00C71674"/>
    <w:rsid w:val="00C72FC5"/>
    <w:rsid w:val="00C73E17"/>
    <w:rsid w:val="00C74592"/>
    <w:rsid w:val="00C751A1"/>
    <w:rsid w:val="00C75202"/>
    <w:rsid w:val="00C75458"/>
    <w:rsid w:val="00C75AB1"/>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90C"/>
    <w:rsid w:val="00C93B61"/>
    <w:rsid w:val="00C94D13"/>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ECD"/>
    <w:rsid w:val="00CA448E"/>
    <w:rsid w:val="00CA46EF"/>
    <w:rsid w:val="00CA4AC8"/>
    <w:rsid w:val="00CA52C3"/>
    <w:rsid w:val="00CA5631"/>
    <w:rsid w:val="00CA57D6"/>
    <w:rsid w:val="00CA6229"/>
    <w:rsid w:val="00CB0710"/>
    <w:rsid w:val="00CB0B14"/>
    <w:rsid w:val="00CB109B"/>
    <w:rsid w:val="00CB1855"/>
    <w:rsid w:val="00CB19A9"/>
    <w:rsid w:val="00CB25DA"/>
    <w:rsid w:val="00CB2FDC"/>
    <w:rsid w:val="00CB3116"/>
    <w:rsid w:val="00CB3307"/>
    <w:rsid w:val="00CB3563"/>
    <w:rsid w:val="00CB366C"/>
    <w:rsid w:val="00CB4CE7"/>
    <w:rsid w:val="00CB5289"/>
    <w:rsid w:val="00CB54DA"/>
    <w:rsid w:val="00CB5781"/>
    <w:rsid w:val="00CB5D3D"/>
    <w:rsid w:val="00CB69DF"/>
    <w:rsid w:val="00CB768D"/>
    <w:rsid w:val="00CB7B41"/>
    <w:rsid w:val="00CC0101"/>
    <w:rsid w:val="00CC057D"/>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FC4"/>
    <w:rsid w:val="00CD1013"/>
    <w:rsid w:val="00CD16EC"/>
    <w:rsid w:val="00CD1CDB"/>
    <w:rsid w:val="00CD27E9"/>
    <w:rsid w:val="00CD318D"/>
    <w:rsid w:val="00CD37FB"/>
    <w:rsid w:val="00CD3958"/>
    <w:rsid w:val="00CD3AA2"/>
    <w:rsid w:val="00CD3E60"/>
    <w:rsid w:val="00CD3EFC"/>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C06"/>
    <w:rsid w:val="00CE6F9D"/>
    <w:rsid w:val="00CE777F"/>
    <w:rsid w:val="00CE79F8"/>
    <w:rsid w:val="00CE7A21"/>
    <w:rsid w:val="00CF00B5"/>
    <w:rsid w:val="00CF0E91"/>
    <w:rsid w:val="00CF101D"/>
    <w:rsid w:val="00CF2137"/>
    <w:rsid w:val="00CF2260"/>
    <w:rsid w:val="00CF2308"/>
    <w:rsid w:val="00CF3319"/>
    <w:rsid w:val="00CF3641"/>
    <w:rsid w:val="00CF420C"/>
    <w:rsid w:val="00CF42C2"/>
    <w:rsid w:val="00CF4303"/>
    <w:rsid w:val="00CF56E0"/>
    <w:rsid w:val="00CF58AA"/>
    <w:rsid w:val="00CF5F3B"/>
    <w:rsid w:val="00CF5FB8"/>
    <w:rsid w:val="00CF687D"/>
    <w:rsid w:val="00CF6EDF"/>
    <w:rsid w:val="00CF7570"/>
    <w:rsid w:val="00CF7C84"/>
    <w:rsid w:val="00D00413"/>
    <w:rsid w:val="00D00BC2"/>
    <w:rsid w:val="00D00BDF"/>
    <w:rsid w:val="00D00D11"/>
    <w:rsid w:val="00D00E08"/>
    <w:rsid w:val="00D00F2A"/>
    <w:rsid w:val="00D017F0"/>
    <w:rsid w:val="00D01E1D"/>
    <w:rsid w:val="00D0221A"/>
    <w:rsid w:val="00D03047"/>
    <w:rsid w:val="00D0398D"/>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A4C"/>
    <w:rsid w:val="00D17F5C"/>
    <w:rsid w:val="00D2021A"/>
    <w:rsid w:val="00D205D8"/>
    <w:rsid w:val="00D206D7"/>
    <w:rsid w:val="00D20B19"/>
    <w:rsid w:val="00D22157"/>
    <w:rsid w:val="00D2287C"/>
    <w:rsid w:val="00D22D8F"/>
    <w:rsid w:val="00D238EB"/>
    <w:rsid w:val="00D23B43"/>
    <w:rsid w:val="00D242E1"/>
    <w:rsid w:val="00D249F8"/>
    <w:rsid w:val="00D24DEE"/>
    <w:rsid w:val="00D250EA"/>
    <w:rsid w:val="00D254D7"/>
    <w:rsid w:val="00D255BD"/>
    <w:rsid w:val="00D2605F"/>
    <w:rsid w:val="00D26F69"/>
    <w:rsid w:val="00D2788E"/>
    <w:rsid w:val="00D27B59"/>
    <w:rsid w:val="00D30ABB"/>
    <w:rsid w:val="00D31019"/>
    <w:rsid w:val="00D31A6C"/>
    <w:rsid w:val="00D31D72"/>
    <w:rsid w:val="00D32391"/>
    <w:rsid w:val="00D325A7"/>
    <w:rsid w:val="00D327C8"/>
    <w:rsid w:val="00D33F48"/>
    <w:rsid w:val="00D34CD3"/>
    <w:rsid w:val="00D35267"/>
    <w:rsid w:val="00D35C85"/>
    <w:rsid w:val="00D36591"/>
    <w:rsid w:val="00D369D1"/>
    <w:rsid w:val="00D36D0A"/>
    <w:rsid w:val="00D37E4E"/>
    <w:rsid w:val="00D4066A"/>
    <w:rsid w:val="00D40A0E"/>
    <w:rsid w:val="00D4170A"/>
    <w:rsid w:val="00D41C5E"/>
    <w:rsid w:val="00D4213B"/>
    <w:rsid w:val="00D424BC"/>
    <w:rsid w:val="00D42561"/>
    <w:rsid w:val="00D42A5B"/>
    <w:rsid w:val="00D43AE4"/>
    <w:rsid w:val="00D43FC6"/>
    <w:rsid w:val="00D44360"/>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BD9"/>
    <w:rsid w:val="00D53DB5"/>
    <w:rsid w:val="00D5444F"/>
    <w:rsid w:val="00D558E5"/>
    <w:rsid w:val="00D55F4B"/>
    <w:rsid w:val="00D563A3"/>
    <w:rsid w:val="00D5660C"/>
    <w:rsid w:val="00D573A1"/>
    <w:rsid w:val="00D574F5"/>
    <w:rsid w:val="00D5758C"/>
    <w:rsid w:val="00D6024A"/>
    <w:rsid w:val="00D60893"/>
    <w:rsid w:val="00D613CB"/>
    <w:rsid w:val="00D623B9"/>
    <w:rsid w:val="00D6275B"/>
    <w:rsid w:val="00D628C6"/>
    <w:rsid w:val="00D629FC"/>
    <w:rsid w:val="00D654D1"/>
    <w:rsid w:val="00D660BB"/>
    <w:rsid w:val="00D670E1"/>
    <w:rsid w:val="00D67122"/>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64E0"/>
    <w:rsid w:val="00D76546"/>
    <w:rsid w:val="00D76617"/>
    <w:rsid w:val="00D76E7A"/>
    <w:rsid w:val="00D77BFC"/>
    <w:rsid w:val="00D77FC2"/>
    <w:rsid w:val="00D812AD"/>
    <w:rsid w:val="00D81632"/>
    <w:rsid w:val="00D81E47"/>
    <w:rsid w:val="00D8283D"/>
    <w:rsid w:val="00D83556"/>
    <w:rsid w:val="00D83559"/>
    <w:rsid w:val="00D8399E"/>
    <w:rsid w:val="00D83A56"/>
    <w:rsid w:val="00D8461F"/>
    <w:rsid w:val="00D84918"/>
    <w:rsid w:val="00D85140"/>
    <w:rsid w:val="00D852E0"/>
    <w:rsid w:val="00D85C55"/>
    <w:rsid w:val="00D86A1C"/>
    <w:rsid w:val="00D86C3E"/>
    <w:rsid w:val="00D86F99"/>
    <w:rsid w:val="00D87AF5"/>
    <w:rsid w:val="00D902CB"/>
    <w:rsid w:val="00D9034D"/>
    <w:rsid w:val="00D903AE"/>
    <w:rsid w:val="00D91DE0"/>
    <w:rsid w:val="00D92A12"/>
    <w:rsid w:val="00D92C4D"/>
    <w:rsid w:val="00D930F6"/>
    <w:rsid w:val="00D9312F"/>
    <w:rsid w:val="00D93242"/>
    <w:rsid w:val="00D9354A"/>
    <w:rsid w:val="00D93779"/>
    <w:rsid w:val="00D93C6F"/>
    <w:rsid w:val="00D94D6E"/>
    <w:rsid w:val="00D950AA"/>
    <w:rsid w:val="00D95264"/>
    <w:rsid w:val="00D95DD3"/>
    <w:rsid w:val="00D9615C"/>
    <w:rsid w:val="00D965DE"/>
    <w:rsid w:val="00D970CC"/>
    <w:rsid w:val="00D9738C"/>
    <w:rsid w:val="00DA0E87"/>
    <w:rsid w:val="00DA1C1C"/>
    <w:rsid w:val="00DA2D03"/>
    <w:rsid w:val="00DA455D"/>
    <w:rsid w:val="00DA5026"/>
    <w:rsid w:val="00DA544A"/>
    <w:rsid w:val="00DA5848"/>
    <w:rsid w:val="00DA5DC2"/>
    <w:rsid w:val="00DA5EF2"/>
    <w:rsid w:val="00DA5FA3"/>
    <w:rsid w:val="00DA6F86"/>
    <w:rsid w:val="00DA71A2"/>
    <w:rsid w:val="00DA7531"/>
    <w:rsid w:val="00DA7841"/>
    <w:rsid w:val="00DA7AA0"/>
    <w:rsid w:val="00DB05AD"/>
    <w:rsid w:val="00DB0903"/>
    <w:rsid w:val="00DB0913"/>
    <w:rsid w:val="00DB1163"/>
    <w:rsid w:val="00DB129C"/>
    <w:rsid w:val="00DB1619"/>
    <w:rsid w:val="00DB26F1"/>
    <w:rsid w:val="00DB2AF2"/>
    <w:rsid w:val="00DB4EA9"/>
    <w:rsid w:val="00DB6973"/>
    <w:rsid w:val="00DB7056"/>
    <w:rsid w:val="00DB71E5"/>
    <w:rsid w:val="00DB7EFB"/>
    <w:rsid w:val="00DC02BF"/>
    <w:rsid w:val="00DC06CE"/>
    <w:rsid w:val="00DC1D11"/>
    <w:rsid w:val="00DC26A0"/>
    <w:rsid w:val="00DC30D5"/>
    <w:rsid w:val="00DC4B90"/>
    <w:rsid w:val="00DC55A7"/>
    <w:rsid w:val="00DC6873"/>
    <w:rsid w:val="00DC6ED8"/>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33AB"/>
    <w:rsid w:val="00DD3400"/>
    <w:rsid w:val="00DD3739"/>
    <w:rsid w:val="00DD38C8"/>
    <w:rsid w:val="00DD40F1"/>
    <w:rsid w:val="00DD46DC"/>
    <w:rsid w:val="00DD658F"/>
    <w:rsid w:val="00DD7FCE"/>
    <w:rsid w:val="00DE0712"/>
    <w:rsid w:val="00DE197D"/>
    <w:rsid w:val="00DE1D91"/>
    <w:rsid w:val="00DE2650"/>
    <w:rsid w:val="00DE2772"/>
    <w:rsid w:val="00DE2973"/>
    <w:rsid w:val="00DE4271"/>
    <w:rsid w:val="00DE4401"/>
    <w:rsid w:val="00DE4948"/>
    <w:rsid w:val="00DE4D25"/>
    <w:rsid w:val="00DE51EB"/>
    <w:rsid w:val="00DE66DF"/>
    <w:rsid w:val="00DE71BC"/>
    <w:rsid w:val="00DE772E"/>
    <w:rsid w:val="00DE7C3A"/>
    <w:rsid w:val="00DF01F8"/>
    <w:rsid w:val="00DF0D6C"/>
    <w:rsid w:val="00DF0F86"/>
    <w:rsid w:val="00DF2596"/>
    <w:rsid w:val="00DF2C21"/>
    <w:rsid w:val="00DF381D"/>
    <w:rsid w:val="00DF3D52"/>
    <w:rsid w:val="00DF424D"/>
    <w:rsid w:val="00DF4409"/>
    <w:rsid w:val="00DF499E"/>
    <w:rsid w:val="00DF4CDD"/>
    <w:rsid w:val="00DF5125"/>
    <w:rsid w:val="00DF5697"/>
    <w:rsid w:val="00DF6003"/>
    <w:rsid w:val="00DF6236"/>
    <w:rsid w:val="00DF63B5"/>
    <w:rsid w:val="00DF647F"/>
    <w:rsid w:val="00DF6C6B"/>
    <w:rsid w:val="00DF6CB2"/>
    <w:rsid w:val="00E00290"/>
    <w:rsid w:val="00E00F22"/>
    <w:rsid w:val="00E01377"/>
    <w:rsid w:val="00E014AA"/>
    <w:rsid w:val="00E021BC"/>
    <w:rsid w:val="00E021DA"/>
    <w:rsid w:val="00E027D9"/>
    <w:rsid w:val="00E048D1"/>
    <w:rsid w:val="00E04976"/>
    <w:rsid w:val="00E04DD2"/>
    <w:rsid w:val="00E063C2"/>
    <w:rsid w:val="00E06654"/>
    <w:rsid w:val="00E06D83"/>
    <w:rsid w:val="00E10534"/>
    <w:rsid w:val="00E105E1"/>
    <w:rsid w:val="00E10D5D"/>
    <w:rsid w:val="00E118A5"/>
    <w:rsid w:val="00E11B1B"/>
    <w:rsid w:val="00E11E14"/>
    <w:rsid w:val="00E11FC7"/>
    <w:rsid w:val="00E12551"/>
    <w:rsid w:val="00E1255E"/>
    <w:rsid w:val="00E12B29"/>
    <w:rsid w:val="00E13FC4"/>
    <w:rsid w:val="00E14301"/>
    <w:rsid w:val="00E14836"/>
    <w:rsid w:val="00E15850"/>
    <w:rsid w:val="00E15E27"/>
    <w:rsid w:val="00E17391"/>
    <w:rsid w:val="00E17413"/>
    <w:rsid w:val="00E17CC8"/>
    <w:rsid w:val="00E17E08"/>
    <w:rsid w:val="00E17FAD"/>
    <w:rsid w:val="00E2077E"/>
    <w:rsid w:val="00E20946"/>
    <w:rsid w:val="00E20BDF"/>
    <w:rsid w:val="00E21671"/>
    <w:rsid w:val="00E218D4"/>
    <w:rsid w:val="00E21CC6"/>
    <w:rsid w:val="00E225C3"/>
    <w:rsid w:val="00E22C36"/>
    <w:rsid w:val="00E22CC1"/>
    <w:rsid w:val="00E2449C"/>
    <w:rsid w:val="00E24E26"/>
    <w:rsid w:val="00E24EF1"/>
    <w:rsid w:val="00E253BE"/>
    <w:rsid w:val="00E25CB9"/>
    <w:rsid w:val="00E25FDD"/>
    <w:rsid w:val="00E26BE7"/>
    <w:rsid w:val="00E27262"/>
    <w:rsid w:val="00E278FB"/>
    <w:rsid w:val="00E279E0"/>
    <w:rsid w:val="00E27C19"/>
    <w:rsid w:val="00E30A20"/>
    <w:rsid w:val="00E30B04"/>
    <w:rsid w:val="00E30CCB"/>
    <w:rsid w:val="00E312D2"/>
    <w:rsid w:val="00E32871"/>
    <w:rsid w:val="00E329A9"/>
    <w:rsid w:val="00E33BF5"/>
    <w:rsid w:val="00E34E18"/>
    <w:rsid w:val="00E34E2F"/>
    <w:rsid w:val="00E354B5"/>
    <w:rsid w:val="00E3585C"/>
    <w:rsid w:val="00E35B8C"/>
    <w:rsid w:val="00E36636"/>
    <w:rsid w:val="00E36C76"/>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543"/>
    <w:rsid w:val="00E456D1"/>
    <w:rsid w:val="00E45EDD"/>
    <w:rsid w:val="00E466C7"/>
    <w:rsid w:val="00E46AD4"/>
    <w:rsid w:val="00E47B2C"/>
    <w:rsid w:val="00E47E5F"/>
    <w:rsid w:val="00E50001"/>
    <w:rsid w:val="00E5194D"/>
    <w:rsid w:val="00E51E06"/>
    <w:rsid w:val="00E52265"/>
    <w:rsid w:val="00E52369"/>
    <w:rsid w:val="00E524A2"/>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BDA"/>
    <w:rsid w:val="00E56C64"/>
    <w:rsid w:val="00E56ED3"/>
    <w:rsid w:val="00E57215"/>
    <w:rsid w:val="00E5734B"/>
    <w:rsid w:val="00E600C6"/>
    <w:rsid w:val="00E60168"/>
    <w:rsid w:val="00E614A8"/>
    <w:rsid w:val="00E614AD"/>
    <w:rsid w:val="00E618EE"/>
    <w:rsid w:val="00E61A91"/>
    <w:rsid w:val="00E62080"/>
    <w:rsid w:val="00E62397"/>
    <w:rsid w:val="00E627A7"/>
    <w:rsid w:val="00E6303A"/>
    <w:rsid w:val="00E633AD"/>
    <w:rsid w:val="00E63433"/>
    <w:rsid w:val="00E63539"/>
    <w:rsid w:val="00E6357B"/>
    <w:rsid w:val="00E63927"/>
    <w:rsid w:val="00E63BBF"/>
    <w:rsid w:val="00E64C20"/>
    <w:rsid w:val="00E65082"/>
    <w:rsid w:val="00E6600F"/>
    <w:rsid w:val="00E66584"/>
    <w:rsid w:val="00E66A53"/>
    <w:rsid w:val="00E6713D"/>
    <w:rsid w:val="00E67530"/>
    <w:rsid w:val="00E67CC2"/>
    <w:rsid w:val="00E706CB"/>
    <w:rsid w:val="00E71024"/>
    <w:rsid w:val="00E711FF"/>
    <w:rsid w:val="00E716C0"/>
    <w:rsid w:val="00E71C4F"/>
    <w:rsid w:val="00E72450"/>
    <w:rsid w:val="00E724EF"/>
    <w:rsid w:val="00E72E2E"/>
    <w:rsid w:val="00E73463"/>
    <w:rsid w:val="00E738C3"/>
    <w:rsid w:val="00E756F4"/>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D17"/>
    <w:rsid w:val="00E83F8B"/>
    <w:rsid w:val="00E84798"/>
    <w:rsid w:val="00E84C3F"/>
    <w:rsid w:val="00E84E4B"/>
    <w:rsid w:val="00E85411"/>
    <w:rsid w:val="00E85B1E"/>
    <w:rsid w:val="00E85C2F"/>
    <w:rsid w:val="00E86176"/>
    <w:rsid w:val="00E86823"/>
    <w:rsid w:val="00E86C2B"/>
    <w:rsid w:val="00E86D2C"/>
    <w:rsid w:val="00E87809"/>
    <w:rsid w:val="00E9029C"/>
    <w:rsid w:val="00E92B30"/>
    <w:rsid w:val="00E932B4"/>
    <w:rsid w:val="00E93508"/>
    <w:rsid w:val="00E93C65"/>
    <w:rsid w:val="00E9448D"/>
    <w:rsid w:val="00E94A1D"/>
    <w:rsid w:val="00E94B02"/>
    <w:rsid w:val="00E959AB"/>
    <w:rsid w:val="00E96D39"/>
    <w:rsid w:val="00E9785F"/>
    <w:rsid w:val="00E978B1"/>
    <w:rsid w:val="00E97A03"/>
    <w:rsid w:val="00E97BFF"/>
    <w:rsid w:val="00EA04B0"/>
    <w:rsid w:val="00EA0B04"/>
    <w:rsid w:val="00EA0C1C"/>
    <w:rsid w:val="00EA13E1"/>
    <w:rsid w:val="00EA2075"/>
    <w:rsid w:val="00EA2591"/>
    <w:rsid w:val="00EA3211"/>
    <w:rsid w:val="00EA384C"/>
    <w:rsid w:val="00EA38BB"/>
    <w:rsid w:val="00EA3A8D"/>
    <w:rsid w:val="00EA4496"/>
    <w:rsid w:val="00EA48E5"/>
    <w:rsid w:val="00EA5633"/>
    <w:rsid w:val="00EA5D09"/>
    <w:rsid w:val="00EA6163"/>
    <w:rsid w:val="00EA6352"/>
    <w:rsid w:val="00EA7069"/>
    <w:rsid w:val="00EA7D10"/>
    <w:rsid w:val="00EB0CDD"/>
    <w:rsid w:val="00EB11BE"/>
    <w:rsid w:val="00EB1291"/>
    <w:rsid w:val="00EB148E"/>
    <w:rsid w:val="00EB1DB2"/>
    <w:rsid w:val="00EB3B21"/>
    <w:rsid w:val="00EB3BCF"/>
    <w:rsid w:val="00EB46F0"/>
    <w:rsid w:val="00EB53F2"/>
    <w:rsid w:val="00EB5594"/>
    <w:rsid w:val="00EB5B59"/>
    <w:rsid w:val="00EB5EEF"/>
    <w:rsid w:val="00EB6D78"/>
    <w:rsid w:val="00EB7559"/>
    <w:rsid w:val="00EB75BE"/>
    <w:rsid w:val="00EB782B"/>
    <w:rsid w:val="00EB78A3"/>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713"/>
    <w:rsid w:val="00EC69A6"/>
    <w:rsid w:val="00EC7244"/>
    <w:rsid w:val="00EC72AA"/>
    <w:rsid w:val="00EC77D9"/>
    <w:rsid w:val="00EC78FB"/>
    <w:rsid w:val="00ED0703"/>
    <w:rsid w:val="00ED0B61"/>
    <w:rsid w:val="00ED24A8"/>
    <w:rsid w:val="00ED2617"/>
    <w:rsid w:val="00ED38EE"/>
    <w:rsid w:val="00ED3F30"/>
    <w:rsid w:val="00ED405A"/>
    <w:rsid w:val="00ED41D4"/>
    <w:rsid w:val="00ED42BC"/>
    <w:rsid w:val="00ED4D23"/>
    <w:rsid w:val="00ED58B8"/>
    <w:rsid w:val="00ED5995"/>
    <w:rsid w:val="00ED6021"/>
    <w:rsid w:val="00ED6208"/>
    <w:rsid w:val="00ED721F"/>
    <w:rsid w:val="00ED7265"/>
    <w:rsid w:val="00ED7358"/>
    <w:rsid w:val="00ED754A"/>
    <w:rsid w:val="00ED7BD8"/>
    <w:rsid w:val="00ED7D5E"/>
    <w:rsid w:val="00EE0026"/>
    <w:rsid w:val="00EE05D8"/>
    <w:rsid w:val="00EE0BA2"/>
    <w:rsid w:val="00EE12C8"/>
    <w:rsid w:val="00EE19FF"/>
    <w:rsid w:val="00EE1D4B"/>
    <w:rsid w:val="00EE2194"/>
    <w:rsid w:val="00EE2496"/>
    <w:rsid w:val="00EE2A07"/>
    <w:rsid w:val="00EE3217"/>
    <w:rsid w:val="00EE3D73"/>
    <w:rsid w:val="00EE3E20"/>
    <w:rsid w:val="00EE4A3A"/>
    <w:rsid w:val="00EE4C2C"/>
    <w:rsid w:val="00EE5AD1"/>
    <w:rsid w:val="00EE615B"/>
    <w:rsid w:val="00EE6225"/>
    <w:rsid w:val="00EE6FAC"/>
    <w:rsid w:val="00EE725D"/>
    <w:rsid w:val="00EE7922"/>
    <w:rsid w:val="00EE7A89"/>
    <w:rsid w:val="00EE7D17"/>
    <w:rsid w:val="00EF0B71"/>
    <w:rsid w:val="00EF13FB"/>
    <w:rsid w:val="00EF176A"/>
    <w:rsid w:val="00EF268C"/>
    <w:rsid w:val="00EF2C3A"/>
    <w:rsid w:val="00EF2D05"/>
    <w:rsid w:val="00EF3198"/>
    <w:rsid w:val="00EF3AC9"/>
    <w:rsid w:val="00EF3C45"/>
    <w:rsid w:val="00EF44DC"/>
    <w:rsid w:val="00EF4B6B"/>
    <w:rsid w:val="00EF5339"/>
    <w:rsid w:val="00EF543F"/>
    <w:rsid w:val="00EF5515"/>
    <w:rsid w:val="00EF5D63"/>
    <w:rsid w:val="00EF64B2"/>
    <w:rsid w:val="00EF6565"/>
    <w:rsid w:val="00EF675B"/>
    <w:rsid w:val="00EF67DB"/>
    <w:rsid w:val="00EF6C19"/>
    <w:rsid w:val="00EF6D73"/>
    <w:rsid w:val="00F00682"/>
    <w:rsid w:val="00F00823"/>
    <w:rsid w:val="00F010D5"/>
    <w:rsid w:val="00F01C7C"/>
    <w:rsid w:val="00F01CCB"/>
    <w:rsid w:val="00F01CD8"/>
    <w:rsid w:val="00F021DD"/>
    <w:rsid w:val="00F02A85"/>
    <w:rsid w:val="00F02DB6"/>
    <w:rsid w:val="00F02DF8"/>
    <w:rsid w:val="00F031F0"/>
    <w:rsid w:val="00F03201"/>
    <w:rsid w:val="00F04125"/>
    <w:rsid w:val="00F04588"/>
    <w:rsid w:val="00F0459B"/>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BA0"/>
    <w:rsid w:val="00F170A0"/>
    <w:rsid w:val="00F175FF"/>
    <w:rsid w:val="00F20668"/>
    <w:rsid w:val="00F20B35"/>
    <w:rsid w:val="00F2121B"/>
    <w:rsid w:val="00F215D0"/>
    <w:rsid w:val="00F21715"/>
    <w:rsid w:val="00F21808"/>
    <w:rsid w:val="00F22D4B"/>
    <w:rsid w:val="00F23590"/>
    <w:rsid w:val="00F24056"/>
    <w:rsid w:val="00F24A92"/>
    <w:rsid w:val="00F24FE7"/>
    <w:rsid w:val="00F257CF"/>
    <w:rsid w:val="00F25B92"/>
    <w:rsid w:val="00F26026"/>
    <w:rsid w:val="00F2624B"/>
    <w:rsid w:val="00F2639D"/>
    <w:rsid w:val="00F265CD"/>
    <w:rsid w:val="00F267D9"/>
    <w:rsid w:val="00F30A9D"/>
    <w:rsid w:val="00F30B00"/>
    <w:rsid w:val="00F30E60"/>
    <w:rsid w:val="00F311BE"/>
    <w:rsid w:val="00F3161A"/>
    <w:rsid w:val="00F3193C"/>
    <w:rsid w:val="00F31995"/>
    <w:rsid w:val="00F31FA5"/>
    <w:rsid w:val="00F32A1B"/>
    <w:rsid w:val="00F330C5"/>
    <w:rsid w:val="00F34380"/>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131D"/>
    <w:rsid w:val="00F418A0"/>
    <w:rsid w:val="00F420A2"/>
    <w:rsid w:val="00F432C3"/>
    <w:rsid w:val="00F437D4"/>
    <w:rsid w:val="00F43C89"/>
    <w:rsid w:val="00F4450F"/>
    <w:rsid w:val="00F44E03"/>
    <w:rsid w:val="00F44F15"/>
    <w:rsid w:val="00F45B15"/>
    <w:rsid w:val="00F460D1"/>
    <w:rsid w:val="00F47500"/>
    <w:rsid w:val="00F47A99"/>
    <w:rsid w:val="00F504AA"/>
    <w:rsid w:val="00F509AE"/>
    <w:rsid w:val="00F50D45"/>
    <w:rsid w:val="00F51E6F"/>
    <w:rsid w:val="00F522BA"/>
    <w:rsid w:val="00F524FB"/>
    <w:rsid w:val="00F529A1"/>
    <w:rsid w:val="00F52B41"/>
    <w:rsid w:val="00F52B87"/>
    <w:rsid w:val="00F538A9"/>
    <w:rsid w:val="00F541BE"/>
    <w:rsid w:val="00F5469D"/>
    <w:rsid w:val="00F54F15"/>
    <w:rsid w:val="00F553D2"/>
    <w:rsid w:val="00F5545D"/>
    <w:rsid w:val="00F55856"/>
    <w:rsid w:val="00F566C3"/>
    <w:rsid w:val="00F57E89"/>
    <w:rsid w:val="00F601EF"/>
    <w:rsid w:val="00F60217"/>
    <w:rsid w:val="00F6024F"/>
    <w:rsid w:val="00F60BFE"/>
    <w:rsid w:val="00F6139A"/>
    <w:rsid w:val="00F616DF"/>
    <w:rsid w:val="00F61E9C"/>
    <w:rsid w:val="00F62D59"/>
    <w:rsid w:val="00F6308F"/>
    <w:rsid w:val="00F63594"/>
    <w:rsid w:val="00F63D3D"/>
    <w:rsid w:val="00F64DB0"/>
    <w:rsid w:val="00F65208"/>
    <w:rsid w:val="00F66CAC"/>
    <w:rsid w:val="00F672AC"/>
    <w:rsid w:val="00F70E40"/>
    <w:rsid w:val="00F70F5F"/>
    <w:rsid w:val="00F7174F"/>
    <w:rsid w:val="00F7176D"/>
    <w:rsid w:val="00F7177E"/>
    <w:rsid w:val="00F718A6"/>
    <w:rsid w:val="00F71A84"/>
    <w:rsid w:val="00F74291"/>
    <w:rsid w:val="00F743C3"/>
    <w:rsid w:val="00F753BF"/>
    <w:rsid w:val="00F75DEA"/>
    <w:rsid w:val="00F762E0"/>
    <w:rsid w:val="00F76682"/>
    <w:rsid w:val="00F7684E"/>
    <w:rsid w:val="00F76D13"/>
    <w:rsid w:val="00F771DC"/>
    <w:rsid w:val="00F77E40"/>
    <w:rsid w:val="00F77E77"/>
    <w:rsid w:val="00F81258"/>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88"/>
    <w:rsid w:val="00F92524"/>
    <w:rsid w:val="00F93805"/>
    <w:rsid w:val="00F941A2"/>
    <w:rsid w:val="00F94549"/>
    <w:rsid w:val="00F9556A"/>
    <w:rsid w:val="00F959EC"/>
    <w:rsid w:val="00F96C45"/>
    <w:rsid w:val="00FA0370"/>
    <w:rsid w:val="00FA084C"/>
    <w:rsid w:val="00FA113B"/>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691F"/>
    <w:rsid w:val="00FA6BCA"/>
    <w:rsid w:val="00FA766D"/>
    <w:rsid w:val="00FB0D0D"/>
    <w:rsid w:val="00FB2096"/>
    <w:rsid w:val="00FB24ED"/>
    <w:rsid w:val="00FB26C4"/>
    <w:rsid w:val="00FB2988"/>
    <w:rsid w:val="00FB2D6B"/>
    <w:rsid w:val="00FB2E88"/>
    <w:rsid w:val="00FB4308"/>
    <w:rsid w:val="00FB47E2"/>
    <w:rsid w:val="00FB488E"/>
    <w:rsid w:val="00FB5BDD"/>
    <w:rsid w:val="00FB6551"/>
    <w:rsid w:val="00FB6FCC"/>
    <w:rsid w:val="00FB78AB"/>
    <w:rsid w:val="00FC13A6"/>
    <w:rsid w:val="00FC1C8A"/>
    <w:rsid w:val="00FC1FBC"/>
    <w:rsid w:val="00FC2555"/>
    <w:rsid w:val="00FC2F45"/>
    <w:rsid w:val="00FC328E"/>
    <w:rsid w:val="00FC3567"/>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D7"/>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144B"/>
    <w:rsid w:val="00FE19D0"/>
    <w:rsid w:val="00FE23AB"/>
    <w:rsid w:val="00FE4441"/>
    <w:rsid w:val="00FE4759"/>
    <w:rsid w:val="00FE5207"/>
    <w:rsid w:val="00FE52C7"/>
    <w:rsid w:val="00FE6032"/>
    <w:rsid w:val="00FE6372"/>
    <w:rsid w:val="00FE6464"/>
    <w:rsid w:val="00FE6488"/>
    <w:rsid w:val="00FE6939"/>
    <w:rsid w:val="00FE6B75"/>
    <w:rsid w:val="00FE6FA3"/>
    <w:rsid w:val="00FE72DF"/>
    <w:rsid w:val="00FE7F4F"/>
    <w:rsid w:val="00FF05E7"/>
    <w:rsid w:val="00FF068C"/>
    <w:rsid w:val="00FF25FF"/>
    <w:rsid w:val="00FF2FAF"/>
    <w:rsid w:val="00FF354E"/>
    <w:rsid w:val="00FF36F2"/>
    <w:rsid w:val="00FF36F3"/>
    <w:rsid w:val="00FF38C3"/>
    <w:rsid w:val="00FF425C"/>
    <w:rsid w:val="00FF42D9"/>
    <w:rsid w:val="00FF4379"/>
    <w:rsid w:val="00FF4740"/>
    <w:rsid w:val="00FF56F3"/>
    <w:rsid w:val="00FF5C80"/>
    <w:rsid w:val="00FF7371"/>
    <w:rsid w:val="00FF7C8E"/>
    <w:rsid w:val="00FF7DCD"/>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hyperlink" Target="https://www.wiley.com/en-au/Brexit+and+British+Politics-p-9781509523856" TargetMode="External"/><Relationship Id="rId47" Type="http://schemas.openxmlformats.org/officeDocument/2006/relationships/hyperlink" Target="https://doi.org/10.1007/s43545-022-00342-7" TargetMode="External"/><Relationship Id="rId63" Type="http://schemas.openxmlformats.org/officeDocument/2006/relationships/hyperlink" Target="https://oeil.secure.europarl.europa.eu/oeil/en" TargetMode="External"/><Relationship Id="rId68" Type="http://schemas.openxmlformats.org/officeDocument/2006/relationships/hyperlink" Target="https://www.quarterlyessay.com.au/essay/2017/03/the-white-queen/extract" TargetMode="External"/><Relationship Id="rId84" Type="http://schemas.openxmlformats.org/officeDocument/2006/relationships/hyperlink" Target="https://doi.org/10.1057/s41304-022-00400-x" TargetMode="External"/><Relationship Id="rId89" Type="http://schemas.openxmlformats.org/officeDocument/2006/relationships/hyperlink" Target="https://www.greens-efa.eu/en/" TargetMode="Externa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doi.org/10.3386/w28296" TargetMode="External"/><Relationship Id="rId37" Type="http://schemas.openxmlformats.org/officeDocument/2006/relationships/hyperlink" Target="https://pseweb.eu/ydepot/seance/513027_Peydro_Fascism.pdf" TargetMode="External"/><Relationship Id="rId53" Type="http://schemas.openxmlformats.org/officeDocument/2006/relationships/hyperlink" Target="https://doi.org/10.1080/13501763.2016.1225785" TargetMode="External"/><Relationship Id="rId58" Type="http://schemas.openxmlformats.org/officeDocument/2006/relationships/hyperlink" Target="https://doi.org/10.1146/annurev-polisci-051117-073034" TargetMode="External"/><Relationship Id="rId74" Type="http://schemas.openxmlformats.org/officeDocument/2006/relationships/hyperlink" Target="https://doi.org/10.1093/actrade/9780190234874.001.0001" TargetMode="External"/><Relationship Id="rId79" Type="http://schemas.openxmlformats.org/officeDocument/2006/relationships/hyperlink" Target="https://doi.org/10.1017/CBO9781139878425" TargetMode="External"/><Relationship Id="rId5" Type="http://schemas.openxmlformats.org/officeDocument/2006/relationships/webSettings" Target="webSettings.xml"/><Relationship Id="rId90" Type="http://schemas.openxmlformats.org/officeDocument/2006/relationships/hyperlink" Target="https://left.eu/" TargetMode="External"/><Relationship Id="rId95" Type="http://schemas.openxmlformats.org/officeDocument/2006/relationships/image" Target="media/image17.jpg"/><Relationship Id="rId22" Type="http://schemas.openxmlformats.org/officeDocument/2006/relationships/image" Target="media/image10.png"/><Relationship Id="rId27" Type="http://schemas.openxmlformats.org/officeDocument/2006/relationships/hyperlink" Target="https://doi.org/10.1007/s00181-022-02247-z" TargetMode="External"/><Relationship Id="rId43" Type="http://schemas.openxmlformats.org/officeDocument/2006/relationships/hyperlink" Target="https://doi.org/10.1590/1807-01912022283560" TargetMode="External"/><Relationship Id="rId48" Type="http://schemas.openxmlformats.org/officeDocument/2006/relationships/hyperlink" Target="https://doi.org/10.1016/j.econlet.2016.04.018" TargetMode="External"/><Relationship Id="rId64" Type="http://schemas.openxmlformats.org/officeDocument/2006/relationships/hyperlink" Target="https://press.uchicago.edu/ucp/books/book/chicago/P/bo8212972.html" TargetMode="External"/><Relationship Id="rId69" Type="http://schemas.openxmlformats.org/officeDocument/2006/relationships/hyperlink" Target="https://mitpress.mit.edu/9780262528627/polarized-america/" TargetMode="External"/><Relationship Id="rId80" Type="http://schemas.openxmlformats.org/officeDocument/2006/relationships/hyperlink" Target="https://doi.org/10.30950/jcer.v15i4.1121" TargetMode="External"/><Relationship Id="rId85"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hyperlink" Target="https://doi.org/10.1111/j.1542-4774.2011.01051.x" TargetMode="External"/><Relationship Id="rId38" Type="http://schemas.openxmlformats.org/officeDocument/2006/relationships/hyperlink" Target="https://doi.org/10.1371/journal.pone.0244363" TargetMode="External"/><Relationship Id="rId46" Type="http://schemas.openxmlformats.org/officeDocument/2006/relationships/hyperlink" Target="https://web.stanford.edu/~gentzkow/research/PolarizationIn2016.pdf" TargetMode="External"/><Relationship Id="rId59" Type="http://schemas.openxmlformats.org/officeDocument/2006/relationships/hyperlink" Target="https://doi.org/10.1093/poq/nfs038" TargetMode="External"/><Relationship Id="rId67" Type="http://schemas.openxmlformats.org/officeDocument/2006/relationships/hyperlink" Target="https://doi.org/10.26193/IMUXSD" TargetMode="External"/><Relationship Id="rId20" Type="http://schemas.openxmlformats.org/officeDocument/2006/relationships/image" Target="media/image8.png"/><Relationship Id="rId41" Type="http://schemas.openxmlformats.org/officeDocument/2006/relationships/hyperlink" Target="https://doi.org/10.1111/ecoj.12181" TargetMode="External"/><Relationship Id="rId54" Type="http://schemas.openxmlformats.org/officeDocument/2006/relationships/hyperlink" Target="https://doi.org/10.1126/sciadv.abq2044" TargetMode="External"/><Relationship Id="rId62" Type="http://schemas.openxmlformats.org/officeDocument/2006/relationships/hyperlink" Target="https://ssrn.com/abstract=3399568" TargetMode="External"/><Relationship Id="rId70" Type="http://schemas.openxmlformats.org/officeDocument/2006/relationships/hyperlink" Target="https://doi.org/10.1080/10361146.2020.1776680" TargetMode="External"/><Relationship Id="rId75" Type="http://schemas.openxmlformats.org/officeDocument/2006/relationships/hyperlink" Target="https://www.caixabankresearch.com/en/economics-markets/labour-market-demographics/millennials-and-politics-mind-gap" TargetMode="External"/><Relationship Id="rId83" Type="http://schemas.openxmlformats.org/officeDocument/2006/relationships/hyperlink" Target="https://doi.org/10.1038/s41598-020-74175-w" TargetMode="External"/><Relationship Id="rId88" Type="http://schemas.openxmlformats.org/officeDocument/2006/relationships/hyperlink" Target="https://www.reneweuropegroup.eu/" TargetMode="External"/><Relationship Id="rId91" Type="http://schemas.openxmlformats.org/officeDocument/2006/relationships/hyperlink" Target="https://www.ecrgroup.eu/"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80/13510347.2020.1818068" TargetMode="External"/><Relationship Id="rId36" Type="http://schemas.openxmlformats.org/officeDocument/2006/relationships/hyperlink" Target="https://doi.org/10.3390/e25070981" TargetMode="External"/><Relationship Id="rId49" Type="http://schemas.openxmlformats.org/officeDocument/2006/relationships/hyperlink" Target="https://doi.org/10.1007/978-3-031-08974-9_12" TargetMode="External"/><Relationship Id="rId57" Type="http://schemas.openxmlformats.org/officeDocument/2006/relationships/hyperlink" Target="https://doi.org/10.1111/j.1460-2466.2008.01402.x" TargetMode="External"/><Relationship Id="rId10" Type="http://schemas.openxmlformats.org/officeDocument/2006/relationships/footer" Target="footer2.xml"/><Relationship Id="rId31" Type="http://schemas.openxmlformats.org/officeDocument/2006/relationships/hyperlink" Target="https://doi.org/10.1111/jcms.13448" TargetMode="External"/><Relationship Id="rId44" Type="http://schemas.openxmlformats.org/officeDocument/2006/relationships/hyperlink" Target="https://doi.org/10.1016/j.euroecorev.2016.03.006" TargetMode="External"/><Relationship Id="rId52" Type="http://schemas.openxmlformats.org/officeDocument/2006/relationships/hyperlink" Target="https://doi.org/10.1098/rstb.2008.0263" TargetMode="External"/><Relationship Id="rId60" Type="http://schemas.openxmlformats.org/officeDocument/2006/relationships/hyperlink" Target="https://doi.org/10.1111/ajps.12152" TargetMode="External"/><Relationship Id="rId65" Type="http://schemas.openxmlformats.org/officeDocument/2006/relationships/hyperlink" Target="https://doi.org/10.1007/s11127-018-0551-3" TargetMode="External"/><Relationship Id="rId73" Type="http://schemas.openxmlformats.org/officeDocument/2006/relationships/hyperlink" Target="https://doi.org/10.1257/mac.6.2.1" TargetMode="External"/><Relationship Id="rId78" Type="http://schemas.openxmlformats.org/officeDocument/2006/relationships/hyperlink" Target="https://www.pewresearch.org/politics/2014/06/12/political-polarization-in-the-american-public/" TargetMode="External"/><Relationship Id="rId81" Type="http://schemas.openxmlformats.org/officeDocument/2006/relationships/hyperlink" Target="https://doi.org/10.1057/s42214-018-0001-4" TargetMode="External"/><Relationship Id="rId86" Type="http://schemas.openxmlformats.org/officeDocument/2006/relationships/hyperlink" Target="https://www.eppgroup.eu/" TargetMode="External"/><Relationship Id="rId94" Type="http://schemas.openxmlformats.org/officeDocument/2006/relationships/image" Target="media/image16.jp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owtheyvote.eu/" TargetMode="External"/><Relationship Id="rId18" Type="http://schemas.openxmlformats.org/officeDocument/2006/relationships/image" Target="media/image6.png"/><Relationship Id="rId39" Type="http://schemas.openxmlformats.org/officeDocument/2006/relationships/hyperlink" Target="https://doi.org/10.1093/poq/nfz003" TargetMode="External"/><Relationship Id="rId34" Type="http://schemas.openxmlformats.org/officeDocument/2006/relationships/hyperlink" Target="https://doi.org/10.1371/journal.pone.0166586" TargetMode="External"/><Relationship Id="rId50" Type="http://schemas.openxmlformats.org/officeDocument/2006/relationships/hyperlink" Target="https://doi.org/10.1093/jeea/jvx003" TargetMode="External"/><Relationship Id="rId55" Type="http://schemas.openxmlformats.org/officeDocument/2006/relationships/hyperlink" Target="https://howtheyvote.eu/" TargetMode="External"/><Relationship Id="rId76" Type="http://schemas.openxmlformats.org/officeDocument/2006/relationships/hyperlink" Target="https://doi.org/10.1007/s11135-022-01350-8" TargetMode="External"/><Relationship Id="rId97"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doi.org/10.1080/13597566.2013.794415" TargetMode="External"/><Relationship Id="rId92" Type="http://schemas.openxmlformats.org/officeDocument/2006/relationships/hyperlink" Target="https://patriots.eu/home" TargetMode="External"/><Relationship Id="rId2" Type="http://schemas.openxmlformats.org/officeDocument/2006/relationships/numbering" Target="numbering.xml"/><Relationship Id="rId29" Type="http://schemas.openxmlformats.org/officeDocument/2006/relationships/hyperlink" Target="https://doi.org/10.1257/aer.20170011" TargetMode="External"/><Relationship Id="rId24" Type="http://schemas.openxmlformats.org/officeDocument/2006/relationships/image" Target="media/image12.emf"/><Relationship Id="rId40" Type="http://schemas.openxmlformats.org/officeDocument/2006/relationships/hyperlink" Target="https://doi.org/10.1111/roiw.12162" TargetMode="External"/><Relationship Id="rId45" Type="http://schemas.openxmlformats.org/officeDocument/2006/relationships/hyperlink" Target="https://www.ifo.de/DocDL/dice-report-2017-4-funke-trebesch-december.pdf" TargetMode="External"/><Relationship Id="rId66" Type="http://schemas.openxmlformats.org/officeDocument/2006/relationships/hyperlink" Target="https://doi.org/10.1017/S0007123410000220" TargetMode="External"/><Relationship Id="rId87" Type="http://schemas.openxmlformats.org/officeDocument/2006/relationships/hyperlink" Target="https://www.socialistsanddemocrats.eu/" TargetMode="External"/><Relationship Id="rId61" Type="http://schemas.openxmlformats.org/officeDocument/2006/relationships/hyperlink" Target="https://doi.org/10.3390/e24091262" TargetMode="External"/><Relationship Id="rId82" Type="http://schemas.openxmlformats.org/officeDocument/2006/relationships/hyperlink" Target="https://doi.org/10.1007/s11109-015-9323-7" TargetMode="External"/><Relationship Id="rId19" Type="http://schemas.openxmlformats.org/officeDocument/2006/relationships/image" Target="media/image7.png"/><Relationship Id="rId14" Type="http://schemas.openxmlformats.org/officeDocument/2006/relationships/hyperlink" Target="https://oeil.secure.europarl.europa.eu/oeil/en" TargetMode="External"/><Relationship Id="rId30" Type="http://schemas.openxmlformats.org/officeDocument/2006/relationships/hyperlink" Target="https://arxiv.org/abs/2302.07775" TargetMode="External"/><Relationship Id="rId35" Type="http://schemas.openxmlformats.org/officeDocument/2006/relationships/hyperlink" Target="https://ssrn.com/abstract=2904105" TargetMode="External"/><Relationship Id="rId56" Type="http://schemas.openxmlformats.org/officeDocument/2006/relationships/hyperlink" Target="https://doi.org/10.1177/00104140241237458" TargetMode="External"/><Relationship Id="rId77" Type="http://schemas.openxmlformats.org/officeDocument/2006/relationships/hyperlink" Target="https://doi.org/10.1017/pan.2017.3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3162/036298009788314282" TargetMode="External"/><Relationship Id="rId72" Type="http://schemas.openxmlformats.org/officeDocument/2006/relationships/hyperlink" Target="https://doi.org/10.1017/S0003055423001041" TargetMode="External"/><Relationship Id="rId93" Type="http://schemas.openxmlformats.org/officeDocument/2006/relationships/hyperlink" Target="https://political.party/id-european-parliament-elections/" TargetMode="External"/><Relationship Id="rId9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79</Pages>
  <Words>22198</Words>
  <Characters>138520</Characters>
  <Application>Microsoft Office Word</Application>
  <DocSecurity>0</DocSecurity>
  <Lines>3337</Lines>
  <Paragraphs>1623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772</cp:revision>
  <cp:lastPrinted>2025-04-19T13:41:00Z</cp:lastPrinted>
  <dcterms:created xsi:type="dcterms:W3CDTF">2025-04-18T11:35:00Z</dcterms:created>
  <dcterms:modified xsi:type="dcterms:W3CDTF">2025-04-22T15:31:00Z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