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ectPr>
          <w:pgSz w:w="11900" w:h="16838" w:orient="portrait"/>
          <w:cols w:equalWidth="0" w:num="1">
            <w:col w:w="10860"/>
          </w:cols>
          <w:pgMar w:left="520" w:top="243" w:right="519" w:bottom="0" w:gutter="0" w:footer="0" w:header="0"/>
        </w:sectPr>
      </w:pPr>
    </w:p>
    <w:p>
      <w:pPr>
        <w:spacing w:after="0" w:line="200" w:lineRule="exact"/>
        <w:rPr>
          <w:sz w:val="24"/>
          <w:szCs w:val="24"/>
          <w:color w:val="auto"/>
        </w:rPr>
      </w:pPr>
    </w:p>
    <w:p>
      <w:pPr>
        <w:spacing w:after="0" w:line="397" w:lineRule="exact"/>
        <w:rPr>
          <w:sz w:val="24"/>
          <w:szCs w:val="24"/>
          <w:color w:val="auto"/>
        </w:rPr>
      </w:pPr>
    </w:p>
    <w:p>
      <w:pPr>
        <w:ind w:left="220" w:right="220"/>
        <w:spacing w:after="0" w:line="311" w:lineRule="auto"/>
        <w:rPr>
          <w:sz w:val="20"/>
          <w:szCs w:val="20"/>
          <w:color w:val="auto"/>
        </w:rPr>
      </w:pPr>
      <w:r>
        <w:rPr>
          <w:rFonts w:ascii="Arial" w:cs="Arial" w:eastAsia="Arial" w:hAnsi="Arial"/>
          <w:sz w:val="30"/>
          <w:szCs w:val="30"/>
          <w:b w:val="1"/>
          <w:bCs w:val="1"/>
          <w:color w:val="505050"/>
        </w:rPr>
        <w:t>НОВЫЙ ПОДХОД К ДОУТОЧНЕНИЮ ПРОГНОЗОВ ПРОКСИ</w:t>
      </w:r>
      <w:r>
        <w:rPr>
          <w:rFonts w:ascii="Arial" w:cs="Arial" w:eastAsia="Arial" w:hAnsi="Arial"/>
          <w:sz w:val="30"/>
          <w:szCs w:val="30"/>
          <w:b w:val="1"/>
          <w:bCs w:val="1"/>
          <w:color w:val="505050"/>
        </w:rPr>
        <w:t>-</w:t>
      </w:r>
      <w:r>
        <w:rPr>
          <w:rFonts w:ascii="Arial" w:cs="Arial" w:eastAsia="Arial" w:hAnsi="Arial"/>
          <w:sz w:val="30"/>
          <w:szCs w:val="30"/>
          <w:b w:val="1"/>
          <w:bCs w:val="1"/>
          <w:color w:val="505050"/>
        </w:rPr>
        <w:t>МОДЕЛЕЙ ПЛАСТА С ПОМОЩЬЮ АЛГОРИТМОВ МАШИННОГО ОБУЧЕНИЯ</w:t>
      </w:r>
    </w:p>
    <w:p>
      <w:pPr>
        <w:spacing w:after="0" w:line="233" w:lineRule="exact"/>
        <w:rPr>
          <w:sz w:val="24"/>
          <w:szCs w:val="24"/>
          <w:color w:val="auto"/>
        </w:rPr>
      </w:pPr>
    </w:p>
    <w:p>
      <w:pPr>
        <w:ind w:left="220"/>
        <w:spacing w:after="0"/>
        <w:rPr>
          <w:sz w:val="20"/>
          <w:szCs w:val="20"/>
          <w:color w:val="auto"/>
        </w:rPr>
      </w:pPr>
      <w:r>
        <w:rPr>
          <w:rFonts w:ascii="Arial" w:cs="Arial" w:eastAsia="Arial" w:hAnsi="Arial"/>
          <w:sz w:val="20"/>
          <w:szCs w:val="20"/>
          <w:color w:val="505050"/>
        </w:rPr>
        <w:t xml:space="preserve">19 </w:t>
      </w:r>
      <w:r>
        <w:rPr>
          <w:rFonts w:ascii="Arial" w:cs="Arial" w:eastAsia="Arial" w:hAnsi="Arial"/>
          <w:sz w:val="20"/>
          <w:szCs w:val="20"/>
          <w:color w:val="505050"/>
        </w:rPr>
        <w:t>ДЕКАБРЯ</w:t>
      </w:r>
      <w:r>
        <w:rPr>
          <w:rFonts w:ascii="Arial" w:cs="Arial" w:eastAsia="Arial" w:hAnsi="Arial"/>
          <w:sz w:val="20"/>
          <w:szCs w:val="20"/>
          <w:color w:val="505050"/>
        </w:rPr>
        <w:t xml:space="preserve"> 2019</w:t>
      </w:r>
    </w:p>
    <w:p>
      <w:pPr>
        <w:spacing w:after="0" w:line="205" w:lineRule="exact"/>
        <w:rPr>
          <w:sz w:val="24"/>
          <w:szCs w:val="24"/>
          <w:color w:val="auto"/>
        </w:rPr>
      </w:pPr>
    </w:p>
    <w:p>
      <w:pPr>
        <w:ind w:left="220"/>
        <w:spacing w:after="0"/>
        <w:rPr>
          <w:sz w:val="20"/>
          <w:szCs w:val="20"/>
          <w:color w:val="auto"/>
        </w:rPr>
      </w:pPr>
      <w:r>
        <w:rPr>
          <w:rFonts w:ascii="Arial" w:cs="Arial" w:eastAsia="Arial" w:hAnsi="Arial"/>
          <w:sz w:val="20"/>
          <w:szCs w:val="20"/>
          <w:color w:val="auto"/>
        </w:rPr>
        <w:t>О</w:t>
      </w:r>
      <w:r>
        <w:rPr>
          <w:rFonts w:ascii="Arial" w:cs="Arial" w:eastAsia="Arial" w:hAnsi="Arial"/>
          <w:sz w:val="20"/>
          <w:szCs w:val="20"/>
          <w:color w:val="auto"/>
        </w:rPr>
        <w:t>.</w:t>
      </w:r>
      <w:r>
        <w:rPr>
          <w:rFonts w:ascii="Arial" w:cs="Arial" w:eastAsia="Arial" w:hAnsi="Arial"/>
          <w:sz w:val="20"/>
          <w:szCs w:val="20"/>
          <w:color w:val="auto"/>
        </w:rPr>
        <w:t>В</w:t>
      </w:r>
      <w:r>
        <w:rPr>
          <w:rFonts w:ascii="Arial" w:cs="Arial" w:eastAsia="Arial" w:hAnsi="Arial"/>
          <w:sz w:val="20"/>
          <w:szCs w:val="20"/>
          <w:color w:val="auto"/>
        </w:rPr>
        <w:t>.</w:t>
      </w:r>
      <w:r>
        <w:rPr>
          <w:rFonts w:ascii="Arial" w:cs="Arial" w:eastAsia="Arial" w:hAnsi="Arial"/>
          <w:sz w:val="20"/>
          <w:szCs w:val="20"/>
          <w:color w:val="auto"/>
        </w:rPr>
        <w:t xml:space="preserve"> Зоткин</w:t>
      </w:r>
      <w:r>
        <w:rPr>
          <w:rFonts w:ascii="Arial" w:cs="Arial" w:eastAsia="Arial" w:hAnsi="Arial"/>
          <w:sz w:val="20"/>
          <w:szCs w:val="20"/>
          <w:color w:val="auto"/>
        </w:rPr>
        <w:t>,</w:t>
      </w:r>
      <w:r>
        <w:rPr>
          <w:rFonts w:ascii="Arial" w:cs="Arial" w:eastAsia="Arial" w:hAnsi="Arial"/>
          <w:sz w:val="20"/>
          <w:szCs w:val="20"/>
          <w:color w:val="auto"/>
        </w:rPr>
        <w:t xml:space="preserve"> М</w:t>
      </w:r>
      <w:r>
        <w:rPr>
          <w:rFonts w:ascii="Arial" w:cs="Arial" w:eastAsia="Arial" w:hAnsi="Arial"/>
          <w:sz w:val="20"/>
          <w:szCs w:val="20"/>
          <w:color w:val="auto"/>
        </w:rPr>
        <w:t>.</w:t>
      </w:r>
      <w:r>
        <w:rPr>
          <w:rFonts w:ascii="Arial" w:cs="Arial" w:eastAsia="Arial" w:hAnsi="Arial"/>
          <w:sz w:val="20"/>
          <w:szCs w:val="20"/>
          <w:color w:val="auto"/>
        </w:rPr>
        <w:t>В</w:t>
      </w:r>
      <w:r>
        <w:rPr>
          <w:rFonts w:ascii="Arial" w:cs="Arial" w:eastAsia="Arial" w:hAnsi="Arial"/>
          <w:sz w:val="20"/>
          <w:szCs w:val="20"/>
          <w:color w:val="auto"/>
        </w:rPr>
        <w:t>.</w:t>
      </w:r>
      <w:r>
        <w:rPr>
          <w:rFonts w:ascii="Arial" w:cs="Arial" w:eastAsia="Arial" w:hAnsi="Arial"/>
          <w:sz w:val="20"/>
          <w:szCs w:val="20"/>
          <w:color w:val="auto"/>
        </w:rPr>
        <w:t xml:space="preserve"> Симонов</w:t>
      </w:r>
      <w:r>
        <w:rPr>
          <w:rFonts w:ascii="Arial" w:cs="Arial" w:eastAsia="Arial" w:hAnsi="Arial"/>
          <w:sz w:val="20"/>
          <w:szCs w:val="20"/>
          <w:color w:val="auto"/>
        </w:rPr>
        <w:t>,</w:t>
      </w:r>
      <w:r>
        <w:rPr>
          <w:rFonts w:ascii="Arial" w:cs="Arial" w:eastAsia="Arial" w:hAnsi="Arial"/>
          <w:sz w:val="20"/>
          <w:szCs w:val="20"/>
          <w:color w:val="auto"/>
        </w:rPr>
        <w:t xml:space="preserve"> А</w:t>
      </w:r>
      <w:r>
        <w:rPr>
          <w:rFonts w:ascii="Arial" w:cs="Arial" w:eastAsia="Arial" w:hAnsi="Arial"/>
          <w:sz w:val="20"/>
          <w:szCs w:val="20"/>
          <w:color w:val="auto"/>
        </w:rPr>
        <w:t>.</w:t>
      </w:r>
      <w:r>
        <w:rPr>
          <w:rFonts w:ascii="Arial" w:cs="Arial" w:eastAsia="Arial" w:hAnsi="Arial"/>
          <w:sz w:val="20"/>
          <w:szCs w:val="20"/>
          <w:color w:val="auto"/>
        </w:rPr>
        <w:t>Е</w:t>
      </w:r>
      <w:r>
        <w:rPr>
          <w:rFonts w:ascii="Arial" w:cs="Arial" w:eastAsia="Arial" w:hAnsi="Arial"/>
          <w:sz w:val="20"/>
          <w:szCs w:val="20"/>
          <w:color w:val="auto"/>
        </w:rPr>
        <w:t>.</w:t>
      </w:r>
      <w:r>
        <w:rPr>
          <w:rFonts w:ascii="Arial" w:cs="Arial" w:eastAsia="Arial" w:hAnsi="Arial"/>
          <w:sz w:val="20"/>
          <w:szCs w:val="20"/>
          <w:color w:val="auto"/>
        </w:rPr>
        <w:t xml:space="preserve"> Осокина</w:t>
      </w:r>
      <w:r>
        <w:rPr>
          <w:rFonts w:ascii="Arial" w:cs="Arial" w:eastAsia="Arial" w:hAnsi="Arial"/>
          <w:sz w:val="20"/>
          <w:szCs w:val="20"/>
          <w:color w:val="auto"/>
        </w:rPr>
        <w:t>,</w:t>
      </w:r>
      <w:r>
        <w:rPr>
          <w:rFonts w:ascii="Arial" w:cs="Arial" w:eastAsia="Arial" w:hAnsi="Arial"/>
          <w:sz w:val="20"/>
          <w:szCs w:val="20"/>
          <w:color w:val="auto"/>
        </w:rPr>
        <w:t xml:space="preserve"> А</w:t>
      </w:r>
      <w:r>
        <w:rPr>
          <w:rFonts w:ascii="Arial" w:cs="Arial" w:eastAsia="Arial" w:hAnsi="Arial"/>
          <w:sz w:val="20"/>
          <w:szCs w:val="20"/>
          <w:color w:val="auto"/>
        </w:rPr>
        <w:t>.</w:t>
      </w:r>
      <w:r>
        <w:rPr>
          <w:rFonts w:ascii="Arial" w:cs="Arial" w:eastAsia="Arial" w:hAnsi="Arial"/>
          <w:sz w:val="20"/>
          <w:szCs w:val="20"/>
          <w:color w:val="auto"/>
        </w:rPr>
        <w:t>М</w:t>
      </w:r>
      <w:r>
        <w:rPr>
          <w:rFonts w:ascii="Arial" w:cs="Arial" w:eastAsia="Arial" w:hAnsi="Arial"/>
          <w:sz w:val="20"/>
          <w:szCs w:val="20"/>
          <w:color w:val="auto"/>
        </w:rPr>
        <w:t>.</w:t>
      </w:r>
      <w:r>
        <w:rPr>
          <w:rFonts w:ascii="Arial" w:cs="Arial" w:eastAsia="Arial" w:hAnsi="Arial"/>
          <w:sz w:val="20"/>
          <w:szCs w:val="20"/>
          <w:color w:val="auto"/>
        </w:rPr>
        <w:t xml:space="preserve"> Андрианова</w:t>
      </w:r>
      <w:r>
        <w:rPr>
          <w:rFonts w:ascii="Arial" w:cs="Arial" w:eastAsia="Arial" w:hAnsi="Arial"/>
          <w:sz w:val="20"/>
          <w:szCs w:val="20"/>
          <w:color w:val="auto"/>
        </w:rPr>
        <w:t>,</w:t>
      </w:r>
      <w:r>
        <w:rPr>
          <w:rFonts w:ascii="Arial" w:cs="Arial" w:eastAsia="Arial" w:hAnsi="Arial"/>
          <w:sz w:val="20"/>
          <w:szCs w:val="20"/>
          <w:color w:val="auto"/>
        </w:rPr>
        <w:t xml:space="preserve"> А</w:t>
      </w:r>
      <w:r>
        <w:rPr>
          <w:rFonts w:ascii="Arial" w:cs="Arial" w:eastAsia="Arial" w:hAnsi="Arial"/>
          <w:sz w:val="20"/>
          <w:szCs w:val="20"/>
          <w:color w:val="auto"/>
        </w:rPr>
        <w:t>.</w:t>
      </w:r>
      <w:r>
        <w:rPr>
          <w:rFonts w:ascii="Arial" w:cs="Arial" w:eastAsia="Arial" w:hAnsi="Arial"/>
          <w:sz w:val="20"/>
          <w:szCs w:val="20"/>
          <w:color w:val="auto"/>
        </w:rPr>
        <w:t>С</w:t>
      </w:r>
      <w:r>
        <w:rPr>
          <w:rFonts w:ascii="Arial" w:cs="Arial" w:eastAsia="Arial" w:hAnsi="Arial"/>
          <w:sz w:val="20"/>
          <w:szCs w:val="20"/>
          <w:color w:val="auto"/>
        </w:rPr>
        <w:t>.</w:t>
      </w:r>
      <w:r>
        <w:rPr>
          <w:rFonts w:ascii="Arial" w:cs="Arial" w:eastAsia="Arial" w:hAnsi="Arial"/>
          <w:sz w:val="20"/>
          <w:szCs w:val="20"/>
          <w:color w:val="auto"/>
        </w:rPr>
        <w:t xml:space="preserve"> Маргарит</w:t>
      </w:r>
      <w:r>
        <w:rPr>
          <w:rFonts w:ascii="Arial" w:cs="Arial" w:eastAsia="Arial" w:hAnsi="Arial"/>
          <w:sz w:val="20"/>
          <w:szCs w:val="20"/>
          <w:color w:val="auto"/>
        </w:rPr>
        <w:t>,</w:t>
      </w:r>
      <w:r>
        <w:rPr>
          <w:rFonts w:ascii="Arial" w:cs="Arial" w:eastAsia="Arial" w:hAnsi="Arial"/>
          <w:sz w:val="20"/>
          <w:szCs w:val="20"/>
          <w:color w:val="auto"/>
        </w:rPr>
        <w:t xml:space="preserve"> В</w:t>
      </w:r>
      <w:r>
        <w:rPr>
          <w:rFonts w:ascii="Arial" w:cs="Arial" w:eastAsia="Arial" w:hAnsi="Arial"/>
          <w:sz w:val="20"/>
          <w:szCs w:val="20"/>
          <w:color w:val="auto"/>
        </w:rPr>
        <w:t>.</w:t>
      </w:r>
      <w:r>
        <w:rPr>
          <w:rFonts w:ascii="Arial" w:cs="Arial" w:eastAsia="Arial" w:hAnsi="Arial"/>
          <w:sz w:val="20"/>
          <w:szCs w:val="20"/>
          <w:color w:val="auto"/>
        </w:rPr>
        <w:t>А</w:t>
      </w:r>
      <w:r>
        <w:rPr>
          <w:rFonts w:ascii="Arial" w:cs="Arial" w:eastAsia="Arial" w:hAnsi="Arial"/>
          <w:sz w:val="20"/>
          <w:szCs w:val="20"/>
          <w:color w:val="auto"/>
        </w:rPr>
        <w:t>.</w:t>
      </w:r>
      <w:r>
        <w:rPr>
          <w:rFonts w:ascii="Arial" w:cs="Arial" w:eastAsia="Arial" w:hAnsi="Arial"/>
          <w:sz w:val="20"/>
          <w:szCs w:val="20"/>
          <w:color w:val="auto"/>
        </w:rPr>
        <w:t xml:space="preserve"> Тимошенко</w:t>
      </w:r>
      <w:r>
        <w:rPr>
          <w:rFonts w:ascii="Arial" w:cs="Arial" w:eastAsia="Arial" w:hAnsi="Arial"/>
          <w:sz w:val="20"/>
          <w:szCs w:val="20"/>
          <w:color w:val="auto"/>
        </w:rPr>
        <w:t>,</w:t>
      </w:r>
      <w:r>
        <w:rPr>
          <w:rFonts w:ascii="Arial" w:cs="Arial" w:eastAsia="Arial" w:hAnsi="Arial"/>
          <w:sz w:val="20"/>
          <w:szCs w:val="20"/>
          <w:color w:val="auto"/>
        </w:rPr>
        <w:t xml:space="preserve"> С</w:t>
      </w:r>
      <w:r>
        <w:rPr>
          <w:rFonts w:ascii="Arial" w:cs="Arial" w:eastAsia="Arial" w:hAnsi="Arial"/>
          <w:sz w:val="20"/>
          <w:szCs w:val="20"/>
          <w:color w:val="auto"/>
        </w:rPr>
        <w:t>.</w:t>
      </w:r>
      <w:r>
        <w:rPr>
          <w:rFonts w:ascii="Arial" w:cs="Arial" w:eastAsia="Arial" w:hAnsi="Arial"/>
          <w:sz w:val="20"/>
          <w:szCs w:val="20"/>
          <w:color w:val="auto"/>
        </w:rPr>
        <w:t>Ф</w:t>
      </w:r>
      <w:r>
        <w:rPr>
          <w:rFonts w:ascii="Arial" w:cs="Arial" w:eastAsia="Arial" w:hAnsi="Arial"/>
          <w:sz w:val="20"/>
          <w:szCs w:val="20"/>
          <w:color w:val="auto"/>
        </w:rPr>
        <w:t>.</w:t>
      </w:r>
      <w:r>
        <w:rPr>
          <w:rFonts w:ascii="Arial" w:cs="Arial" w:eastAsia="Arial" w:hAnsi="Arial"/>
          <w:sz w:val="20"/>
          <w:szCs w:val="20"/>
          <w:color w:val="auto"/>
        </w:rPr>
        <w:t xml:space="preserve"> Лебедев</w:t>
      </w:r>
    </w:p>
    <w:p>
      <w:pPr>
        <w:spacing w:after="0" w:line="70" w:lineRule="exact"/>
        <w:rPr>
          <w:sz w:val="24"/>
          <w:szCs w:val="24"/>
          <w:color w:val="auto"/>
        </w:rPr>
      </w:pPr>
    </w:p>
    <w:p>
      <w:pPr>
        <w:ind w:left="740" w:hanging="530"/>
        <w:spacing w:after="0"/>
        <w:tabs>
          <w:tab w:leader="none" w:pos="740" w:val="left"/>
        </w:tabs>
        <w:numPr>
          <w:ilvl w:val="0"/>
          <w:numId w:val="1"/>
        </w:numPr>
        <w:rPr>
          <w:rFonts w:ascii="Arial" w:cs="Arial" w:eastAsia="Arial" w:hAnsi="Arial"/>
          <w:sz w:val="21"/>
          <w:szCs w:val="21"/>
          <w:color w:val="auto"/>
        </w:rPr>
      </w:pPr>
      <w:r>
        <w:rPr>
          <w:rFonts w:ascii="Arial" w:cs="Arial" w:eastAsia="Arial" w:hAnsi="Arial"/>
          <w:sz w:val="21"/>
          <w:szCs w:val="21"/>
          <w:color w:val="auto"/>
        </w:rPr>
        <w:t>«</w:t>
      </w:r>
      <w:r>
        <w:rPr>
          <w:rFonts w:ascii="Arial" w:cs="Arial" w:eastAsia="Arial" w:hAnsi="Arial"/>
          <w:sz w:val="21"/>
          <w:szCs w:val="21"/>
          <w:color w:val="auto"/>
        </w:rPr>
        <w:t>Газпромнефть НТЦ</w:t>
      </w:r>
      <w:r>
        <w:rPr>
          <w:rFonts w:ascii="Arial" w:cs="Arial" w:eastAsia="Arial" w:hAnsi="Arial"/>
          <w:sz w:val="21"/>
          <w:szCs w:val="21"/>
          <w:color w:val="auto"/>
        </w:rPr>
        <w:t xml:space="preserve">», </w:t>
      </w:r>
      <w:r>
        <w:rPr>
          <w:rFonts w:ascii="Arial" w:cs="Arial" w:eastAsia="Arial" w:hAnsi="Arial"/>
          <w:sz w:val="21"/>
          <w:szCs w:val="21"/>
          <w:color w:val="auto"/>
        </w:rPr>
        <w:t>Санкт</w:t>
      </w:r>
      <w:r>
        <w:rPr>
          <w:rFonts w:ascii="Arial" w:cs="Arial" w:eastAsia="Arial" w:hAnsi="Arial"/>
          <w:sz w:val="21"/>
          <w:szCs w:val="21"/>
          <w:color w:val="auto"/>
        </w:rPr>
        <w:t>-</w:t>
      </w:r>
      <w:r>
        <w:rPr>
          <w:rFonts w:ascii="Arial" w:cs="Arial" w:eastAsia="Arial" w:hAnsi="Arial"/>
          <w:sz w:val="21"/>
          <w:szCs w:val="21"/>
          <w:color w:val="auto"/>
        </w:rPr>
        <w:t>Петербургский политехнический университет Петра Великого</w:t>
      </w:r>
    </w:p>
    <w:p>
      <w:pPr>
        <w:spacing w:after="0" w:line="58" w:lineRule="exact"/>
        <w:rPr>
          <w:rFonts w:ascii="Arial" w:cs="Arial" w:eastAsia="Arial" w:hAnsi="Arial"/>
          <w:sz w:val="21"/>
          <w:szCs w:val="21"/>
          <w:color w:val="auto"/>
        </w:rPr>
      </w:pPr>
    </w:p>
    <w:p>
      <w:pPr>
        <w:ind w:left="220"/>
        <w:spacing w:after="0"/>
        <w:rPr>
          <w:rFonts w:ascii="Arial" w:cs="Arial" w:eastAsia="Arial" w:hAnsi="Arial"/>
          <w:sz w:val="23"/>
          <w:szCs w:val="23"/>
          <w:color w:val="0079C1"/>
        </w:rPr>
      </w:pPr>
      <w:hyperlink r:id="rId8">
        <w:r>
          <w:rPr>
            <w:rFonts w:ascii="Arial" w:cs="Arial" w:eastAsia="Arial" w:hAnsi="Arial"/>
            <w:sz w:val="23"/>
            <w:szCs w:val="23"/>
            <w:u w:val="single" w:color="auto"/>
            <w:color w:val="0079C1"/>
          </w:rPr>
          <w:t>Zotkin.OV@gazpromneft-ntc.ru</w:t>
        </w:r>
      </w:hyperlink>
      <w:r>
        <w:rPr>
          <w:rFonts w:ascii="Arial" w:cs="Arial" w:eastAsia="Arial" w:hAnsi="Arial"/>
          <w:sz w:val="23"/>
          <w:szCs w:val="23"/>
          <w:color w:val="000000"/>
        </w:rPr>
        <w:t>,</w:t>
      </w:r>
      <w:r>
        <w:rPr>
          <w:rFonts w:ascii="Arial" w:cs="Arial" w:eastAsia="Arial" w:hAnsi="Arial"/>
          <w:sz w:val="23"/>
          <w:szCs w:val="23"/>
          <w:color w:val="0079C1"/>
        </w:rPr>
        <w:t xml:space="preserve"> </w:t>
      </w:r>
      <w:hyperlink r:id="rId9">
        <w:r>
          <w:rPr>
            <w:rFonts w:ascii="Arial" w:cs="Arial" w:eastAsia="Arial" w:hAnsi="Arial"/>
            <w:sz w:val="23"/>
            <w:szCs w:val="23"/>
            <w:u w:val="single" w:color="auto"/>
            <w:color w:val="0079C1"/>
          </w:rPr>
          <w:t>Simonov.MV@gazpromneft-ntc.ru</w:t>
        </w:r>
      </w:hyperlink>
    </w:p>
    <w:p>
      <w:pPr>
        <w:spacing w:after="0" w:line="336" w:lineRule="exact"/>
        <w:rPr>
          <w:rFonts w:ascii="Arial" w:cs="Arial" w:eastAsia="Arial" w:hAnsi="Arial"/>
          <w:sz w:val="21"/>
          <w:szCs w:val="21"/>
          <w:color w:val="auto"/>
        </w:rPr>
      </w:pPr>
    </w:p>
    <w:p>
      <w:pPr>
        <w:ind w:left="220"/>
        <w:spacing w:after="0"/>
        <w:tabs>
          <w:tab w:leader="none" w:pos="3420" w:val="left"/>
        </w:tabs>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Журнал </w:t>
      </w:r>
      <w:r>
        <w:rPr>
          <w:rFonts w:ascii="Arial" w:cs="Arial" w:eastAsia="Arial" w:hAnsi="Arial"/>
          <w:sz w:val="21"/>
          <w:szCs w:val="21"/>
          <w:b w:val="1"/>
          <w:bCs w:val="1"/>
          <w:color w:val="auto"/>
        </w:rPr>
        <w:t>«</w:t>
      </w:r>
      <w:hyperlink r:id="rId10">
        <w:r>
          <w:rPr>
            <w:rFonts w:ascii="Arial" w:cs="Arial" w:eastAsia="Arial" w:hAnsi="Arial"/>
            <w:sz w:val="21"/>
            <w:szCs w:val="21"/>
            <w:b w:val="1"/>
            <w:bCs w:val="1"/>
            <w:u w:val="single" w:color="auto"/>
            <w:color w:val="0079C1"/>
          </w:rPr>
          <w:t>Нефтяное хозяйство</w:t>
        </w:r>
      </w:hyperlink>
      <w:r>
        <w:rPr>
          <w:rFonts w:ascii="Arial" w:cs="Arial" w:eastAsia="Arial" w:hAnsi="Arial"/>
          <w:sz w:val="21"/>
          <w:szCs w:val="21"/>
          <w:b w:val="1"/>
          <w:bCs w:val="1"/>
          <w:color w:val="auto"/>
        </w:rPr>
        <w:tab/>
      </w:r>
      <w:r>
        <w:rPr>
          <w:rFonts w:ascii="Arial" w:cs="Arial" w:eastAsia="Arial" w:hAnsi="Arial"/>
          <w:sz w:val="17"/>
          <w:szCs w:val="17"/>
          <w:b w:val="1"/>
          <w:bCs w:val="1"/>
          <w:color w:val="auto"/>
        </w:rPr>
        <w:t>»</w:t>
      </w:r>
    </w:p>
    <w:p>
      <w:pPr>
        <w:spacing w:after="0" w:line="374" w:lineRule="exact"/>
        <w:rPr>
          <w:rFonts w:ascii="Arial" w:cs="Arial" w:eastAsia="Arial" w:hAnsi="Arial"/>
          <w:sz w:val="21"/>
          <w:szCs w:val="21"/>
          <w:color w:val="auto"/>
        </w:rPr>
      </w:pPr>
    </w:p>
    <w:p>
      <w:pPr>
        <w:ind w:left="220" w:right="240"/>
        <w:spacing w:after="0" w:line="298" w:lineRule="auto"/>
        <w:rPr>
          <w:sz w:val="20"/>
          <w:szCs w:val="20"/>
          <w:color w:val="auto"/>
        </w:rPr>
      </w:pPr>
      <w:r>
        <w:rPr>
          <w:rFonts w:ascii="Arial" w:cs="Arial" w:eastAsia="Arial" w:hAnsi="Arial"/>
          <w:sz w:val="21"/>
          <w:szCs w:val="21"/>
          <w:color w:val="auto"/>
        </w:rPr>
        <w:t xml:space="preserve">Впроцессе цифровизации в компании </w:t>
      </w:r>
      <w:r>
        <w:rPr>
          <w:rFonts w:ascii="Arial" w:cs="Arial" w:eastAsia="Arial" w:hAnsi="Arial"/>
          <w:sz w:val="21"/>
          <w:szCs w:val="21"/>
          <w:color w:val="auto"/>
        </w:rPr>
        <w:t>«</w:t>
      </w:r>
      <w:r>
        <w:rPr>
          <w:rFonts w:ascii="Arial" w:cs="Arial" w:eastAsia="Arial" w:hAnsi="Arial"/>
          <w:sz w:val="21"/>
          <w:szCs w:val="21"/>
          <w:color w:val="auto"/>
        </w:rPr>
        <w:t>Газпром нефть</w:t>
      </w:r>
      <w:r>
        <w:rPr>
          <w:rFonts w:ascii="Arial" w:cs="Arial" w:eastAsia="Arial" w:hAnsi="Arial"/>
          <w:sz w:val="21"/>
          <w:szCs w:val="21"/>
          <w:color w:val="auto"/>
        </w:rPr>
        <w:t>»</w:t>
      </w:r>
      <w:r>
        <w:rPr>
          <w:rFonts w:ascii="Arial" w:cs="Arial" w:eastAsia="Arial" w:hAnsi="Arial"/>
          <w:sz w:val="21"/>
          <w:szCs w:val="21"/>
          <w:color w:val="auto"/>
        </w:rPr>
        <w:t xml:space="preserve"> возникла необходимость перехода от преимущественно экспертного подхода при формировании инвестиционных сценариев и прогнозировании добычи углеводородов к поиску оптимума с помощью математических алгоритмов </w:t>
      </w:r>
      <w:r>
        <w:rPr>
          <w:rFonts w:ascii="Arial" w:cs="Arial" w:eastAsia="Arial" w:hAnsi="Arial"/>
          <w:sz w:val="21"/>
          <w:szCs w:val="21"/>
          <w:color w:val="auto"/>
        </w:rPr>
        <w:t>[1].</w:t>
      </w:r>
    </w:p>
    <w:p>
      <w:pPr>
        <w:spacing w:after="0" w:line="1" w:lineRule="exact"/>
        <w:rPr>
          <w:rFonts w:ascii="Arial" w:cs="Arial" w:eastAsia="Arial" w:hAnsi="Arial"/>
          <w:sz w:val="21"/>
          <w:szCs w:val="21"/>
          <w:color w:val="auto"/>
        </w:rPr>
      </w:pPr>
    </w:p>
    <w:p>
      <w:pPr>
        <w:ind w:left="220" w:right="380" w:hanging="10"/>
        <w:spacing w:after="0" w:line="298" w:lineRule="auto"/>
        <w:tabs>
          <w:tab w:leader="none" w:pos="412" w:val="left"/>
        </w:tabs>
        <w:numPr>
          <w:ilvl w:val="0"/>
          <w:numId w:val="2"/>
        </w:numPr>
        <w:rPr>
          <w:rFonts w:ascii="Arial" w:cs="Arial" w:eastAsia="Arial" w:hAnsi="Arial"/>
          <w:sz w:val="21"/>
          <w:szCs w:val="21"/>
          <w:color w:val="auto"/>
        </w:rPr>
      </w:pPr>
      <w:r>
        <w:rPr>
          <w:rFonts w:ascii="Arial" w:cs="Arial" w:eastAsia="Arial" w:hAnsi="Arial"/>
          <w:sz w:val="21"/>
          <w:szCs w:val="21"/>
          <w:color w:val="auto"/>
        </w:rPr>
        <w:t>связи с этим возросли требования к инструментам моделирования каждого из элементов интегрированных моделей</w:t>
      </w:r>
      <w:r>
        <w:rPr>
          <w:rFonts w:ascii="Arial" w:cs="Arial" w:eastAsia="Arial" w:hAnsi="Arial"/>
          <w:sz w:val="21"/>
          <w:szCs w:val="21"/>
          <w:color w:val="auto"/>
        </w:rPr>
        <w:t>:</w:t>
      </w:r>
      <w:r>
        <w:rPr>
          <w:rFonts w:ascii="Arial" w:cs="Arial" w:eastAsia="Arial" w:hAnsi="Arial"/>
          <w:sz w:val="21"/>
          <w:szCs w:val="21"/>
          <w:color w:val="auto"/>
        </w:rPr>
        <w:t xml:space="preserve"> пласт </w:t>
      </w:r>
      <w:r>
        <w:rPr>
          <w:rFonts w:ascii="Arial" w:cs="Arial" w:eastAsia="Arial" w:hAnsi="Arial"/>
          <w:sz w:val="21"/>
          <w:szCs w:val="21"/>
          <w:color w:val="auto"/>
        </w:rPr>
        <w:t>–</w:t>
      </w:r>
      <w:r>
        <w:rPr>
          <w:rFonts w:ascii="Arial" w:cs="Arial" w:eastAsia="Arial" w:hAnsi="Arial"/>
          <w:sz w:val="21"/>
          <w:szCs w:val="21"/>
          <w:color w:val="auto"/>
        </w:rPr>
        <w:t xml:space="preserve"> скважина </w:t>
      </w:r>
      <w:r>
        <w:rPr>
          <w:rFonts w:ascii="Arial" w:cs="Arial" w:eastAsia="Arial" w:hAnsi="Arial"/>
          <w:sz w:val="21"/>
          <w:szCs w:val="21"/>
          <w:color w:val="auto"/>
        </w:rPr>
        <w:t>–</w:t>
      </w:r>
      <w:r>
        <w:rPr>
          <w:rFonts w:ascii="Arial" w:cs="Arial" w:eastAsia="Arial" w:hAnsi="Arial"/>
          <w:sz w:val="21"/>
          <w:szCs w:val="21"/>
          <w:color w:val="auto"/>
        </w:rPr>
        <w:t xml:space="preserve"> наземная инфраструктура </w:t>
      </w:r>
      <w:r>
        <w:rPr>
          <w:rFonts w:ascii="Arial" w:cs="Arial" w:eastAsia="Arial" w:hAnsi="Arial"/>
          <w:sz w:val="21"/>
          <w:szCs w:val="21"/>
          <w:color w:val="auto"/>
        </w:rPr>
        <w:t>–</w:t>
      </w:r>
      <w:r>
        <w:rPr>
          <w:rFonts w:ascii="Arial" w:cs="Arial" w:eastAsia="Arial" w:hAnsi="Arial"/>
          <w:sz w:val="21"/>
          <w:szCs w:val="21"/>
          <w:color w:val="auto"/>
        </w:rPr>
        <w:t xml:space="preserve"> объекты переработки и др</w:t>
      </w:r>
      <w:r>
        <w:rPr>
          <w:rFonts w:ascii="Arial" w:cs="Arial" w:eastAsia="Arial" w:hAnsi="Arial"/>
          <w:sz w:val="21"/>
          <w:szCs w:val="21"/>
          <w:color w:val="auto"/>
        </w:rPr>
        <w:t>.</w:t>
      </w:r>
    </w:p>
    <w:p>
      <w:pPr>
        <w:ind w:left="220" w:right="380" w:hanging="10"/>
        <w:spacing w:after="0" w:line="298" w:lineRule="auto"/>
        <w:tabs>
          <w:tab w:leader="none" w:pos="412" w:val="left"/>
        </w:tabs>
        <w:numPr>
          <w:ilvl w:val="0"/>
          <w:numId w:val="2"/>
        </w:numPr>
        <w:rPr>
          <w:rFonts w:ascii="Arial" w:cs="Arial" w:eastAsia="Arial" w:hAnsi="Arial"/>
          <w:sz w:val="21"/>
          <w:szCs w:val="21"/>
          <w:color w:val="auto"/>
        </w:rPr>
      </w:pPr>
      <w:r>
        <w:rPr>
          <w:rFonts w:ascii="Arial" w:cs="Arial" w:eastAsia="Arial" w:hAnsi="Arial"/>
          <w:sz w:val="21"/>
          <w:szCs w:val="21"/>
          <w:color w:val="auto"/>
        </w:rPr>
        <w:t>настоящее время в процессах средне</w:t>
      </w:r>
      <w:r>
        <w:rPr>
          <w:rFonts w:ascii="Arial" w:cs="Arial" w:eastAsia="Arial" w:hAnsi="Arial"/>
          <w:sz w:val="21"/>
          <w:szCs w:val="21"/>
          <w:color w:val="auto"/>
        </w:rPr>
        <w:t>-</w:t>
      </w:r>
      <w:r>
        <w:rPr>
          <w:rFonts w:ascii="Arial" w:cs="Arial" w:eastAsia="Arial" w:hAnsi="Arial"/>
          <w:sz w:val="21"/>
          <w:szCs w:val="21"/>
          <w:color w:val="auto"/>
        </w:rPr>
        <w:t xml:space="preserve">долгосрочного </w:t>
      </w:r>
      <w:r>
        <w:rPr>
          <w:rFonts w:ascii="Arial" w:cs="Arial" w:eastAsia="Arial" w:hAnsi="Arial"/>
          <w:sz w:val="21"/>
          <w:szCs w:val="21"/>
          <w:color w:val="auto"/>
        </w:rPr>
        <w:t>(1–100</w:t>
      </w:r>
      <w:r>
        <w:rPr>
          <w:rFonts w:ascii="Arial" w:cs="Arial" w:eastAsia="Arial" w:hAnsi="Arial"/>
          <w:sz w:val="21"/>
          <w:szCs w:val="21"/>
          <w:color w:val="auto"/>
        </w:rPr>
        <w:t xml:space="preserve"> лет</w:t>
      </w:r>
      <w:r>
        <w:rPr>
          <w:rFonts w:ascii="Arial" w:cs="Arial" w:eastAsia="Arial" w:hAnsi="Arial"/>
          <w:sz w:val="21"/>
          <w:szCs w:val="21"/>
          <w:color w:val="auto"/>
        </w:rPr>
        <w:t>)</w:t>
      </w:r>
      <w:r>
        <w:rPr>
          <w:rFonts w:ascii="Arial" w:cs="Arial" w:eastAsia="Arial" w:hAnsi="Arial"/>
          <w:sz w:val="21"/>
          <w:szCs w:val="21"/>
          <w:color w:val="auto"/>
        </w:rPr>
        <w:t xml:space="preserve"> прогнозирования преимущественно используются упрощенные модели пласта</w:t>
      </w:r>
      <w:r>
        <w:rPr>
          <w:rFonts w:ascii="Arial" w:cs="Arial" w:eastAsia="Arial" w:hAnsi="Arial"/>
          <w:sz w:val="21"/>
          <w:szCs w:val="21"/>
          <w:color w:val="auto"/>
        </w:rPr>
        <w:t>,</w:t>
      </w:r>
      <w:r>
        <w:rPr>
          <w:rFonts w:ascii="Arial" w:cs="Arial" w:eastAsia="Arial" w:hAnsi="Arial"/>
          <w:sz w:val="21"/>
          <w:szCs w:val="21"/>
          <w:color w:val="auto"/>
        </w:rPr>
        <w:t xml:space="preserve"> основанные на статистической оценке темпов снижения дебитов</w:t>
      </w:r>
      <w:r>
        <w:rPr>
          <w:rFonts w:ascii="Arial" w:cs="Arial" w:eastAsia="Arial" w:hAnsi="Arial"/>
          <w:sz w:val="21"/>
          <w:szCs w:val="21"/>
          <w:color w:val="auto"/>
        </w:rPr>
        <w:t>.</w:t>
      </w:r>
      <w:r>
        <w:rPr>
          <w:rFonts w:ascii="Arial" w:cs="Arial" w:eastAsia="Arial" w:hAnsi="Arial"/>
          <w:sz w:val="21"/>
          <w:szCs w:val="21"/>
          <w:color w:val="auto"/>
        </w:rPr>
        <w:t xml:space="preserve"> Для краткосрочного </w:t>
      </w:r>
      <w:r>
        <w:rPr>
          <w:rFonts w:ascii="Arial" w:cs="Arial" w:eastAsia="Arial" w:hAnsi="Arial"/>
          <w:sz w:val="21"/>
          <w:szCs w:val="21"/>
          <w:color w:val="auto"/>
        </w:rPr>
        <w:t>(</w:t>
      </w:r>
      <w:r>
        <w:rPr>
          <w:rFonts w:ascii="Arial" w:cs="Arial" w:eastAsia="Arial" w:hAnsi="Arial"/>
          <w:sz w:val="21"/>
          <w:szCs w:val="21"/>
          <w:color w:val="auto"/>
        </w:rPr>
        <w:t>посуточного</w:t>
      </w:r>
      <w:r>
        <w:rPr>
          <w:rFonts w:ascii="Arial" w:cs="Arial" w:eastAsia="Arial" w:hAnsi="Arial"/>
          <w:sz w:val="21"/>
          <w:szCs w:val="21"/>
          <w:color w:val="auto"/>
        </w:rPr>
        <w:t>)</w:t>
      </w:r>
      <w:r>
        <w:rPr>
          <w:rFonts w:ascii="Arial" w:cs="Arial" w:eastAsia="Arial" w:hAnsi="Arial"/>
          <w:sz w:val="21"/>
          <w:szCs w:val="21"/>
          <w:color w:val="auto"/>
        </w:rPr>
        <w:t xml:space="preserve"> планирования добычи нефти</w:t>
      </w:r>
      <w:r>
        <w:rPr>
          <w:rFonts w:ascii="Arial" w:cs="Arial" w:eastAsia="Arial" w:hAnsi="Arial"/>
          <w:sz w:val="21"/>
          <w:szCs w:val="21"/>
          <w:color w:val="auto"/>
        </w:rPr>
        <w:t>/</w:t>
      </w:r>
      <w:r>
        <w:rPr>
          <w:rFonts w:ascii="Arial" w:cs="Arial" w:eastAsia="Arial" w:hAnsi="Arial"/>
          <w:sz w:val="21"/>
          <w:szCs w:val="21"/>
          <w:color w:val="auto"/>
        </w:rPr>
        <w:t>жидкости и легких углеводородов использование такой методики не позволяет учитывать интерференцию скважин и значительные изменения в процессе добычи</w:t>
      </w:r>
      <w:r>
        <w:rPr>
          <w:rFonts w:ascii="Arial" w:cs="Arial" w:eastAsia="Arial" w:hAnsi="Arial"/>
          <w:sz w:val="21"/>
          <w:szCs w:val="21"/>
          <w:color w:val="auto"/>
        </w:rPr>
        <w:t>,</w:t>
      </w:r>
      <w:r>
        <w:rPr>
          <w:rFonts w:ascii="Arial" w:cs="Arial" w:eastAsia="Arial" w:hAnsi="Arial"/>
          <w:sz w:val="21"/>
          <w:szCs w:val="21"/>
          <w:color w:val="auto"/>
        </w:rPr>
        <w:t xml:space="preserve"> что существенно увеличивает погрешность расчетов</w:t>
      </w:r>
      <w:r>
        <w:rPr>
          <w:rFonts w:ascii="Arial" w:cs="Arial" w:eastAsia="Arial" w:hAnsi="Arial"/>
          <w:sz w:val="21"/>
          <w:szCs w:val="21"/>
          <w:color w:val="auto"/>
        </w:rPr>
        <w:t>.</w:t>
      </w:r>
      <w:r>
        <w:rPr>
          <w:rFonts w:ascii="Arial" w:cs="Arial" w:eastAsia="Arial" w:hAnsi="Arial"/>
          <w:sz w:val="21"/>
          <w:szCs w:val="21"/>
          <w:color w:val="auto"/>
        </w:rPr>
        <w:t xml:space="preserve"> Особенно это актуально при изменении подхода к планированию </w:t>
      </w:r>
      <w:r>
        <w:rPr>
          <w:rFonts w:ascii="Arial" w:cs="Arial" w:eastAsia="Arial" w:hAnsi="Arial"/>
          <w:sz w:val="21"/>
          <w:szCs w:val="21"/>
          <w:color w:val="auto"/>
        </w:rPr>
        <w:t>«</w:t>
      </w:r>
      <w:r>
        <w:rPr>
          <w:rFonts w:ascii="Arial" w:cs="Arial" w:eastAsia="Arial" w:hAnsi="Arial"/>
          <w:sz w:val="21"/>
          <w:szCs w:val="21"/>
          <w:color w:val="auto"/>
        </w:rPr>
        <w:t>от достигнутого</w:t>
      </w:r>
      <w:r>
        <w:rPr>
          <w:rFonts w:ascii="Arial" w:cs="Arial" w:eastAsia="Arial" w:hAnsi="Arial"/>
          <w:sz w:val="21"/>
          <w:szCs w:val="21"/>
          <w:color w:val="auto"/>
        </w:rPr>
        <w:t>» (</w:t>
      </w:r>
      <w:r>
        <w:rPr>
          <w:rFonts w:ascii="Arial" w:cs="Arial" w:eastAsia="Arial" w:hAnsi="Arial"/>
          <w:sz w:val="21"/>
          <w:szCs w:val="21"/>
          <w:color w:val="auto"/>
        </w:rPr>
        <w:t>ориентиром являются текущие показатели разработки</w:t>
      </w:r>
      <w:r>
        <w:rPr>
          <w:rFonts w:ascii="Arial" w:cs="Arial" w:eastAsia="Arial" w:hAnsi="Arial"/>
          <w:sz w:val="21"/>
          <w:szCs w:val="21"/>
          <w:color w:val="auto"/>
        </w:rPr>
        <w:t>)</w:t>
      </w:r>
      <w:r>
        <w:rPr>
          <w:rFonts w:ascii="Arial" w:cs="Arial" w:eastAsia="Arial" w:hAnsi="Arial"/>
          <w:sz w:val="21"/>
          <w:szCs w:val="21"/>
          <w:color w:val="auto"/>
        </w:rPr>
        <w:t xml:space="preserve"> к </w:t>
      </w:r>
      <w:r>
        <w:rPr>
          <w:rFonts w:ascii="Arial" w:cs="Arial" w:eastAsia="Arial" w:hAnsi="Arial"/>
          <w:sz w:val="21"/>
          <w:szCs w:val="21"/>
          <w:color w:val="auto"/>
        </w:rPr>
        <w:t>«</w:t>
      </w:r>
      <w:r>
        <w:rPr>
          <w:rFonts w:ascii="Arial" w:cs="Arial" w:eastAsia="Arial" w:hAnsi="Arial"/>
          <w:sz w:val="21"/>
          <w:szCs w:val="21"/>
          <w:color w:val="auto"/>
        </w:rPr>
        <w:t>от потенциала</w:t>
      </w:r>
      <w:r>
        <w:rPr>
          <w:rFonts w:ascii="Arial" w:cs="Arial" w:eastAsia="Arial" w:hAnsi="Arial"/>
          <w:sz w:val="21"/>
          <w:szCs w:val="21"/>
          <w:color w:val="auto"/>
        </w:rPr>
        <w:t>» (</w:t>
      </w:r>
      <w:r>
        <w:rPr>
          <w:rFonts w:ascii="Arial" w:cs="Arial" w:eastAsia="Arial" w:hAnsi="Arial"/>
          <w:sz w:val="21"/>
          <w:szCs w:val="21"/>
          <w:color w:val="auto"/>
        </w:rPr>
        <w:t>находится суммарный потенциал всех узлов интегрированной модели и отслеживается недостижение потенциала</w:t>
      </w:r>
      <w:r>
        <w:rPr>
          <w:rFonts w:ascii="Arial" w:cs="Arial" w:eastAsia="Arial" w:hAnsi="Arial"/>
          <w:sz w:val="21"/>
          <w:szCs w:val="21"/>
          <w:color w:val="auto"/>
        </w:rPr>
        <w:t>).</w:t>
      </w:r>
      <w:r>
        <w:rPr>
          <w:rFonts w:ascii="Arial" w:cs="Arial" w:eastAsia="Arial" w:hAnsi="Arial"/>
          <w:sz w:val="21"/>
          <w:szCs w:val="21"/>
          <w:color w:val="auto"/>
        </w:rPr>
        <w:t xml:space="preserve"> При нахождении потенциала моделируются предельно допустимые сценарии реализации программы геолого</w:t>
      </w:r>
      <w:r>
        <w:rPr>
          <w:rFonts w:ascii="Arial" w:cs="Arial" w:eastAsia="Arial" w:hAnsi="Arial"/>
          <w:sz w:val="21"/>
          <w:szCs w:val="21"/>
          <w:color w:val="auto"/>
        </w:rPr>
        <w:t>-</w:t>
      </w:r>
      <w:r>
        <w:rPr>
          <w:rFonts w:ascii="Arial" w:cs="Arial" w:eastAsia="Arial" w:hAnsi="Arial"/>
          <w:sz w:val="21"/>
          <w:szCs w:val="21"/>
          <w:color w:val="auto"/>
        </w:rPr>
        <w:t xml:space="preserve">технических мероприятий </w:t>
      </w:r>
      <w:r>
        <w:rPr>
          <w:rFonts w:ascii="Arial" w:cs="Arial" w:eastAsia="Arial" w:hAnsi="Arial"/>
          <w:sz w:val="21"/>
          <w:szCs w:val="21"/>
          <w:color w:val="auto"/>
        </w:rPr>
        <w:t>(</w:t>
      </w:r>
      <w:r>
        <w:rPr>
          <w:rFonts w:ascii="Arial" w:cs="Arial" w:eastAsia="Arial" w:hAnsi="Arial"/>
          <w:sz w:val="21"/>
          <w:szCs w:val="21"/>
          <w:color w:val="auto"/>
        </w:rPr>
        <w:t>ГТМ</w:t>
      </w:r>
      <w:r>
        <w:rPr>
          <w:rFonts w:ascii="Arial" w:cs="Arial" w:eastAsia="Arial" w:hAnsi="Arial"/>
          <w:sz w:val="21"/>
          <w:szCs w:val="21"/>
          <w:color w:val="auto"/>
        </w:rPr>
        <w:t>),</w:t>
      </w:r>
      <w:r>
        <w:rPr>
          <w:rFonts w:ascii="Arial" w:cs="Arial" w:eastAsia="Arial" w:hAnsi="Arial"/>
          <w:sz w:val="21"/>
          <w:szCs w:val="21"/>
          <w:color w:val="auto"/>
        </w:rPr>
        <w:t xml:space="preserve"> изменения режимов эксплуатации скважин</w:t>
      </w:r>
      <w:r>
        <w:rPr>
          <w:rFonts w:ascii="Arial" w:cs="Arial" w:eastAsia="Arial" w:hAnsi="Arial"/>
          <w:sz w:val="21"/>
          <w:szCs w:val="21"/>
          <w:color w:val="auto"/>
        </w:rPr>
        <w:t>,</w:t>
      </w:r>
      <w:r>
        <w:rPr>
          <w:rFonts w:ascii="Arial" w:cs="Arial" w:eastAsia="Arial" w:hAnsi="Arial"/>
          <w:sz w:val="21"/>
          <w:szCs w:val="21"/>
          <w:color w:val="auto"/>
        </w:rPr>
        <w:t xml:space="preserve"> графика ввода новых скважин и др</w:t>
      </w:r>
      <w:r>
        <w:rPr>
          <w:rFonts w:ascii="Arial" w:cs="Arial" w:eastAsia="Arial" w:hAnsi="Arial"/>
          <w:sz w:val="21"/>
          <w:szCs w:val="21"/>
          <w:color w:val="auto"/>
        </w:rPr>
        <w:t>.</w:t>
      </w:r>
      <w:r>
        <w:rPr>
          <w:rFonts w:ascii="Arial" w:cs="Arial" w:eastAsia="Arial" w:hAnsi="Arial"/>
          <w:sz w:val="21"/>
          <w:szCs w:val="21"/>
          <w:color w:val="auto"/>
        </w:rPr>
        <w:t xml:space="preserve"> Подобное напряженное состояние системы невозможно корректно описать текущими темпами снижения дебитов</w:t>
      </w:r>
      <w:r>
        <w:rPr>
          <w:rFonts w:ascii="Arial" w:cs="Arial" w:eastAsia="Arial" w:hAnsi="Arial"/>
          <w:sz w:val="21"/>
          <w:szCs w:val="21"/>
          <w:color w:val="auto"/>
        </w:rPr>
        <w:t>,</w:t>
      </w:r>
      <w:r>
        <w:rPr>
          <w:rFonts w:ascii="Arial" w:cs="Arial" w:eastAsia="Arial" w:hAnsi="Arial"/>
          <w:sz w:val="21"/>
          <w:szCs w:val="21"/>
          <w:color w:val="auto"/>
        </w:rPr>
        <w:t xml:space="preserve"> так как в системе происходят критичные изменения</w:t>
      </w:r>
      <w:r>
        <w:rPr>
          <w:rFonts w:ascii="Arial" w:cs="Arial" w:eastAsia="Arial" w:hAnsi="Arial"/>
          <w:sz w:val="21"/>
          <w:szCs w:val="21"/>
          <w:color w:val="auto"/>
        </w:rPr>
        <w:t>.</w:t>
      </w:r>
      <w:r>
        <w:rPr>
          <w:rFonts w:ascii="Arial" w:cs="Arial" w:eastAsia="Arial" w:hAnsi="Arial"/>
          <w:sz w:val="21"/>
          <w:szCs w:val="21"/>
          <w:color w:val="auto"/>
        </w:rPr>
        <w:t xml:space="preserve"> Для получения новых темпов снижения дебитов нет фактической информации о работе системы в новых условиях</w:t>
      </w:r>
      <w:r>
        <w:rPr>
          <w:rFonts w:ascii="Arial" w:cs="Arial" w:eastAsia="Arial" w:hAnsi="Arial"/>
          <w:sz w:val="21"/>
          <w:szCs w:val="21"/>
          <w:color w:val="auto"/>
        </w:rPr>
        <w:t>.</w:t>
      </w:r>
      <w:r>
        <w:rPr>
          <w:rFonts w:ascii="Arial" w:cs="Arial" w:eastAsia="Arial" w:hAnsi="Arial"/>
          <w:sz w:val="21"/>
          <w:szCs w:val="21"/>
          <w:color w:val="auto"/>
        </w:rPr>
        <w:t xml:space="preserve"> В связи с этим возникла необходимость создания модели пласта для посуточного поскважинного прогнозирования дебитов</w:t>
      </w:r>
      <w:r>
        <w:rPr>
          <w:rFonts w:ascii="Arial" w:cs="Arial" w:eastAsia="Arial" w:hAnsi="Arial"/>
          <w:sz w:val="21"/>
          <w:szCs w:val="21"/>
          <w:color w:val="auto"/>
        </w:rPr>
        <w:t>,</w:t>
      </w:r>
      <w:r>
        <w:rPr>
          <w:rFonts w:ascii="Arial" w:cs="Arial" w:eastAsia="Arial" w:hAnsi="Arial"/>
          <w:sz w:val="21"/>
          <w:szCs w:val="21"/>
          <w:color w:val="auto"/>
        </w:rPr>
        <w:t xml:space="preserve"> учитывающей указанные особенности и ограничения</w:t>
      </w:r>
      <w:r>
        <w:rPr>
          <w:rFonts w:ascii="Arial" w:cs="Arial" w:eastAsia="Arial" w:hAnsi="Arial"/>
          <w:sz w:val="21"/>
          <w:szCs w:val="21"/>
          <w:color w:val="auto"/>
        </w:rPr>
        <w:t>.</w:t>
      </w:r>
    </w:p>
    <w:p>
      <w:pPr>
        <w:spacing w:after="0" w:line="4" w:lineRule="exact"/>
        <w:rPr>
          <w:rFonts w:ascii="Arial" w:cs="Arial" w:eastAsia="Arial" w:hAnsi="Arial"/>
          <w:sz w:val="21"/>
          <w:szCs w:val="21"/>
          <w:color w:val="auto"/>
        </w:rPr>
      </w:pPr>
    </w:p>
    <w:p>
      <w:pPr>
        <w:ind w:left="220" w:right="300" w:hanging="10"/>
        <w:spacing w:after="0" w:line="298" w:lineRule="auto"/>
        <w:tabs>
          <w:tab w:leader="none" w:pos="412" w:val="left"/>
        </w:tabs>
        <w:numPr>
          <w:ilvl w:val="0"/>
          <w:numId w:val="2"/>
        </w:numPr>
        <w:rPr>
          <w:rFonts w:ascii="Arial" w:cs="Arial" w:eastAsia="Arial" w:hAnsi="Arial"/>
          <w:sz w:val="21"/>
          <w:szCs w:val="21"/>
          <w:color w:val="auto"/>
        </w:rPr>
      </w:pPr>
      <w:r>
        <w:rPr>
          <w:rFonts w:ascii="Arial" w:cs="Arial" w:eastAsia="Arial" w:hAnsi="Arial"/>
          <w:sz w:val="21"/>
          <w:szCs w:val="21"/>
          <w:color w:val="auto"/>
        </w:rPr>
        <w:t>условиях активно развивающихся цифровых технологий актуальным и перспективным является применение методов машинного обучения</w:t>
      </w:r>
      <w:r>
        <w:rPr>
          <w:rFonts w:ascii="Arial" w:cs="Arial" w:eastAsia="Arial" w:hAnsi="Arial"/>
          <w:sz w:val="21"/>
          <w:szCs w:val="21"/>
          <w:color w:val="auto"/>
        </w:rPr>
        <w:t>.</w:t>
      </w:r>
      <w:r>
        <w:rPr>
          <w:rFonts w:ascii="Arial" w:cs="Arial" w:eastAsia="Arial" w:hAnsi="Arial"/>
          <w:sz w:val="21"/>
          <w:szCs w:val="21"/>
          <w:color w:val="auto"/>
        </w:rPr>
        <w:t xml:space="preserve"> Однако большинство возникающих инженерных задач нельзя решить эффективно с использованием только алгоритмов машинного обучения либо только физико</w:t>
      </w:r>
      <w:r>
        <w:rPr>
          <w:rFonts w:ascii="Arial" w:cs="Arial" w:eastAsia="Arial" w:hAnsi="Arial"/>
          <w:sz w:val="21"/>
          <w:szCs w:val="21"/>
          <w:color w:val="auto"/>
        </w:rPr>
        <w:t>-</w:t>
      </w:r>
      <w:r>
        <w:rPr>
          <w:rFonts w:ascii="Arial" w:cs="Arial" w:eastAsia="Arial" w:hAnsi="Arial"/>
          <w:sz w:val="21"/>
          <w:szCs w:val="21"/>
          <w:color w:val="auto"/>
        </w:rPr>
        <w:t xml:space="preserve">математических и других моделей </w:t>
      </w:r>
      <w:r>
        <w:rPr>
          <w:rFonts w:ascii="Arial" w:cs="Arial" w:eastAsia="Arial" w:hAnsi="Arial"/>
          <w:sz w:val="21"/>
          <w:szCs w:val="21"/>
          <w:color w:val="auto"/>
        </w:rPr>
        <w:t>[2, 3].</w:t>
      </w:r>
      <w:r>
        <w:rPr>
          <w:rFonts w:ascii="Arial" w:cs="Arial" w:eastAsia="Arial" w:hAnsi="Arial"/>
          <w:sz w:val="21"/>
          <w:szCs w:val="21"/>
          <w:color w:val="auto"/>
        </w:rPr>
        <w:t xml:space="preserve"> Решение задач с применением только одного подхода более трудозатратно </w:t>
      </w:r>
      <w:r>
        <w:rPr>
          <w:rFonts w:ascii="Arial" w:cs="Arial" w:eastAsia="Arial" w:hAnsi="Arial"/>
          <w:sz w:val="21"/>
          <w:szCs w:val="21"/>
          <w:color w:val="auto"/>
        </w:rPr>
        <w:t>(</w:t>
      </w:r>
      <w:r>
        <w:rPr>
          <w:rFonts w:ascii="Arial" w:cs="Arial" w:eastAsia="Arial" w:hAnsi="Arial"/>
          <w:sz w:val="21"/>
          <w:szCs w:val="21"/>
          <w:color w:val="auto"/>
        </w:rPr>
        <w:t>описание всех процессов системы полной физико</w:t>
      </w:r>
      <w:r>
        <w:rPr>
          <w:rFonts w:ascii="Arial" w:cs="Arial" w:eastAsia="Arial" w:hAnsi="Arial"/>
          <w:sz w:val="21"/>
          <w:szCs w:val="21"/>
          <w:color w:val="auto"/>
        </w:rPr>
        <w:t>-</w:t>
      </w:r>
      <w:r>
        <w:rPr>
          <w:rFonts w:ascii="Arial" w:cs="Arial" w:eastAsia="Arial" w:hAnsi="Arial"/>
          <w:sz w:val="21"/>
          <w:szCs w:val="21"/>
          <w:color w:val="auto"/>
        </w:rPr>
        <w:t>математической моделью</w:t>
      </w:r>
      <w:r>
        <w:rPr>
          <w:rFonts w:ascii="Arial" w:cs="Arial" w:eastAsia="Arial" w:hAnsi="Arial"/>
          <w:sz w:val="21"/>
          <w:szCs w:val="21"/>
          <w:color w:val="auto"/>
        </w:rPr>
        <w:t>)</w:t>
      </w:r>
      <w:r>
        <w:rPr>
          <w:rFonts w:ascii="Arial" w:cs="Arial" w:eastAsia="Arial" w:hAnsi="Arial"/>
          <w:sz w:val="21"/>
          <w:szCs w:val="21"/>
          <w:color w:val="auto"/>
        </w:rPr>
        <w:t xml:space="preserve"> или допускает возможность наличия нефизичных решений и более высокую погрешность </w:t>
      </w:r>
      <w:r>
        <w:rPr>
          <w:rFonts w:ascii="Arial" w:cs="Arial" w:eastAsia="Arial" w:hAnsi="Arial"/>
          <w:sz w:val="21"/>
          <w:szCs w:val="21"/>
          <w:color w:val="auto"/>
        </w:rPr>
        <w:t>(</w:t>
      </w:r>
      <w:r>
        <w:rPr>
          <w:rFonts w:ascii="Arial" w:cs="Arial" w:eastAsia="Arial" w:hAnsi="Arial"/>
          <w:sz w:val="21"/>
          <w:szCs w:val="21"/>
          <w:color w:val="auto"/>
        </w:rPr>
        <w:t>только машинное обучение</w:t>
      </w:r>
      <w:r>
        <w:rPr>
          <w:rFonts w:ascii="Arial" w:cs="Arial" w:eastAsia="Arial" w:hAnsi="Arial"/>
          <w:sz w:val="21"/>
          <w:szCs w:val="21"/>
          <w:color w:val="auto"/>
        </w:rPr>
        <w:t>),</w:t>
      </w:r>
      <w:r>
        <w:rPr>
          <w:rFonts w:ascii="Arial" w:cs="Arial" w:eastAsia="Arial" w:hAnsi="Arial"/>
          <w:sz w:val="21"/>
          <w:szCs w:val="21"/>
          <w:color w:val="auto"/>
        </w:rPr>
        <w:t xml:space="preserve"> чем объединение физико</w:t>
      </w:r>
      <w:r>
        <w:rPr>
          <w:rFonts w:ascii="Arial" w:cs="Arial" w:eastAsia="Arial" w:hAnsi="Arial"/>
          <w:sz w:val="21"/>
          <w:szCs w:val="21"/>
          <w:color w:val="auto"/>
        </w:rPr>
        <w:t>-</w:t>
      </w:r>
      <w:r>
        <w:rPr>
          <w:rFonts w:ascii="Arial" w:cs="Arial" w:eastAsia="Arial" w:hAnsi="Arial"/>
          <w:sz w:val="21"/>
          <w:szCs w:val="21"/>
          <w:color w:val="auto"/>
        </w:rPr>
        <w:t>математической модели и моделей машинного обучения для доуточнения</w:t>
      </w:r>
      <w:r>
        <w:rPr>
          <w:rFonts w:ascii="Arial" w:cs="Arial" w:eastAsia="Arial" w:hAnsi="Arial"/>
          <w:sz w:val="21"/>
          <w:szCs w:val="21"/>
          <w:color w:val="auto"/>
        </w:rPr>
        <w:t>.</w:t>
      </w:r>
      <w:r>
        <w:rPr>
          <w:rFonts w:ascii="Arial" w:cs="Arial" w:eastAsia="Arial" w:hAnsi="Arial"/>
          <w:sz w:val="21"/>
          <w:szCs w:val="21"/>
          <w:color w:val="auto"/>
        </w:rPr>
        <w:t xml:space="preserve"> Вследствие этого предлагается гибридный подход</w:t>
      </w:r>
      <w:r>
        <w:rPr>
          <w:rFonts w:ascii="Arial" w:cs="Arial" w:eastAsia="Arial" w:hAnsi="Arial"/>
          <w:sz w:val="21"/>
          <w:szCs w:val="21"/>
          <w:color w:val="auto"/>
        </w:rPr>
        <w:t>,</w:t>
      </w:r>
      <w:r>
        <w:rPr>
          <w:rFonts w:ascii="Arial" w:cs="Arial" w:eastAsia="Arial" w:hAnsi="Arial"/>
          <w:sz w:val="21"/>
          <w:szCs w:val="21"/>
          <w:color w:val="auto"/>
        </w:rPr>
        <w:t xml:space="preserve"> сочетающий методы машинного обучения и физико</w:t>
      </w:r>
      <w:r>
        <w:rPr>
          <w:rFonts w:ascii="Arial" w:cs="Arial" w:eastAsia="Arial" w:hAnsi="Arial"/>
          <w:sz w:val="21"/>
          <w:szCs w:val="21"/>
          <w:color w:val="auto"/>
        </w:rPr>
        <w:t>-</w:t>
      </w:r>
      <w:r>
        <w:rPr>
          <w:rFonts w:ascii="Arial" w:cs="Arial" w:eastAsia="Arial" w:hAnsi="Arial"/>
          <w:sz w:val="21"/>
          <w:szCs w:val="21"/>
          <w:color w:val="auto"/>
        </w:rPr>
        <w:t>математическую модель</w:t>
      </w:r>
      <w:r>
        <w:rPr>
          <w:rFonts w:ascii="Arial" w:cs="Arial" w:eastAsia="Arial" w:hAnsi="Arial"/>
          <w:sz w:val="21"/>
          <w:szCs w:val="21"/>
          <w:color w:val="auto"/>
        </w:rPr>
        <w:t>,</w:t>
      </w:r>
      <w:r>
        <w:rPr>
          <w:rFonts w:ascii="Arial" w:cs="Arial" w:eastAsia="Arial" w:hAnsi="Arial"/>
          <w:sz w:val="21"/>
          <w:szCs w:val="21"/>
          <w:color w:val="auto"/>
        </w:rPr>
        <w:t xml:space="preserve"> для минимизации погрешностей расчета</w:t>
      </w:r>
      <w:r>
        <w:rPr>
          <w:rFonts w:ascii="Arial" w:cs="Arial" w:eastAsia="Arial" w:hAnsi="Arial"/>
          <w:sz w:val="21"/>
          <w:szCs w:val="21"/>
          <w:color w:val="auto"/>
        </w:rPr>
        <w:t>,</w:t>
      </w:r>
      <w:r>
        <w:rPr>
          <w:rFonts w:ascii="Arial" w:cs="Arial" w:eastAsia="Arial" w:hAnsi="Arial"/>
          <w:sz w:val="21"/>
          <w:szCs w:val="21"/>
          <w:color w:val="auto"/>
        </w:rPr>
        <w:t xml:space="preserve"> которые возникают из</w:t>
      </w:r>
      <w:r>
        <w:rPr>
          <w:rFonts w:ascii="Arial" w:cs="Arial" w:eastAsia="Arial" w:hAnsi="Arial"/>
          <w:sz w:val="21"/>
          <w:szCs w:val="21"/>
          <w:color w:val="auto"/>
        </w:rPr>
        <w:t>-</w:t>
      </w:r>
      <w:r>
        <w:rPr>
          <w:rFonts w:ascii="Arial" w:cs="Arial" w:eastAsia="Arial" w:hAnsi="Arial"/>
          <w:sz w:val="21"/>
          <w:szCs w:val="21"/>
          <w:color w:val="auto"/>
        </w:rPr>
        <w:t>за невозможности глубокой детализации базовой модели с использованием неявных зависимостей из модели машинного обучения</w:t>
      </w:r>
      <w:r>
        <w:rPr>
          <w:rFonts w:ascii="Arial" w:cs="Arial" w:eastAsia="Arial" w:hAnsi="Arial"/>
          <w:sz w:val="21"/>
          <w:szCs w:val="21"/>
          <w:color w:val="auto"/>
        </w:rPr>
        <w:t>,</w:t>
      </w:r>
      <w:r>
        <w:rPr>
          <w:rFonts w:ascii="Arial" w:cs="Arial" w:eastAsia="Arial" w:hAnsi="Arial"/>
          <w:sz w:val="21"/>
          <w:szCs w:val="21"/>
          <w:color w:val="auto"/>
        </w:rPr>
        <w:t xml:space="preserve"> корректирующих основной прогноз</w:t>
      </w:r>
      <w:r>
        <w:rPr>
          <w:rFonts w:ascii="Arial" w:cs="Arial" w:eastAsia="Arial" w:hAnsi="Arial"/>
          <w:sz w:val="21"/>
          <w:szCs w:val="21"/>
          <w:color w:val="auto"/>
        </w:rPr>
        <w:t>.</w:t>
      </w:r>
    </w:p>
    <w:p>
      <w:pPr>
        <w:spacing w:after="0" w:line="3" w:lineRule="exact"/>
        <w:rPr>
          <w:rFonts w:ascii="Arial" w:cs="Arial" w:eastAsia="Arial" w:hAnsi="Arial"/>
          <w:sz w:val="21"/>
          <w:szCs w:val="21"/>
          <w:color w:val="auto"/>
        </w:rPr>
      </w:pPr>
    </w:p>
    <w:p>
      <w:pPr>
        <w:ind w:left="220" w:right="240"/>
        <w:spacing w:after="0" w:line="278" w:lineRule="auto"/>
        <w:rPr>
          <w:rFonts w:ascii="Arial" w:cs="Arial" w:eastAsia="Arial" w:hAnsi="Arial"/>
          <w:sz w:val="21"/>
          <w:szCs w:val="21"/>
          <w:color w:val="auto"/>
        </w:rPr>
      </w:pPr>
      <w:r>
        <w:rPr>
          <w:rFonts w:ascii="Arial" w:cs="Arial" w:eastAsia="Arial" w:hAnsi="Arial"/>
          <w:sz w:val="23"/>
          <w:szCs w:val="23"/>
          <w:color w:val="auto"/>
        </w:rPr>
        <w:t>Предлагаемая гибридная модель пласта основана на двух ключевых элементах</w:t>
      </w:r>
      <w:r>
        <w:rPr>
          <w:rFonts w:ascii="Arial" w:cs="Arial" w:eastAsia="Arial" w:hAnsi="Arial"/>
          <w:sz w:val="23"/>
          <w:szCs w:val="23"/>
          <w:color w:val="auto"/>
        </w:rPr>
        <w:t>:</w:t>
      </w:r>
      <w:r>
        <w:rPr>
          <w:rFonts w:ascii="Arial" w:cs="Arial" w:eastAsia="Arial" w:hAnsi="Arial"/>
          <w:sz w:val="23"/>
          <w:szCs w:val="23"/>
          <w:color w:val="auto"/>
        </w:rPr>
        <w:t xml:space="preserve"> упрощенной физической модели пласта и алгоритме машинного обучения</w:t>
      </w:r>
      <w:r>
        <w:rPr>
          <w:rFonts w:ascii="Arial" w:cs="Arial" w:eastAsia="Arial" w:hAnsi="Arial"/>
          <w:sz w:val="23"/>
          <w:szCs w:val="23"/>
          <w:color w:val="auto"/>
        </w:rPr>
        <w:t>,</w:t>
      </w:r>
      <w:r>
        <w:rPr>
          <w:rFonts w:ascii="Arial" w:cs="Arial" w:eastAsia="Arial" w:hAnsi="Arial"/>
          <w:sz w:val="23"/>
          <w:szCs w:val="23"/>
          <w:color w:val="auto"/>
        </w:rPr>
        <w:t xml:space="preserve"> настроенного на уточнение результатов</w:t>
      </w:r>
      <w:r>
        <w:rPr>
          <w:rFonts w:ascii="Arial" w:cs="Arial" w:eastAsia="Arial" w:hAnsi="Arial"/>
          <w:sz w:val="23"/>
          <w:szCs w:val="23"/>
          <w:color w:val="auto"/>
        </w:rPr>
        <w:t>,</w:t>
      </w:r>
      <w:r>
        <w:rPr>
          <w:rFonts w:ascii="Arial" w:cs="Arial" w:eastAsia="Arial" w:hAnsi="Arial"/>
          <w:sz w:val="23"/>
          <w:szCs w:val="23"/>
          <w:color w:val="auto"/>
        </w:rPr>
        <w:t xml:space="preserve"> прогнозируемых физической моделью</w:t>
      </w:r>
      <w:r>
        <w:rPr>
          <w:rFonts w:ascii="Arial" w:cs="Arial" w:eastAsia="Arial" w:hAnsi="Arial"/>
          <w:sz w:val="23"/>
          <w:szCs w:val="23"/>
          <w:color w:val="auto"/>
        </w:rPr>
        <w:t>.</w:t>
      </w:r>
      <w:r>
        <w:rPr>
          <w:rFonts w:ascii="Arial" w:cs="Arial" w:eastAsia="Arial" w:hAnsi="Arial"/>
          <w:sz w:val="23"/>
          <w:szCs w:val="23"/>
          <w:color w:val="auto"/>
        </w:rPr>
        <w:t xml:space="preserve"> В качестве физической модели рассмотрены модели поскважинного материального баланса</w:t>
      </w:r>
      <w:r>
        <w:rPr>
          <w:rFonts w:ascii="Arial" w:cs="Arial" w:eastAsia="Arial" w:hAnsi="Arial"/>
          <w:sz w:val="23"/>
          <w:szCs w:val="23"/>
          <w:color w:val="auto"/>
        </w:rPr>
        <w:t>, CRM</w:t>
      </w:r>
      <w:r>
        <w:rPr>
          <w:rFonts w:ascii="Arial" w:cs="Arial" w:eastAsia="Arial" w:hAnsi="Arial"/>
          <w:sz w:val="23"/>
          <w:szCs w:val="23"/>
          <w:color w:val="auto"/>
        </w:rPr>
        <w:t xml:space="preserve"> и </w:t>
      </w:r>
      <w:r>
        <w:rPr>
          <w:rFonts w:ascii="Arial" w:cs="Arial" w:eastAsia="Arial" w:hAnsi="Arial"/>
          <w:sz w:val="23"/>
          <w:szCs w:val="23"/>
          <w:color w:val="auto"/>
        </w:rPr>
        <w:t>OmegaCRM [4],</w:t>
      </w:r>
      <w:r>
        <w:rPr>
          <w:rFonts w:ascii="Arial" w:cs="Arial" w:eastAsia="Arial" w:hAnsi="Arial"/>
          <w:sz w:val="23"/>
          <w:szCs w:val="23"/>
          <w:color w:val="auto"/>
        </w:rPr>
        <w:t xml:space="preserve"> в качестве модели машинного обучения </w:t>
      </w:r>
      <w:r>
        <w:rPr>
          <w:rFonts w:ascii="Arial" w:cs="Arial" w:eastAsia="Arial" w:hAnsi="Arial"/>
          <w:sz w:val="23"/>
          <w:szCs w:val="23"/>
          <w:color w:val="auto"/>
        </w:rPr>
        <w:t>–</w:t>
      </w:r>
      <w:r>
        <w:rPr>
          <w:rFonts w:ascii="Arial" w:cs="Arial" w:eastAsia="Arial" w:hAnsi="Arial"/>
          <w:sz w:val="23"/>
          <w:szCs w:val="23"/>
          <w:color w:val="auto"/>
        </w:rPr>
        <w:t xml:space="preserve"> алгоритм </w:t>
      </w:r>
      <w:r>
        <w:rPr>
          <w:rFonts w:ascii="Arial" w:cs="Arial" w:eastAsia="Arial" w:hAnsi="Arial"/>
          <w:sz w:val="23"/>
          <w:szCs w:val="23"/>
          <w:color w:val="auto"/>
        </w:rPr>
        <w:t>LSTM [5].</w:t>
      </w:r>
    </w:p>
    <w:p>
      <w:pPr>
        <w:spacing w:after="0" w:line="269" w:lineRule="exact"/>
        <w:rPr>
          <w:rFonts w:ascii="Arial" w:cs="Arial" w:eastAsia="Arial" w:hAnsi="Arial"/>
          <w:sz w:val="21"/>
          <w:szCs w:val="21"/>
          <w:color w:val="auto"/>
        </w:rPr>
      </w:pPr>
    </w:p>
    <w:p>
      <w:pPr>
        <w:ind w:left="220" w:right="840"/>
        <w:spacing w:after="0" w:line="377" w:lineRule="auto"/>
        <w:rPr>
          <w:sz w:val="20"/>
          <w:szCs w:val="20"/>
          <w:color w:val="auto"/>
        </w:rPr>
      </w:pPr>
      <w:r>
        <w:rPr>
          <w:rFonts w:ascii="Arial" w:cs="Arial" w:eastAsia="Arial" w:hAnsi="Arial"/>
          <w:sz w:val="20"/>
          <w:szCs w:val="20"/>
          <w:b w:val="1"/>
          <w:bCs w:val="1"/>
          <w:i w:val="1"/>
          <w:iCs w:val="1"/>
          <w:color w:val="auto"/>
        </w:rPr>
        <w:t xml:space="preserve">CRM </w:t>
      </w:r>
      <w:r>
        <w:rPr>
          <w:rFonts w:ascii="Arial" w:cs="Arial" w:eastAsia="Arial" w:hAnsi="Arial"/>
          <w:sz w:val="20"/>
          <w:szCs w:val="20"/>
          <w:b w:val="1"/>
          <w:bCs w:val="1"/>
          <w:i w:val="1"/>
          <w:iCs w:val="1"/>
          <w:color w:val="auto"/>
        </w:rPr>
        <w:t>и</w:t>
      </w:r>
      <w:r>
        <w:rPr>
          <w:rFonts w:ascii="Arial" w:cs="Arial" w:eastAsia="Arial" w:hAnsi="Arial"/>
          <w:sz w:val="20"/>
          <w:szCs w:val="20"/>
          <w:b w:val="1"/>
          <w:bCs w:val="1"/>
          <w:i w:val="1"/>
          <w:iCs w:val="1"/>
          <w:color w:val="auto"/>
        </w:rPr>
        <w:t xml:space="preserve"> OmegaCRM. </w:t>
      </w:r>
      <w:r>
        <w:rPr>
          <w:rFonts w:ascii="Arial" w:cs="Arial" w:eastAsia="Arial" w:hAnsi="Arial"/>
          <w:sz w:val="20"/>
          <w:szCs w:val="20"/>
          <w:color w:val="auto"/>
        </w:rPr>
        <w:t>В базовой</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CRM</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модели</w:t>
      </w:r>
      <w:r>
        <w:rPr>
          <w:rFonts w:ascii="Arial" w:cs="Arial" w:eastAsia="Arial" w:hAnsi="Arial"/>
          <w:sz w:val="20"/>
          <w:szCs w:val="20"/>
          <w:color w:val="auto"/>
        </w:rPr>
        <w:t>,</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предложенной в работе</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[6],</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материальный баланс</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записывается для порового объема пласта</w:t>
      </w:r>
      <w:r>
        <w:rPr>
          <w:rFonts w:ascii="Arial" w:cs="Arial" w:eastAsia="Arial" w:hAnsi="Arial"/>
          <w:sz w:val="20"/>
          <w:szCs w:val="20"/>
          <w:color w:val="auto"/>
        </w:rPr>
        <w:t>,</w:t>
      </w:r>
      <w:r>
        <w:rPr>
          <w:rFonts w:ascii="Arial" w:cs="Arial" w:eastAsia="Arial" w:hAnsi="Arial"/>
          <w:sz w:val="20"/>
          <w:szCs w:val="20"/>
          <w:color w:val="auto"/>
        </w:rPr>
        <w:t xml:space="preserve"> эксплуатируемого добывающей скважиной</w:t>
      </w:r>
      <w:r>
        <w:rPr>
          <w:rFonts w:ascii="Arial" w:cs="Arial" w:eastAsia="Arial" w:hAnsi="Arial"/>
          <w:sz w:val="20"/>
          <w:szCs w:val="20"/>
          <w:color w:val="auto"/>
        </w:rPr>
        <w:t>.</w:t>
      </w:r>
      <w:r>
        <w:rPr>
          <w:rFonts w:ascii="Arial" w:cs="Arial" w:eastAsia="Arial" w:hAnsi="Arial"/>
          <w:sz w:val="20"/>
          <w:szCs w:val="20"/>
          <w:color w:val="auto"/>
        </w:rPr>
        <w:t xml:space="preserve"> Существует</w:t>
      </w:r>
    </w:p>
    <w:p>
      <w:pPr>
        <w:sectPr>
          <w:pgSz w:w="11900" w:h="16838" w:orient="portrait"/>
          <w:cols w:equalWidth="0" w:num="1">
            <w:col w:w="10860"/>
          </w:cols>
          <w:pgMar w:left="520" w:top="243" w:right="519" w:bottom="0" w:gutter="0" w:footer="0" w:header="0"/>
          <w:type w:val="continuous"/>
        </w:sectPr>
      </w:pPr>
    </w:p>
    <w:p>
      <w:pPr>
        <w:spacing w:after="0" w:line="80" w:lineRule="exact"/>
        <w:rPr>
          <w:rFonts w:ascii="Arial" w:cs="Arial" w:eastAsia="Arial" w:hAnsi="Arial"/>
          <w:sz w:val="21"/>
          <w:szCs w:val="21"/>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1/7</w:t>
      </w:r>
    </w:p>
    <w:p>
      <w:pPr>
        <w:sectPr>
          <w:pgSz w:w="11900" w:h="16838" w:orient="portrait"/>
          <w:cols w:equalWidth="0" w:num="1">
            <w:col w:w="10860"/>
          </w:cols>
          <w:pgMar w:left="520" w:top="243" w:right="519" w:bottom="0" w:gutter="0" w:footer="0" w:header="0"/>
          <w:type w:val="continuous"/>
        </w:sectPr>
      </w:pPr>
    </w:p>
    <w:bookmarkStart w:id="1" w:name="page2"/>
    <w:bookmarkEnd w:id="1"/>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ectPr>
          <w:pgSz w:w="11900" w:h="16838" w:orient="portrait"/>
          <w:cols w:equalWidth="0" w:num="1">
            <w:col w:w="10860"/>
          </w:cols>
          <w:pgMar w:left="520" w:top="243" w:right="519" w:bottom="0" w:gutter="0" w:footer="0" w:header="0"/>
        </w:sectPr>
      </w:pPr>
    </w:p>
    <w:p>
      <w:pPr>
        <w:spacing w:after="0" w:line="148" w:lineRule="exact"/>
        <w:rPr>
          <w:sz w:val="20"/>
          <w:szCs w:val="20"/>
          <w:color w:val="auto"/>
        </w:rPr>
      </w:pPr>
    </w:p>
    <w:p>
      <w:pPr>
        <w:ind w:left="220" w:right="220"/>
        <w:spacing w:after="0" w:line="272" w:lineRule="auto"/>
        <w:rPr>
          <w:sz w:val="20"/>
          <w:szCs w:val="20"/>
          <w:color w:val="auto"/>
        </w:rPr>
      </w:pPr>
      <w:r>
        <w:rPr>
          <w:rFonts w:ascii="Arial" w:cs="Arial" w:eastAsia="Arial" w:hAnsi="Arial"/>
          <w:sz w:val="23"/>
          <w:szCs w:val="23"/>
          <w:color w:val="auto"/>
        </w:rPr>
        <w:t>модификация модели</w:t>
      </w:r>
      <w:r>
        <w:rPr>
          <w:rFonts w:ascii="Arial" w:cs="Arial" w:eastAsia="Arial" w:hAnsi="Arial"/>
          <w:sz w:val="23"/>
          <w:szCs w:val="23"/>
          <w:color w:val="auto"/>
        </w:rPr>
        <w:t>,</w:t>
      </w:r>
      <w:r>
        <w:rPr>
          <w:rFonts w:ascii="Arial" w:cs="Arial" w:eastAsia="Arial" w:hAnsi="Arial"/>
          <w:sz w:val="23"/>
          <w:szCs w:val="23"/>
          <w:color w:val="auto"/>
        </w:rPr>
        <w:t xml:space="preserve"> называемая </w:t>
      </w:r>
      <w:r>
        <w:rPr>
          <w:rFonts w:ascii="Arial" w:cs="Arial" w:eastAsia="Arial" w:hAnsi="Arial"/>
          <w:sz w:val="23"/>
          <w:szCs w:val="23"/>
          <w:color w:val="auto"/>
        </w:rPr>
        <w:t>CRMIP [7],</w:t>
      </w:r>
      <w:r>
        <w:rPr>
          <w:rFonts w:ascii="Arial" w:cs="Arial" w:eastAsia="Arial" w:hAnsi="Arial"/>
          <w:sz w:val="23"/>
          <w:szCs w:val="23"/>
          <w:color w:val="auto"/>
        </w:rPr>
        <w:t xml:space="preserve"> в которой уравнение материального баланса записывается для пары скважин нагнетательная </w:t>
      </w:r>
      <w:r>
        <w:rPr>
          <w:rFonts w:ascii="Arial" w:cs="Arial" w:eastAsia="Arial" w:hAnsi="Arial"/>
          <w:sz w:val="23"/>
          <w:szCs w:val="23"/>
          <w:color w:val="auto"/>
        </w:rPr>
        <w:t>–</w:t>
      </w:r>
      <w:r>
        <w:rPr>
          <w:rFonts w:ascii="Arial" w:cs="Arial" w:eastAsia="Arial" w:hAnsi="Arial"/>
          <w:sz w:val="23"/>
          <w:szCs w:val="23"/>
          <w:color w:val="auto"/>
        </w:rPr>
        <w:t xml:space="preserve"> добывающая</w:t>
      </w:r>
      <w:r>
        <w:rPr>
          <w:rFonts w:ascii="Arial" w:cs="Arial" w:eastAsia="Arial" w:hAnsi="Arial"/>
          <w:sz w:val="23"/>
          <w:szCs w:val="23"/>
          <w:color w:val="auto"/>
        </w:rPr>
        <w:t>.</w:t>
      </w:r>
      <w:r>
        <w:rPr>
          <w:rFonts w:ascii="Arial" w:cs="Arial" w:eastAsia="Arial" w:hAnsi="Arial"/>
          <w:sz w:val="23"/>
          <w:szCs w:val="23"/>
          <w:color w:val="auto"/>
        </w:rPr>
        <w:t xml:space="preserve"> В статье представлена модель </w:t>
      </w:r>
      <w:r>
        <w:rPr>
          <w:rFonts w:ascii="Arial" w:cs="Arial" w:eastAsia="Arial" w:hAnsi="Arial"/>
          <w:sz w:val="23"/>
          <w:szCs w:val="23"/>
          <w:color w:val="auto"/>
        </w:rPr>
        <w:t>OmegaCRM,</w:t>
      </w:r>
      <w:r>
        <w:rPr>
          <w:rFonts w:ascii="Arial" w:cs="Arial" w:eastAsia="Arial" w:hAnsi="Arial"/>
          <w:sz w:val="23"/>
          <w:szCs w:val="23"/>
          <w:color w:val="auto"/>
        </w:rPr>
        <w:t xml:space="preserve"> позволяющая также учитывать остановки</w:t>
      </w:r>
      <w:r>
        <w:rPr>
          <w:rFonts w:ascii="Arial" w:cs="Arial" w:eastAsia="Arial" w:hAnsi="Arial"/>
          <w:sz w:val="23"/>
          <w:szCs w:val="23"/>
          <w:color w:val="auto"/>
        </w:rPr>
        <w:t>/</w:t>
      </w:r>
      <w:r>
        <w:rPr>
          <w:rFonts w:ascii="Arial" w:cs="Arial" w:eastAsia="Arial" w:hAnsi="Arial"/>
          <w:sz w:val="23"/>
          <w:szCs w:val="23"/>
          <w:color w:val="auto"/>
        </w:rPr>
        <w:t xml:space="preserve">запуски скважин </w:t>
      </w:r>
      <w:r>
        <w:rPr>
          <w:rFonts w:ascii="Arial" w:cs="Arial" w:eastAsia="Arial" w:hAnsi="Arial"/>
          <w:sz w:val="23"/>
          <w:szCs w:val="23"/>
          <w:color w:val="auto"/>
        </w:rPr>
        <w:t>[5].</w:t>
      </w:r>
    </w:p>
    <w:p>
      <w:pPr>
        <w:spacing w:after="0" w:line="1" w:lineRule="exact"/>
        <w:rPr>
          <w:sz w:val="20"/>
          <w:szCs w:val="20"/>
          <w:color w:val="auto"/>
        </w:rPr>
      </w:pPr>
    </w:p>
    <w:p>
      <w:pPr>
        <w:ind w:left="220" w:right="380"/>
        <w:spacing w:after="0" w:line="298" w:lineRule="auto"/>
        <w:rPr>
          <w:sz w:val="20"/>
          <w:szCs w:val="20"/>
          <w:color w:val="auto"/>
        </w:rPr>
      </w:pPr>
      <w:r>
        <w:rPr>
          <w:rFonts w:ascii="Arial" w:cs="Arial" w:eastAsia="Arial" w:hAnsi="Arial"/>
          <w:sz w:val="21"/>
          <w:szCs w:val="21"/>
          <w:color w:val="auto"/>
        </w:rPr>
        <w:t xml:space="preserve">Основой модели </w:t>
      </w:r>
      <w:r>
        <w:rPr>
          <w:rFonts w:ascii="Arial" w:cs="Arial" w:eastAsia="Arial" w:hAnsi="Arial"/>
          <w:sz w:val="21"/>
          <w:szCs w:val="21"/>
          <w:color w:val="auto"/>
        </w:rPr>
        <w:t>OmegaCRM,</w:t>
      </w:r>
      <w:r>
        <w:rPr>
          <w:rFonts w:ascii="Arial" w:cs="Arial" w:eastAsia="Arial" w:hAnsi="Arial"/>
          <w:sz w:val="21"/>
          <w:szCs w:val="21"/>
          <w:color w:val="auto"/>
        </w:rPr>
        <w:t xml:space="preserve"> как и в других моделей класса </w:t>
      </w:r>
      <w:r>
        <w:rPr>
          <w:rFonts w:ascii="Arial" w:cs="Arial" w:eastAsia="Arial" w:hAnsi="Arial"/>
          <w:sz w:val="21"/>
          <w:szCs w:val="21"/>
          <w:color w:val="auto"/>
        </w:rPr>
        <w:t>CRM,</w:t>
      </w:r>
      <w:r>
        <w:rPr>
          <w:rFonts w:ascii="Arial" w:cs="Arial" w:eastAsia="Arial" w:hAnsi="Arial"/>
          <w:sz w:val="21"/>
          <w:szCs w:val="21"/>
          <w:color w:val="auto"/>
        </w:rPr>
        <w:t xml:space="preserve"> являются уравнения материального баланса и уравнение Дюпюи</w:t>
      </w:r>
      <w:r>
        <w:rPr>
          <w:rFonts w:ascii="Arial" w:cs="Arial" w:eastAsia="Arial" w:hAnsi="Arial"/>
          <w:sz w:val="21"/>
          <w:szCs w:val="21"/>
          <w:color w:val="auto"/>
        </w:rPr>
        <w:t>.</w:t>
      </w:r>
      <w:r>
        <w:rPr>
          <w:rFonts w:ascii="Arial" w:cs="Arial" w:eastAsia="Arial" w:hAnsi="Arial"/>
          <w:sz w:val="21"/>
          <w:szCs w:val="21"/>
          <w:color w:val="auto"/>
        </w:rPr>
        <w:t xml:space="preserve"> Однако при выводе формулы для расчета дебита жидкости добывающей скважины контурное давление не исключается</w:t>
      </w:r>
      <w:r>
        <w:rPr>
          <w:rFonts w:ascii="Arial" w:cs="Arial" w:eastAsia="Arial" w:hAnsi="Arial"/>
          <w:sz w:val="21"/>
          <w:szCs w:val="21"/>
          <w:color w:val="auto"/>
        </w:rPr>
        <w:t>,</w:t>
      </w:r>
      <w:r>
        <w:rPr>
          <w:rFonts w:ascii="Arial" w:cs="Arial" w:eastAsia="Arial" w:hAnsi="Arial"/>
          <w:sz w:val="21"/>
          <w:szCs w:val="21"/>
          <w:color w:val="auto"/>
        </w:rPr>
        <w:t xml:space="preserve"> а</w:t>
      </w:r>
      <w:r>
        <w:rPr>
          <w:rFonts w:ascii="Arial" w:cs="Arial" w:eastAsia="Arial" w:hAnsi="Arial"/>
          <w:sz w:val="21"/>
          <w:szCs w:val="21"/>
          <w:color w:val="auto"/>
        </w:rPr>
        <w:t>,</w:t>
      </w:r>
      <w:r>
        <w:rPr>
          <w:rFonts w:ascii="Arial" w:cs="Arial" w:eastAsia="Arial" w:hAnsi="Arial"/>
          <w:sz w:val="21"/>
          <w:szCs w:val="21"/>
          <w:color w:val="auto"/>
        </w:rPr>
        <w:t xml:space="preserve"> наоборот</w:t>
      </w:r>
      <w:r>
        <w:rPr>
          <w:rFonts w:ascii="Arial" w:cs="Arial" w:eastAsia="Arial" w:hAnsi="Arial"/>
          <w:sz w:val="21"/>
          <w:szCs w:val="21"/>
          <w:color w:val="auto"/>
        </w:rPr>
        <w:t>,</w:t>
      </w:r>
      <w:r>
        <w:rPr>
          <w:rFonts w:ascii="Arial" w:cs="Arial" w:eastAsia="Arial" w:hAnsi="Arial"/>
          <w:sz w:val="21"/>
          <w:szCs w:val="21"/>
          <w:color w:val="auto"/>
        </w:rPr>
        <w:t xml:space="preserve"> является основным параметром</w:t>
      </w:r>
      <w:r>
        <w:rPr>
          <w:rFonts w:ascii="Arial" w:cs="Arial" w:eastAsia="Arial" w:hAnsi="Arial"/>
          <w:sz w:val="21"/>
          <w:szCs w:val="21"/>
          <w:color w:val="auto"/>
        </w:rPr>
        <w:t>.</w:t>
      </w:r>
      <w:r>
        <w:rPr>
          <w:rFonts w:ascii="Arial" w:cs="Arial" w:eastAsia="Arial" w:hAnsi="Arial"/>
          <w:sz w:val="21"/>
          <w:szCs w:val="21"/>
          <w:color w:val="auto"/>
        </w:rPr>
        <w:t xml:space="preserve"> Такой подход дает возможность дифференцировать поведение модели в зависимости от показателей эксплуатации скважины и учитывать процесс восстанавливая давления в случае ее простоя</w:t>
      </w:r>
      <w:r>
        <w:rPr>
          <w:rFonts w:ascii="Arial" w:cs="Arial" w:eastAsia="Arial" w:hAnsi="Arial"/>
          <w:sz w:val="21"/>
          <w:szCs w:val="21"/>
          <w:color w:val="auto"/>
        </w:rPr>
        <w:t>.</w:t>
      </w:r>
      <w:r>
        <w:rPr>
          <w:rFonts w:ascii="Arial" w:cs="Arial" w:eastAsia="Arial" w:hAnsi="Arial"/>
          <w:sz w:val="21"/>
          <w:szCs w:val="21"/>
          <w:color w:val="auto"/>
        </w:rPr>
        <w:t xml:space="preserve"> В модель </w:t>
      </w:r>
      <w:r>
        <w:rPr>
          <w:rFonts w:ascii="Arial" w:cs="Arial" w:eastAsia="Arial" w:hAnsi="Arial"/>
          <w:sz w:val="21"/>
          <w:szCs w:val="21"/>
          <w:color w:val="auto"/>
        </w:rPr>
        <w:t xml:space="preserve">OmegaCRM </w:t>
      </w:r>
      <w:r>
        <w:rPr>
          <w:rFonts w:ascii="Arial" w:cs="Arial" w:eastAsia="Arial" w:hAnsi="Arial"/>
          <w:sz w:val="21"/>
          <w:szCs w:val="21"/>
          <w:color w:val="auto"/>
        </w:rPr>
        <w:t>вводится поправка на коэффициент продуктивности после ввода скважины в эксплуатацию</w:t>
      </w:r>
      <w:r>
        <w:rPr>
          <w:rFonts w:ascii="Arial" w:cs="Arial" w:eastAsia="Arial" w:hAnsi="Arial"/>
          <w:sz w:val="21"/>
          <w:szCs w:val="21"/>
          <w:color w:val="auto"/>
        </w:rPr>
        <w:t xml:space="preserve"> </w:t>
      </w:r>
      <w:r>
        <w:rPr>
          <w:rFonts w:ascii="Arial" w:cs="Arial" w:eastAsia="Arial" w:hAnsi="Arial"/>
          <w:sz w:val="21"/>
          <w:szCs w:val="21"/>
          <w:color w:val="auto"/>
        </w:rPr>
        <w:t xml:space="preserve">исходя из модели Чекалюка </w:t>
      </w:r>
      <w:r>
        <w:rPr>
          <w:rFonts w:ascii="Arial" w:cs="Arial" w:eastAsia="Arial" w:hAnsi="Arial"/>
          <w:sz w:val="21"/>
          <w:szCs w:val="21"/>
          <w:color w:val="auto"/>
        </w:rPr>
        <w:t>[8].</w:t>
      </w:r>
      <w:r>
        <w:rPr>
          <w:rFonts w:ascii="Arial" w:cs="Arial" w:eastAsia="Arial" w:hAnsi="Arial"/>
          <w:sz w:val="21"/>
          <w:szCs w:val="21"/>
          <w:color w:val="auto"/>
        </w:rPr>
        <w:t xml:space="preserve"> Дебит рассчитывается по уравнению Дюпюи в случае работающей скважины либо принимается равным нулю при ее отключении</w:t>
      </w:r>
      <w:r>
        <w:rPr>
          <w:rFonts w:ascii="Arial" w:cs="Arial" w:eastAsia="Arial" w:hAnsi="Arial"/>
          <w:sz w:val="21"/>
          <w:szCs w:val="21"/>
          <w:color w:val="auto"/>
        </w:rPr>
        <w:t>.</w:t>
      </w:r>
    </w:p>
    <w:p>
      <w:pPr>
        <w:spacing w:after="0" w:line="2" w:lineRule="exact"/>
        <w:rPr>
          <w:sz w:val="20"/>
          <w:szCs w:val="20"/>
          <w:color w:val="auto"/>
        </w:rPr>
      </w:pPr>
    </w:p>
    <w:p>
      <w:pPr>
        <w:ind w:left="220" w:right="360"/>
        <w:spacing w:after="0" w:line="298" w:lineRule="auto"/>
        <w:rPr>
          <w:sz w:val="20"/>
          <w:szCs w:val="20"/>
          <w:color w:val="auto"/>
        </w:rPr>
      </w:pPr>
      <w:r>
        <w:rPr>
          <w:rFonts w:ascii="Arial" w:cs="Arial" w:eastAsia="Arial" w:hAnsi="Arial"/>
          <w:sz w:val="21"/>
          <w:szCs w:val="21"/>
          <w:color w:val="auto"/>
        </w:rPr>
        <w:t>Неизвестные параметры модели определяются путем обучения на исторических данных</w:t>
      </w:r>
      <w:r>
        <w:rPr>
          <w:rFonts w:ascii="Arial" w:cs="Arial" w:eastAsia="Arial" w:hAnsi="Arial"/>
          <w:sz w:val="21"/>
          <w:szCs w:val="21"/>
          <w:color w:val="auto"/>
        </w:rPr>
        <w:t>,</w:t>
      </w:r>
      <w:r>
        <w:rPr>
          <w:rFonts w:ascii="Arial" w:cs="Arial" w:eastAsia="Arial" w:hAnsi="Arial"/>
          <w:sz w:val="21"/>
          <w:szCs w:val="21"/>
          <w:color w:val="auto"/>
        </w:rPr>
        <w:t xml:space="preserve"> таких как дебиты добывающих скважин</w:t>
      </w:r>
      <w:r>
        <w:rPr>
          <w:rFonts w:ascii="Arial" w:cs="Arial" w:eastAsia="Arial" w:hAnsi="Arial"/>
          <w:sz w:val="21"/>
          <w:szCs w:val="21"/>
          <w:color w:val="auto"/>
        </w:rPr>
        <w:t>,</w:t>
      </w:r>
      <w:r>
        <w:rPr>
          <w:rFonts w:ascii="Arial" w:cs="Arial" w:eastAsia="Arial" w:hAnsi="Arial"/>
          <w:sz w:val="21"/>
          <w:szCs w:val="21"/>
          <w:color w:val="auto"/>
        </w:rPr>
        <w:t xml:space="preserve"> закачка в нагнетательные скважины</w:t>
      </w:r>
      <w:r>
        <w:rPr>
          <w:rFonts w:ascii="Arial" w:cs="Arial" w:eastAsia="Arial" w:hAnsi="Arial"/>
          <w:sz w:val="21"/>
          <w:szCs w:val="21"/>
          <w:color w:val="auto"/>
        </w:rPr>
        <w:t>,</w:t>
      </w:r>
      <w:r>
        <w:rPr>
          <w:rFonts w:ascii="Arial" w:cs="Arial" w:eastAsia="Arial" w:hAnsi="Arial"/>
          <w:sz w:val="21"/>
          <w:szCs w:val="21"/>
          <w:color w:val="auto"/>
        </w:rPr>
        <w:t xml:space="preserve"> забойные давления</w:t>
      </w:r>
      <w:r>
        <w:rPr>
          <w:rFonts w:ascii="Arial" w:cs="Arial" w:eastAsia="Arial" w:hAnsi="Arial"/>
          <w:sz w:val="21"/>
          <w:szCs w:val="21"/>
          <w:color w:val="auto"/>
        </w:rPr>
        <w:t>.</w:t>
      </w:r>
      <w:r>
        <w:rPr>
          <w:rFonts w:ascii="Arial" w:cs="Arial" w:eastAsia="Arial" w:hAnsi="Arial"/>
          <w:sz w:val="21"/>
          <w:szCs w:val="21"/>
          <w:color w:val="auto"/>
        </w:rPr>
        <w:t xml:space="preserve"> Целевая функция задачи оптимизации для модели </w:t>
      </w:r>
      <w:r>
        <w:rPr>
          <w:rFonts w:ascii="Arial" w:cs="Arial" w:eastAsia="Arial" w:hAnsi="Arial"/>
          <w:sz w:val="21"/>
          <w:szCs w:val="21"/>
          <w:color w:val="auto"/>
        </w:rPr>
        <w:t>–</w:t>
      </w:r>
      <w:r>
        <w:rPr>
          <w:rFonts w:ascii="Arial" w:cs="Arial" w:eastAsia="Arial" w:hAnsi="Arial"/>
          <w:sz w:val="21"/>
          <w:szCs w:val="21"/>
          <w:color w:val="auto"/>
        </w:rPr>
        <w:t xml:space="preserve"> сумма средних квадратических функций оценки снижения дебита жидкости для каждой скважины</w:t>
      </w:r>
      <w:r>
        <w:rPr>
          <w:rFonts w:ascii="Arial" w:cs="Arial" w:eastAsia="Arial" w:hAnsi="Arial"/>
          <w:sz w:val="21"/>
          <w:szCs w:val="21"/>
          <w:color w:val="auto"/>
        </w:rPr>
        <w:t>.</w:t>
      </w:r>
      <w:r>
        <w:rPr>
          <w:rFonts w:ascii="Arial" w:cs="Arial" w:eastAsia="Arial" w:hAnsi="Arial"/>
          <w:sz w:val="21"/>
          <w:szCs w:val="21"/>
          <w:color w:val="auto"/>
        </w:rPr>
        <w:t xml:space="preserve"> Оптимизируемые параметры в модели аналогичны таковым в модели </w:t>
      </w:r>
      <w:r>
        <w:rPr>
          <w:rFonts w:ascii="Arial" w:cs="Arial" w:eastAsia="Arial" w:hAnsi="Arial"/>
          <w:sz w:val="21"/>
          <w:szCs w:val="21"/>
          <w:color w:val="auto"/>
        </w:rPr>
        <w:t>CRM.</w:t>
      </w:r>
      <w:r>
        <w:rPr>
          <w:rFonts w:ascii="Arial" w:cs="Arial" w:eastAsia="Arial" w:hAnsi="Arial"/>
          <w:sz w:val="21"/>
          <w:szCs w:val="21"/>
          <w:color w:val="auto"/>
        </w:rPr>
        <w:t xml:space="preserve"> Начальные коэффициент продуктивности и пластовое давление являются априорными параметрами</w:t>
      </w:r>
      <w:r>
        <w:rPr>
          <w:rFonts w:ascii="Arial" w:cs="Arial" w:eastAsia="Arial" w:hAnsi="Arial"/>
          <w:sz w:val="21"/>
          <w:szCs w:val="21"/>
          <w:color w:val="auto"/>
        </w:rPr>
        <w:t>.</w:t>
      </w:r>
      <w:r>
        <w:rPr>
          <w:rFonts w:ascii="Arial" w:cs="Arial" w:eastAsia="Arial" w:hAnsi="Arial"/>
          <w:sz w:val="21"/>
          <w:szCs w:val="21"/>
          <w:color w:val="auto"/>
        </w:rPr>
        <w:t xml:space="preserve"> Таким образом</w:t>
      </w:r>
      <w:r>
        <w:rPr>
          <w:rFonts w:ascii="Arial" w:cs="Arial" w:eastAsia="Arial" w:hAnsi="Arial"/>
          <w:sz w:val="21"/>
          <w:szCs w:val="21"/>
          <w:color w:val="auto"/>
        </w:rPr>
        <w:t>,</w:t>
      </w:r>
      <w:r>
        <w:rPr>
          <w:rFonts w:ascii="Arial" w:cs="Arial" w:eastAsia="Arial" w:hAnsi="Arial"/>
          <w:sz w:val="21"/>
          <w:szCs w:val="21"/>
          <w:color w:val="auto"/>
        </w:rPr>
        <w:t xml:space="preserve"> модель </w:t>
      </w:r>
      <w:r>
        <w:rPr>
          <w:rFonts w:ascii="Arial" w:cs="Arial" w:eastAsia="Arial" w:hAnsi="Arial"/>
          <w:sz w:val="21"/>
          <w:szCs w:val="21"/>
          <w:color w:val="auto"/>
        </w:rPr>
        <w:t>OmegaCRM</w:t>
      </w:r>
      <w:r>
        <w:rPr>
          <w:rFonts w:ascii="Arial" w:cs="Arial" w:eastAsia="Arial" w:hAnsi="Arial"/>
          <w:sz w:val="21"/>
          <w:szCs w:val="21"/>
          <w:color w:val="auto"/>
        </w:rPr>
        <w:t xml:space="preserve"> позволяет учитывать как остановки скважин</w:t>
      </w:r>
      <w:r>
        <w:rPr>
          <w:rFonts w:ascii="Arial" w:cs="Arial" w:eastAsia="Arial" w:hAnsi="Arial"/>
          <w:sz w:val="21"/>
          <w:szCs w:val="21"/>
          <w:color w:val="auto"/>
        </w:rPr>
        <w:t>,</w:t>
      </w:r>
      <w:r>
        <w:rPr>
          <w:rFonts w:ascii="Arial" w:cs="Arial" w:eastAsia="Arial" w:hAnsi="Arial"/>
          <w:sz w:val="21"/>
          <w:szCs w:val="21"/>
          <w:color w:val="auto"/>
        </w:rPr>
        <w:t xml:space="preserve"> так и нестационарные режимы их эксплуатации</w:t>
      </w:r>
      <w:r>
        <w:rPr>
          <w:rFonts w:ascii="Arial" w:cs="Arial" w:eastAsia="Arial" w:hAnsi="Arial"/>
          <w:sz w:val="21"/>
          <w:szCs w:val="21"/>
          <w:color w:val="auto"/>
        </w:rPr>
        <w:t>,</w:t>
      </w:r>
      <w:r>
        <w:rPr>
          <w:rFonts w:ascii="Arial" w:cs="Arial" w:eastAsia="Arial" w:hAnsi="Arial"/>
          <w:sz w:val="21"/>
          <w:szCs w:val="21"/>
          <w:color w:val="auto"/>
        </w:rPr>
        <w:t xml:space="preserve"> что дает возможность применять ее в случаях</w:t>
      </w:r>
      <w:r>
        <w:rPr>
          <w:rFonts w:ascii="Arial" w:cs="Arial" w:eastAsia="Arial" w:hAnsi="Arial"/>
          <w:sz w:val="21"/>
          <w:szCs w:val="21"/>
          <w:color w:val="auto"/>
        </w:rPr>
        <w:t>,</w:t>
      </w:r>
      <w:r>
        <w:rPr>
          <w:rFonts w:ascii="Arial" w:cs="Arial" w:eastAsia="Arial" w:hAnsi="Arial"/>
          <w:sz w:val="21"/>
          <w:szCs w:val="21"/>
          <w:color w:val="auto"/>
        </w:rPr>
        <w:t xml:space="preserve"> когда модели </w:t>
      </w:r>
      <w:r>
        <w:rPr>
          <w:rFonts w:ascii="Arial" w:cs="Arial" w:eastAsia="Arial" w:hAnsi="Arial"/>
          <w:sz w:val="21"/>
          <w:szCs w:val="21"/>
          <w:color w:val="auto"/>
        </w:rPr>
        <w:t xml:space="preserve">CRM </w:t>
      </w:r>
      <w:r>
        <w:rPr>
          <w:rFonts w:ascii="Arial" w:cs="Arial" w:eastAsia="Arial" w:hAnsi="Arial"/>
          <w:sz w:val="21"/>
          <w:szCs w:val="21"/>
          <w:color w:val="auto"/>
        </w:rPr>
        <w:t>и</w:t>
      </w:r>
      <w:r>
        <w:rPr>
          <w:rFonts w:ascii="Arial" w:cs="Arial" w:eastAsia="Arial" w:hAnsi="Arial"/>
          <w:sz w:val="21"/>
          <w:szCs w:val="21"/>
          <w:color w:val="auto"/>
        </w:rPr>
        <w:t xml:space="preserve"> CRMIP </w:t>
      </w:r>
      <w:r>
        <w:rPr>
          <w:rFonts w:ascii="Arial" w:cs="Arial" w:eastAsia="Arial" w:hAnsi="Arial"/>
          <w:sz w:val="21"/>
          <w:szCs w:val="21"/>
          <w:color w:val="auto"/>
        </w:rPr>
        <w:t>будут давать некорректные результаты</w:t>
      </w:r>
      <w:r>
        <w:rPr>
          <w:rFonts w:ascii="Arial" w:cs="Arial" w:eastAsia="Arial" w:hAnsi="Arial"/>
          <w:sz w:val="21"/>
          <w:szCs w:val="21"/>
          <w:color w:val="auto"/>
        </w:rPr>
        <w:t>.</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 xml:space="preserve">Для дальнейших исследований в качестве базовых физических моделей используем модели </w:t>
      </w:r>
      <w:r>
        <w:rPr>
          <w:rFonts w:ascii="Arial" w:cs="Arial" w:eastAsia="Arial" w:hAnsi="Arial"/>
          <w:sz w:val="20"/>
          <w:szCs w:val="20"/>
          <w:color w:val="auto"/>
        </w:rPr>
        <w:t>CRM, CRMIP</w:t>
      </w:r>
    </w:p>
    <w:p>
      <w:pPr>
        <w:spacing w:after="0" w:line="70" w:lineRule="exact"/>
        <w:rPr>
          <w:sz w:val="20"/>
          <w:szCs w:val="20"/>
          <w:color w:val="auto"/>
        </w:rPr>
      </w:pPr>
    </w:p>
    <w:p>
      <w:pPr>
        <w:ind w:left="220" w:right="500" w:hanging="10"/>
        <w:spacing w:after="0" w:line="284" w:lineRule="auto"/>
        <w:tabs>
          <w:tab w:leader="none" w:pos="403" w:val="left"/>
        </w:tabs>
        <w:numPr>
          <w:ilvl w:val="0"/>
          <w:numId w:val="3"/>
        </w:numPr>
        <w:rPr>
          <w:rFonts w:ascii="Arial" w:cs="Arial" w:eastAsia="Arial" w:hAnsi="Arial"/>
          <w:sz w:val="23"/>
          <w:szCs w:val="23"/>
          <w:color w:val="auto"/>
        </w:rPr>
      </w:pPr>
      <w:r>
        <w:rPr>
          <w:rFonts w:ascii="Arial" w:cs="Arial" w:eastAsia="Arial" w:hAnsi="Arial"/>
          <w:sz w:val="23"/>
          <w:szCs w:val="23"/>
          <w:color w:val="auto"/>
        </w:rPr>
        <w:t xml:space="preserve">OmegaCRM, </w:t>
      </w:r>
      <w:r>
        <w:rPr>
          <w:rFonts w:ascii="Arial" w:cs="Arial" w:eastAsia="Arial" w:hAnsi="Arial"/>
          <w:sz w:val="23"/>
          <w:szCs w:val="23"/>
          <w:color w:val="auto"/>
        </w:rPr>
        <w:t>в качестве результатов работы моделей и параметров</w:t>
      </w:r>
      <w:r>
        <w:rPr>
          <w:rFonts w:ascii="Arial" w:cs="Arial" w:eastAsia="Arial" w:hAnsi="Arial"/>
          <w:sz w:val="23"/>
          <w:szCs w:val="23"/>
          <w:color w:val="auto"/>
        </w:rPr>
        <w:t xml:space="preserve">, </w:t>
      </w:r>
      <w:r>
        <w:rPr>
          <w:rFonts w:ascii="Arial" w:cs="Arial" w:eastAsia="Arial" w:hAnsi="Arial"/>
          <w:sz w:val="23"/>
          <w:szCs w:val="23"/>
          <w:color w:val="auto"/>
        </w:rPr>
        <w:t>подаваемых на вход модели</w:t>
      </w:r>
      <w:r>
        <w:rPr>
          <w:rFonts w:ascii="Arial" w:cs="Arial" w:eastAsia="Arial" w:hAnsi="Arial"/>
          <w:sz w:val="23"/>
          <w:szCs w:val="23"/>
          <w:color w:val="auto"/>
        </w:rPr>
        <w:t xml:space="preserve"> </w:t>
      </w:r>
      <w:r>
        <w:rPr>
          <w:rFonts w:ascii="Arial" w:cs="Arial" w:eastAsia="Arial" w:hAnsi="Arial"/>
          <w:sz w:val="23"/>
          <w:szCs w:val="23"/>
          <w:color w:val="auto"/>
        </w:rPr>
        <w:t>машинного обучения</w:t>
      </w:r>
      <w:r>
        <w:rPr>
          <w:rFonts w:ascii="Arial" w:cs="Arial" w:eastAsia="Arial" w:hAnsi="Arial"/>
          <w:sz w:val="23"/>
          <w:szCs w:val="23"/>
          <w:color w:val="auto"/>
        </w:rPr>
        <w:t>,</w:t>
      </w:r>
      <w:r>
        <w:rPr>
          <w:rFonts w:ascii="Arial" w:cs="Arial" w:eastAsia="Arial" w:hAnsi="Arial"/>
          <w:sz w:val="23"/>
          <w:szCs w:val="23"/>
          <w:color w:val="auto"/>
        </w:rPr>
        <w:t xml:space="preserve"> примем прогнозные дебиты жидкости каждой модели и взвешенную закачку по окружающим скважинам</w:t>
      </w:r>
      <w:r>
        <w:rPr>
          <w:rFonts w:ascii="Arial" w:cs="Arial" w:eastAsia="Arial" w:hAnsi="Arial"/>
          <w:sz w:val="23"/>
          <w:szCs w:val="23"/>
          <w:color w:val="auto"/>
        </w:rPr>
        <w:t>.</w:t>
      </w:r>
    </w:p>
    <w:p>
      <w:pPr>
        <w:spacing w:after="0" w:line="262" w:lineRule="exact"/>
        <w:rPr>
          <w:sz w:val="20"/>
          <w:szCs w:val="20"/>
          <w:color w:val="auto"/>
        </w:rPr>
      </w:pPr>
    </w:p>
    <w:p>
      <w:pPr>
        <w:ind w:left="220" w:right="220"/>
        <w:spacing w:after="0" w:line="298" w:lineRule="auto"/>
        <w:rPr>
          <w:sz w:val="20"/>
          <w:szCs w:val="20"/>
          <w:color w:val="auto"/>
        </w:rPr>
      </w:pPr>
      <w:r>
        <w:rPr>
          <w:rFonts w:ascii="Arial" w:cs="Arial" w:eastAsia="Arial" w:hAnsi="Arial"/>
          <w:sz w:val="21"/>
          <w:szCs w:val="21"/>
          <w:b w:val="1"/>
          <w:bCs w:val="1"/>
          <w:i w:val="1"/>
          <w:iCs w:val="1"/>
          <w:color w:val="auto"/>
        </w:rPr>
        <w:t>Машинное обучение для прогнозирования временных рядов</w:t>
      </w:r>
      <w:r>
        <w:rPr>
          <w:rFonts w:ascii="Arial" w:cs="Arial" w:eastAsia="Arial" w:hAnsi="Arial"/>
          <w:sz w:val="21"/>
          <w:szCs w:val="21"/>
          <w:b w:val="1"/>
          <w:bCs w:val="1"/>
          <w:i w:val="1"/>
          <w:iCs w:val="1"/>
          <w:color w:val="auto"/>
        </w:rPr>
        <w:t>.</w:t>
      </w:r>
      <w:r>
        <w:rPr>
          <w:rFonts w:ascii="Arial" w:cs="Arial" w:eastAsia="Arial" w:hAnsi="Arial"/>
          <w:sz w:val="21"/>
          <w:szCs w:val="21"/>
          <w:b w:val="1"/>
          <w:bCs w:val="1"/>
          <w:i w:val="1"/>
          <w:iCs w:val="1"/>
          <w:color w:val="auto"/>
        </w:rPr>
        <w:t xml:space="preserve"> </w:t>
      </w:r>
      <w:r>
        <w:rPr>
          <w:rFonts w:ascii="Arial" w:cs="Arial" w:eastAsia="Arial" w:hAnsi="Arial"/>
          <w:sz w:val="21"/>
          <w:szCs w:val="21"/>
          <w:color w:val="auto"/>
        </w:rPr>
        <w:t>Прогнозирование временных рядов получило</w:t>
      </w:r>
      <w:r>
        <w:rPr>
          <w:rFonts w:ascii="Arial" w:cs="Arial" w:eastAsia="Arial" w:hAnsi="Arial"/>
          <w:sz w:val="21"/>
          <w:szCs w:val="21"/>
          <w:b w:val="1"/>
          <w:bCs w:val="1"/>
          <w:i w:val="1"/>
          <w:iCs w:val="1"/>
          <w:color w:val="auto"/>
        </w:rPr>
        <w:t xml:space="preserve"> </w:t>
      </w:r>
      <w:r>
        <w:rPr>
          <w:rFonts w:ascii="Arial" w:cs="Arial" w:eastAsia="Arial" w:hAnsi="Arial"/>
          <w:sz w:val="21"/>
          <w:szCs w:val="21"/>
          <w:color w:val="auto"/>
        </w:rPr>
        <w:t xml:space="preserve">широкое распространение в связи с высокой эффективностью его применения для решения различных задач </w:t>
      </w:r>
      <w:r>
        <w:rPr>
          <w:rFonts w:ascii="Arial" w:cs="Arial" w:eastAsia="Arial" w:hAnsi="Arial"/>
          <w:sz w:val="21"/>
          <w:szCs w:val="21"/>
          <w:color w:val="auto"/>
        </w:rPr>
        <w:t>(</w:t>
      </w:r>
      <w:r>
        <w:rPr>
          <w:rFonts w:ascii="Arial" w:cs="Arial" w:eastAsia="Arial" w:hAnsi="Arial"/>
          <w:sz w:val="21"/>
          <w:szCs w:val="21"/>
          <w:color w:val="auto"/>
        </w:rPr>
        <w:t>прогнозирование цен на фондовом рынке</w:t>
      </w:r>
      <w:r>
        <w:rPr>
          <w:rFonts w:ascii="Arial" w:cs="Arial" w:eastAsia="Arial" w:hAnsi="Arial"/>
          <w:sz w:val="21"/>
          <w:szCs w:val="21"/>
          <w:color w:val="auto"/>
        </w:rPr>
        <w:t>,</w:t>
      </w:r>
      <w:r>
        <w:rPr>
          <w:rFonts w:ascii="Arial" w:cs="Arial" w:eastAsia="Arial" w:hAnsi="Arial"/>
          <w:sz w:val="21"/>
          <w:szCs w:val="21"/>
          <w:color w:val="auto"/>
        </w:rPr>
        <w:t xml:space="preserve"> обменного курса и др</w:t>
      </w:r>
      <w:r>
        <w:rPr>
          <w:rFonts w:ascii="Arial" w:cs="Arial" w:eastAsia="Arial" w:hAnsi="Arial"/>
          <w:sz w:val="21"/>
          <w:szCs w:val="21"/>
          <w:color w:val="auto"/>
        </w:rPr>
        <w:t>.).</w:t>
      </w:r>
      <w:r>
        <w:rPr>
          <w:rFonts w:ascii="Arial" w:cs="Arial" w:eastAsia="Arial" w:hAnsi="Arial"/>
          <w:sz w:val="21"/>
          <w:szCs w:val="21"/>
          <w:color w:val="auto"/>
        </w:rPr>
        <w:t xml:space="preserve"> В настоящее время для этого используется целый ряд методов</w:t>
      </w:r>
      <w:r>
        <w:rPr>
          <w:rFonts w:ascii="Arial" w:cs="Arial" w:eastAsia="Arial" w:hAnsi="Arial"/>
          <w:sz w:val="21"/>
          <w:szCs w:val="21"/>
          <w:color w:val="auto"/>
        </w:rPr>
        <w:t>,</w:t>
      </w:r>
      <w:r>
        <w:rPr>
          <w:rFonts w:ascii="Arial" w:cs="Arial" w:eastAsia="Arial" w:hAnsi="Arial"/>
          <w:sz w:val="21"/>
          <w:szCs w:val="21"/>
          <w:color w:val="auto"/>
        </w:rPr>
        <w:t xml:space="preserve"> таких как авторегрессия </w:t>
      </w:r>
      <w:r>
        <w:rPr>
          <w:rFonts w:ascii="Arial" w:cs="Arial" w:eastAsia="Arial" w:hAnsi="Arial"/>
          <w:sz w:val="21"/>
          <w:szCs w:val="21"/>
          <w:color w:val="auto"/>
        </w:rPr>
        <w:t>[9],</w:t>
      </w:r>
      <w:r>
        <w:rPr>
          <w:rFonts w:ascii="Arial" w:cs="Arial" w:eastAsia="Arial" w:hAnsi="Arial"/>
          <w:sz w:val="21"/>
          <w:szCs w:val="21"/>
          <w:color w:val="auto"/>
        </w:rPr>
        <w:t xml:space="preserve"> модели </w:t>
      </w:r>
      <w:r>
        <w:rPr>
          <w:rFonts w:ascii="Arial" w:cs="Arial" w:eastAsia="Arial" w:hAnsi="Arial"/>
          <w:sz w:val="21"/>
          <w:szCs w:val="21"/>
          <w:color w:val="auto"/>
        </w:rPr>
        <w:t>ARIMA/SARIMA,</w:t>
      </w:r>
      <w:r>
        <w:rPr>
          <w:rFonts w:ascii="Arial" w:cs="Arial" w:eastAsia="Arial" w:hAnsi="Arial"/>
          <w:sz w:val="21"/>
          <w:szCs w:val="21"/>
          <w:color w:val="auto"/>
        </w:rPr>
        <w:t xml:space="preserve"> глубокие рекуррентные нейронные сети </w:t>
      </w:r>
      <w:r>
        <w:rPr>
          <w:rFonts w:ascii="Arial" w:cs="Arial" w:eastAsia="Arial" w:hAnsi="Arial"/>
          <w:sz w:val="21"/>
          <w:szCs w:val="21"/>
          <w:color w:val="auto"/>
        </w:rPr>
        <w:t>(RNN)</w:t>
      </w:r>
      <w:r>
        <w:rPr>
          <w:rFonts w:ascii="Arial" w:cs="Arial" w:eastAsia="Arial" w:hAnsi="Arial"/>
          <w:sz w:val="21"/>
          <w:szCs w:val="21"/>
          <w:color w:val="auto"/>
        </w:rPr>
        <w:t xml:space="preserve"> и др</w:t>
      </w:r>
      <w:r>
        <w:rPr>
          <w:rFonts w:ascii="Arial" w:cs="Arial" w:eastAsia="Arial" w:hAnsi="Arial"/>
          <w:sz w:val="21"/>
          <w:szCs w:val="21"/>
          <w:color w:val="auto"/>
        </w:rPr>
        <w:t>.</w:t>
      </w:r>
      <w:r>
        <w:rPr>
          <w:rFonts w:ascii="Arial" w:cs="Arial" w:eastAsia="Arial" w:hAnsi="Arial"/>
          <w:sz w:val="21"/>
          <w:szCs w:val="21"/>
          <w:color w:val="auto"/>
        </w:rPr>
        <w:t xml:space="preserve"> Особенностью последних является то</w:t>
      </w:r>
      <w:r>
        <w:rPr>
          <w:rFonts w:ascii="Arial" w:cs="Arial" w:eastAsia="Arial" w:hAnsi="Arial"/>
          <w:sz w:val="21"/>
          <w:szCs w:val="21"/>
          <w:color w:val="auto"/>
        </w:rPr>
        <w:t>,</w:t>
      </w:r>
      <w:r>
        <w:rPr>
          <w:rFonts w:ascii="Arial" w:cs="Arial" w:eastAsia="Arial" w:hAnsi="Arial"/>
          <w:sz w:val="21"/>
          <w:szCs w:val="21"/>
          <w:color w:val="auto"/>
        </w:rPr>
        <w:t xml:space="preserve"> что они учитывают информацию с предыдущего временного шага</w:t>
      </w:r>
      <w:r>
        <w:rPr>
          <w:rFonts w:ascii="Arial" w:cs="Arial" w:eastAsia="Arial" w:hAnsi="Arial"/>
          <w:sz w:val="21"/>
          <w:szCs w:val="21"/>
          <w:color w:val="auto"/>
        </w:rPr>
        <w:t>(</w:t>
      </w:r>
      <w:r>
        <w:rPr>
          <w:rFonts w:ascii="Arial" w:cs="Arial" w:eastAsia="Arial" w:hAnsi="Arial"/>
          <w:sz w:val="21"/>
          <w:szCs w:val="21"/>
          <w:color w:val="auto"/>
        </w:rPr>
        <w:t>ов</w:t>
      </w:r>
      <w:r>
        <w:rPr>
          <w:rFonts w:ascii="Arial" w:cs="Arial" w:eastAsia="Arial" w:hAnsi="Arial"/>
          <w:sz w:val="21"/>
          <w:szCs w:val="21"/>
          <w:color w:val="auto"/>
        </w:rPr>
        <w:t>),</w:t>
      </w:r>
      <w:r>
        <w:rPr>
          <w:rFonts w:ascii="Arial" w:cs="Arial" w:eastAsia="Arial" w:hAnsi="Arial"/>
          <w:sz w:val="21"/>
          <w:szCs w:val="21"/>
          <w:color w:val="auto"/>
        </w:rPr>
        <w:t xml:space="preserve"> чтобы прогнозировать последующие</w:t>
      </w:r>
      <w:r>
        <w:rPr>
          <w:rFonts w:ascii="Arial" w:cs="Arial" w:eastAsia="Arial" w:hAnsi="Arial"/>
          <w:sz w:val="21"/>
          <w:szCs w:val="21"/>
          <w:color w:val="auto"/>
        </w:rPr>
        <w:t>.</w:t>
      </w:r>
      <w:r>
        <w:rPr>
          <w:rFonts w:ascii="Arial" w:cs="Arial" w:eastAsia="Arial" w:hAnsi="Arial"/>
          <w:sz w:val="21"/>
          <w:szCs w:val="21"/>
          <w:color w:val="auto"/>
        </w:rPr>
        <w:t xml:space="preserve"> Среди них выделяются сети с долгой краткосрочной памятью </w:t>
      </w:r>
      <w:r>
        <w:rPr>
          <w:rFonts w:ascii="Arial" w:cs="Arial" w:eastAsia="Arial" w:hAnsi="Arial"/>
          <w:sz w:val="21"/>
          <w:szCs w:val="21"/>
          <w:color w:val="auto"/>
        </w:rPr>
        <w:t>(Long short-term memory – LSTM) [5]</w:t>
      </w:r>
      <w:r>
        <w:rPr>
          <w:rFonts w:ascii="Arial" w:cs="Arial" w:eastAsia="Arial" w:hAnsi="Arial"/>
          <w:sz w:val="21"/>
          <w:szCs w:val="21"/>
          <w:color w:val="auto"/>
        </w:rPr>
        <w:t xml:space="preserve"> как модели</w:t>
      </w:r>
      <w:r>
        <w:rPr>
          <w:rFonts w:ascii="Arial" w:cs="Arial" w:eastAsia="Arial" w:hAnsi="Arial"/>
          <w:sz w:val="21"/>
          <w:szCs w:val="21"/>
          <w:color w:val="auto"/>
        </w:rPr>
        <w:t>,</w:t>
      </w:r>
      <w:r>
        <w:rPr>
          <w:rFonts w:ascii="Arial" w:cs="Arial" w:eastAsia="Arial" w:hAnsi="Arial"/>
          <w:sz w:val="21"/>
          <w:szCs w:val="21"/>
          <w:color w:val="auto"/>
        </w:rPr>
        <w:t xml:space="preserve"> в которых наиболее эффективно учитывается зависимость параметров от времени</w:t>
      </w:r>
      <w:r>
        <w:rPr>
          <w:rFonts w:ascii="Arial" w:cs="Arial" w:eastAsia="Arial" w:hAnsi="Arial"/>
          <w:sz w:val="21"/>
          <w:szCs w:val="21"/>
          <w:color w:val="auto"/>
        </w:rPr>
        <w:t>.</w:t>
      </w:r>
      <w:r>
        <w:rPr>
          <w:rFonts w:ascii="Arial" w:cs="Arial" w:eastAsia="Arial" w:hAnsi="Arial"/>
          <w:sz w:val="21"/>
          <w:szCs w:val="21"/>
          <w:color w:val="auto"/>
        </w:rPr>
        <w:t xml:space="preserve"> Как подтип </w:t>
      </w:r>
      <w:r>
        <w:rPr>
          <w:rFonts w:ascii="Arial" w:cs="Arial" w:eastAsia="Arial" w:hAnsi="Arial"/>
          <w:sz w:val="21"/>
          <w:szCs w:val="21"/>
          <w:color w:val="auto"/>
        </w:rPr>
        <w:t>RNN</w:t>
      </w:r>
      <w:r>
        <w:rPr>
          <w:rFonts w:ascii="Arial" w:cs="Arial" w:eastAsia="Arial" w:hAnsi="Arial"/>
          <w:sz w:val="21"/>
          <w:szCs w:val="21"/>
          <w:color w:val="auto"/>
        </w:rPr>
        <w:t xml:space="preserve"> сетей они представляют собой сети с петлями</w:t>
      </w:r>
      <w:r>
        <w:rPr>
          <w:rFonts w:ascii="Arial" w:cs="Arial" w:eastAsia="Arial" w:hAnsi="Arial"/>
          <w:sz w:val="21"/>
          <w:szCs w:val="21"/>
          <w:color w:val="auto"/>
        </w:rPr>
        <w:t>,</w:t>
      </w:r>
      <w:r>
        <w:rPr>
          <w:rFonts w:ascii="Arial" w:cs="Arial" w:eastAsia="Arial" w:hAnsi="Arial"/>
          <w:sz w:val="21"/>
          <w:szCs w:val="21"/>
          <w:color w:val="auto"/>
        </w:rPr>
        <w:t xml:space="preserve"> что позволяет информации сохраняться внутри них</w:t>
      </w:r>
      <w:r>
        <w:rPr>
          <w:rFonts w:ascii="Arial" w:cs="Arial" w:eastAsia="Arial" w:hAnsi="Arial"/>
          <w:sz w:val="21"/>
          <w:szCs w:val="21"/>
          <w:color w:val="auto"/>
        </w:rPr>
        <w:t>.</w:t>
      </w:r>
    </w:p>
    <w:p>
      <w:pPr>
        <w:spacing w:after="0" w:line="3" w:lineRule="exact"/>
        <w:rPr>
          <w:sz w:val="20"/>
          <w:szCs w:val="20"/>
          <w:color w:val="auto"/>
        </w:rPr>
      </w:pPr>
    </w:p>
    <w:p>
      <w:pPr>
        <w:ind w:left="220" w:right="380" w:hanging="10"/>
        <w:spacing w:after="0" w:line="298" w:lineRule="auto"/>
        <w:tabs>
          <w:tab w:leader="none" w:pos="412" w:val="left"/>
        </w:tabs>
        <w:numPr>
          <w:ilvl w:val="0"/>
          <w:numId w:val="4"/>
        </w:numPr>
        <w:rPr>
          <w:rFonts w:ascii="Arial" w:cs="Arial" w:eastAsia="Arial" w:hAnsi="Arial"/>
          <w:sz w:val="21"/>
          <w:szCs w:val="21"/>
          <w:color w:val="auto"/>
        </w:rPr>
      </w:pPr>
      <w:r>
        <w:rPr>
          <w:rFonts w:ascii="Arial" w:cs="Arial" w:eastAsia="Arial" w:hAnsi="Arial"/>
          <w:sz w:val="21"/>
          <w:szCs w:val="21"/>
          <w:color w:val="auto"/>
        </w:rPr>
        <w:t>некоторых случаях достаточно получить новую информацию для прогнозирования последующего шага</w:t>
      </w:r>
      <w:r>
        <w:rPr>
          <w:rFonts w:ascii="Arial" w:cs="Arial" w:eastAsia="Arial" w:hAnsi="Arial"/>
          <w:sz w:val="21"/>
          <w:szCs w:val="21"/>
          <w:color w:val="auto"/>
        </w:rPr>
        <w:t>.</w:t>
      </w:r>
      <w:r>
        <w:rPr>
          <w:rFonts w:ascii="Arial" w:cs="Arial" w:eastAsia="Arial" w:hAnsi="Arial"/>
          <w:sz w:val="21"/>
          <w:szCs w:val="21"/>
          <w:color w:val="auto"/>
        </w:rPr>
        <w:t xml:space="preserve"> Однако временной разрыв между важной информацией и местом</w:t>
      </w:r>
      <w:r>
        <w:rPr>
          <w:rFonts w:ascii="Arial" w:cs="Arial" w:eastAsia="Arial" w:hAnsi="Arial"/>
          <w:sz w:val="21"/>
          <w:szCs w:val="21"/>
          <w:color w:val="auto"/>
        </w:rPr>
        <w:t>,</w:t>
      </w:r>
      <w:r>
        <w:rPr>
          <w:rFonts w:ascii="Arial" w:cs="Arial" w:eastAsia="Arial" w:hAnsi="Arial"/>
          <w:sz w:val="21"/>
          <w:szCs w:val="21"/>
          <w:color w:val="auto"/>
        </w:rPr>
        <w:t xml:space="preserve"> где она необходима</w:t>
      </w:r>
      <w:r>
        <w:rPr>
          <w:rFonts w:ascii="Arial" w:cs="Arial" w:eastAsia="Arial" w:hAnsi="Arial"/>
          <w:sz w:val="21"/>
          <w:szCs w:val="21"/>
          <w:color w:val="auto"/>
        </w:rPr>
        <w:t>,</w:t>
      </w:r>
      <w:r>
        <w:rPr>
          <w:rFonts w:ascii="Arial" w:cs="Arial" w:eastAsia="Arial" w:hAnsi="Arial"/>
          <w:sz w:val="21"/>
          <w:szCs w:val="21"/>
          <w:color w:val="auto"/>
        </w:rPr>
        <w:t xml:space="preserve"> довольно велик</w:t>
      </w:r>
      <w:r>
        <w:rPr>
          <w:rFonts w:ascii="Arial" w:cs="Arial" w:eastAsia="Arial" w:hAnsi="Arial"/>
          <w:sz w:val="21"/>
          <w:szCs w:val="21"/>
          <w:color w:val="auto"/>
        </w:rPr>
        <w:t>,</w:t>
      </w:r>
      <w:r>
        <w:rPr>
          <w:rFonts w:ascii="Arial" w:cs="Arial" w:eastAsia="Arial" w:hAnsi="Arial"/>
          <w:sz w:val="21"/>
          <w:szCs w:val="21"/>
          <w:color w:val="auto"/>
        </w:rPr>
        <w:t xml:space="preserve"> и по мере увеличения этого разрыва модели </w:t>
      </w:r>
      <w:r>
        <w:rPr>
          <w:rFonts w:ascii="Arial" w:cs="Arial" w:eastAsia="Arial" w:hAnsi="Arial"/>
          <w:sz w:val="21"/>
          <w:szCs w:val="21"/>
          <w:color w:val="auto"/>
        </w:rPr>
        <w:t>RNN</w:t>
      </w:r>
      <w:r>
        <w:rPr>
          <w:rFonts w:ascii="Arial" w:cs="Arial" w:eastAsia="Arial" w:hAnsi="Arial"/>
          <w:sz w:val="21"/>
          <w:szCs w:val="21"/>
          <w:color w:val="auto"/>
        </w:rPr>
        <w:t xml:space="preserve"> становятся неспособными связывать информацию</w:t>
      </w:r>
      <w:r>
        <w:rPr>
          <w:rFonts w:ascii="Arial" w:cs="Arial" w:eastAsia="Arial" w:hAnsi="Arial"/>
          <w:sz w:val="21"/>
          <w:szCs w:val="21"/>
          <w:color w:val="auto"/>
        </w:rPr>
        <w:t>.</w:t>
      </w:r>
      <w:r>
        <w:rPr>
          <w:rFonts w:ascii="Arial" w:cs="Arial" w:eastAsia="Arial" w:hAnsi="Arial"/>
          <w:sz w:val="21"/>
          <w:szCs w:val="21"/>
          <w:color w:val="auto"/>
        </w:rPr>
        <w:t xml:space="preserve"> Данная проблема может быть решеная с помощью моделей </w:t>
      </w:r>
      <w:r>
        <w:rPr>
          <w:rFonts w:ascii="Arial" w:cs="Arial" w:eastAsia="Arial" w:hAnsi="Arial"/>
          <w:sz w:val="21"/>
          <w:szCs w:val="21"/>
          <w:color w:val="auto"/>
        </w:rPr>
        <w:t>LSTM.</w:t>
      </w:r>
      <w:r>
        <w:rPr>
          <w:rFonts w:ascii="Arial" w:cs="Arial" w:eastAsia="Arial" w:hAnsi="Arial"/>
          <w:sz w:val="21"/>
          <w:szCs w:val="21"/>
          <w:color w:val="auto"/>
        </w:rPr>
        <w:t xml:space="preserve"> Все </w:t>
      </w:r>
      <w:r>
        <w:rPr>
          <w:rFonts w:ascii="Arial" w:cs="Arial" w:eastAsia="Arial" w:hAnsi="Arial"/>
          <w:sz w:val="21"/>
          <w:szCs w:val="21"/>
          <w:color w:val="auto"/>
        </w:rPr>
        <w:t>RNN</w:t>
      </w:r>
      <w:r>
        <w:rPr>
          <w:rFonts w:ascii="Arial" w:cs="Arial" w:eastAsia="Arial" w:hAnsi="Arial"/>
          <w:sz w:val="21"/>
          <w:szCs w:val="21"/>
          <w:color w:val="auto"/>
        </w:rPr>
        <w:t xml:space="preserve"> имеют вид цепочки повторяющихся модулей нейронной сети</w:t>
      </w:r>
      <w:r>
        <w:rPr>
          <w:rFonts w:ascii="Arial" w:cs="Arial" w:eastAsia="Arial" w:hAnsi="Arial"/>
          <w:sz w:val="21"/>
          <w:szCs w:val="21"/>
          <w:color w:val="auto"/>
        </w:rPr>
        <w:t>.</w:t>
      </w:r>
      <w:r>
        <w:rPr>
          <w:rFonts w:ascii="Arial" w:cs="Arial" w:eastAsia="Arial" w:hAnsi="Arial"/>
          <w:sz w:val="21"/>
          <w:szCs w:val="21"/>
          <w:color w:val="auto"/>
        </w:rPr>
        <w:t xml:space="preserve"> В стандартных </w:t>
      </w:r>
      <w:r>
        <w:rPr>
          <w:rFonts w:ascii="Arial" w:cs="Arial" w:eastAsia="Arial" w:hAnsi="Arial"/>
          <w:sz w:val="21"/>
          <w:szCs w:val="21"/>
          <w:color w:val="auto"/>
        </w:rPr>
        <w:t>RNN</w:t>
      </w:r>
      <w:r>
        <w:rPr>
          <w:rFonts w:ascii="Arial" w:cs="Arial" w:eastAsia="Arial" w:hAnsi="Arial"/>
          <w:sz w:val="21"/>
          <w:szCs w:val="21"/>
          <w:color w:val="auto"/>
        </w:rPr>
        <w:t xml:space="preserve"> этот повторяющийся модуль имеет очень простую структуру</w:t>
      </w:r>
      <w:r>
        <w:rPr>
          <w:rFonts w:ascii="Arial" w:cs="Arial" w:eastAsia="Arial" w:hAnsi="Arial"/>
          <w:sz w:val="21"/>
          <w:szCs w:val="21"/>
          <w:color w:val="auto"/>
        </w:rPr>
        <w:t>.</w:t>
      </w:r>
      <w:r>
        <w:rPr>
          <w:rFonts w:ascii="Arial" w:cs="Arial" w:eastAsia="Arial" w:hAnsi="Arial"/>
          <w:sz w:val="21"/>
          <w:szCs w:val="21"/>
          <w:color w:val="auto"/>
        </w:rPr>
        <w:t xml:space="preserve"> Модель </w:t>
      </w:r>
      <w:r>
        <w:rPr>
          <w:rFonts w:ascii="Arial" w:cs="Arial" w:eastAsia="Arial" w:hAnsi="Arial"/>
          <w:sz w:val="21"/>
          <w:szCs w:val="21"/>
          <w:color w:val="auto"/>
        </w:rPr>
        <w:t>LSTM</w:t>
      </w:r>
      <w:r>
        <w:rPr>
          <w:rFonts w:ascii="Arial" w:cs="Arial" w:eastAsia="Arial" w:hAnsi="Arial"/>
          <w:sz w:val="21"/>
          <w:szCs w:val="21"/>
          <w:color w:val="auto"/>
        </w:rPr>
        <w:t xml:space="preserve"> также обладает аналогичной цепочечной структурой</w:t>
      </w:r>
      <w:r>
        <w:rPr>
          <w:rFonts w:ascii="Arial" w:cs="Arial" w:eastAsia="Arial" w:hAnsi="Arial"/>
          <w:sz w:val="21"/>
          <w:szCs w:val="21"/>
          <w:color w:val="auto"/>
        </w:rPr>
        <w:t>,</w:t>
      </w:r>
      <w:r>
        <w:rPr>
          <w:rFonts w:ascii="Arial" w:cs="Arial" w:eastAsia="Arial" w:hAnsi="Arial"/>
          <w:sz w:val="21"/>
          <w:szCs w:val="21"/>
          <w:color w:val="auto"/>
        </w:rPr>
        <w:t xml:space="preserve"> но повторяющийся модуль отличается</w:t>
      </w:r>
      <w:r>
        <w:rPr>
          <w:rFonts w:ascii="Arial" w:cs="Arial" w:eastAsia="Arial" w:hAnsi="Arial"/>
          <w:sz w:val="21"/>
          <w:szCs w:val="21"/>
          <w:color w:val="auto"/>
        </w:rPr>
        <w:t>:</w:t>
      </w:r>
      <w:r>
        <w:rPr>
          <w:rFonts w:ascii="Arial" w:cs="Arial" w:eastAsia="Arial" w:hAnsi="Arial"/>
          <w:sz w:val="21"/>
          <w:szCs w:val="21"/>
          <w:color w:val="auto"/>
        </w:rPr>
        <w:t xml:space="preserve"> вместо одного слоя нейронной сети имеются четыре</w:t>
      </w:r>
      <w:r>
        <w:rPr>
          <w:rFonts w:ascii="Arial" w:cs="Arial" w:eastAsia="Arial" w:hAnsi="Arial"/>
          <w:sz w:val="21"/>
          <w:szCs w:val="21"/>
          <w:color w:val="auto"/>
        </w:rPr>
        <w:t>,</w:t>
      </w:r>
      <w:r>
        <w:rPr>
          <w:rFonts w:ascii="Arial" w:cs="Arial" w:eastAsia="Arial" w:hAnsi="Arial"/>
          <w:sz w:val="21"/>
          <w:szCs w:val="21"/>
          <w:color w:val="auto"/>
        </w:rPr>
        <w:t xml:space="preserve"> взаимодействующие особым образом</w:t>
      </w:r>
      <w:r>
        <w:rPr>
          <w:rFonts w:ascii="Arial" w:cs="Arial" w:eastAsia="Arial" w:hAnsi="Arial"/>
          <w:sz w:val="21"/>
          <w:szCs w:val="21"/>
          <w:color w:val="auto"/>
        </w:rPr>
        <w:t>.</w:t>
      </w:r>
    </w:p>
    <w:p>
      <w:pPr>
        <w:spacing w:after="0" w:line="2" w:lineRule="exact"/>
        <w:rPr>
          <w:rFonts w:ascii="Arial" w:cs="Arial" w:eastAsia="Arial" w:hAnsi="Arial"/>
          <w:sz w:val="21"/>
          <w:szCs w:val="21"/>
          <w:color w:val="auto"/>
        </w:rPr>
      </w:pPr>
    </w:p>
    <w:p>
      <w:pPr>
        <w:ind w:left="220" w:right="360"/>
        <w:spacing w:after="0" w:line="304" w:lineRule="auto"/>
        <w:rPr>
          <w:rFonts w:ascii="Arial" w:cs="Arial" w:eastAsia="Arial" w:hAnsi="Arial"/>
          <w:sz w:val="21"/>
          <w:szCs w:val="21"/>
          <w:color w:val="auto"/>
        </w:rPr>
      </w:pPr>
      <w:r>
        <w:rPr>
          <w:rFonts w:ascii="Arial" w:cs="Arial" w:eastAsia="Arial" w:hAnsi="Arial"/>
          <w:sz w:val="21"/>
          <w:szCs w:val="21"/>
          <w:color w:val="auto"/>
        </w:rPr>
        <w:t xml:space="preserve">Ключевой особенностью сетей </w:t>
      </w:r>
      <w:r>
        <w:rPr>
          <w:rFonts w:ascii="Arial" w:cs="Arial" w:eastAsia="Arial" w:hAnsi="Arial"/>
          <w:sz w:val="21"/>
          <w:szCs w:val="21"/>
          <w:color w:val="auto"/>
        </w:rPr>
        <w:t>LSTM</w:t>
      </w:r>
      <w:r>
        <w:rPr>
          <w:rFonts w:ascii="Arial" w:cs="Arial" w:eastAsia="Arial" w:hAnsi="Arial"/>
          <w:sz w:val="21"/>
          <w:szCs w:val="21"/>
          <w:color w:val="auto"/>
        </w:rPr>
        <w:t xml:space="preserve"> является состояние ячейки </w:t>
      </w:r>
      <w:r>
        <w:rPr>
          <w:rFonts w:ascii="Arial" w:cs="Arial" w:eastAsia="Arial" w:hAnsi="Arial"/>
          <w:sz w:val="21"/>
          <w:szCs w:val="21"/>
          <w:color w:val="auto"/>
        </w:rPr>
        <w:t>–</w:t>
      </w:r>
      <w:r>
        <w:rPr>
          <w:rFonts w:ascii="Arial" w:cs="Arial" w:eastAsia="Arial" w:hAnsi="Arial"/>
          <w:sz w:val="21"/>
          <w:szCs w:val="21"/>
          <w:color w:val="auto"/>
        </w:rPr>
        <w:t xml:space="preserve"> горизонтальная линия</w:t>
      </w:r>
      <w:r>
        <w:rPr>
          <w:rFonts w:ascii="Arial" w:cs="Arial" w:eastAsia="Arial" w:hAnsi="Arial"/>
          <w:sz w:val="21"/>
          <w:szCs w:val="21"/>
          <w:color w:val="auto"/>
        </w:rPr>
        <w:t>,</w:t>
      </w:r>
      <w:r>
        <w:rPr>
          <w:rFonts w:ascii="Arial" w:cs="Arial" w:eastAsia="Arial" w:hAnsi="Arial"/>
          <w:sz w:val="21"/>
          <w:szCs w:val="21"/>
          <w:color w:val="auto"/>
        </w:rPr>
        <w:t xml:space="preserve"> проходящая через верхнюю часть диаграммы</w:t>
      </w:r>
      <w:r>
        <w:rPr>
          <w:rFonts w:ascii="Arial" w:cs="Arial" w:eastAsia="Arial" w:hAnsi="Arial"/>
          <w:sz w:val="21"/>
          <w:szCs w:val="21"/>
          <w:color w:val="auto"/>
        </w:rPr>
        <w:t>,</w:t>
      </w:r>
      <w:r>
        <w:rPr>
          <w:rFonts w:ascii="Arial" w:cs="Arial" w:eastAsia="Arial" w:hAnsi="Arial"/>
          <w:sz w:val="21"/>
          <w:szCs w:val="21"/>
          <w:color w:val="auto"/>
        </w:rPr>
        <w:t xml:space="preserve"> показанной на рис</w:t>
      </w:r>
      <w:r>
        <w:rPr>
          <w:rFonts w:ascii="Arial" w:cs="Arial" w:eastAsia="Arial" w:hAnsi="Arial"/>
          <w:sz w:val="21"/>
          <w:szCs w:val="21"/>
          <w:color w:val="auto"/>
        </w:rPr>
        <w:t>. 1.</w:t>
      </w:r>
      <w:r>
        <w:rPr>
          <w:rFonts w:ascii="Arial" w:cs="Arial" w:eastAsia="Arial" w:hAnsi="Arial"/>
          <w:sz w:val="21"/>
          <w:szCs w:val="21"/>
          <w:color w:val="auto"/>
        </w:rPr>
        <w:t xml:space="preserve"> Она проходит прямо по всей цепочке</w:t>
      </w:r>
      <w:r>
        <w:rPr>
          <w:rFonts w:ascii="Arial" w:cs="Arial" w:eastAsia="Arial" w:hAnsi="Arial"/>
          <w:sz w:val="21"/>
          <w:szCs w:val="21"/>
          <w:color w:val="auto"/>
        </w:rPr>
        <w:t>,</w:t>
      </w:r>
      <w:r>
        <w:rPr>
          <w:rFonts w:ascii="Arial" w:cs="Arial" w:eastAsia="Arial" w:hAnsi="Arial"/>
          <w:sz w:val="21"/>
          <w:szCs w:val="21"/>
          <w:color w:val="auto"/>
        </w:rPr>
        <w:t xml:space="preserve"> с незначительными линейными взаимодействиями</w:t>
      </w:r>
      <w:r>
        <w:rPr>
          <w:rFonts w:ascii="Arial" w:cs="Arial" w:eastAsia="Arial" w:hAnsi="Arial"/>
          <w:sz w:val="21"/>
          <w:szCs w:val="21"/>
          <w:color w:val="auto"/>
        </w:rPr>
        <w:t>,</w:t>
      </w:r>
      <w:r>
        <w:rPr>
          <w:rFonts w:ascii="Arial" w:cs="Arial" w:eastAsia="Arial" w:hAnsi="Arial"/>
          <w:sz w:val="21"/>
          <w:szCs w:val="21"/>
          <w:color w:val="auto"/>
        </w:rPr>
        <w:t xml:space="preserve"> поэтому информация легко продвигается по ней без изменений</w:t>
      </w:r>
      <w:r>
        <w:rPr>
          <w:rFonts w:ascii="Arial" w:cs="Arial" w:eastAsia="Arial" w:hAnsi="Arial"/>
          <w:sz w:val="21"/>
          <w:szCs w:val="21"/>
          <w:color w:val="auto"/>
        </w:rPr>
        <w:t>. LSTM</w:t>
      </w:r>
      <w:r>
        <w:rPr>
          <w:rFonts w:ascii="Arial" w:cs="Arial" w:eastAsia="Arial" w:hAnsi="Arial"/>
          <w:sz w:val="21"/>
          <w:szCs w:val="21"/>
          <w:color w:val="auto"/>
        </w:rPr>
        <w:t xml:space="preserve"> также может удалять или добавлять информацию в состояние ячейки</w:t>
      </w:r>
      <w:r>
        <w:rPr>
          <w:rFonts w:ascii="Arial" w:cs="Arial" w:eastAsia="Arial" w:hAnsi="Arial"/>
          <w:sz w:val="21"/>
          <w:szCs w:val="21"/>
          <w:color w:val="auto"/>
        </w:rPr>
        <w:t>,</w:t>
      </w:r>
      <w:r>
        <w:rPr>
          <w:rFonts w:ascii="Arial" w:cs="Arial" w:eastAsia="Arial" w:hAnsi="Arial"/>
          <w:sz w:val="21"/>
          <w:szCs w:val="21"/>
          <w:color w:val="auto"/>
        </w:rPr>
        <w:t xml:space="preserve"> регулируемое объектами</w:t>
      </w:r>
      <w:r>
        <w:rPr>
          <w:rFonts w:ascii="Arial" w:cs="Arial" w:eastAsia="Arial" w:hAnsi="Arial"/>
          <w:sz w:val="21"/>
          <w:szCs w:val="21"/>
          <w:color w:val="auto"/>
        </w:rPr>
        <w:t>,</w:t>
      </w:r>
      <w:r>
        <w:rPr>
          <w:rFonts w:ascii="Arial" w:cs="Arial" w:eastAsia="Arial" w:hAnsi="Arial"/>
          <w:sz w:val="21"/>
          <w:szCs w:val="21"/>
          <w:color w:val="auto"/>
        </w:rPr>
        <w:t xml:space="preserve"> называемыми </w:t>
      </w:r>
      <w:r>
        <w:rPr>
          <w:rFonts w:ascii="Arial" w:cs="Arial" w:eastAsia="Arial" w:hAnsi="Arial"/>
          <w:sz w:val="21"/>
          <w:szCs w:val="21"/>
          <w:color w:val="auto"/>
        </w:rPr>
        <w:t>«</w:t>
      </w:r>
      <w:r>
        <w:rPr>
          <w:rFonts w:ascii="Arial" w:cs="Arial" w:eastAsia="Arial" w:hAnsi="Arial"/>
          <w:sz w:val="21"/>
          <w:szCs w:val="21"/>
          <w:color w:val="auto"/>
        </w:rPr>
        <w:t>воротами</w:t>
      </w:r>
      <w:r>
        <w:rPr>
          <w:rFonts w:ascii="Arial" w:cs="Arial" w:eastAsia="Arial" w:hAnsi="Arial"/>
          <w:sz w:val="21"/>
          <w:szCs w:val="21"/>
          <w:color w:val="auto"/>
        </w:rPr>
        <w:t>»</w:t>
      </w:r>
      <w:r>
        <w:rPr>
          <w:rFonts w:ascii="Arial" w:cs="Arial" w:eastAsia="Arial" w:hAnsi="Arial"/>
          <w:sz w:val="21"/>
          <w:szCs w:val="21"/>
          <w:color w:val="auto"/>
        </w:rPr>
        <w:t xml:space="preserve"> или фильтрами</w:t>
      </w:r>
      <w:r>
        <w:rPr>
          <w:rFonts w:ascii="Arial" w:cs="Arial" w:eastAsia="Arial" w:hAnsi="Arial"/>
          <w:sz w:val="21"/>
          <w:szCs w:val="21"/>
          <w:color w:val="auto"/>
        </w:rPr>
        <w:t>.</w:t>
      </w:r>
      <w:r>
        <w:rPr>
          <w:rFonts w:ascii="Arial" w:cs="Arial" w:eastAsia="Arial" w:hAnsi="Arial"/>
          <w:sz w:val="21"/>
          <w:szCs w:val="21"/>
          <w:color w:val="auto"/>
        </w:rPr>
        <w:t xml:space="preserve"> Фильтры представляют собой слой нейронной сети с сигмоидальной функцией активации</w:t>
      </w:r>
      <w:r>
        <w:rPr>
          <w:rFonts w:ascii="Arial" w:cs="Arial" w:eastAsia="Arial" w:hAnsi="Arial"/>
          <w:sz w:val="21"/>
          <w:szCs w:val="21"/>
          <w:color w:val="auto"/>
        </w:rPr>
        <w:t>,</w:t>
      </w:r>
      <w:r>
        <w:rPr>
          <w:rFonts w:ascii="Arial" w:cs="Arial" w:eastAsia="Arial" w:hAnsi="Arial"/>
          <w:sz w:val="21"/>
          <w:szCs w:val="21"/>
          <w:color w:val="auto"/>
        </w:rPr>
        <w:t xml:space="preserve"> операции поточечного умножения позволяют пропускать информацию на основании некоторых условий</w:t>
      </w:r>
      <w:r>
        <w:rPr>
          <w:rFonts w:ascii="Arial" w:cs="Arial" w:eastAsia="Arial" w:hAnsi="Arial"/>
          <w:sz w:val="21"/>
          <w:szCs w:val="21"/>
          <w:color w:val="auto"/>
        </w:rPr>
        <w:t>.</w:t>
      </w:r>
      <w:r>
        <w:rPr>
          <w:rFonts w:ascii="Arial" w:cs="Arial" w:eastAsia="Arial" w:hAnsi="Arial"/>
          <w:sz w:val="21"/>
          <w:szCs w:val="21"/>
          <w:color w:val="auto"/>
        </w:rPr>
        <w:t xml:space="preserve"> Сигмоидальный слой возвращает числа от нуля до единицы</w:t>
      </w:r>
      <w:r>
        <w:rPr>
          <w:rFonts w:ascii="Arial" w:cs="Arial" w:eastAsia="Arial" w:hAnsi="Arial"/>
          <w:sz w:val="21"/>
          <w:szCs w:val="21"/>
          <w:color w:val="auto"/>
        </w:rPr>
        <w:t>,</w:t>
      </w:r>
      <w:r>
        <w:rPr>
          <w:rFonts w:ascii="Arial" w:cs="Arial" w:eastAsia="Arial" w:hAnsi="Arial"/>
          <w:sz w:val="21"/>
          <w:szCs w:val="21"/>
          <w:color w:val="auto"/>
        </w:rPr>
        <w:t xml:space="preserve"> которые обозначают</w:t>
      </w:r>
      <w:r>
        <w:rPr>
          <w:rFonts w:ascii="Arial" w:cs="Arial" w:eastAsia="Arial" w:hAnsi="Arial"/>
          <w:sz w:val="21"/>
          <w:szCs w:val="21"/>
          <w:color w:val="auto"/>
        </w:rPr>
        <w:t>,</w:t>
      </w:r>
      <w:r>
        <w:rPr>
          <w:rFonts w:ascii="Arial" w:cs="Arial" w:eastAsia="Arial" w:hAnsi="Arial"/>
          <w:sz w:val="21"/>
          <w:szCs w:val="21"/>
          <w:color w:val="auto"/>
        </w:rPr>
        <w:t xml:space="preserve"> какую долю каждого блока информации следует пропустить дальше по сети</w:t>
      </w:r>
      <w:r>
        <w:rPr>
          <w:rFonts w:ascii="Arial" w:cs="Arial" w:eastAsia="Arial" w:hAnsi="Arial"/>
          <w:sz w:val="21"/>
          <w:szCs w:val="21"/>
          <w:color w:val="auto"/>
        </w:rPr>
        <w:t>.</w:t>
      </w:r>
      <w:r>
        <w:rPr>
          <w:rFonts w:ascii="Arial" w:cs="Arial" w:eastAsia="Arial" w:hAnsi="Arial"/>
          <w:sz w:val="21"/>
          <w:szCs w:val="21"/>
          <w:color w:val="auto"/>
        </w:rPr>
        <w:t xml:space="preserve"> Ноль в данном случае означает </w:t>
      </w:r>
      <w:r>
        <w:rPr>
          <w:rFonts w:ascii="Arial" w:cs="Arial" w:eastAsia="Arial" w:hAnsi="Arial"/>
          <w:sz w:val="21"/>
          <w:szCs w:val="21"/>
          <w:color w:val="auto"/>
        </w:rPr>
        <w:t>«</w:t>
      </w:r>
      <w:r>
        <w:rPr>
          <w:rFonts w:ascii="Arial" w:cs="Arial" w:eastAsia="Arial" w:hAnsi="Arial"/>
          <w:sz w:val="21"/>
          <w:szCs w:val="21"/>
          <w:color w:val="auto"/>
        </w:rPr>
        <w:t>все удалить</w:t>
      </w:r>
      <w:r>
        <w:rPr>
          <w:rFonts w:ascii="Arial" w:cs="Arial" w:eastAsia="Arial" w:hAnsi="Arial"/>
          <w:sz w:val="21"/>
          <w:szCs w:val="21"/>
          <w:color w:val="auto"/>
        </w:rPr>
        <w:t>»,</w:t>
      </w:r>
      <w:r>
        <w:rPr>
          <w:rFonts w:ascii="Arial" w:cs="Arial" w:eastAsia="Arial" w:hAnsi="Arial"/>
          <w:sz w:val="21"/>
          <w:szCs w:val="21"/>
          <w:color w:val="auto"/>
        </w:rPr>
        <w:t xml:space="preserve"> единица </w:t>
      </w:r>
      <w:r>
        <w:rPr>
          <w:rFonts w:ascii="Arial" w:cs="Arial" w:eastAsia="Arial" w:hAnsi="Arial"/>
          <w:sz w:val="21"/>
          <w:szCs w:val="21"/>
          <w:color w:val="auto"/>
        </w:rPr>
        <w:t>– «</w:t>
      </w:r>
      <w:r>
        <w:rPr>
          <w:rFonts w:ascii="Arial" w:cs="Arial" w:eastAsia="Arial" w:hAnsi="Arial"/>
          <w:sz w:val="21"/>
          <w:szCs w:val="21"/>
          <w:color w:val="auto"/>
        </w:rPr>
        <w:t>все оставить и пропустить</w:t>
      </w:r>
      <w:r>
        <w:rPr>
          <w:rFonts w:ascii="Arial" w:cs="Arial" w:eastAsia="Arial" w:hAnsi="Arial"/>
          <w:sz w:val="21"/>
          <w:szCs w:val="21"/>
          <w:color w:val="auto"/>
        </w:rPr>
        <w:t>».</w:t>
      </w:r>
    </w:p>
    <w:p>
      <w:pPr>
        <w:sectPr>
          <w:pgSz w:w="11900" w:h="16838" w:orient="portrait"/>
          <w:cols w:equalWidth="0" w:num="1">
            <w:col w:w="10860"/>
          </w:cols>
          <w:pgMar w:left="520" w:top="243" w:right="51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2/7</w:t>
      </w:r>
    </w:p>
    <w:p>
      <w:pPr>
        <w:sectPr>
          <w:pgSz w:w="11900" w:h="16838" w:orient="portrait"/>
          <w:cols w:equalWidth="0" w:num="1">
            <w:col w:w="10860"/>
          </w:cols>
          <w:pgMar w:left="520" w:top="243" w:right="519" w:bottom="0" w:gutter="0" w:footer="0" w:header="0"/>
          <w:type w:val="continuous"/>
        </w:sectPr>
      </w:pPr>
    </w:p>
    <w:bookmarkStart w:id="2" w:name="page3"/>
    <w:bookmarkEnd w:id="2"/>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96520</wp:posOffset>
            </wp:positionV>
            <wp:extent cx="6642100" cy="2715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6642100" cy="2715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220" w:right="380"/>
        <w:spacing w:after="0" w:line="272" w:lineRule="auto"/>
        <w:rPr>
          <w:sz w:val="20"/>
          <w:szCs w:val="20"/>
          <w:color w:val="auto"/>
        </w:rPr>
      </w:pPr>
      <w:r>
        <w:rPr>
          <w:rFonts w:ascii="Arial" w:cs="Arial" w:eastAsia="Arial" w:hAnsi="Arial"/>
          <w:sz w:val="23"/>
          <w:szCs w:val="23"/>
          <w:color w:val="auto"/>
        </w:rPr>
        <w:t xml:space="preserve">При прогнозировании добычи жидкости и нефти за заданный промежуток времени используется более усовершенствованная версия </w:t>
      </w:r>
      <w:r>
        <w:rPr>
          <w:rFonts w:ascii="Arial" w:cs="Arial" w:eastAsia="Arial" w:hAnsi="Arial"/>
          <w:sz w:val="23"/>
          <w:szCs w:val="23"/>
          <w:color w:val="auto"/>
        </w:rPr>
        <w:t>LSTM,</w:t>
      </w:r>
      <w:r>
        <w:rPr>
          <w:rFonts w:ascii="Arial" w:cs="Arial" w:eastAsia="Arial" w:hAnsi="Arial"/>
          <w:sz w:val="23"/>
          <w:szCs w:val="23"/>
          <w:color w:val="auto"/>
        </w:rPr>
        <w:t xml:space="preserve"> называемая энокодер</w:t>
      </w:r>
      <w:r>
        <w:rPr>
          <w:rFonts w:ascii="Arial" w:cs="Arial" w:eastAsia="Arial" w:hAnsi="Arial"/>
          <w:sz w:val="23"/>
          <w:szCs w:val="23"/>
          <w:color w:val="auto"/>
        </w:rPr>
        <w:t>-</w:t>
      </w:r>
      <w:r>
        <w:rPr>
          <w:rFonts w:ascii="Arial" w:cs="Arial" w:eastAsia="Arial" w:hAnsi="Arial"/>
          <w:sz w:val="23"/>
          <w:szCs w:val="23"/>
          <w:color w:val="auto"/>
        </w:rPr>
        <w:t xml:space="preserve">декодерной </w:t>
      </w:r>
      <w:r>
        <w:rPr>
          <w:rFonts w:ascii="Arial" w:cs="Arial" w:eastAsia="Arial" w:hAnsi="Arial"/>
          <w:sz w:val="23"/>
          <w:szCs w:val="23"/>
          <w:color w:val="auto"/>
        </w:rPr>
        <w:t>LSTM.</w:t>
      </w:r>
      <w:r>
        <w:rPr>
          <w:rFonts w:ascii="Arial" w:cs="Arial" w:eastAsia="Arial" w:hAnsi="Arial"/>
          <w:sz w:val="23"/>
          <w:szCs w:val="23"/>
          <w:color w:val="auto"/>
        </w:rPr>
        <w:t xml:space="preserve"> Инновацией этой архитектуры является использование внутреннего представления фиксированного размера в центре модели</w:t>
      </w:r>
      <w:r>
        <w:rPr>
          <w:rFonts w:ascii="Arial" w:cs="Arial" w:eastAsia="Arial" w:hAnsi="Arial"/>
          <w:sz w:val="23"/>
          <w:szCs w:val="23"/>
          <w:color w:val="auto"/>
        </w:rPr>
        <w:t>,</w:t>
      </w:r>
      <w:r>
        <w:rPr>
          <w:rFonts w:ascii="Arial" w:cs="Arial" w:eastAsia="Arial" w:hAnsi="Arial"/>
          <w:sz w:val="23"/>
          <w:szCs w:val="23"/>
          <w:color w:val="auto"/>
        </w:rPr>
        <w:t xml:space="preserve"> в который попадают входные последовательности и из которого считываются выходные последовательности</w:t>
      </w:r>
      <w:r>
        <w:rPr>
          <w:rFonts w:ascii="Arial" w:cs="Arial" w:eastAsia="Arial" w:hAnsi="Arial"/>
          <w:sz w:val="23"/>
          <w:szCs w:val="23"/>
          <w:color w:val="auto"/>
        </w:rPr>
        <w:t>.</w:t>
      </w:r>
    </w:p>
    <w:p>
      <w:pPr>
        <w:spacing w:after="0" w:line="2" w:lineRule="exact"/>
        <w:rPr>
          <w:sz w:val="20"/>
          <w:szCs w:val="20"/>
          <w:color w:val="auto"/>
        </w:rPr>
      </w:pPr>
    </w:p>
    <w:p>
      <w:pPr>
        <w:ind w:left="220" w:right="200"/>
        <w:spacing w:after="0" w:line="305" w:lineRule="auto"/>
        <w:rPr>
          <w:sz w:val="20"/>
          <w:szCs w:val="20"/>
          <w:color w:val="auto"/>
        </w:rPr>
      </w:pPr>
      <w:r>
        <w:rPr>
          <w:rFonts w:ascii="Arial" w:cs="Arial" w:eastAsia="Arial" w:hAnsi="Arial"/>
          <w:sz w:val="21"/>
          <w:szCs w:val="21"/>
          <w:color w:val="auto"/>
        </w:rPr>
        <w:t>Эта архитектура состоит из двух моделей</w:t>
      </w:r>
      <w:r>
        <w:rPr>
          <w:rFonts w:ascii="Arial" w:cs="Arial" w:eastAsia="Arial" w:hAnsi="Arial"/>
          <w:sz w:val="21"/>
          <w:szCs w:val="21"/>
          <w:color w:val="auto"/>
        </w:rPr>
        <w:t>:</w:t>
      </w:r>
      <w:r>
        <w:rPr>
          <w:rFonts w:ascii="Arial" w:cs="Arial" w:eastAsia="Arial" w:hAnsi="Arial"/>
          <w:sz w:val="21"/>
          <w:szCs w:val="21"/>
          <w:color w:val="auto"/>
        </w:rPr>
        <w:t xml:space="preserve"> первая отвечает за считывание и кодирование входной последовательности в вектор фиксированной длины</w:t>
      </w:r>
      <w:r>
        <w:rPr>
          <w:rFonts w:ascii="Arial" w:cs="Arial" w:eastAsia="Arial" w:hAnsi="Arial"/>
          <w:sz w:val="21"/>
          <w:szCs w:val="21"/>
          <w:color w:val="auto"/>
        </w:rPr>
        <w:t>;</w:t>
      </w:r>
      <w:r>
        <w:rPr>
          <w:rFonts w:ascii="Arial" w:cs="Arial" w:eastAsia="Arial" w:hAnsi="Arial"/>
          <w:sz w:val="21"/>
          <w:szCs w:val="21"/>
          <w:color w:val="auto"/>
        </w:rPr>
        <w:t xml:space="preserve"> вторая осуществляет декодирование этого вектора фиксированной длины в конечную прогнозируемую выходную последовательность</w:t>
      </w:r>
      <w:r>
        <w:rPr>
          <w:rFonts w:ascii="Arial" w:cs="Arial" w:eastAsia="Arial" w:hAnsi="Arial"/>
          <w:sz w:val="21"/>
          <w:szCs w:val="21"/>
          <w:color w:val="auto"/>
        </w:rPr>
        <w:t>.</w:t>
      </w:r>
      <w:r>
        <w:rPr>
          <w:rFonts w:ascii="Arial" w:cs="Arial" w:eastAsia="Arial" w:hAnsi="Arial"/>
          <w:sz w:val="21"/>
          <w:szCs w:val="21"/>
          <w:color w:val="auto"/>
        </w:rPr>
        <w:t xml:space="preserve"> Кодирующая сеть принимает входную последовательность и ставит ей в соответствие некое сжатое </w:t>
      </w:r>
      <w:r>
        <w:rPr>
          <w:rFonts w:ascii="Arial" w:cs="Arial" w:eastAsia="Arial" w:hAnsi="Arial"/>
          <w:sz w:val="21"/>
          <w:szCs w:val="21"/>
          <w:color w:val="auto"/>
        </w:rPr>
        <w:t>(</w:t>
      </w:r>
      <w:r>
        <w:rPr>
          <w:rFonts w:ascii="Arial" w:cs="Arial" w:eastAsia="Arial" w:hAnsi="Arial"/>
          <w:sz w:val="21"/>
          <w:szCs w:val="21"/>
          <w:color w:val="auto"/>
        </w:rPr>
        <w:t>закодированное</w:t>
      </w:r>
      <w:r>
        <w:rPr>
          <w:rFonts w:ascii="Arial" w:cs="Arial" w:eastAsia="Arial" w:hAnsi="Arial"/>
          <w:sz w:val="21"/>
          <w:szCs w:val="21"/>
          <w:color w:val="auto"/>
        </w:rPr>
        <w:t>)</w:t>
      </w:r>
      <w:r>
        <w:rPr>
          <w:rFonts w:ascii="Arial" w:cs="Arial" w:eastAsia="Arial" w:hAnsi="Arial"/>
          <w:sz w:val="21"/>
          <w:szCs w:val="21"/>
          <w:color w:val="auto"/>
        </w:rPr>
        <w:t xml:space="preserve"> представление</w:t>
      </w:r>
      <w:r>
        <w:rPr>
          <w:rFonts w:ascii="Arial" w:cs="Arial" w:eastAsia="Arial" w:hAnsi="Arial"/>
          <w:sz w:val="21"/>
          <w:szCs w:val="21"/>
          <w:color w:val="auto"/>
        </w:rPr>
        <w:t>.</w:t>
      </w:r>
      <w:r>
        <w:rPr>
          <w:rFonts w:ascii="Arial" w:cs="Arial" w:eastAsia="Arial" w:hAnsi="Arial"/>
          <w:sz w:val="21"/>
          <w:szCs w:val="21"/>
          <w:color w:val="auto"/>
        </w:rPr>
        <w:t xml:space="preserve"> Декодирующая сеть использует закодированное представление для генерации выходной последовательности</w:t>
      </w:r>
      <w:r>
        <w:rPr>
          <w:rFonts w:ascii="Arial" w:cs="Arial" w:eastAsia="Arial" w:hAnsi="Arial"/>
          <w:sz w:val="21"/>
          <w:szCs w:val="21"/>
          <w:color w:val="auto"/>
        </w:rPr>
        <w:t>.</w:t>
      </w:r>
      <w:r>
        <w:rPr>
          <w:rFonts w:ascii="Arial" w:cs="Arial" w:eastAsia="Arial" w:hAnsi="Arial"/>
          <w:sz w:val="21"/>
          <w:szCs w:val="21"/>
          <w:color w:val="auto"/>
        </w:rPr>
        <w:t xml:space="preserve"> Производительность модели оценивается на основе ее способности воссоздать начальную входную последовательность</w:t>
      </w:r>
      <w:r>
        <w:rPr>
          <w:rFonts w:ascii="Arial" w:cs="Arial" w:eastAsia="Arial" w:hAnsi="Arial"/>
          <w:sz w:val="21"/>
          <w:szCs w:val="21"/>
          <w:color w:val="auto"/>
        </w:rPr>
        <w:t>.</w:t>
      </w:r>
      <w:r>
        <w:rPr>
          <w:rFonts w:ascii="Arial" w:cs="Arial" w:eastAsia="Arial" w:hAnsi="Arial"/>
          <w:sz w:val="21"/>
          <w:szCs w:val="21"/>
          <w:color w:val="auto"/>
        </w:rPr>
        <w:t xml:space="preserve"> Модель автоэнкодера использует сложную архитектуру</w:t>
      </w:r>
      <w:r>
        <w:rPr>
          <w:rFonts w:ascii="Arial" w:cs="Arial" w:eastAsia="Arial" w:hAnsi="Arial"/>
          <w:sz w:val="21"/>
          <w:szCs w:val="21"/>
          <w:color w:val="auto"/>
        </w:rPr>
        <w:t>,</w:t>
      </w:r>
      <w:r>
        <w:rPr>
          <w:rFonts w:ascii="Arial" w:cs="Arial" w:eastAsia="Arial" w:hAnsi="Arial"/>
          <w:sz w:val="21"/>
          <w:szCs w:val="21"/>
          <w:color w:val="auto"/>
        </w:rPr>
        <w:t xml:space="preserve"> благодаря которой выполняется реконструкция выходных данных</w:t>
      </w:r>
      <w:r>
        <w:rPr>
          <w:rFonts w:ascii="Arial" w:cs="Arial" w:eastAsia="Arial" w:hAnsi="Arial"/>
          <w:sz w:val="21"/>
          <w:szCs w:val="21"/>
          <w:color w:val="auto"/>
        </w:rPr>
        <w:t>.</w:t>
      </w:r>
    </w:p>
    <w:p>
      <w:pPr>
        <w:spacing w:after="0" w:line="246" w:lineRule="exact"/>
        <w:rPr>
          <w:sz w:val="20"/>
          <w:szCs w:val="20"/>
          <w:color w:val="auto"/>
        </w:rPr>
      </w:pPr>
    </w:p>
    <w:p>
      <w:pPr>
        <w:ind w:left="220" w:right="440"/>
        <w:spacing w:after="0" w:line="272" w:lineRule="auto"/>
        <w:rPr>
          <w:sz w:val="20"/>
          <w:szCs w:val="20"/>
          <w:color w:val="auto"/>
        </w:rPr>
      </w:pPr>
      <w:r>
        <w:rPr>
          <w:rFonts w:ascii="Arial" w:cs="Arial" w:eastAsia="Arial" w:hAnsi="Arial"/>
          <w:sz w:val="23"/>
          <w:szCs w:val="23"/>
          <w:b w:val="1"/>
          <w:bCs w:val="1"/>
          <w:i w:val="1"/>
          <w:iCs w:val="1"/>
          <w:color w:val="auto"/>
        </w:rPr>
        <w:t>Процедура валидации модели</w:t>
      </w:r>
      <w:r>
        <w:rPr>
          <w:rFonts w:ascii="Arial" w:cs="Arial" w:eastAsia="Arial" w:hAnsi="Arial"/>
          <w:sz w:val="23"/>
          <w:szCs w:val="23"/>
          <w:b w:val="1"/>
          <w:bCs w:val="1"/>
          <w:i w:val="1"/>
          <w:iCs w:val="1"/>
          <w:color w:val="auto"/>
        </w:rPr>
        <w:t>.</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rPr>
        <w:t>При прогнозировании временных рядов точность прогноза со временем</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rPr>
        <w:t>снижается</w:t>
      </w:r>
      <w:r>
        <w:rPr>
          <w:rFonts w:ascii="Arial" w:cs="Arial" w:eastAsia="Arial" w:hAnsi="Arial"/>
          <w:sz w:val="23"/>
          <w:szCs w:val="23"/>
          <w:color w:val="auto"/>
        </w:rPr>
        <w:t>.</w:t>
      </w:r>
      <w:r>
        <w:rPr>
          <w:rFonts w:ascii="Arial" w:cs="Arial" w:eastAsia="Arial" w:hAnsi="Arial"/>
          <w:sz w:val="23"/>
          <w:szCs w:val="23"/>
          <w:color w:val="auto"/>
        </w:rPr>
        <w:t xml:space="preserve"> В связи с этим более целесообразной становится корректировка модели с учетом фактических данных по мере их поступления для прогноза на следующий временной промежуток</w:t>
      </w:r>
      <w:r>
        <w:rPr>
          <w:rFonts w:ascii="Arial" w:cs="Arial" w:eastAsia="Arial" w:hAnsi="Arial"/>
          <w:sz w:val="23"/>
          <w:szCs w:val="23"/>
          <w:color w:val="auto"/>
        </w:rPr>
        <w:t>.</w:t>
      </w:r>
      <w:r>
        <w:rPr>
          <w:rFonts w:ascii="Arial" w:cs="Arial" w:eastAsia="Arial" w:hAnsi="Arial"/>
          <w:sz w:val="23"/>
          <w:szCs w:val="23"/>
          <w:color w:val="auto"/>
        </w:rPr>
        <w:t xml:space="preserve"> Так как обучение моделей</w:t>
      </w:r>
      <w:r>
        <w:rPr>
          <w:rFonts w:ascii="Arial" w:cs="Arial" w:eastAsia="Arial" w:hAnsi="Arial"/>
          <w:sz w:val="23"/>
          <w:szCs w:val="23"/>
          <w:color w:val="auto"/>
        </w:rPr>
        <w:t>,</w:t>
      </w:r>
      <w:r>
        <w:rPr>
          <w:rFonts w:ascii="Arial" w:cs="Arial" w:eastAsia="Arial" w:hAnsi="Arial"/>
          <w:sz w:val="23"/>
          <w:szCs w:val="23"/>
          <w:color w:val="auto"/>
        </w:rPr>
        <w:t xml:space="preserve"> подобных </w:t>
      </w:r>
      <w:r>
        <w:rPr>
          <w:rFonts w:ascii="Arial" w:cs="Arial" w:eastAsia="Arial" w:hAnsi="Arial"/>
          <w:sz w:val="23"/>
          <w:szCs w:val="23"/>
          <w:color w:val="auto"/>
        </w:rPr>
        <w:t>LSTM,</w:t>
      </w:r>
      <w:r>
        <w:rPr>
          <w:rFonts w:ascii="Arial" w:cs="Arial" w:eastAsia="Arial" w:hAnsi="Arial"/>
          <w:sz w:val="23"/>
          <w:szCs w:val="23"/>
          <w:color w:val="auto"/>
        </w:rPr>
        <w:t xml:space="preserve"> не требует больших затрат времени</w:t>
      </w:r>
      <w:r>
        <w:rPr>
          <w:rFonts w:ascii="Arial" w:cs="Arial" w:eastAsia="Arial" w:hAnsi="Arial"/>
          <w:sz w:val="23"/>
          <w:szCs w:val="23"/>
          <w:color w:val="auto"/>
        </w:rPr>
        <w:t>,</w:t>
      </w:r>
      <w:r>
        <w:rPr>
          <w:rFonts w:ascii="Arial" w:cs="Arial" w:eastAsia="Arial" w:hAnsi="Arial"/>
          <w:sz w:val="23"/>
          <w:szCs w:val="23"/>
          <w:color w:val="auto"/>
        </w:rPr>
        <w:t xml:space="preserve"> так называемая предварительная проверка </w:t>
      </w:r>
      <w:r>
        <w:rPr>
          <w:rFonts w:ascii="Arial" w:cs="Arial" w:eastAsia="Arial" w:hAnsi="Arial"/>
          <w:sz w:val="23"/>
          <w:szCs w:val="23"/>
          <w:color w:val="auto"/>
        </w:rPr>
        <w:t>(walk-forward validation)</w:t>
      </w:r>
      <w:r>
        <w:rPr>
          <w:rFonts w:ascii="Arial" w:cs="Arial" w:eastAsia="Arial" w:hAnsi="Arial"/>
          <w:sz w:val="23"/>
          <w:szCs w:val="23"/>
          <w:color w:val="auto"/>
        </w:rPr>
        <w:t xml:space="preserve"> является наиболее оптимальным решением</w:t>
      </w:r>
      <w:r>
        <w:rPr>
          <w:rFonts w:ascii="Arial" w:cs="Arial" w:eastAsia="Arial" w:hAnsi="Arial"/>
          <w:sz w:val="23"/>
          <w:szCs w:val="23"/>
          <w:color w:val="auto"/>
        </w:rPr>
        <w:t>.</w:t>
      </w:r>
      <w:r>
        <w:rPr>
          <w:rFonts w:ascii="Arial" w:cs="Arial" w:eastAsia="Arial" w:hAnsi="Arial"/>
          <w:sz w:val="23"/>
          <w:szCs w:val="23"/>
          <w:color w:val="auto"/>
        </w:rPr>
        <w:t xml:space="preserve"> Такой способ валидации означает</w:t>
      </w:r>
      <w:r>
        <w:rPr>
          <w:rFonts w:ascii="Arial" w:cs="Arial" w:eastAsia="Arial" w:hAnsi="Arial"/>
          <w:sz w:val="23"/>
          <w:szCs w:val="23"/>
          <w:color w:val="auto"/>
        </w:rPr>
        <w:t>,</w:t>
      </w:r>
      <w:r>
        <w:rPr>
          <w:rFonts w:ascii="Arial" w:cs="Arial" w:eastAsia="Arial" w:hAnsi="Arial"/>
          <w:sz w:val="23"/>
          <w:szCs w:val="23"/>
          <w:color w:val="auto"/>
        </w:rPr>
        <w:t xml:space="preserve"> что модель будет переучена</w:t>
      </w:r>
      <w:r>
        <w:rPr>
          <w:rFonts w:ascii="Arial" w:cs="Arial" w:eastAsia="Arial" w:hAnsi="Arial"/>
          <w:sz w:val="23"/>
          <w:szCs w:val="23"/>
          <w:color w:val="auto"/>
        </w:rPr>
        <w:t>,</w:t>
      </w:r>
      <w:r>
        <w:rPr>
          <w:rFonts w:ascii="Arial" w:cs="Arial" w:eastAsia="Arial" w:hAnsi="Arial"/>
          <w:sz w:val="23"/>
          <w:szCs w:val="23"/>
          <w:color w:val="auto"/>
        </w:rPr>
        <w:t xml:space="preserve"> как только новые данные станут доступны</w:t>
      </w:r>
      <w:r>
        <w:rPr>
          <w:rFonts w:ascii="Arial" w:cs="Arial" w:eastAsia="Arial" w:hAnsi="Arial"/>
          <w:sz w:val="23"/>
          <w:szCs w:val="23"/>
          <w:color w:val="auto"/>
        </w:rPr>
        <w:t>.</w:t>
      </w:r>
      <w:r>
        <w:rPr>
          <w:rFonts w:ascii="Arial" w:cs="Arial" w:eastAsia="Arial" w:hAnsi="Arial"/>
          <w:sz w:val="23"/>
          <w:szCs w:val="23"/>
          <w:color w:val="auto"/>
        </w:rPr>
        <w:t xml:space="preserve"> Процесс включает следующие этапы</w:t>
      </w:r>
      <w:r>
        <w:rPr>
          <w:rFonts w:ascii="Arial" w:cs="Arial" w:eastAsia="Arial" w:hAnsi="Arial"/>
          <w:sz w:val="23"/>
          <w:szCs w:val="23"/>
          <w:color w:val="auto"/>
        </w:rPr>
        <w:t>.</w:t>
      </w:r>
    </w:p>
    <w:p>
      <w:pPr>
        <w:spacing w:after="0" w:line="3" w:lineRule="exact"/>
        <w:rPr>
          <w:sz w:val="20"/>
          <w:szCs w:val="20"/>
          <w:color w:val="auto"/>
        </w:rPr>
      </w:pPr>
    </w:p>
    <w:p>
      <w:pPr>
        <w:ind w:left="220" w:right="760" w:hanging="10"/>
        <w:spacing w:after="0" w:line="272" w:lineRule="auto"/>
        <w:tabs>
          <w:tab w:leader="none" w:pos="451" w:val="left"/>
        </w:tabs>
        <w:numPr>
          <w:ilvl w:val="0"/>
          <w:numId w:val="5"/>
        </w:numPr>
        <w:rPr>
          <w:rFonts w:ascii="Arial" w:cs="Arial" w:eastAsia="Arial" w:hAnsi="Arial"/>
          <w:sz w:val="23"/>
          <w:szCs w:val="23"/>
          <w:color w:val="auto"/>
        </w:rPr>
      </w:pPr>
      <w:r>
        <w:rPr>
          <w:rFonts w:ascii="Arial" w:cs="Arial" w:eastAsia="Arial" w:hAnsi="Arial"/>
          <w:sz w:val="23"/>
          <w:szCs w:val="23"/>
          <w:color w:val="auto"/>
        </w:rPr>
        <w:t>При отсчете с начала временного ряда используется минимальное число экземпляров в окне для обучения модели</w:t>
      </w:r>
      <w:r>
        <w:rPr>
          <w:rFonts w:ascii="Arial" w:cs="Arial" w:eastAsia="Arial" w:hAnsi="Arial"/>
          <w:sz w:val="23"/>
          <w:szCs w:val="23"/>
          <w:color w:val="auto"/>
        </w:rPr>
        <w:t>.</w:t>
      </w:r>
    </w:p>
    <w:p>
      <w:pPr>
        <w:ind w:left="440" w:hanging="230"/>
        <w:spacing w:after="0"/>
        <w:tabs>
          <w:tab w:leader="none" w:pos="440" w:val="left"/>
        </w:tabs>
        <w:numPr>
          <w:ilvl w:val="0"/>
          <w:numId w:val="5"/>
        </w:numPr>
        <w:rPr>
          <w:rFonts w:ascii="Arial" w:cs="Arial" w:eastAsia="Arial" w:hAnsi="Arial"/>
          <w:sz w:val="23"/>
          <w:szCs w:val="23"/>
          <w:color w:val="auto"/>
        </w:rPr>
      </w:pPr>
      <w:r>
        <w:rPr>
          <w:rFonts w:ascii="Arial" w:cs="Arial" w:eastAsia="Arial" w:hAnsi="Arial"/>
          <w:sz w:val="23"/>
          <w:szCs w:val="23"/>
          <w:color w:val="auto"/>
        </w:rPr>
        <w:t>Модель делает прогноз на следующий временной шаг</w:t>
      </w:r>
      <w:r>
        <w:rPr>
          <w:rFonts w:ascii="Arial" w:cs="Arial" w:eastAsia="Arial" w:hAnsi="Arial"/>
          <w:sz w:val="23"/>
          <w:szCs w:val="23"/>
          <w:color w:val="auto"/>
        </w:rPr>
        <w:t>.</w:t>
      </w:r>
    </w:p>
    <w:p>
      <w:pPr>
        <w:spacing w:after="0" w:line="35" w:lineRule="exact"/>
        <w:rPr>
          <w:rFonts w:ascii="Arial" w:cs="Arial" w:eastAsia="Arial" w:hAnsi="Arial"/>
          <w:sz w:val="23"/>
          <w:szCs w:val="23"/>
          <w:color w:val="auto"/>
        </w:rPr>
      </w:pPr>
    </w:p>
    <w:p>
      <w:pPr>
        <w:ind w:left="440" w:hanging="230"/>
        <w:spacing w:after="0"/>
        <w:tabs>
          <w:tab w:leader="none" w:pos="440" w:val="left"/>
        </w:tabs>
        <w:numPr>
          <w:ilvl w:val="0"/>
          <w:numId w:val="5"/>
        </w:numPr>
        <w:rPr>
          <w:rFonts w:ascii="Arial" w:cs="Arial" w:eastAsia="Arial" w:hAnsi="Arial"/>
          <w:sz w:val="23"/>
          <w:szCs w:val="23"/>
          <w:color w:val="auto"/>
        </w:rPr>
      </w:pPr>
      <w:r>
        <w:rPr>
          <w:rFonts w:ascii="Arial" w:cs="Arial" w:eastAsia="Arial" w:hAnsi="Arial"/>
          <w:sz w:val="23"/>
          <w:szCs w:val="23"/>
          <w:color w:val="auto"/>
        </w:rPr>
        <w:t>Прогноз сохраняется или оценивается по известному значению</w:t>
      </w:r>
      <w:r>
        <w:rPr>
          <w:rFonts w:ascii="Arial" w:cs="Arial" w:eastAsia="Arial" w:hAnsi="Arial"/>
          <w:sz w:val="23"/>
          <w:szCs w:val="23"/>
          <w:color w:val="auto"/>
        </w:rPr>
        <w:t>.</w:t>
      </w:r>
    </w:p>
    <w:p>
      <w:pPr>
        <w:spacing w:after="0" w:line="35" w:lineRule="exact"/>
        <w:rPr>
          <w:rFonts w:ascii="Arial" w:cs="Arial" w:eastAsia="Arial" w:hAnsi="Arial"/>
          <w:sz w:val="23"/>
          <w:szCs w:val="23"/>
          <w:color w:val="auto"/>
        </w:rPr>
      </w:pPr>
    </w:p>
    <w:p>
      <w:pPr>
        <w:ind w:left="440" w:hanging="230"/>
        <w:spacing w:after="0"/>
        <w:tabs>
          <w:tab w:leader="none" w:pos="440" w:val="left"/>
        </w:tabs>
        <w:numPr>
          <w:ilvl w:val="0"/>
          <w:numId w:val="5"/>
        </w:numPr>
        <w:rPr>
          <w:rFonts w:ascii="Arial" w:cs="Arial" w:eastAsia="Arial" w:hAnsi="Arial"/>
          <w:sz w:val="21"/>
          <w:szCs w:val="21"/>
          <w:color w:val="auto"/>
        </w:rPr>
      </w:pPr>
      <w:r>
        <w:rPr>
          <w:rFonts w:ascii="Arial" w:cs="Arial" w:eastAsia="Arial" w:hAnsi="Arial"/>
          <w:sz w:val="21"/>
          <w:szCs w:val="21"/>
          <w:color w:val="auto"/>
        </w:rPr>
        <w:t>В окно для обучения модели добавляется известное референсное значение</w:t>
      </w:r>
      <w:r>
        <w:rPr>
          <w:rFonts w:ascii="Arial" w:cs="Arial" w:eastAsia="Arial" w:hAnsi="Arial"/>
          <w:sz w:val="21"/>
          <w:szCs w:val="21"/>
          <w:color w:val="auto"/>
        </w:rPr>
        <w:t>,</w:t>
      </w:r>
      <w:r>
        <w:rPr>
          <w:rFonts w:ascii="Arial" w:cs="Arial" w:eastAsia="Arial" w:hAnsi="Arial"/>
          <w:sz w:val="21"/>
          <w:szCs w:val="21"/>
          <w:color w:val="auto"/>
        </w:rPr>
        <w:t xml:space="preserve"> и процесс повторяется</w:t>
      </w:r>
    </w:p>
    <w:p>
      <w:pPr>
        <w:spacing w:after="0" w:line="58" w:lineRule="exact"/>
        <w:rPr>
          <w:rFonts w:ascii="Arial" w:cs="Arial" w:eastAsia="Arial" w:hAnsi="Arial"/>
          <w:sz w:val="21"/>
          <w:szCs w:val="21"/>
          <w:color w:val="auto"/>
        </w:rPr>
      </w:pPr>
    </w:p>
    <w:p>
      <w:pPr>
        <w:ind w:left="220"/>
        <w:spacing w:after="0"/>
        <w:rPr>
          <w:rFonts w:ascii="Arial" w:cs="Arial" w:eastAsia="Arial" w:hAnsi="Arial"/>
          <w:sz w:val="21"/>
          <w:szCs w:val="21"/>
          <w:color w:val="auto"/>
        </w:rPr>
      </w:pPr>
      <w:r>
        <w:rPr>
          <w:rFonts w:ascii="Arial" w:cs="Arial" w:eastAsia="Arial" w:hAnsi="Arial"/>
          <w:sz w:val="23"/>
          <w:szCs w:val="23"/>
          <w:color w:val="auto"/>
        </w:rPr>
        <w:t>(</w:t>
      </w:r>
      <w:r>
        <w:rPr>
          <w:rFonts w:ascii="Arial" w:cs="Arial" w:eastAsia="Arial" w:hAnsi="Arial"/>
          <w:sz w:val="23"/>
          <w:szCs w:val="23"/>
          <w:color w:val="auto"/>
        </w:rPr>
        <w:t>шаг</w:t>
      </w:r>
      <w:r>
        <w:rPr>
          <w:rFonts w:ascii="Arial" w:cs="Arial" w:eastAsia="Arial" w:hAnsi="Arial"/>
          <w:sz w:val="23"/>
          <w:szCs w:val="23"/>
          <w:color w:val="auto"/>
        </w:rPr>
        <w:t xml:space="preserve"> 1).</w:t>
      </w:r>
    </w:p>
    <w:p>
      <w:pPr>
        <w:sectPr>
          <w:pgSz w:w="11900" w:h="16838" w:orient="portrait"/>
          <w:cols w:equalWidth="0" w:num="1">
            <w:col w:w="10860"/>
          </w:cols>
          <w:pgMar w:left="520" w:top="243"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3/7</w:t>
      </w:r>
    </w:p>
    <w:p>
      <w:pPr>
        <w:sectPr>
          <w:pgSz w:w="11900" w:h="16838" w:orient="portrait"/>
          <w:cols w:equalWidth="0" w:num="1">
            <w:col w:w="10860"/>
          </w:cols>
          <w:pgMar w:left="520" w:top="243" w:right="519" w:bottom="0" w:gutter="0" w:footer="0" w:header="0"/>
          <w:type w:val="continuous"/>
        </w:sectPr>
      </w:pPr>
    </w:p>
    <w:bookmarkStart w:id="3" w:name="page4"/>
    <w:bookmarkEnd w:id="3"/>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96520</wp:posOffset>
            </wp:positionV>
            <wp:extent cx="6642100" cy="4841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6642100" cy="4841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20"/>
        <w:spacing w:after="0"/>
        <w:rPr>
          <w:sz w:val="20"/>
          <w:szCs w:val="20"/>
          <w:color w:val="auto"/>
        </w:rPr>
      </w:pPr>
      <w:r>
        <w:rPr>
          <w:rFonts w:ascii="Arial" w:cs="Arial" w:eastAsia="Arial" w:hAnsi="Arial"/>
          <w:sz w:val="30"/>
          <w:szCs w:val="30"/>
          <w:b w:val="1"/>
          <w:bCs w:val="1"/>
          <w:color w:val="505050"/>
        </w:rPr>
        <w:t>ГИБРИДНАЯ МОДЕЛЬ ПЛАСТА</w:t>
      </w:r>
    </w:p>
    <w:p>
      <w:pPr>
        <w:spacing w:after="0" w:line="362" w:lineRule="exact"/>
        <w:rPr>
          <w:sz w:val="20"/>
          <w:szCs w:val="20"/>
          <w:color w:val="auto"/>
        </w:rPr>
      </w:pPr>
    </w:p>
    <w:p>
      <w:pPr>
        <w:ind w:left="220" w:right="1100"/>
        <w:spacing w:after="0" w:line="272" w:lineRule="auto"/>
        <w:rPr>
          <w:sz w:val="20"/>
          <w:szCs w:val="20"/>
          <w:color w:val="auto"/>
        </w:rPr>
      </w:pPr>
      <w:r>
        <w:rPr>
          <w:rFonts w:ascii="Arial" w:cs="Arial" w:eastAsia="Arial" w:hAnsi="Arial"/>
          <w:sz w:val="23"/>
          <w:szCs w:val="23"/>
          <w:color w:val="auto"/>
        </w:rPr>
        <w:t>Предлагаемая структура гибридной модели представлена на рис</w:t>
      </w:r>
      <w:r>
        <w:rPr>
          <w:rFonts w:ascii="Arial" w:cs="Arial" w:eastAsia="Arial" w:hAnsi="Arial"/>
          <w:sz w:val="23"/>
          <w:szCs w:val="23"/>
          <w:color w:val="auto"/>
        </w:rPr>
        <w:t>. 2.</w:t>
      </w:r>
      <w:r>
        <w:rPr>
          <w:rFonts w:ascii="Arial" w:cs="Arial" w:eastAsia="Arial" w:hAnsi="Arial"/>
          <w:sz w:val="23"/>
          <w:szCs w:val="23"/>
          <w:color w:val="auto"/>
        </w:rPr>
        <w:t xml:space="preserve"> Гибридная модель включает следующие элементы</w:t>
      </w:r>
      <w:r>
        <w:rPr>
          <w:rFonts w:ascii="Arial" w:cs="Arial" w:eastAsia="Arial" w:hAnsi="Arial"/>
          <w:sz w:val="23"/>
          <w:szCs w:val="23"/>
          <w:color w:val="auto"/>
        </w:rPr>
        <w:t>.</w:t>
      </w:r>
    </w:p>
    <w:p>
      <w:pPr>
        <w:spacing w:after="0" w:line="1" w:lineRule="exact"/>
        <w:rPr>
          <w:sz w:val="20"/>
          <w:szCs w:val="20"/>
          <w:color w:val="auto"/>
        </w:rPr>
      </w:pPr>
    </w:p>
    <w:p>
      <w:pPr>
        <w:ind w:left="220" w:right="260" w:hanging="10"/>
        <w:spacing w:after="0" w:line="298" w:lineRule="auto"/>
        <w:tabs>
          <w:tab w:leader="none" w:pos="451" w:val="left"/>
        </w:tabs>
        <w:numPr>
          <w:ilvl w:val="0"/>
          <w:numId w:val="6"/>
        </w:numPr>
        <w:rPr>
          <w:rFonts w:ascii="Arial" w:cs="Arial" w:eastAsia="Arial" w:hAnsi="Arial"/>
          <w:sz w:val="21"/>
          <w:szCs w:val="21"/>
          <w:color w:val="auto"/>
        </w:rPr>
      </w:pPr>
      <w:r>
        <w:rPr>
          <w:rFonts w:ascii="Arial" w:cs="Arial" w:eastAsia="Arial" w:hAnsi="Arial"/>
          <w:sz w:val="21"/>
          <w:szCs w:val="21"/>
          <w:color w:val="auto"/>
        </w:rPr>
        <w:t xml:space="preserve">Модуль подготовки данных </w:t>
      </w:r>
      <w:r>
        <w:rPr>
          <w:rFonts w:ascii="Arial" w:cs="Arial" w:eastAsia="Arial" w:hAnsi="Arial"/>
          <w:sz w:val="21"/>
          <w:szCs w:val="21"/>
          <w:color w:val="auto"/>
        </w:rPr>
        <w:t>–</w:t>
      </w:r>
      <w:r>
        <w:rPr>
          <w:rFonts w:ascii="Arial" w:cs="Arial" w:eastAsia="Arial" w:hAnsi="Arial"/>
          <w:sz w:val="21"/>
          <w:szCs w:val="21"/>
          <w:color w:val="auto"/>
        </w:rPr>
        <w:t xml:space="preserve"> отвечает за сбор</w:t>
      </w:r>
      <w:r>
        <w:rPr>
          <w:rFonts w:ascii="Arial" w:cs="Arial" w:eastAsia="Arial" w:hAnsi="Arial"/>
          <w:sz w:val="21"/>
          <w:szCs w:val="21"/>
          <w:color w:val="auto"/>
        </w:rPr>
        <w:t>,</w:t>
      </w:r>
      <w:r>
        <w:rPr>
          <w:rFonts w:ascii="Arial" w:cs="Arial" w:eastAsia="Arial" w:hAnsi="Arial"/>
          <w:sz w:val="21"/>
          <w:szCs w:val="21"/>
          <w:color w:val="auto"/>
        </w:rPr>
        <w:t xml:space="preserve"> проверку на согласованность и нормализацию данных по разработке месторождений </w:t>
      </w:r>
      <w:r>
        <w:rPr>
          <w:rFonts w:ascii="Arial" w:cs="Arial" w:eastAsia="Arial" w:hAnsi="Arial"/>
          <w:sz w:val="21"/>
          <w:szCs w:val="21"/>
          <w:color w:val="auto"/>
        </w:rPr>
        <w:t>(</w:t>
      </w:r>
      <w:r>
        <w:rPr>
          <w:rFonts w:ascii="Arial" w:cs="Arial" w:eastAsia="Arial" w:hAnsi="Arial"/>
          <w:sz w:val="21"/>
          <w:szCs w:val="21"/>
          <w:color w:val="auto"/>
        </w:rPr>
        <w:t>добыча</w:t>
      </w:r>
      <w:r>
        <w:rPr>
          <w:rFonts w:ascii="Arial" w:cs="Arial" w:eastAsia="Arial" w:hAnsi="Arial"/>
          <w:sz w:val="21"/>
          <w:szCs w:val="21"/>
          <w:color w:val="auto"/>
        </w:rPr>
        <w:t>,</w:t>
      </w:r>
      <w:r>
        <w:rPr>
          <w:rFonts w:ascii="Arial" w:cs="Arial" w:eastAsia="Arial" w:hAnsi="Arial"/>
          <w:sz w:val="21"/>
          <w:szCs w:val="21"/>
          <w:color w:val="auto"/>
        </w:rPr>
        <w:t xml:space="preserve"> информация по остановкам</w:t>
      </w:r>
      <w:r>
        <w:rPr>
          <w:rFonts w:ascii="Arial" w:cs="Arial" w:eastAsia="Arial" w:hAnsi="Arial"/>
          <w:sz w:val="21"/>
          <w:szCs w:val="21"/>
          <w:color w:val="auto"/>
        </w:rPr>
        <w:t>,</w:t>
      </w:r>
      <w:r>
        <w:rPr>
          <w:rFonts w:ascii="Arial" w:cs="Arial" w:eastAsia="Arial" w:hAnsi="Arial"/>
          <w:sz w:val="21"/>
          <w:szCs w:val="21"/>
          <w:color w:val="auto"/>
        </w:rPr>
        <w:t xml:space="preserve"> ремонтам и ГТМ</w:t>
      </w:r>
      <w:r>
        <w:rPr>
          <w:rFonts w:ascii="Arial" w:cs="Arial" w:eastAsia="Arial" w:hAnsi="Arial"/>
          <w:sz w:val="21"/>
          <w:szCs w:val="21"/>
          <w:color w:val="auto"/>
        </w:rPr>
        <w:t>,</w:t>
      </w:r>
      <w:r>
        <w:rPr>
          <w:rFonts w:ascii="Arial" w:cs="Arial" w:eastAsia="Arial" w:hAnsi="Arial"/>
          <w:sz w:val="21"/>
          <w:szCs w:val="21"/>
          <w:color w:val="auto"/>
        </w:rPr>
        <w:t xml:space="preserve"> скважинным исследованиям и оборудованию</w:t>
      </w:r>
      <w:r>
        <w:rPr>
          <w:rFonts w:ascii="Arial" w:cs="Arial" w:eastAsia="Arial" w:hAnsi="Arial"/>
          <w:sz w:val="21"/>
          <w:szCs w:val="21"/>
          <w:color w:val="auto"/>
        </w:rPr>
        <w:t>)</w:t>
      </w:r>
      <w:r>
        <w:rPr>
          <w:rFonts w:ascii="Arial" w:cs="Arial" w:eastAsia="Arial" w:hAnsi="Arial"/>
          <w:sz w:val="21"/>
          <w:szCs w:val="21"/>
          <w:color w:val="auto"/>
        </w:rPr>
        <w:t xml:space="preserve"> для последующей работы алгоритмов </w:t>
      </w:r>
      <w:r>
        <w:rPr>
          <w:rFonts w:ascii="Arial" w:cs="Arial" w:eastAsia="Arial" w:hAnsi="Arial"/>
          <w:sz w:val="21"/>
          <w:szCs w:val="21"/>
          <w:color w:val="auto"/>
        </w:rPr>
        <w:t>CRM,</w:t>
      </w:r>
      <w:r>
        <w:rPr>
          <w:rFonts w:ascii="Arial" w:cs="Arial" w:eastAsia="Arial" w:hAnsi="Arial"/>
          <w:sz w:val="21"/>
          <w:szCs w:val="21"/>
          <w:color w:val="auto"/>
        </w:rPr>
        <w:t xml:space="preserve"> С</w:t>
      </w:r>
      <w:r>
        <w:rPr>
          <w:rFonts w:ascii="Arial" w:cs="Arial" w:eastAsia="Arial" w:hAnsi="Arial"/>
          <w:sz w:val="21"/>
          <w:szCs w:val="21"/>
          <w:color w:val="auto"/>
        </w:rPr>
        <w:t>RMIP</w:t>
      </w:r>
      <w:r>
        <w:rPr>
          <w:rFonts w:ascii="Arial" w:cs="Arial" w:eastAsia="Arial" w:hAnsi="Arial"/>
          <w:sz w:val="21"/>
          <w:szCs w:val="21"/>
          <w:color w:val="auto"/>
        </w:rPr>
        <w:t xml:space="preserve"> и </w:t>
      </w:r>
      <w:r>
        <w:rPr>
          <w:rFonts w:ascii="Arial" w:cs="Arial" w:eastAsia="Arial" w:hAnsi="Arial"/>
          <w:sz w:val="21"/>
          <w:szCs w:val="21"/>
          <w:color w:val="auto"/>
        </w:rPr>
        <w:t>OmegaCRM.</w:t>
      </w:r>
    </w:p>
    <w:p>
      <w:pPr>
        <w:jc w:val="both"/>
        <w:ind w:left="220" w:right="820" w:hanging="10"/>
        <w:spacing w:after="0" w:line="313" w:lineRule="auto"/>
        <w:tabs>
          <w:tab w:leader="none" w:pos="451"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Модели </w:t>
      </w:r>
      <w:r>
        <w:rPr>
          <w:rFonts w:ascii="Arial" w:cs="Arial" w:eastAsia="Arial" w:hAnsi="Arial"/>
          <w:sz w:val="20"/>
          <w:szCs w:val="20"/>
          <w:color w:val="auto"/>
        </w:rPr>
        <w:t>CRM,</w:t>
      </w:r>
      <w:r>
        <w:rPr>
          <w:rFonts w:ascii="Arial" w:cs="Arial" w:eastAsia="Arial" w:hAnsi="Arial"/>
          <w:sz w:val="20"/>
          <w:szCs w:val="20"/>
          <w:color w:val="auto"/>
        </w:rPr>
        <w:t xml:space="preserve"> С</w:t>
      </w:r>
      <w:r>
        <w:rPr>
          <w:rFonts w:ascii="Arial" w:cs="Arial" w:eastAsia="Arial" w:hAnsi="Arial"/>
          <w:sz w:val="20"/>
          <w:szCs w:val="20"/>
          <w:color w:val="auto"/>
        </w:rPr>
        <w:t>RMIP</w:t>
      </w:r>
      <w:r>
        <w:rPr>
          <w:rFonts w:ascii="Arial" w:cs="Arial" w:eastAsia="Arial" w:hAnsi="Arial"/>
          <w:sz w:val="20"/>
          <w:szCs w:val="20"/>
          <w:color w:val="auto"/>
        </w:rPr>
        <w:t xml:space="preserve"> и </w:t>
      </w:r>
      <w:r>
        <w:rPr>
          <w:rFonts w:ascii="Arial" w:cs="Arial" w:eastAsia="Arial" w:hAnsi="Arial"/>
          <w:sz w:val="20"/>
          <w:szCs w:val="20"/>
          <w:color w:val="auto"/>
        </w:rPr>
        <w:t>OmegaCRM –</w:t>
      </w:r>
      <w:r>
        <w:rPr>
          <w:rFonts w:ascii="Arial" w:cs="Arial" w:eastAsia="Arial" w:hAnsi="Arial"/>
          <w:sz w:val="20"/>
          <w:szCs w:val="20"/>
          <w:color w:val="auto"/>
        </w:rPr>
        <w:t xml:space="preserve"> проводят настройку внутренних параметров</w:t>
      </w:r>
      <w:r>
        <w:rPr>
          <w:rFonts w:ascii="Arial" w:cs="Arial" w:eastAsia="Arial" w:hAnsi="Arial"/>
          <w:sz w:val="20"/>
          <w:szCs w:val="20"/>
          <w:color w:val="auto"/>
        </w:rPr>
        <w:t>,</w:t>
      </w:r>
      <w:r>
        <w:rPr>
          <w:rFonts w:ascii="Arial" w:cs="Arial" w:eastAsia="Arial" w:hAnsi="Arial"/>
          <w:sz w:val="20"/>
          <w:szCs w:val="20"/>
          <w:color w:val="auto"/>
        </w:rPr>
        <w:t xml:space="preserve"> адаптируясь к истории добычи жидкости</w:t>
      </w:r>
      <w:r>
        <w:rPr>
          <w:rFonts w:ascii="Arial" w:cs="Arial" w:eastAsia="Arial" w:hAnsi="Arial"/>
          <w:sz w:val="20"/>
          <w:szCs w:val="20"/>
          <w:color w:val="auto"/>
        </w:rPr>
        <w:t>.</w:t>
      </w:r>
      <w:r>
        <w:rPr>
          <w:rFonts w:ascii="Arial" w:cs="Arial" w:eastAsia="Arial" w:hAnsi="Arial"/>
          <w:sz w:val="20"/>
          <w:szCs w:val="20"/>
          <w:color w:val="auto"/>
        </w:rPr>
        <w:t xml:space="preserve"> В результате настройки моделей пользователь получает прогноз дебита жидкости на требуемый период и коэффициенты интерференции скважин по каждой модели</w:t>
      </w:r>
      <w:r>
        <w:rPr>
          <w:rFonts w:ascii="Arial" w:cs="Arial" w:eastAsia="Arial" w:hAnsi="Arial"/>
          <w:sz w:val="20"/>
          <w:szCs w:val="20"/>
          <w:color w:val="auto"/>
        </w:rPr>
        <w:t>.</w:t>
      </w:r>
    </w:p>
    <w:p>
      <w:pPr>
        <w:ind w:left="220" w:right="260" w:hanging="10"/>
        <w:spacing w:after="0" w:line="272" w:lineRule="auto"/>
        <w:tabs>
          <w:tab w:leader="none" w:pos="451" w:val="left"/>
        </w:tabs>
        <w:numPr>
          <w:ilvl w:val="0"/>
          <w:numId w:val="6"/>
        </w:numPr>
        <w:rPr>
          <w:rFonts w:ascii="Arial" w:cs="Arial" w:eastAsia="Arial" w:hAnsi="Arial"/>
          <w:sz w:val="23"/>
          <w:szCs w:val="23"/>
          <w:color w:val="auto"/>
        </w:rPr>
      </w:pPr>
      <w:r>
        <w:rPr>
          <w:rFonts w:ascii="Arial" w:cs="Arial" w:eastAsia="Arial" w:hAnsi="Arial"/>
          <w:sz w:val="23"/>
          <w:szCs w:val="23"/>
          <w:color w:val="auto"/>
        </w:rPr>
        <w:t xml:space="preserve">Модуль подготовки данных для нейронной сети </w:t>
      </w:r>
      <w:r>
        <w:rPr>
          <w:rFonts w:ascii="Arial" w:cs="Arial" w:eastAsia="Arial" w:hAnsi="Arial"/>
          <w:sz w:val="23"/>
          <w:szCs w:val="23"/>
          <w:color w:val="auto"/>
        </w:rPr>
        <w:t>LSTM –</w:t>
      </w:r>
      <w:r>
        <w:rPr>
          <w:rFonts w:ascii="Arial" w:cs="Arial" w:eastAsia="Arial" w:hAnsi="Arial"/>
          <w:sz w:val="23"/>
          <w:szCs w:val="23"/>
          <w:color w:val="auto"/>
        </w:rPr>
        <w:t xml:space="preserve"> осуществляет объединение прогноза моделей </w:t>
      </w:r>
      <w:r>
        <w:rPr>
          <w:rFonts w:ascii="Arial" w:cs="Arial" w:eastAsia="Arial" w:hAnsi="Arial"/>
          <w:sz w:val="23"/>
          <w:szCs w:val="23"/>
          <w:color w:val="auto"/>
        </w:rPr>
        <w:t xml:space="preserve">CRM, </w:t>
      </w:r>
      <w:r>
        <w:rPr>
          <w:rFonts w:ascii="Arial" w:cs="Arial" w:eastAsia="Arial" w:hAnsi="Arial"/>
          <w:sz w:val="23"/>
          <w:szCs w:val="23"/>
          <w:color w:val="auto"/>
        </w:rPr>
        <w:t>С</w:t>
      </w:r>
      <w:r>
        <w:rPr>
          <w:rFonts w:ascii="Arial" w:cs="Arial" w:eastAsia="Arial" w:hAnsi="Arial"/>
          <w:sz w:val="23"/>
          <w:szCs w:val="23"/>
          <w:color w:val="auto"/>
        </w:rPr>
        <w:t xml:space="preserve">RMIP </w:t>
      </w:r>
      <w:r>
        <w:rPr>
          <w:rFonts w:ascii="Arial" w:cs="Arial" w:eastAsia="Arial" w:hAnsi="Arial"/>
          <w:sz w:val="23"/>
          <w:szCs w:val="23"/>
          <w:color w:val="auto"/>
        </w:rPr>
        <w:t>и</w:t>
      </w:r>
      <w:r>
        <w:rPr>
          <w:rFonts w:ascii="Arial" w:cs="Arial" w:eastAsia="Arial" w:hAnsi="Arial"/>
          <w:sz w:val="23"/>
          <w:szCs w:val="23"/>
          <w:color w:val="auto"/>
        </w:rPr>
        <w:t xml:space="preserve"> OmegaCRM, </w:t>
      </w:r>
      <w:r>
        <w:rPr>
          <w:rFonts w:ascii="Arial" w:cs="Arial" w:eastAsia="Arial" w:hAnsi="Arial"/>
          <w:sz w:val="23"/>
          <w:szCs w:val="23"/>
          <w:color w:val="auto"/>
        </w:rPr>
        <w:t>а также дополнительной информации об эксплуатации скважин</w:t>
      </w:r>
      <w:r>
        <w:rPr>
          <w:rFonts w:ascii="Arial" w:cs="Arial" w:eastAsia="Arial" w:hAnsi="Arial"/>
          <w:sz w:val="23"/>
          <w:szCs w:val="23"/>
          <w:color w:val="auto"/>
        </w:rPr>
        <w:t xml:space="preserve">, </w:t>
      </w:r>
      <w:r>
        <w:rPr>
          <w:rFonts w:ascii="Arial" w:cs="Arial" w:eastAsia="Arial" w:hAnsi="Arial"/>
          <w:sz w:val="23"/>
          <w:szCs w:val="23"/>
          <w:color w:val="auto"/>
        </w:rPr>
        <w:t>полученной</w:t>
      </w:r>
      <w:r>
        <w:rPr>
          <w:rFonts w:ascii="Arial" w:cs="Arial" w:eastAsia="Arial" w:hAnsi="Arial"/>
          <w:sz w:val="23"/>
          <w:szCs w:val="23"/>
          <w:color w:val="auto"/>
        </w:rPr>
        <w:t xml:space="preserve"> </w:t>
      </w:r>
      <w:r>
        <w:rPr>
          <w:rFonts w:ascii="Arial" w:cs="Arial" w:eastAsia="Arial" w:hAnsi="Arial"/>
          <w:sz w:val="23"/>
          <w:szCs w:val="23"/>
          <w:color w:val="auto"/>
        </w:rPr>
        <w:t xml:space="preserve">от модуля подготовки данных </w:t>
      </w:r>
      <w:r>
        <w:rPr>
          <w:rFonts w:ascii="Arial" w:cs="Arial" w:eastAsia="Arial" w:hAnsi="Arial"/>
          <w:sz w:val="23"/>
          <w:szCs w:val="23"/>
          <w:color w:val="auto"/>
        </w:rPr>
        <w:t>(</w:t>
      </w:r>
      <w:r>
        <w:rPr>
          <w:rFonts w:ascii="Arial" w:cs="Arial" w:eastAsia="Arial" w:hAnsi="Arial"/>
          <w:sz w:val="23"/>
          <w:szCs w:val="23"/>
          <w:color w:val="auto"/>
        </w:rPr>
        <w:t>п</w:t>
      </w:r>
      <w:r>
        <w:rPr>
          <w:rFonts w:ascii="Arial" w:cs="Arial" w:eastAsia="Arial" w:hAnsi="Arial"/>
          <w:sz w:val="23"/>
          <w:szCs w:val="23"/>
          <w:color w:val="auto"/>
        </w:rPr>
        <w:t>. 1),</w:t>
      </w:r>
      <w:r>
        <w:rPr>
          <w:rFonts w:ascii="Arial" w:cs="Arial" w:eastAsia="Arial" w:hAnsi="Arial"/>
          <w:sz w:val="23"/>
          <w:szCs w:val="23"/>
          <w:color w:val="auto"/>
        </w:rPr>
        <w:t xml:space="preserve"> такой как характеристики насоса</w:t>
      </w:r>
      <w:r>
        <w:rPr>
          <w:rFonts w:ascii="Arial" w:cs="Arial" w:eastAsia="Arial" w:hAnsi="Arial"/>
          <w:sz w:val="23"/>
          <w:szCs w:val="23"/>
          <w:color w:val="auto"/>
        </w:rPr>
        <w:t>,</w:t>
      </w:r>
      <w:r>
        <w:rPr>
          <w:rFonts w:ascii="Arial" w:cs="Arial" w:eastAsia="Arial" w:hAnsi="Arial"/>
          <w:sz w:val="23"/>
          <w:szCs w:val="23"/>
          <w:color w:val="auto"/>
        </w:rPr>
        <w:t xml:space="preserve"> время работы скважин</w:t>
      </w:r>
      <w:r>
        <w:rPr>
          <w:rFonts w:ascii="Arial" w:cs="Arial" w:eastAsia="Arial" w:hAnsi="Arial"/>
          <w:sz w:val="23"/>
          <w:szCs w:val="23"/>
          <w:color w:val="auto"/>
        </w:rPr>
        <w:t>,</w:t>
      </w:r>
      <w:r>
        <w:rPr>
          <w:rFonts w:ascii="Arial" w:cs="Arial" w:eastAsia="Arial" w:hAnsi="Arial"/>
          <w:sz w:val="23"/>
          <w:szCs w:val="23"/>
          <w:color w:val="auto"/>
        </w:rPr>
        <w:t xml:space="preserve"> газовый фактор и др</w:t>
      </w:r>
      <w:r>
        <w:rPr>
          <w:rFonts w:ascii="Arial" w:cs="Arial" w:eastAsia="Arial" w:hAnsi="Arial"/>
          <w:sz w:val="23"/>
          <w:szCs w:val="23"/>
          <w:color w:val="auto"/>
        </w:rPr>
        <w:t>.</w:t>
      </w:r>
    </w:p>
    <w:p>
      <w:pPr>
        <w:spacing w:after="0" w:line="1" w:lineRule="exact"/>
        <w:rPr>
          <w:rFonts w:ascii="Arial" w:cs="Arial" w:eastAsia="Arial" w:hAnsi="Arial"/>
          <w:sz w:val="23"/>
          <w:szCs w:val="23"/>
          <w:color w:val="auto"/>
        </w:rPr>
      </w:pPr>
    </w:p>
    <w:p>
      <w:pPr>
        <w:ind w:left="220" w:right="680" w:hanging="10"/>
        <w:spacing w:after="0" w:line="329" w:lineRule="auto"/>
        <w:tabs>
          <w:tab w:leader="none" w:pos="451"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Нейронная сеть </w:t>
      </w:r>
      <w:r>
        <w:rPr>
          <w:rFonts w:ascii="Arial" w:cs="Arial" w:eastAsia="Arial" w:hAnsi="Arial"/>
          <w:sz w:val="20"/>
          <w:szCs w:val="20"/>
          <w:color w:val="auto"/>
        </w:rPr>
        <w:t>LSTM –</w:t>
      </w:r>
      <w:r>
        <w:rPr>
          <w:rFonts w:ascii="Arial" w:cs="Arial" w:eastAsia="Arial" w:hAnsi="Arial"/>
          <w:sz w:val="20"/>
          <w:szCs w:val="20"/>
          <w:color w:val="auto"/>
        </w:rPr>
        <w:t xml:space="preserve"> настраивается на исторические данные и выполняет прогноз дебитов жидкости и нефти</w:t>
      </w:r>
      <w:r>
        <w:rPr>
          <w:rFonts w:ascii="Arial" w:cs="Arial" w:eastAsia="Arial" w:hAnsi="Arial"/>
          <w:sz w:val="20"/>
          <w:szCs w:val="20"/>
          <w:color w:val="auto"/>
        </w:rPr>
        <w:t>,</w:t>
      </w:r>
      <w:r>
        <w:rPr>
          <w:rFonts w:ascii="Arial" w:cs="Arial" w:eastAsia="Arial" w:hAnsi="Arial"/>
          <w:sz w:val="20"/>
          <w:szCs w:val="20"/>
          <w:color w:val="auto"/>
        </w:rPr>
        <w:t xml:space="preserve"> газового фактора</w:t>
      </w:r>
      <w:r>
        <w:rPr>
          <w:rFonts w:ascii="Arial" w:cs="Arial" w:eastAsia="Arial" w:hAnsi="Arial"/>
          <w:sz w:val="20"/>
          <w:szCs w:val="20"/>
          <w:color w:val="auto"/>
        </w:rPr>
        <w:t>,</w:t>
      </w:r>
      <w:r>
        <w:rPr>
          <w:rFonts w:ascii="Arial" w:cs="Arial" w:eastAsia="Arial" w:hAnsi="Arial"/>
          <w:sz w:val="20"/>
          <w:szCs w:val="20"/>
          <w:color w:val="auto"/>
        </w:rPr>
        <w:t xml:space="preserve"> а также пластового давления</w:t>
      </w:r>
      <w:r>
        <w:rPr>
          <w:rFonts w:ascii="Arial" w:cs="Arial" w:eastAsia="Arial" w:hAnsi="Arial"/>
          <w:sz w:val="20"/>
          <w:szCs w:val="20"/>
          <w:color w:val="auto"/>
        </w:rPr>
        <w:t>.</w:t>
      </w:r>
      <w:r>
        <w:rPr>
          <w:rFonts w:ascii="Arial" w:cs="Arial" w:eastAsia="Arial" w:hAnsi="Arial"/>
          <w:sz w:val="20"/>
          <w:szCs w:val="20"/>
          <w:color w:val="auto"/>
        </w:rPr>
        <w:t xml:space="preserve"> Данная конфигурация не требует участия пользователя в процессе подготовки данных и настройки моделей</w:t>
      </w:r>
      <w:r>
        <w:rPr>
          <w:rFonts w:ascii="Arial" w:cs="Arial" w:eastAsia="Arial" w:hAnsi="Arial"/>
          <w:sz w:val="20"/>
          <w:szCs w:val="20"/>
          <w:color w:val="auto"/>
        </w:rPr>
        <w:t>.</w:t>
      </w:r>
      <w:r>
        <w:rPr>
          <w:rFonts w:ascii="Arial" w:cs="Arial" w:eastAsia="Arial" w:hAnsi="Arial"/>
          <w:sz w:val="20"/>
          <w:szCs w:val="20"/>
          <w:color w:val="auto"/>
        </w:rPr>
        <w:t xml:space="preserve"> Пользователь только определяет моделируемый объект</w:t>
      </w:r>
      <w:r>
        <w:rPr>
          <w:rFonts w:ascii="Arial" w:cs="Arial" w:eastAsia="Arial" w:hAnsi="Arial"/>
          <w:sz w:val="20"/>
          <w:szCs w:val="20"/>
          <w:color w:val="auto"/>
        </w:rPr>
        <w:t>,</w:t>
      </w:r>
      <w:r>
        <w:rPr>
          <w:rFonts w:ascii="Arial" w:cs="Arial" w:eastAsia="Arial" w:hAnsi="Arial"/>
          <w:sz w:val="20"/>
          <w:szCs w:val="20"/>
          <w:color w:val="auto"/>
        </w:rPr>
        <w:t xml:space="preserve"> настраивает гиперпараметры </w:t>
      </w:r>
      <w:r>
        <w:rPr>
          <w:rFonts w:ascii="Arial" w:cs="Arial" w:eastAsia="Arial" w:hAnsi="Arial"/>
          <w:sz w:val="20"/>
          <w:szCs w:val="20"/>
          <w:color w:val="auto"/>
        </w:rPr>
        <w:t>(</w:t>
      </w:r>
      <w:r>
        <w:rPr>
          <w:rFonts w:ascii="Arial" w:cs="Arial" w:eastAsia="Arial" w:hAnsi="Arial"/>
          <w:sz w:val="20"/>
          <w:szCs w:val="20"/>
          <w:color w:val="auto"/>
        </w:rPr>
        <w:t>время адаптации и прогноза</w:t>
      </w:r>
      <w:r>
        <w:rPr>
          <w:rFonts w:ascii="Arial" w:cs="Arial" w:eastAsia="Arial" w:hAnsi="Arial"/>
          <w:sz w:val="20"/>
          <w:szCs w:val="20"/>
          <w:color w:val="auto"/>
        </w:rPr>
        <w:t>,</w:t>
      </w:r>
      <w:r>
        <w:rPr>
          <w:rFonts w:ascii="Arial" w:cs="Arial" w:eastAsia="Arial" w:hAnsi="Arial"/>
          <w:sz w:val="20"/>
          <w:szCs w:val="20"/>
          <w:color w:val="auto"/>
        </w:rPr>
        <w:t xml:space="preserve"> управление скважинами на прогнозный период</w:t>
      </w:r>
      <w:r>
        <w:rPr>
          <w:rFonts w:ascii="Arial" w:cs="Arial" w:eastAsia="Arial" w:hAnsi="Arial"/>
          <w:sz w:val="20"/>
          <w:szCs w:val="20"/>
          <w:color w:val="auto"/>
        </w:rPr>
        <w:t>)</w:t>
      </w:r>
      <w:r>
        <w:rPr>
          <w:rFonts w:ascii="Arial" w:cs="Arial" w:eastAsia="Arial" w:hAnsi="Arial"/>
          <w:sz w:val="20"/>
          <w:szCs w:val="20"/>
          <w:color w:val="auto"/>
        </w:rPr>
        <w:t xml:space="preserve"> и экспертно проверяет корректность результатов</w:t>
      </w:r>
      <w:r>
        <w:rPr>
          <w:rFonts w:ascii="Arial" w:cs="Arial" w:eastAsia="Arial" w:hAnsi="Arial"/>
          <w:sz w:val="20"/>
          <w:szCs w:val="20"/>
          <w:color w:val="auto"/>
        </w:rPr>
        <w:t>.</w:t>
      </w:r>
    </w:p>
    <w:p>
      <w:pPr>
        <w:spacing w:after="0" w:line="223" w:lineRule="exact"/>
        <w:rPr>
          <w:sz w:val="20"/>
          <w:szCs w:val="20"/>
          <w:color w:val="auto"/>
        </w:rPr>
      </w:pPr>
    </w:p>
    <w:p>
      <w:pPr>
        <w:ind w:left="220"/>
        <w:spacing w:after="0"/>
        <w:rPr>
          <w:sz w:val="20"/>
          <w:szCs w:val="20"/>
          <w:color w:val="auto"/>
        </w:rPr>
      </w:pPr>
      <w:r>
        <w:rPr>
          <w:rFonts w:ascii="Arial" w:cs="Arial" w:eastAsia="Arial" w:hAnsi="Arial"/>
          <w:sz w:val="30"/>
          <w:szCs w:val="30"/>
          <w:b w:val="1"/>
          <w:bCs w:val="1"/>
          <w:color w:val="505050"/>
        </w:rPr>
        <w:t>ПОЛУЧЕННЫЕ РЕЗУЛЬТАТЫ</w:t>
      </w:r>
    </w:p>
    <w:p>
      <w:pPr>
        <w:spacing w:after="0" w:line="362" w:lineRule="exact"/>
        <w:rPr>
          <w:sz w:val="20"/>
          <w:szCs w:val="20"/>
          <w:color w:val="auto"/>
        </w:rPr>
      </w:pPr>
    </w:p>
    <w:p>
      <w:pPr>
        <w:ind w:left="220" w:right="240"/>
        <w:spacing w:after="0" w:line="313" w:lineRule="auto"/>
        <w:rPr>
          <w:sz w:val="20"/>
          <w:szCs w:val="20"/>
          <w:color w:val="auto"/>
        </w:rPr>
      </w:pPr>
      <w:r>
        <w:rPr>
          <w:rFonts w:ascii="Arial" w:cs="Arial" w:eastAsia="Arial" w:hAnsi="Arial"/>
          <w:sz w:val="20"/>
          <w:szCs w:val="20"/>
          <w:color w:val="auto"/>
        </w:rPr>
        <w:t xml:space="preserve">Предложенный подход был протестирован на нескольких объектах компании </w:t>
      </w:r>
      <w:r>
        <w:rPr>
          <w:rFonts w:ascii="Arial" w:cs="Arial" w:eastAsia="Arial" w:hAnsi="Arial"/>
          <w:sz w:val="20"/>
          <w:szCs w:val="20"/>
          <w:color w:val="auto"/>
        </w:rPr>
        <w:t>«</w:t>
      </w:r>
      <w:r>
        <w:rPr>
          <w:rFonts w:ascii="Arial" w:cs="Arial" w:eastAsia="Arial" w:hAnsi="Arial"/>
          <w:sz w:val="20"/>
          <w:szCs w:val="20"/>
          <w:color w:val="auto"/>
        </w:rPr>
        <w:t>Газпром нефть</w:t>
      </w:r>
      <w:r>
        <w:rPr>
          <w:rFonts w:ascii="Arial" w:cs="Arial" w:eastAsia="Arial" w:hAnsi="Arial"/>
          <w:sz w:val="20"/>
          <w:szCs w:val="20"/>
          <w:color w:val="auto"/>
        </w:rPr>
        <w:t>».</w:t>
      </w:r>
      <w:r>
        <w:rPr>
          <w:rFonts w:ascii="Arial" w:cs="Arial" w:eastAsia="Arial" w:hAnsi="Arial"/>
          <w:sz w:val="20"/>
          <w:szCs w:val="20"/>
          <w:color w:val="auto"/>
        </w:rPr>
        <w:t xml:space="preserve"> На рис</w:t>
      </w:r>
      <w:r>
        <w:rPr>
          <w:rFonts w:ascii="Arial" w:cs="Arial" w:eastAsia="Arial" w:hAnsi="Arial"/>
          <w:sz w:val="20"/>
          <w:szCs w:val="20"/>
          <w:color w:val="auto"/>
        </w:rPr>
        <w:t>. 3</w:t>
      </w:r>
      <w:r>
        <w:rPr>
          <w:rFonts w:ascii="Arial" w:cs="Arial" w:eastAsia="Arial" w:hAnsi="Arial"/>
          <w:sz w:val="20"/>
          <w:szCs w:val="20"/>
          <w:color w:val="auto"/>
        </w:rPr>
        <w:t xml:space="preserve"> представлены результаты моделирования добычи нефти за </w:t>
      </w:r>
      <w:r>
        <w:rPr>
          <w:rFonts w:ascii="Arial" w:cs="Arial" w:eastAsia="Arial" w:hAnsi="Arial"/>
          <w:sz w:val="20"/>
          <w:szCs w:val="20"/>
          <w:color w:val="auto"/>
        </w:rPr>
        <w:t>90</w:t>
      </w:r>
      <w:r>
        <w:rPr>
          <w:rFonts w:ascii="Arial" w:cs="Arial" w:eastAsia="Arial" w:hAnsi="Arial"/>
          <w:sz w:val="20"/>
          <w:szCs w:val="20"/>
          <w:color w:val="auto"/>
        </w:rPr>
        <w:t xml:space="preserve"> дней на месторождениях </w:t>
      </w:r>
      <w:r>
        <w:rPr>
          <w:rFonts w:ascii="Arial" w:cs="Arial" w:eastAsia="Arial" w:hAnsi="Arial"/>
          <w:sz w:val="20"/>
          <w:szCs w:val="20"/>
          <w:color w:val="auto"/>
        </w:rPr>
        <w:t>X</w:t>
      </w:r>
      <w:r>
        <w:rPr>
          <w:rFonts w:ascii="Arial" w:cs="Arial" w:eastAsia="Arial" w:hAnsi="Arial"/>
          <w:sz w:val="20"/>
          <w:szCs w:val="20"/>
          <w:color w:val="auto"/>
        </w:rPr>
        <w:t xml:space="preserve"> и </w:t>
      </w:r>
      <w:r>
        <w:rPr>
          <w:rFonts w:ascii="Arial" w:cs="Arial" w:eastAsia="Arial" w:hAnsi="Arial"/>
          <w:sz w:val="20"/>
          <w:szCs w:val="20"/>
          <w:color w:val="auto"/>
        </w:rPr>
        <w:t>Y,</w:t>
      </w:r>
      <w:r>
        <w:rPr>
          <w:rFonts w:ascii="Arial" w:cs="Arial" w:eastAsia="Arial" w:hAnsi="Arial"/>
          <w:sz w:val="20"/>
          <w:szCs w:val="20"/>
          <w:color w:val="auto"/>
        </w:rPr>
        <w:t xml:space="preserve"> на рис</w:t>
      </w:r>
      <w:r>
        <w:rPr>
          <w:rFonts w:ascii="Arial" w:cs="Arial" w:eastAsia="Arial" w:hAnsi="Arial"/>
          <w:sz w:val="20"/>
          <w:szCs w:val="20"/>
          <w:color w:val="auto"/>
        </w:rPr>
        <w:t>. 4.</w:t>
      </w:r>
    </w:p>
    <w:p>
      <w:pPr>
        <w:ind w:left="220"/>
        <w:spacing w:after="0"/>
        <w:rPr>
          <w:sz w:val="20"/>
          <w:szCs w:val="20"/>
          <w:color w:val="auto"/>
        </w:rPr>
      </w:pPr>
      <w:r>
        <w:rPr>
          <w:rFonts w:ascii="Arial" w:cs="Arial" w:eastAsia="Arial" w:hAnsi="Arial"/>
          <w:sz w:val="23"/>
          <w:szCs w:val="23"/>
          <w:color w:val="auto"/>
        </w:rPr>
        <w:t xml:space="preserve">– </w:t>
      </w:r>
      <w:r>
        <w:rPr>
          <w:rFonts w:ascii="Arial" w:cs="Arial" w:eastAsia="Arial" w:hAnsi="Arial"/>
          <w:sz w:val="23"/>
          <w:szCs w:val="23"/>
          <w:color w:val="auto"/>
        </w:rPr>
        <w:t>результаты поскважиного прогноза на примере двух скважин</w:t>
      </w:r>
      <w:r>
        <w:rPr>
          <w:rFonts w:ascii="Arial" w:cs="Arial" w:eastAsia="Arial" w:hAnsi="Arial"/>
          <w:sz w:val="23"/>
          <w:szCs w:val="23"/>
          <w:color w:val="auto"/>
        </w:rPr>
        <w:t>.</w:t>
      </w:r>
    </w:p>
    <w:p>
      <w:pPr>
        <w:sectPr>
          <w:pgSz w:w="11900" w:h="16838" w:orient="portrait"/>
          <w:cols w:equalWidth="0" w:num="1">
            <w:col w:w="10860"/>
          </w:cols>
          <w:pgMar w:left="520" w:top="243" w:right="519" w:bottom="0" w:gutter="0" w:footer="0" w:header="0"/>
        </w:sectPr>
      </w:pPr>
    </w:p>
    <w:p>
      <w:pPr>
        <w:spacing w:after="0" w:line="133"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4/7</w:t>
      </w:r>
    </w:p>
    <w:p>
      <w:pPr>
        <w:sectPr>
          <w:pgSz w:w="11900" w:h="16838" w:orient="portrait"/>
          <w:cols w:equalWidth="0" w:num="1">
            <w:col w:w="10860"/>
          </w:cols>
          <w:pgMar w:left="520" w:top="243" w:right="519" w:bottom="0" w:gutter="0" w:footer="0" w:header="0"/>
          <w:type w:val="continuous"/>
        </w:sectPr>
      </w:pPr>
    </w:p>
    <w:bookmarkStart w:id="4" w:name="page5"/>
    <w:bookmarkEnd w:id="4"/>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ectPr>
          <w:pgSz w:w="11900" w:h="16838" w:orient="portrait"/>
          <w:cols w:equalWidth="0" w:num="1">
            <w:col w:w="10860"/>
          </w:cols>
          <w:pgMar w:left="520" w:top="243" w:right="519" w:bottom="0" w:gutter="0" w:footer="0" w:header="0"/>
        </w:sectPr>
      </w:pPr>
    </w:p>
    <w:p>
      <w:pPr>
        <w:spacing w:after="0" w:line="148" w:lineRule="exact"/>
        <w:rPr>
          <w:sz w:val="20"/>
          <w:szCs w:val="20"/>
          <w:color w:val="auto"/>
        </w:rPr>
      </w:pPr>
    </w:p>
    <w:p>
      <w:pPr>
        <w:ind w:left="220"/>
        <w:spacing w:after="0"/>
        <w:rPr>
          <w:sz w:val="20"/>
          <w:szCs w:val="20"/>
          <w:color w:val="auto"/>
        </w:rPr>
      </w:pPr>
      <w:r>
        <w:rPr>
          <w:rFonts w:ascii="Arial" w:cs="Arial" w:eastAsia="Arial" w:hAnsi="Arial"/>
          <w:sz w:val="21"/>
          <w:szCs w:val="21"/>
          <w:color w:val="auto"/>
        </w:rPr>
        <w:t>Исходя из полученных данных можно сделать вывод</w:t>
      </w:r>
      <w:r>
        <w:rPr>
          <w:rFonts w:ascii="Arial" w:cs="Arial" w:eastAsia="Arial" w:hAnsi="Arial"/>
          <w:sz w:val="21"/>
          <w:szCs w:val="21"/>
          <w:color w:val="auto"/>
        </w:rPr>
        <w:t>,</w:t>
      </w:r>
      <w:r>
        <w:rPr>
          <w:rFonts w:ascii="Arial" w:cs="Arial" w:eastAsia="Arial" w:hAnsi="Arial"/>
          <w:sz w:val="21"/>
          <w:szCs w:val="21"/>
          <w:color w:val="auto"/>
        </w:rPr>
        <w:t xml:space="preserve"> что качество поскважиного прогноза гибридной</w:t>
      </w:r>
    </w:p>
    <w:p>
      <w:pPr>
        <w:spacing w:after="0" w:line="59" w:lineRule="exact"/>
        <w:rPr>
          <w:sz w:val="20"/>
          <w:szCs w:val="20"/>
          <w:color w:val="auto"/>
        </w:rPr>
      </w:pPr>
    </w:p>
    <w:p>
      <w:pPr>
        <w:ind w:left="220"/>
        <w:spacing w:after="0"/>
        <w:rPr>
          <w:sz w:val="20"/>
          <w:szCs w:val="20"/>
          <w:color w:val="auto"/>
        </w:rPr>
      </w:pPr>
      <w:r>
        <w:rPr>
          <w:rFonts w:ascii="Arial" w:cs="Arial" w:eastAsia="Arial" w:hAnsi="Arial"/>
          <w:sz w:val="21"/>
          <w:szCs w:val="21"/>
          <w:color w:val="auto"/>
        </w:rPr>
        <w:t xml:space="preserve">модели пласта существенно превышает качество прогноза упрощенных моделей </w:t>
      </w:r>
      <w:r>
        <w:rPr>
          <w:rFonts w:ascii="Arial" w:cs="Arial" w:eastAsia="Arial" w:hAnsi="Arial"/>
          <w:sz w:val="21"/>
          <w:szCs w:val="21"/>
          <w:color w:val="auto"/>
        </w:rPr>
        <w:t>(CRM</w:t>
      </w:r>
      <w:r>
        <w:rPr>
          <w:rFonts w:ascii="Arial" w:cs="Arial" w:eastAsia="Arial" w:hAnsi="Arial"/>
          <w:sz w:val="21"/>
          <w:szCs w:val="21"/>
          <w:color w:val="auto"/>
        </w:rPr>
        <w:t xml:space="preserve"> и С</w:t>
      </w:r>
      <w:r>
        <w:rPr>
          <w:rFonts w:ascii="Arial" w:cs="Arial" w:eastAsia="Arial" w:hAnsi="Arial"/>
          <w:sz w:val="21"/>
          <w:szCs w:val="21"/>
          <w:color w:val="auto"/>
        </w:rPr>
        <w:t>RMIP).</w:t>
      </w:r>
    </w:p>
    <w:p>
      <w:pPr>
        <w:spacing w:after="0" w:line="59" w:lineRule="exact"/>
        <w:rPr>
          <w:sz w:val="20"/>
          <w:szCs w:val="20"/>
          <w:color w:val="auto"/>
        </w:rPr>
      </w:pPr>
    </w:p>
    <w:p>
      <w:pPr>
        <w:ind w:left="220"/>
        <w:spacing w:after="0"/>
        <w:rPr>
          <w:sz w:val="20"/>
          <w:szCs w:val="20"/>
          <w:color w:val="auto"/>
        </w:rPr>
      </w:pPr>
      <w:r>
        <w:rPr>
          <w:rFonts w:ascii="Arial" w:cs="Arial" w:eastAsia="Arial" w:hAnsi="Arial"/>
          <w:sz w:val="21"/>
          <w:szCs w:val="21"/>
          <w:color w:val="auto"/>
        </w:rPr>
        <w:t>Предложенная методика применения гибридной модели дает возможность получать решение</w:t>
      </w:r>
    </w:p>
    <w:p>
      <w:pPr>
        <w:spacing w:after="0" w:line="59" w:lineRule="exact"/>
        <w:rPr>
          <w:sz w:val="20"/>
          <w:szCs w:val="20"/>
          <w:color w:val="auto"/>
        </w:rPr>
      </w:pPr>
    </w:p>
    <w:p>
      <w:pPr>
        <w:ind w:left="220"/>
        <w:spacing w:after="0"/>
        <w:rPr>
          <w:sz w:val="20"/>
          <w:szCs w:val="20"/>
          <w:color w:val="auto"/>
        </w:rPr>
      </w:pPr>
      <w:r>
        <w:rPr>
          <w:rFonts w:ascii="Arial" w:cs="Arial" w:eastAsia="Arial" w:hAnsi="Arial"/>
          <w:sz w:val="21"/>
          <w:szCs w:val="21"/>
          <w:color w:val="auto"/>
        </w:rPr>
        <w:t>(</w:t>
      </w:r>
      <w:r>
        <w:rPr>
          <w:rFonts w:ascii="Arial" w:cs="Arial" w:eastAsia="Arial" w:hAnsi="Arial"/>
          <w:sz w:val="21"/>
          <w:szCs w:val="21"/>
          <w:color w:val="auto"/>
        </w:rPr>
        <w:t>выполнять прогноз добычи</w:t>
      </w:r>
      <w:r>
        <w:rPr>
          <w:rFonts w:ascii="Arial" w:cs="Arial" w:eastAsia="Arial" w:hAnsi="Arial"/>
          <w:sz w:val="21"/>
          <w:szCs w:val="21"/>
          <w:color w:val="auto"/>
        </w:rPr>
        <w:t xml:space="preserve">) </w:t>
      </w:r>
      <w:r>
        <w:rPr>
          <w:rFonts w:ascii="Arial" w:cs="Arial" w:eastAsia="Arial" w:hAnsi="Arial"/>
          <w:sz w:val="21"/>
          <w:szCs w:val="21"/>
          <w:color w:val="auto"/>
        </w:rPr>
        <w:t>для всего месторождения</w:t>
      </w:r>
      <w:r>
        <w:rPr>
          <w:rFonts w:ascii="Arial" w:cs="Arial" w:eastAsia="Arial" w:hAnsi="Arial"/>
          <w:sz w:val="21"/>
          <w:szCs w:val="21"/>
          <w:color w:val="auto"/>
        </w:rPr>
        <w:t xml:space="preserve">, </w:t>
      </w:r>
      <w:r>
        <w:rPr>
          <w:rFonts w:ascii="Arial" w:cs="Arial" w:eastAsia="Arial" w:hAnsi="Arial"/>
          <w:sz w:val="21"/>
          <w:szCs w:val="21"/>
          <w:color w:val="auto"/>
        </w:rPr>
        <w:t>соответствующее требованиям к качеству</w:t>
      </w:r>
    </w:p>
    <w:p>
      <w:pPr>
        <w:spacing w:after="0" w:line="59" w:lineRule="exact"/>
        <w:rPr>
          <w:sz w:val="20"/>
          <w:szCs w:val="20"/>
          <w:color w:val="auto"/>
        </w:rPr>
      </w:pPr>
    </w:p>
    <w:p>
      <w:pPr>
        <w:ind w:left="220"/>
        <w:spacing w:after="0"/>
        <w:rPr>
          <w:sz w:val="20"/>
          <w:szCs w:val="20"/>
          <w:color w:val="auto"/>
        </w:rPr>
      </w:pPr>
      <w:r>
        <w:rPr>
          <w:rFonts w:ascii="Arial" w:cs="Arial" w:eastAsia="Arial" w:hAnsi="Arial"/>
          <w:sz w:val="23"/>
          <w:szCs w:val="23"/>
          <w:color w:val="auto"/>
        </w:rPr>
        <w:t>адаптации</w:t>
      </w:r>
      <w:r>
        <w:rPr>
          <w:rFonts w:ascii="Arial" w:cs="Arial" w:eastAsia="Arial" w:hAnsi="Arial"/>
          <w:sz w:val="23"/>
          <w:szCs w:val="23"/>
          <w:color w:val="auto"/>
        </w:rPr>
        <w:t>,</w:t>
      </w:r>
      <w:r>
        <w:rPr>
          <w:rFonts w:ascii="Arial" w:cs="Arial" w:eastAsia="Arial" w:hAnsi="Arial"/>
          <w:sz w:val="23"/>
          <w:szCs w:val="23"/>
          <w:color w:val="auto"/>
        </w:rPr>
        <w:t xml:space="preserve"> предъявляемым к полномасштабным </w:t>
      </w:r>
      <w:r>
        <w:rPr>
          <w:rFonts w:ascii="Arial" w:cs="Arial" w:eastAsia="Arial" w:hAnsi="Arial"/>
          <w:sz w:val="23"/>
          <w:szCs w:val="23"/>
          <w:color w:val="auto"/>
        </w:rPr>
        <w:t>3D</w:t>
      </w:r>
      <w:r>
        <w:rPr>
          <w:rFonts w:ascii="Arial" w:cs="Arial" w:eastAsia="Arial" w:hAnsi="Arial"/>
          <w:sz w:val="23"/>
          <w:szCs w:val="23"/>
          <w:color w:val="auto"/>
        </w:rPr>
        <w:t xml:space="preserve"> гидродинамическим моделям</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215900</wp:posOffset>
            </wp:positionV>
            <wp:extent cx="5288915" cy="57651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288915" cy="5765165"/>
                    </a:xfrm>
                    <a:prstGeom prst="rect">
                      <a:avLst/>
                    </a:prstGeom>
                    <a:noFill/>
                  </pic:spPr>
                </pic:pic>
              </a:graphicData>
            </a:graphic>
          </wp:anchor>
        </w:drawing>
      </w:r>
    </w:p>
    <w:p>
      <w:pPr>
        <w:sectPr>
          <w:pgSz w:w="11900" w:h="16838" w:orient="portrait"/>
          <w:cols w:equalWidth="0" w:num="1">
            <w:col w:w="10860"/>
          </w:cols>
          <w:pgMar w:left="520" w:top="243" w:right="51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5/7</w:t>
      </w:r>
    </w:p>
    <w:p>
      <w:pPr>
        <w:sectPr>
          <w:pgSz w:w="11900" w:h="16838" w:orient="portrait"/>
          <w:cols w:equalWidth="0" w:num="1">
            <w:col w:w="10860"/>
          </w:cols>
          <w:pgMar w:left="520" w:top="243" w:right="519" w:bottom="0" w:gutter="0" w:footer="0" w:header="0"/>
          <w:type w:val="continuous"/>
        </w:sectPr>
      </w:pPr>
    </w:p>
    <w:bookmarkStart w:id="5" w:name="page6"/>
    <w:bookmarkEnd w:id="5"/>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96520</wp:posOffset>
            </wp:positionV>
            <wp:extent cx="5288915" cy="57651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5288915" cy="5765165"/>
                    </a:xfrm>
                    <a:prstGeom prst="rect">
                      <a:avLst/>
                    </a:prstGeom>
                    <a:noFill/>
                  </pic:spPr>
                </pic:pic>
              </a:graphicData>
            </a:graphic>
          </wp:anchor>
        </w:drawing>
      </w:r>
    </w:p>
    <w:p>
      <w:pPr>
        <w:sectPr>
          <w:pgSz w:w="11900" w:h="16838" w:orient="portrait"/>
          <w:cols w:equalWidth="0" w:num="1">
            <w:col w:w="10860"/>
          </w:cols>
          <w:pgMar w:left="520" w:top="243"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20"/>
        <w:spacing w:after="0"/>
        <w:rPr>
          <w:sz w:val="20"/>
          <w:szCs w:val="20"/>
          <w:color w:val="auto"/>
        </w:rPr>
      </w:pPr>
      <w:r>
        <w:rPr>
          <w:rFonts w:ascii="Arial" w:cs="Arial" w:eastAsia="Arial" w:hAnsi="Arial"/>
          <w:sz w:val="30"/>
          <w:szCs w:val="30"/>
          <w:b w:val="1"/>
          <w:bCs w:val="1"/>
          <w:color w:val="505050"/>
        </w:rPr>
        <w:t>ВЫВОДЫ</w:t>
      </w:r>
    </w:p>
    <w:p>
      <w:pPr>
        <w:spacing w:after="0" w:line="362" w:lineRule="exact"/>
        <w:rPr>
          <w:sz w:val="20"/>
          <w:szCs w:val="20"/>
          <w:color w:val="auto"/>
        </w:rPr>
      </w:pPr>
    </w:p>
    <w:p>
      <w:pPr>
        <w:ind w:left="220" w:right="900" w:hanging="10"/>
        <w:spacing w:after="0" w:line="272" w:lineRule="auto"/>
        <w:tabs>
          <w:tab w:leader="none" w:pos="451" w:val="left"/>
        </w:tabs>
        <w:numPr>
          <w:ilvl w:val="0"/>
          <w:numId w:val="8"/>
        </w:numPr>
        <w:rPr>
          <w:rFonts w:ascii="Arial" w:cs="Arial" w:eastAsia="Arial" w:hAnsi="Arial"/>
          <w:sz w:val="23"/>
          <w:szCs w:val="23"/>
          <w:color w:val="auto"/>
        </w:rPr>
      </w:pPr>
      <w:r>
        <w:rPr>
          <w:rFonts w:ascii="Arial" w:cs="Arial" w:eastAsia="Arial" w:hAnsi="Arial"/>
          <w:sz w:val="23"/>
          <w:szCs w:val="23"/>
          <w:color w:val="auto"/>
        </w:rPr>
        <w:t>Построенная гибридная модель позволяет решить бизнес-задачи посуточного прогнозирования дебитов жидкости и нефти для действующего фонда скважин.</w:t>
      </w:r>
    </w:p>
    <w:p>
      <w:pPr>
        <w:ind w:left="220" w:right="380" w:hanging="10"/>
        <w:spacing w:after="0" w:line="313" w:lineRule="auto"/>
        <w:tabs>
          <w:tab w:leader="none" w:pos="451" w:val="left"/>
        </w:tabs>
        <w:numPr>
          <w:ilvl w:val="0"/>
          <w:numId w:val="8"/>
        </w:numPr>
        <w:rPr>
          <w:rFonts w:ascii="Arial" w:cs="Arial" w:eastAsia="Arial" w:hAnsi="Arial"/>
          <w:sz w:val="20"/>
          <w:szCs w:val="20"/>
          <w:color w:val="auto"/>
        </w:rPr>
      </w:pPr>
      <w:r>
        <w:rPr>
          <w:rFonts w:ascii="Arial" w:cs="Arial" w:eastAsia="Arial" w:hAnsi="Arial"/>
          <w:sz w:val="20"/>
          <w:szCs w:val="20"/>
          <w:color w:val="auto"/>
        </w:rPr>
        <w:t>При применении гибридной модели учет интерференции окружающих скважин дает возможность прогнозировать показатели разработки месторождения при значительных изменениях промысловых условий, что отличает ее от распространенной модели, основанной на статистических методах (темпы снижения дебитов не соответствуют значительно изменившимся условиям разработки месторождения).</w:t>
      </w:r>
    </w:p>
    <w:p>
      <w:pPr>
        <w:ind w:left="220" w:right="720" w:hanging="10"/>
        <w:spacing w:after="0" w:line="329" w:lineRule="auto"/>
        <w:tabs>
          <w:tab w:leader="none" w:pos="451" w:val="left"/>
        </w:tabs>
        <w:numPr>
          <w:ilvl w:val="0"/>
          <w:numId w:val="8"/>
        </w:numPr>
        <w:rPr>
          <w:rFonts w:ascii="Arial" w:cs="Arial" w:eastAsia="Arial" w:hAnsi="Arial"/>
          <w:sz w:val="20"/>
          <w:szCs w:val="20"/>
          <w:color w:val="auto"/>
        </w:rPr>
      </w:pPr>
      <w:r>
        <w:rPr>
          <w:rFonts w:ascii="Arial" w:cs="Arial" w:eastAsia="Arial" w:hAnsi="Arial"/>
          <w:sz w:val="20"/>
          <w:szCs w:val="20"/>
          <w:color w:val="auto"/>
        </w:rPr>
        <w:t>Предложенный алгоритм не требует большого количества исходной информации в отличие от полномасштабных 3D моделей. Время настройки алгоритма на данные конкретного объекта не превышает 1 сут с учетом подготовки данных и может быть сокращено при прямом подключении к базам данных добычи. При этом качество прогнозирования и адаптации к фактическим данным удовлетворяет требованиям, предъявляемым к полномасштабным гидродинамическим 3D моделям.</w:t>
      </w:r>
    </w:p>
    <w:p>
      <w:pPr>
        <w:spacing w:after="0" w:line="223" w:lineRule="exact"/>
        <w:rPr>
          <w:sz w:val="20"/>
          <w:szCs w:val="20"/>
          <w:color w:val="auto"/>
        </w:rPr>
      </w:pPr>
    </w:p>
    <w:p>
      <w:pPr>
        <w:ind w:left="220"/>
        <w:spacing w:after="0"/>
        <w:rPr>
          <w:sz w:val="20"/>
          <w:szCs w:val="20"/>
          <w:color w:val="auto"/>
        </w:rPr>
      </w:pPr>
      <w:r>
        <w:rPr>
          <w:rFonts w:ascii="Arial" w:cs="Arial" w:eastAsia="Arial" w:hAnsi="Arial"/>
          <w:sz w:val="30"/>
          <w:szCs w:val="30"/>
          <w:b w:val="1"/>
          <w:bCs w:val="1"/>
          <w:color w:val="505050"/>
        </w:rPr>
        <w:t>СПИСОК ЛИТЕРАТУРЫ</w:t>
      </w:r>
    </w:p>
    <w:p>
      <w:pPr>
        <w:spacing w:after="0" w:line="362" w:lineRule="exact"/>
        <w:rPr>
          <w:sz w:val="20"/>
          <w:szCs w:val="20"/>
          <w:color w:val="auto"/>
        </w:rPr>
      </w:pPr>
    </w:p>
    <w:p>
      <w:pPr>
        <w:ind w:left="220" w:right="400" w:hanging="10"/>
        <w:spacing w:after="0" w:line="313" w:lineRule="auto"/>
        <w:tabs>
          <w:tab w:leader="none" w:pos="451" w:val="left"/>
        </w:tabs>
        <w:numPr>
          <w:ilvl w:val="0"/>
          <w:numId w:val="9"/>
        </w:numPr>
        <w:rPr>
          <w:rFonts w:ascii="Arial" w:cs="Arial" w:eastAsia="Arial" w:hAnsi="Arial"/>
          <w:sz w:val="20"/>
          <w:szCs w:val="20"/>
          <w:color w:val="auto"/>
        </w:rPr>
      </w:pPr>
      <w:r>
        <w:rPr>
          <w:rFonts w:ascii="Arial" w:cs="Arial" w:eastAsia="Arial" w:hAnsi="Arial"/>
          <w:sz w:val="20"/>
          <w:szCs w:val="20"/>
          <w:color w:val="auto"/>
        </w:rPr>
        <w:t>Направления развития когнитивных технологий в периметре Блока разведки и добычи компании «Газпром нефть»/ В.В. Яковлев, М.М. Хасанов, А.Н. Ситников [и др.]//Нефтяное хозяйство. – 2017. - № 3.</w:t>
      </w:r>
    </w:p>
    <w:p>
      <w:pPr>
        <w:ind w:left="220"/>
        <w:spacing w:after="0"/>
        <w:rPr>
          <w:rFonts w:ascii="Arial" w:cs="Arial" w:eastAsia="Arial" w:hAnsi="Arial"/>
          <w:sz w:val="20"/>
          <w:szCs w:val="20"/>
          <w:color w:val="auto"/>
        </w:rPr>
      </w:pPr>
      <w:r>
        <w:rPr>
          <w:rFonts w:ascii="Arial" w:cs="Arial" w:eastAsia="Arial" w:hAnsi="Arial"/>
          <w:sz w:val="23"/>
          <w:szCs w:val="23"/>
          <w:color w:val="auto"/>
        </w:rPr>
        <w:t>– С. 6-9.</w:t>
      </w:r>
    </w:p>
    <w:p>
      <w:pPr>
        <w:spacing w:after="0" w:line="35" w:lineRule="exact"/>
        <w:rPr>
          <w:rFonts w:ascii="Arial" w:cs="Arial" w:eastAsia="Arial" w:hAnsi="Arial"/>
          <w:sz w:val="20"/>
          <w:szCs w:val="20"/>
          <w:color w:val="auto"/>
        </w:rPr>
      </w:pPr>
    </w:p>
    <w:p>
      <w:pPr>
        <w:ind w:left="440" w:hanging="230"/>
        <w:spacing w:after="0"/>
        <w:tabs>
          <w:tab w:leader="none" w:pos="440" w:val="left"/>
        </w:tabs>
        <w:numPr>
          <w:ilvl w:val="0"/>
          <w:numId w:val="9"/>
        </w:numPr>
        <w:rPr>
          <w:rFonts w:ascii="Arial" w:cs="Arial" w:eastAsia="Arial" w:hAnsi="Arial"/>
          <w:sz w:val="21"/>
          <w:szCs w:val="21"/>
          <w:color w:val="auto"/>
        </w:rPr>
      </w:pPr>
      <w:r>
        <w:rPr>
          <w:rFonts w:ascii="Arial" w:cs="Arial" w:eastAsia="Arial" w:hAnsi="Arial"/>
          <w:sz w:val="21"/>
          <w:szCs w:val="21"/>
          <w:color w:val="auto"/>
        </w:rPr>
        <w:t>A Novel Approach to Refinment Reservoir Proxy Model Using Machine-Learning Techniques / Zotkin O.,</w:t>
      </w:r>
    </w:p>
    <w:p>
      <w:pPr>
        <w:sectPr>
          <w:pgSz w:w="11900" w:h="16838" w:orient="portrait"/>
          <w:cols w:equalWidth="0" w:num="1">
            <w:col w:w="10860"/>
          </w:cols>
          <w:pgMar w:left="520" w:top="243" w:right="519" w:bottom="0" w:gutter="0" w:footer="0" w:header="0"/>
          <w:type w:val="continuous"/>
        </w:sectPr>
      </w:pPr>
    </w:p>
    <w:p>
      <w:pPr>
        <w:spacing w:after="0" w:line="201"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6/7</w:t>
      </w:r>
    </w:p>
    <w:p>
      <w:pPr>
        <w:sectPr>
          <w:pgSz w:w="11900" w:h="16838" w:orient="portrait"/>
          <w:cols w:equalWidth="0" w:num="1">
            <w:col w:w="10860"/>
          </w:cols>
          <w:pgMar w:left="520" w:top="243" w:right="519" w:bottom="0" w:gutter="0" w:footer="0" w:header="0"/>
          <w:type w:val="continuous"/>
        </w:sectPr>
      </w:pPr>
    </w:p>
    <w:bookmarkStart w:id="6" w:name="page7"/>
    <w:bookmarkEnd w:id="6"/>
    <w:p>
      <w:pPr>
        <w:spacing w:after="0"/>
        <w:tabs>
          <w:tab w:leader="none" w:pos="1340" w:val="left"/>
        </w:tabs>
        <w:rPr>
          <w:sz w:val="20"/>
          <w:szCs w:val="20"/>
          <w:color w:val="auto"/>
        </w:rPr>
      </w:pPr>
      <w:r>
        <w:rPr>
          <w:rFonts w:ascii="Arial" w:cs="Arial" w:eastAsia="Arial" w:hAnsi="Arial"/>
          <w:sz w:val="16"/>
          <w:szCs w:val="16"/>
          <w:color w:val="auto"/>
        </w:rPr>
        <w:t>4/6/2021</w:t>
      </w:r>
      <w:r>
        <w:rPr>
          <w:sz w:val="20"/>
          <w:szCs w:val="20"/>
          <w:color w:val="auto"/>
        </w:rPr>
        <w:tab/>
      </w:r>
      <w:r>
        <w:rPr>
          <w:rFonts w:ascii="Arial" w:cs="Arial" w:eastAsia="Arial" w:hAnsi="Arial"/>
          <w:sz w:val="16"/>
          <w:szCs w:val="16"/>
          <w:color w:val="auto"/>
        </w:rPr>
        <w:t>Новый подход к доуточнению прогнозов прокси</w:t>
      </w:r>
      <w:r>
        <w:rPr>
          <w:rFonts w:ascii="Arial" w:cs="Arial" w:eastAsia="Arial" w:hAnsi="Arial"/>
          <w:sz w:val="16"/>
          <w:szCs w:val="16"/>
          <w:color w:val="auto"/>
        </w:rPr>
        <w:t>-</w:t>
      </w:r>
      <w:r>
        <w:rPr>
          <w:rFonts w:ascii="Arial" w:cs="Arial" w:eastAsia="Arial" w:hAnsi="Arial"/>
          <w:sz w:val="16"/>
          <w:szCs w:val="16"/>
          <w:color w:val="auto"/>
        </w:rPr>
        <w:t>моделей пласта с помощью алгоритмов машинного обучени</w:t>
      </w:r>
      <w:r>
        <w:rPr>
          <w:rFonts w:ascii="Arial" w:cs="Arial" w:eastAsia="Arial" w:hAnsi="Arial"/>
          <w:sz w:val="16"/>
          <w:szCs w:val="16"/>
          <w:color w:val="auto"/>
        </w:rPr>
        <w:t>…</w:t>
      </w:r>
    </w:p>
    <w:p>
      <w:pPr>
        <w:sectPr>
          <w:pgSz w:w="11900" w:h="16838" w:orient="portrait"/>
          <w:cols w:equalWidth="0" w:num="1">
            <w:col w:w="10860"/>
          </w:cols>
          <w:pgMar w:left="520" w:top="243" w:right="519" w:bottom="0" w:gutter="0" w:footer="0" w:header="0"/>
        </w:sectPr>
      </w:pPr>
    </w:p>
    <w:p>
      <w:pPr>
        <w:spacing w:after="0" w:line="148" w:lineRule="exact"/>
        <w:rPr>
          <w:sz w:val="20"/>
          <w:szCs w:val="20"/>
          <w:color w:val="auto"/>
        </w:rPr>
      </w:pPr>
    </w:p>
    <w:p>
      <w:pPr>
        <w:ind w:left="220"/>
        <w:spacing w:after="0"/>
        <w:rPr>
          <w:sz w:val="20"/>
          <w:szCs w:val="20"/>
          <w:color w:val="auto"/>
        </w:rPr>
      </w:pPr>
      <w:r>
        <w:rPr>
          <w:rFonts w:ascii="Arial" w:cs="Arial" w:eastAsia="Arial" w:hAnsi="Arial"/>
          <w:sz w:val="23"/>
          <w:szCs w:val="23"/>
          <w:color w:val="auto"/>
        </w:rPr>
        <w:t>Osokina A., Simonov M. [et al.] // SPE–198411–MS. – 2019. – DOI: 10.2118/198411-MS.</w:t>
      </w:r>
    </w:p>
    <w:p>
      <w:pPr>
        <w:spacing w:after="0" w:line="36" w:lineRule="exact"/>
        <w:rPr>
          <w:sz w:val="20"/>
          <w:szCs w:val="20"/>
          <w:color w:val="auto"/>
        </w:rPr>
      </w:pPr>
    </w:p>
    <w:p>
      <w:pPr>
        <w:ind w:left="220" w:right="300" w:hanging="10"/>
        <w:spacing w:after="0" w:line="298" w:lineRule="auto"/>
        <w:tabs>
          <w:tab w:leader="none" w:pos="451" w:val="left"/>
        </w:tabs>
        <w:numPr>
          <w:ilvl w:val="0"/>
          <w:numId w:val="10"/>
        </w:numPr>
        <w:rPr>
          <w:rFonts w:ascii="Arial" w:cs="Arial" w:eastAsia="Arial" w:hAnsi="Arial"/>
          <w:sz w:val="21"/>
          <w:szCs w:val="21"/>
          <w:color w:val="auto"/>
        </w:rPr>
      </w:pPr>
      <w:r>
        <w:rPr>
          <w:rFonts w:ascii="Arial" w:cs="Arial" w:eastAsia="Arial" w:hAnsi="Arial"/>
          <w:sz w:val="21"/>
          <w:szCs w:val="21"/>
          <w:color w:val="auto"/>
        </w:rPr>
        <w:t>Application of Machine Learning Methods for Modeling the Current Indicators of Operating Wells Stock of PJSC Gazprom Neft / N. Teplyakov, A. Slabetskiy, N. Sarapulov [et al.] // SPE–191585–18RPTC–MS. – 2018.</w:t>
      </w:r>
    </w:p>
    <w:p>
      <w:pPr>
        <w:ind w:left="220" w:right="580" w:hanging="10"/>
        <w:spacing w:after="0" w:line="272" w:lineRule="auto"/>
        <w:tabs>
          <w:tab w:leader="none" w:pos="451" w:val="left"/>
        </w:tabs>
        <w:numPr>
          <w:ilvl w:val="0"/>
          <w:numId w:val="10"/>
        </w:numPr>
        <w:rPr>
          <w:rFonts w:ascii="Arial" w:cs="Arial" w:eastAsia="Arial" w:hAnsi="Arial"/>
          <w:sz w:val="23"/>
          <w:szCs w:val="23"/>
          <w:color w:val="auto"/>
        </w:rPr>
      </w:pPr>
      <w:r>
        <w:rPr>
          <w:rFonts w:ascii="Arial" w:cs="Arial" w:eastAsia="Arial" w:hAnsi="Arial"/>
          <w:sz w:val="23"/>
          <w:szCs w:val="23"/>
          <w:color w:val="auto"/>
        </w:rPr>
        <w:t>Полуаналитические модели расчета интерференции скважин на базе класса моделей CRM / И.Ф. Хатмуллин, А.П. Цанда, А.М. Андрианова [и др.] // Нефтяное хозяйство. – 2018. – № 12. – С. 38–41. – DOI: 10.24887/0028-2448-2018-12-38-41.</w:t>
      </w:r>
    </w:p>
    <w:p>
      <w:pPr>
        <w:spacing w:after="0" w:line="1" w:lineRule="exact"/>
        <w:rPr>
          <w:rFonts w:ascii="Arial" w:cs="Arial" w:eastAsia="Arial" w:hAnsi="Arial"/>
          <w:sz w:val="23"/>
          <w:szCs w:val="23"/>
          <w:color w:val="auto"/>
        </w:rPr>
      </w:pPr>
    </w:p>
    <w:p>
      <w:pPr>
        <w:ind w:left="440" w:hanging="230"/>
        <w:spacing w:after="0"/>
        <w:tabs>
          <w:tab w:leader="none" w:pos="440" w:val="left"/>
        </w:tabs>
        <w:numPr>
          <w:ilvl w:val="0"/>
          <w:numId w:val="10"/>
        </w:numPr>
        <w:rPr>
          <w:rFonts w:ascii="Arial" w:cs="Arial" w:eastAsia="Arial" w:hAnsi="Arial"/>
          <w:sz w:val="21"/>
          <w:szCs w:val="21"/>
          <w:color w:val="auto"/>
        </w:rPr>
      </w:pPr>
      <w:r>
        <w:rPr>
          <w:rFonts w:ascii="Arial" w:cs="Arial" w:eastAsia="Arial" w:hAnsi="Arial"/>
          <w:sz w:val="21"/>
          <w:szCs w:val="21"/>
          <w:color w:val="auto"/>
        </w:rPr>
        <w:t>Hochreiter, Sepp &amp; Schmidhuber, Jürgen. Long Short-term Memory // Neural computation. – 1997. – V. 9.</w:t>
      </w:r>
    </w:p>
    <w:p>
      <w:pPr>
        <w:spacing w:after="0" w:line="58" w:lineRule="exact"/>
        <w:rPr>
          <w:rFonts w:ascii="Arial" w:cs="Arial" w:eastAsia="Arial" w:hAnsi="Arial"/>
          <w:sz w:val="21"/>
          <w:szCs w:val="21"/>
          <w:color w:val="auto"/>
        </w:rPr>
      </w:pPr>
    </w:p>
    <w:p>
      <w:pPr>
        <w:ind w:left="220"/>
        <w:spacing w:after="0"/>
        <w:rPr>
          <w:rFonts w:ascii="Arial" w:cs="Arial" w:eastAsia="Arial" w:hAnsi="Arial"/>
          <w:sz w:val="21"/>
          <w:szCs w:val="21"/>
          <w:color w:val="auto"/>
        </w:rPr>
      </w:pPr>
      <w:r>
        <w:rPr>
          <w:rFonts w:ascii="Arial" w:cs="Arial" w:eastAsia="Arial" w:hAnsi="Arial"/>
          <w:sz w:val="23"/>
          <w:szCs w:val="23"/>
          <w:color w:val="auto"/>
        </w:rPr>
        <w:t>– № 8. – P. 1735–1780. – DOI: 10.1162/neco.1997.9.8.1735.</w:t>
      </w:r>
    </w:p>
    <w:p>
      <w:pPr>
        <w:spacing w:after="0" w:line="35" w:lineRule="exact"/>
        <w:rPr>
          <w:rFonts w:ascii="Arial" w:cs="Arial" w:eastAsia="Arial" w:hAnsi="Arial"/>
          <w:sz w:val="21"/>
          <w:szCs w:val="21"/>
          <w:color w:val="auto"/>
        </w:rPr>
      </w:pPr>
    </w:p>
    <w:p>
      <w:pPr>
        <w:ind w:left="220" w:right="600" w:hanging="10"/>
        <w:spacing w:after="0" w:line="272" w:lineRule="auto"/>
        <w:tabs>
          <w:tab w:leader="none" w:pos="451" w:val="left"/>
        </w:tabs>
        <w:numPr>
          <w:ilvl w:val="0"/>
          <w:numId w:val="10"/>
        </w:numPr>
        <w:rPr>
          <w:rFonts w:ascii="Arial" w:cs="Arial" w:eastAsia="Arial" w:hAnsi="Arial"/>
          <w:sz w:val="23"/>
          <w:szCs w:val="23"/>
          <w:color w:val="auto"/>
        </w:rPr>
      </w:pPr>
      <w:r>
        <w:rPr>
          <w:rFonts w:ascii="Arial" w:cs="Arial" w:eastAsia="Arial" w:hAnsi="Arial"/>
          <w:sz w:val="23"/>
          <w:szCs w:val="23"/>
          <w:color w:val="auto"/>
        </w:rPr>
        <w:t>A Capacitance Model To Infer Interwell Connectivity From Production and Injection Rate Fluctuations / A.A. Yousef, P.H. Gentil, J.L. Jensen, L.W. Lake // SPE–95322–MS. – 2005.</w:t>
      </w:r>
    </w:p>
    <w:p>
      <w:pPr>
        <w:ind w:left="220" w:right="260" w:hanging="10"/>
        <w:spacing w:after="0" w:line="272" w:lineRule="auto"/>
        <w:tabs>
          <w:tab w:leader="none" w:pos="426" w:val="left"/>
        </w:tabs>
        <w:numPr>
          <w:ilvl w:val="0"/>
          <w:numId w:val="10"/>
        </w:numPr>
        <w:rPr>
          <w:rFonts w:ascii="Arial" w:cs="Arial" w:eastAsia="Arial" w:hAnsi="Arial"/>
          <w:sz w:val="23"/>
          <w:szCs w:val="23"/>
          <w:color w:val="auto"/>
        </w:rPr>
      </w:pPr>
      <w:r>
        <w:rPr>
          <w:rFonts w:ascii="Arial" w:cs="Arial" w:eastAsia="Arial" w:hAnsi="Arial"/>
          <w:sz w:val="23"/>
          <w:szCs w:val="23"/>
          <w:color w:val="auto"/>
        </w:rPr>
        <w:t>The use of capacitance–resistance models for rapid estimation of waterflood performance and optimization / M. Sayarpour, E. Zuluaga, C.S. Kabir [et al.] // Journal of Petroleum Science and Engineering. – 2009. – V. 69. – P. 227–238.</w:t>
      </w:r>
    </w:p>
    <w:p>
      <w:pPr>
        <w:spacing w:after="0" w:line="1" w:lineRule="exact"/>
        <w:rPr>
          <w:rFonts w:ascii="Arial" w:cs="Arial" w:eastAsia="Arial" w:hAnsi="Arial"/>
          <w:sz w:val="23"/>
          <w:szCs w:val="23"/>
          <w:color w:val="auto"/>
        </w:rPr>
      </w:pPr>
    </w:p>
    <w:p>
      <w:pPr>
        <w:ind w:left="440" w:hanging="230"/>
        <w:spacing w:after="0"/>
        <w:tabs>
          <w:tab w:leader="none" w:pos="440" w:val="left"/>
        </w:tabs>
        <w:numPr>
          <w:ilvl w:val="0"/>
          <w:numId w:val="10"/>
        </w:numPr>
        <w:rPr>
          <w:rFonts w:ascii="Arial" w:cs="Arial" w:eastAsia="Arial" w:hAnsi="Arial"/>
          <w:sz w:val="21"/>
          <w:szCs w:val="21"/>
          <w:color w:val="auto"/>
        </w:rPr>
      </w:pPr>
      <w:r>
        <w:rPr>
          <w:rFonts w:ascii="Arial" w:cs="Arial" w:eastAsia="Arial" w:hAnsi="Arial"/>
          <w:sz w:val="21"/>
          <w:szCs w:val="21"/>
          <w:color w:val="auto"/>
        </w:rPr>
        <w:t>Бузинов C.Н., Умрихин И.Д. Исследование нефтяных и газовых скважин и пластов. – М.: Недра, 1984.</w:t>
      </w:r>
    </w:p>
    <w:p>
      <w:pPr>
        <w:spacing w:after="0" w:line="58" w:lineRule="exact"/>
        <w:rPr>
          <w:rFonts w:ascii="Arial" w:cs="Arial" w:eastAsia="Arial" w:hAnsi="Arial"/>
          <w:sz w:val="21"/>
          <w:szCs w:val="21"/>
          <w:color w:val="auto"/>
        </w:rPr>
      </w:pPr>
    </w:p>
    <w:p>
      <w:pPr>
        <w:ind w:left="220"/>
        <w:spacing w:after="0"/>
        <w:rPr>
          <w:rFonts w:ascii="Arial" w:cs="Arial" w:eastAsia="Arial" w:hAnsi="Arial"/>
          <w:sz w:val="21"/>
          <w:szCs w:val="21"/>
          <w:color w:val="auto"/>
        </w:rPr>
      </w:pPr>
      <w:r>
        <w:rPr>
          <w:rFonts w:ascii="Arial" w:cs="Arial" w:eastAsia="Arial" w:hAnsi="Arial"/>
          <w:sz w:val="23"/>
          <w:szCs w:val="23"/>
          <w:color w:val="auto"/>
        </w:rPr>
        <w:t>– 269 с.</w:t>
      </w:r>
    </w:p>
    <w:p>
      <w:pPr>
        <w:spacing w:after="0" w:line="35" w:lineRule="exact"/>
        <w:rPr>
          <w:rFonts w:ascii="Arial" w:cs="Arial" w:eastAsia="Arial" w:hAnsi="Arial"/>
          <w:sz w:val="21"/>
          <w:szCs w:val="21"/>
          <w:color w:val="auto"/>
        </w:rPr>
      </w:pPr>
    </w:p>
    <w:p>
      <w:pPr>
        <w:ind w:left="220" w:right="620" w:hanging="10"/>
        <w:spacing w:after="0" w:line="296" w:lineRule="exact"/>
        <w:tabs>
          <w:tab w:leader="none" w:pos="451" w:val="left"/>
        </w:tabs>
        <w:numPr>
          <w:ilvl w:val="0"/>
          <w:numId w:val="10"/>
        </w:numPr>
        <w:rPr>
          <w:rFonts w:ascii="Arial" w:cs="Arial" w:eastAsia="Arial" w:hAnsi="Arial"/>
          <w:sz w:val="23"/>
          <w:szCs w:val="23"/>
          <w:color w:val="auto"/>
        </w:rPr>
      </w:pPr>
      <w:r>
        <w:rPr>
          <w:rFonts w:ascii="Arial" w:cs="Arial" w:eastAsia="Arial" w:hAnsi="Arial"/>
          <w:sz w:val="23"/>
          <w:szCs w:val="23"/>
          <w:color w:val="auto"/>
        </w:rPr>
        <w:t>Heteroskedasticity</w:t>
      </w:r>
      <w:r>
        <w:rPr>
          <w:rFonts w:ascii="MS PGothic" w:cs="MS PGothic" w:eastAsia="MS PGothic" w:hAnsi="MS PGothic"/>
          <w:sz w:val="23"/>
          <w:szCs w:val="23"/>
          <w:color w:val="auto"/>
        </w:rPr>
        <w:t>‐</w:t>
      </w:r>
      <w:r>
        <w:rPr>
          <w:rFonts w:ascii="Arial" w:cs="Arial" w:eastAsia="Arial" w:hAnsi="Arial"/>
          <w:sz w:val="23"/>
          <w:szCs w:val="23"/>
          <w:color w:val="auto"/>
        </w:rPr>
        <w:t>Robust Standard Errors for Fixed Effects Panel Data Regression / Stock J.H., Watson M.W. // Econometric. – 2008. – V. 76. – № 1. – Р. 155–174.</w:t>
      </w:r>
    </w:p>
    <w:p>
      <w:pPr>
        <w:spacing w:after="0" w:line="308" w:lineRule="exact"/>
        <w:rPr>
          <w:sz w:val="20"/>
          <w:szCs w:val="20"/>
          <w:color w:val="auto"/>
        </w:rPr>
      </w:pPr>
    </w:p>
    <w:p>
      <w:pPr>
        <w:ind w:left="220"/>
        <w:spacing w:after="0"/>
        <w:rPr>
          <w:sz w:val="20"/>
          <w:szCs w:val="20"/>
          <w:color w:val="auto"/>
        </w:rPr>
      </w:pPr>
      <w:r>
        <w:rPr>
          <w:rFonts w:ascii="Arial" w:cs="Arial" w:eastAsia="Arial" w:hAnsi="Arial"/>
          <w:sz w:val="30"/>
          <w:szCs w:val="30"/>
          <w:b w:val="1"/>
          <w:bCs w:val="1"/>
          <w:color w:val="505050"/>
        </w:rPr>
        <w:t>REFERENCES</w:t>
      </w:r>
    </w:p>
    <w:p>
      <w:pPr>
        <w:spacing w:after="0" w:line="362" w:lineRule="exact"/>
        <w:rPr>
          <w:sz w:val="20"/>
          <w:szCs w:val="20"/>
          <w:color w:val="auto"/>
        </w:rPr>
      </w:pPr>
    </w:p>
    <w:p>
      <w:pPr>
        <w:jc w:val="both"/>
        <w:ind w:left="220" w:right="280" w:hanging="10"/>
        <w:spacing w:after="0" w:line="272" w:lineRule="auto"/>
        <w:tabs>
          <w:tab w:leader="none" w:pos="451" w:val="left"/>
        </w:tabs>
        <w:numPr>
          <w:ilvl w:val="0"/>
          <w:numId w:val="11"/>
        </w:numPr>
        <w:rPr>
          <w:rFonts w:ascii="Arial" w:cs="Arial" w:eastAsia="Arial" w:hAnsi="Arial"/>
          <w:sz w:val="23"/>
          <w:szCs w:val="23"/>
          <w:color w:val="auto"/>
        </w:rPr>
      </w:pPr>
      <w:r>
        <w:rPr>
          <w:rFonts w:ascii="Arial" w:cs="Arial" w:eastAsia="Arial" w:hAnsi="Arial"/>
          <w:sz w:val="23"/>
          <w:szCs w:val="23"/>
          <w:color w:val="auto"/>
        </w:rPr>
        <w:t>Yakovlev V.V., Khasanov M.M., Sitnikov A.N., et al., The direction of cognitive technologies development in the Upstream Division of Gazprom Neft Company (In Russ.), Neftyanoe Khozyaystvo = Oil Industry, 2017, no. 12, pp. 6-9, DOI: 10.24887/0028-2448-2017-12-6-9.</w:t>
      </w:r>
    </w:p>
    <w:p>
      <w:pPr>
        <w:spacing w:after="0" w:line="1" w:lineRule="exact"/>
        <w:rPr>
          <w:rFonts w:ascii="Arial" w:cs="Arial" w:eastAsia="Arial" w:hAnsi="Arial"/>
          <w:sz w:val="23"/>
          <w:szCs w:val="23"/>
          <w:color w:val="auto"/>
        </w:rPr>
      </w:pPr>
    </w:p>
    <w:p>
      <w:pPr>
        <w:ind w:left="220" w:right="860" w:hanging="10"/>
        <w:spacing w:after="0" w:line="298" w:lineRule="auto"/>
        <w:tabs>
          <w:tab w:leader="none" w:pos="451" w:val="left"/>
        </w:tabs>
        <w:numPr>
          <w:ilvl w:val="0"/>
          <w:numId w:val="11"/>
        </w:numPr>
        <w:rPr>
          <w:rFonts w:ascii="Arial" w:cs="Arial" w:eastAsia="Arial" w:hAnsi="Arial"/>
          <w:sz w:val="21"/>
          <w:szCs w:val="21"/>
          <w:color w:val="auto"/>
        </w:rPr>
      </w:pPr>
      <w:r>
        <w:rPr>
          <w:rFonts w:ascii="Arial" w:cs="Arial" w:eastAsia="Arial" w:hAnsi="Arial"/>
          <w:sz w:val="21"/>
          <w:szCs w:val="21"/>
          <w:color w:val="auto"/>
        </w:rPr>
        <w:t>Zotkin O., Osokina A., Simonov M. et al., A novel approach to refinment reservoir proxy model using machine-learning techniques (In Russ.), SPE-198411-MS, 2019, DOI: 10.2118/198411-MS</w:t>
      </w:r>
    </w:p>
    <w:p>
      <w:pPr>
        <w:ind w:left="220" w:right="220" w:hanging="10"/>
        <w:spacing w:after="0" w:line="298" w:lineRule="auto"/>
        <w:tabs>
          <w:tab w:leader="none" w:pos="451" w:val="left"/>
        </w:tabs>
        <w:numPr>
          <w:ilvl w:val="0"/>
          <w:numId w:val="11"/>
        </w:numPr>
        <w:rPr>
          <w:rFonts w:ascii="Arial" w:cs="Arial" w:eastAsia="Arial" w:hAnsi="Arial"/>
          <w:sz w:val="21"/>
          <w:szCs w:val="21"/>
          <w:color w:val="auto"/>
        </w:rPr>
      </w:pPr>
      <w:r>
        <w:rPr>
          <w:rFonts w:ascii="Arial" w:cs="Arial" w:eastAsia="Arial" w:hAnsi="Arial"/>
          <w:sz w:val="21"/>
          <w:szCs w:val="21"/>
          <w:color w:val="auto"/>
        </w:rPr>
        <w:t>Teplyakov N., Slabetskiy A., Sarapulov N. et al., Application of machine learning methods for modeling the current indicators of operating wells stock of PJSC Gazprom Neft (In Russ.), SPE-191585-18RPTC-MS, 2018.</w:t>
      </w:r>
    </w:p>
    <w:p>
      <w:pPr>
        <w:ind w:left="220" w:right="420" w:hanging="10"/>
        <w:spacing w:after="0" w:line="272" w:lineRule="auto"/>
        <w:tabs>
          <w:tab w:leader="none" w:pos="451" w:val="left"/>
        </w:tabs>
        <w:numPr>
          <w:ilvl w:val="0"/>
          <w:numId w:val="11"/>
        </w:numPr>
        <w:rPr>
          <w:rFonts w:ascii="Arial" w:cs="Arial" w:eastAsia="Arial" w:hAnsi="Arial"/>
          <w:sz w:val="23"/>
          <w:szCs w:val="23"/>
          <w:color w:val="auto"/>
        </w:rPr>
      </w:pPr>
      <w:r>
        <w:rPr>
          <w:rFonts w:ascii="Arial" w:cs="Arial" w:eastAsia="Arial" w:hAnsi="Arial"/>
          <w:sz w:val="23"/>
          <w:szCs w:val="23"/>
          <w:color w:val="auto"/>
        </w:rPr>
        <w:t>Khatmullin I.F., Tsanda A.P., Andrianova A.M. et al., Semi-analytical models for calculating well interference: limitations and applications (In Russ.), Neftyanoe khozyaystvo = Oil Industry, 2018, no. 12, pp. 38–41, DOI: 10.24887/0028-2448- 2018-12-38-41.</w:t>
      </w:r>
    </w:p>
    <w:p>
      <w:pPr>
        <w:spacing w:after="0" w:line="1" w:lineRule="exact"/>
        <w:rPr>
          <w:rFonts w:ascii="Arial" w:cs="Arial" w:eastAsia="Arial" w:hAnsi="Arial"/>
          <w:sz w:val="23"/>
          <w:szCs w:val="23"/>
          <w:color w:val="auto"/>
        </w:rPr>
      </w:pPr>
    </w:p>
    <w:p>
      <w:pPr>
        <w:ind w:left="220" w:right="360" w:hanging="10"/>
        <w:spacing w:after="0" w:line="272" w:lineRule="auto"/>
        <w:tabs>
          <w:tab w:leader="none" w:pos="451" w:val="left"/>
        </w:tabs>
        <w:numPr>
          <w:ilvl w:val="0"/>
          <w:numId w:val="11"/>
        </w:numPr>
        <w:rPr>
          <w:rFonts w:ascii="Arial" w:cs="Arial" w:eastAsia="Arial" w:hAnsi="Arial"/>
          <w:sz w:val="23"/>
          <w:szCs w:val="23"/>
          <w:color w:val="auto"/>
        </w:rPr>
      </w:pPr>
      <w:r>
        <w:rPr>
          <w:rFonts w:ascii="Arial" w:cs="Arial" w:eastAsia="Arial" w:hAnsi="Arial"/>
          <w:sz w:val="23"/>
          <w:szCs w:val="23"/>
          <w:color w:val="auto"/>
        </w:rPr>
        <w:t>Hochreiter S., Schmidhuber J., Long short-term memory, Neural computation, 1997, no. 9, pp. 1735-1780, DOI: 10.1162/neco.1997.9.8.1735.</w:t>
      </w:r>
    </w:p>
    <w:p>
      <w:pPr>
        <w:ind w:left="220" w:right="620" w:hanging="10"/>
        <w:spacing w:after="0" w:line="298" w:lineRule="auto"/>
        <w:tabs>
          <w:tab w:leader="none" w:pos="451" w:val="left"/>
        </w:tabs>
        <w:numPr>
          <w:ilvl w:val="0"/>
          <w:numId w:val="11"/>
        </w:numPr>
        <w:rPr>
          <w:rFonts w:ascii="Arial" w:cs="Arial" w:eastAsia="Arial" w:hAnsi="Arial"/>
          <w:sz w:val="21"/>
          <w:szCs w:val="21"/>
          <w:color w:val="auto"/>
        </w:rPr>
      </w:pPr>
      <w:r>
        <w:rPr>
          <w:rFonts w:ascii="Arial" w:cs="Arial" w:eastAsia="Arial" w:hAnsi="Arial"/>
          <w:sz w:val="21"/>
          <w:szCs w:val="21"/>
          <w:color w:val="auto"/>
        </w:rPr>
        <w:t>Yousef A.A., Gentil P.H., Jensen J.L., Lake L.W., A capacitance model to infer interwell connectivity from production and injection rate fluctuations, SPE-95322- PA, 2009, DOI: 10.2118/95322-PA.</w:t>
      </w:r>
    </w:p>
    <w:p>
      <w:pPr>
        <w:ind w:left="220" w:right="360" w:hanging="10"/>
        <w:spacing w:after="0" w:line="272" w:lineRule="auto"/>
        <w:tabs>
          <w:tab w:leader="none" w:pos="426" w:val="left"/>
        </w:tabs>
        <w:numPr>
          <w:ilvl w:val="0"/>
          <w:numId w:val="11"/>
        </w:numPr>
        <w:rPr>
          <w:rFonts w:ascii="Arial" w:cs="Arial" w:eastAsia="Arial" w:hAnsi="Arial"/>
          <w:sz w:val="23"/>
          <w:szCs w:val="23"/>
          <w:color w:val="auto"/>
        </w:rPr>
      </w:pPr>
      <w:r>
        <w:rPr>
          <w:rFonts w:ascii="Arial" w:cs="Arial" w:eastAsia="Arial" w:hAnsi="Arial"/>
          <w:sz w:val="23"/>
          <w:szCs w:val="23"/>
          <w:color w:val="auto"/>
        </w:rPr>
        <w:t>Sayarpour M., Zuluaga E., Kabir C.S. et al., The use of capacitance–resistance models for rapid estimation of waterflood performance and optimization, SPE110081-MS, 2007.</w:t>
      </w:r>
    </w:p>
    <w:p>
      <w:pPr>
        <w:ind w:left="220" w:right="240" w:hanging="10"/>
        <w:spacing w:after="0" w:line="272" w:lineRule="auto"/>
        <w:tabs>
          <w:tab w:leader="none" w:pos="451" w:val="left"/>
        </w:tabs>
        <w:numPr>
          <w:ilvl w:val="0"/>
          <w:numId w:val="11"/>
        </w:numPr>
        <w:rPr>
          <w:rFonts w:ascii="Arial" w:cs="Arial" w:eastAsia="Arial" w:hAnsi="Arial"/>
          <w:sz w:val="23"/>
          <w:szCs w:val="23"/>
          <w:color w:val="auto"/>
        </w:rPr>
      </w:pPr>
      <w:r>
        <w:rPr>
          <w:rFonts w:ascii="Arial" w:cs="Arial" w:eastAsia="Arial" w:hAnsi="Arial"/>
          <w:sz w:val="23"/>
          <w:szCs w:val="23"/>
          <w:color w:val="auto"/>
        </w:rPr>
        <w:t>Buzinov I.U., Umrikhin S.N., Issledovanie neftyanykh i gazovykh skvazhin i plastov (Investigation of oil and gas wells and reservoirs), Moscow: Nedra Publ., 1984, 269 p.</w:t>
      </w:r>
    </w:p>
    <w:p>
      <w:pPr>
        <w:ind w:left="220" w:right="360" w:hanging="10"/>
        <w:spacing w:after="0" w:line="295" w:lineRule="exact"/>
        <w:tabs>
          <w:tab w:leader="none" w:pos="451" w:val="left"/>
        </w:tabs>
        <w:numPr>
          <w:ilvl w:val="0"/>
          <w:numId w:val="11"/>
        </w:numPr>
        <w:rPr>
          <w:rFonts w:ascii="Arial" w:cs="Arial" w:eastAsia="Arial" w:hAnsi="Arial"/>
          <w:sz w:val="21"/>
          <w:szCs w:val="21"/>
          <w:color w:val="auto"/>
        </w:rPr>
      </w:pPr>
      <w:r>
        <w:rPr>
          <w:rFonts w:ascii="Arial" w:cs="Arial" w:eastAsia="Arial" w:hAnsi="Arial"/>
          <w:sz w:val="21"/>
          <w:szCs w:val="21"/>
          <w:color w:val="auto"/>
        </w:rPr>
        <w:t>Stock J.H., Watson M.W., Heteroskedasticity</w:t>
      </w:r>
      <w:r>
        <w:rPr>
          <w:rFonts w:ascii="MS PGothic" w:cs="MS PGothic" w:eastAsia="MS PGothic" w:hAnsi="MS PGothic"/>
          <w:sz w:val="21"/>
          <w:szCs w:val="21"/>
          <w:color w:val="auto"/>
        </w:rPr>
        <w:t>‐</w:t>
      </w:r>
      <w:r>
        <w:rPr>
          <w:rFonts w:ascii="Arial" w:cs="Arial" w:eastAsia="Arial" w:hAnsi="Arial"/>
          <w:sz w:val="21"/>
          <w:szCs w:val="21"/>
          <w:color w:val="auto"/>
        </w:rPr>
        <w:t xml:space="preserve">robust standard errors for fixed effects panel data regression, Econometrica, 2008, V. 76(1), pp. 155–174, </w:t>
      </w:r>
      <w:hyperlink r:id="rId15">
        <w:r>
          <w:rPr>
            <w:rFonts w:ascii="Arial" w:cs="Arial" w:eastAsia="Arial" w:hAnsi="Arial"/>
            <w:sz w:val="21"/>
            <w:szCs w:val="21"/>
            <w:u w:val="single" w:color="auto"/>
            <w:color w:val="0079C1"/>
          </w:rPr>
          <w:t>https://doi.org/10.1111/j.0012-9682.2008.00821.x</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60"/>
        <w:spacing w:after="0"/>
        <w:rPr>
          <w:rFonts w:ascii="Arial" w:cs="Arial" w:eastAsia="Arial" w:hAnsi="Arial"/>
          <w:sz w:val="23"/>
          <w:szCs w:val="23"/>
          <w:u w:val="single" w:color="auto"/>
          <w:color w:val="0079C1"/>
        </w:rPr>
      </w:pPr>
      <w:hyperlink r:id="rId16">
        <w:r>
          <w:rPr>
            <w:rFonts w:ascii="Arial" w:cs="Arial" w:eastAsia="Arial" w:hAnsi="Arial"/>
            <w:sz w:val="23"/>
            <w:szCs w:val="23"/>
            <w:u w:val="single" w:color="auto"/>
            <w:color w:val="0079C1"/>
          </w:rPr>
          <w:t>Возврат к списку</w:t>
        </w:r>
      </w:hyperlink>
    </w:p>
    <w:p>
      <w:pPr>
        <w:sectPr>
          <w:pgSz w:w="11900" w:h="16838" w:orient="portrait"/>
          <w:cols w:equalWidth="0" w:num="1">
            <w:col w:w="10860"/>
          </w:cols>
          <w:pgMar w:left="520" w:top="243" w:right="51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10580" w:val="left"/>
        </w:tabs>
        <w:rPr>
          <w:sz w:val="20"/>
          <w:szCs w:val="20"/>
          <w:color w:val="auto"/>
        </w:rPr>
      </w:pPr>
      <w:r>
        <w:rPr>
          <w:rFonts w:ascii="Arial" w:cs="Arial" w:eastAsia="Arial" w:hAnsi="Arial"/>
          <w:sz w:val="16"/>
          <w:szCs w:val="16"/>
          <w:color w:val="auto"/>
        </w:rPr>
        <w:t>https://ntc.gazprom-neft.ru/research-and-development/papers/56196/</w:t>
      </w:r>
      <w:r>
        <w:rPr>
          <w:sz w:val="20"/>
          <w:szCs w:val="20"/>
          <w:color w:val="auto"/>
        </w:rPr>
        <w:tab/>
      </w:r>
      <w:r>
        <w:rPr>
          <w:rFonts w:ascii="Arial" w:cs="Arial" w:eastAsia="Arial" w:hAnsi="Arial"/>
          <w:sz w:val="16"/>
          <w:szCs w:val="16"/>
          <w:color w:val="auto"/>
        </w:rPr>
        <w:t>7/7</w:t>
      </w:r>
    </w:p>
    <w:sectPr>
      <w:pgSz w:w="11900" w:h="16838" w:orient="portrait"/>
      <w:cols w:equalWidth="0" w:num="1">
        <w:col w:w="10860"/>
      </w:cols>
      <w:pgMar w:left="520" w:top="243"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07ED7AB"/>
    <w:multiLevelType w:val="hybridMultilevel"/>
    <w:lvl w:ilvl="0">
      <w:lvlJc w:val="left"/>
      <w:lvlText w:val="ООО"/>
      <w:numFmt w:val="bullet"/>
      <w:start w:val="1"/>
    </w:lvl>
  </w:abstractNum>
  <w:abstractNum w:abstractNumId="1">
    <w:nsid w:val="2EB141F2"/>
    <w:multiLevelType w:val="hybridMultilevel"/>
    <w:lvl w:ilvl="0">
      <w:lvlJc w:val="left"/>
      <w:lvlText w:val="В"/>
      <w:numFmt w:val="bullet"/>
      <w:start w:val="1"/>
    </w:lvl>
  </w:abstractNum>
  <w:abstractNum w:abstractNumId="2">
    <w:nsid w:val="41B71EFB"/>
    <w:multiLevelType w:val="hybridMultilevel"/>
    <w:lvl w:ilvl="0">
      <w:lvlJc w:val="left"/>
      <w:lvlText w:val="и"/>
      <w:numFmt w:val="bullet"/>
      <w:start w:val="1"/>
    </w:lvl>
  </w:abstractNum>
  <w:abstractNum w:abstractNumId="3">
    <w:nsid w:val="79E2A9E3"/>
    <w:multiLevelType w:val="hybridMultilevel"/>
    <w:lvl w:ilvl="0">
      <w:lvlJc w:val="left"/>
      <w:lvlText w:val="В"/>
      <w:numFmt w:val="bullet"/>
      <w:start w:val="1"/>
    </w:lvl>
  </w:abstractNum>
  <w:abstractNum w:abstractNumId="4">
    <w:nsid w:val="7545E146"/>
    <w:multiLevelType w:val="hybridMultilevel"/>
    <w:lvl w:ilvl="0">
      <w:lvlJc w:val="left"/>
      <w:lvlText w:val="%1."/>
      <w:numFmt w:val="decimal"/>
      <w:start w:val="1"/>
    </w:lvl>
  </w:abstractNum>
  <w:abstractNum w:abstractNumId="5">
    <w:nsid w:val="515F007C"/>
    <w:multiLevelType w:val="hybridMultilevel"/>
    <w:lvl w:ilvl="0">
      <w:lvlJc w:val="left"/>
      <w:lvlText w:val="%1."/>
      <w:numFmt w:val="decimal"/>
      <w:start w:val="1"/>
    </w:lvl>
  </w:abstractNum>
  <w:abstractNum w:abstractNumId="6">
    <w:nsid w:val="5BD062C2"/>
    <w:multiLevelType w:val="hybridMultilevel"/>
    <w:lvl w:ilvl="0">
      <w:lvlJc w:val="left"/>
      <w:lvlText w:val="\endash "/>
      <w:numFmt w:val="bullet"/>
      <w:start w:val="1"/>
    </w:lvl>
  </w:abstractNum>
  <w:abstractNum w:abstractNumId="7">
    <w:nsid w:val="12200854"/>
    <w:multiLevelType w:val="hybridMultilevel"/>
    <w:lvl w:ilvl="0">
      <w:lvlJc w:val="left"/>
      <w:lvlText w:val="%1."/>
      <w:numFmt w:val="decimal"/>
      <w:start w:val="1"/>
    </w:lvl>
  </w:abstractNum>
  <w:abstractNum w:abstractNumId="8">
    <w:nsid w:val="4DB127F8"/>
    <w:multiLevelType w:val="hybridMultilevel"/>
    <w:lvl w:ilvl="0">
      <w:lvlJc w:val="left"/>
      <w:lvlText w:val="%1."/>
      <w:numFmt w:val="decimal"/>
      <w:start w:val="1"/>
    </w:lvl>
  </w:abstractNum>
  <w:abstractNum w:abstractNumId="9">
    <w:nsid w:val="216231B"/>
    <w:multiLevelType w:val="hybridMultilevel"/>
    <w:lvl w:ilvl="0">
      <w:lvlJc w:val="left"/>
      <w:lvlText w:val="%1."/>
      <w:numFmt w:val="decimal"/>
      <w:start w:val="3"/>
    </w:lvl>
  </w:abstractNum>
  <w:abstractNum w:abstractNumId="10">
    <w:nsid w:val="1F16E9E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8" Type="http://schemas.openxmlformats.org/officeDocument/2006/relationships/hyperlink" Target="mailto:Zotkin.OV@gazpromneft-ntc.ru" TargetMode="External"/><Relationship Id="rId9" Type="http://schemas.openxmlformats.org/officeDocument/2006/relationships/hyperlink" Target="mailto:Simonov.MV@gazpromneft-ntc.ru" TargetMode="External"/><Relationship Id="rId10" Type="http://schemas.openxmlformats.org/officeDocument/2006/relationships/hyperlink" Target="http://www.oil-industry.net/" TargetMode="External"/><Relationship Id="rId15" Type="http://schemas.openxmlformats.org/officeDocument/2006/relationships/hyperlink" Target="https://doi.org/10.1111/j.0012-9682.2008.00821.x" TargetMode="External"/><Relationship Id="rId16" Type="http://schemas.openxmlformats.org/officeDocument/2006/relationships/hyperlink" Target="https://ntc.gazprom-neft.ru/research-and-development/paper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2021-04-06T12:35:26Z</dcterms:created>
  <dcterms:modified xsi:type="dcterms:W3CDTF">2021-04-06T12:35:26Z</dcterms:modified>
</cp:coreProperties>
</file>