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1: &lt;30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342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2: ≥30 microgram/L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 (24.6, 31.5)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28.4 (25.5, 32.0)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BMI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25–30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&gt;30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319 (93%)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810 (95%)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Parity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0: Nulliparous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384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Parous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467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 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&lt;$40,000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$40,000–$99,999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246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≥$100,000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&gt;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297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734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high school or high school graduate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Prenatal Vitamin Use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no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 (8.2%)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folic - take vitamins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Exercise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1: 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212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2: Moderate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354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3: 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428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Q3); n (%)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test; Pearson's Chi-squared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2025-11-20T03:42:10Z</dcterms:created>
  <dcterms:modified xsi:type="dcterms:W3CDTF">2025-11-20T03:42:10Z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