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D6DA" w14:textId="2DA73309" w:rsidR="009A277C" w:rsidRDefault="009A277C">
      <w:r>
        <w:t xml:space="preserve">Обзор данных по итогам выполнения работ по доплавке колб, на этапе </w:t>
      </w:r>
      <w:r>
        <w:rPr>
          <w:lang w:val="en-US"/>
        </w:rPr>
        <w:t>OQ</w:t>
      </w:r>
      <w:r>
        <w:t>.</w:t>
      </w:r>
    </w:p>
    <w:p w14:paraId="5DABB905" w14:textId="2B5489EF" w:rsidR="009A277C" w:rsidRDefault="009A277C">
      <w:r>
        <w:t>Были изготовлены 48 образцов продукции, по итогам изготовления образцов проведены измерения основных характеристик.</w:t>
      </w:r>
    </w:p>
    <w:p w14:paraId="55D1D543" w14:textId="25BD1A44" w:rsidR="009A277C" w:rsidRDefault="009A277C">
      <w:pPr>
        <w:rPr>
          <w:lang w:val="en-US"/>
        </w:rPr>
      </w:pPr>
      <w:r>
        <w:t>Целью работ было в том числе подбор параметров работы оборудования. Целевыми переменными были: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1590"/>
        <w:gridCol w:w="2764"/>
        <w:gridCol w:w="2761"/>
        <w:gridCol w:w="2230"/>
      </w:tblGrid>
      <w:tr w:rsidR="009A277C" w:rsidRPr="00390BA7" w14:paraId="6AB6A6FC" w14:textId="77777777" w:rsidTr="009A277C">
        <w:tc>
          <w:tcPr>
            <w:tcW w:w="1590" w:type="dxa"/>
          </w:tcPr>
          <w:p w14:paraId="05383BF5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MAES</w:t>
            </w:r>
          </w:p>
        </w:tc>
        <w:tc>
          <w:tcPr>
            <w:tcW w:w="2764" w:type="dxa"/>
          </w:tcPr>
          <w:p w14:paraId="5960DD86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Внешний размер в области оплавления.</w:t>
            </w:r>
          </w:p>
        </w:tc>
        <w:tc>
          <w:tcPr>
            <w:tcW w:w="2761" w:type="dxa"/>
          </w:tcPr>
          <w:p w14:paraId="741F4E5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Результаты измерения, мм</w:t>
            </w:r>
          </w:p>
        </w:tc>
        <w:tc>
          <w:tcPr>
            <w:tcW w:w="2230" w:type="dxa"/>
          </w:tcPr>
          <w:p w14:paraId="700E738B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External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Size</w:t>
            </w:r>
          </w:p>
          <w:p w14:paraId="75737E06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427B3204" w14:textId="77777777" w:rsidTr="009A277C">
        <w:tc>
          <w:tcPr>
            <w:tcW w:w="1590" w:type="dxa"/>
          </w:tcPr>
          <w:p w14:paraId="35408366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</w:p>
        </w:tc>
        <w:tc>
          <w:tcPr>
            <w:tcW w:w="2764" w:type="dxa"/>
          </w:tcPr>
          <w:p w14:paraId="06FDB34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Статус заплавления сквозного отверстия в зоне оплавления </w:t>
            </w:r>
          </w:p>
        </w:tc>
        <w:tc>
          <w:tcPr>
            <w:tcW w:w="2761" w:type="dxa"/>
          </w:tcPr>
          <w:p w14:paraId="4DD4633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1 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Closed</w:t>
            </w:r>
            <w:r w:rsidRPr="00390BA7">
              <w:rPr>
                <w:rFonts w:cstheme="minorHAnsi"/>
                <w:sz w:val="20"/>
                <w:szCs w:val="20"/>
              </w:rPr>
              <w:t xml:space="preserve"> – отверстие заплавлено</w:t>
            </w:r>
          </w:p>
          <w:p w14:paraId="67F02C4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0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Open</w:t>
            </w:r>
            <w:r w:rsidRPr="00390BA7">
              <w:rPr>
                <w:rFonts w:cstheme="minorHAnsi"/>
                <w:sz w:val="20"/>
                <w:szCs w:val="20"/>
              </w:rPr>
              <w:t xml:space="preserve"> – наличие сквозного отверстия</w:t>
            </w:r>
          </w:p>
        </w:tc>
        <w:tc>
          <w:tcPr>
            <w:tcW w:w="2230" w:type="dxa"/>
          </w:tcPr>
          <w:p w14:paraId="03E0333C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 Hole Status</w:t>
            </w:r>
          </w:p>
          <w:p w14:paraId="4B1A2D2F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базе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фиксируем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значение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1 / 0.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В протоколах допускается использовать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Aliase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s (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closed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open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).</w:t>
            </w:r>
          </w:p>
          <w:p w14:paraId="46443A3E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0D0EF040" w14:textId="77777777" w:rsidTr="009A277C">
        <w:tc>
          <w:tcPr>
            <w:tcW w:w="1590" w:type="dxa"/>
          </w:tcPr>
          <w:p w14:paraId="765CB39F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MAWT</w:t>
            </w:r>
          </w:p>
        </w:tc>
        <w:tc>
          <w:tcPr>
            <w:tcW w:w="2764" w:type="dxa"/>
          </w:tcPr>
          <w:p w14:paraId="5D63D977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Минимальная толщина стенки заплавленного торца.</w:t>
            </w:r>
          </w:p>
        </w:tc>
        <w:tc>
          <w:tcPr>
            <w:tcW w:w="2761" w:type="dxa"/>
          </w:tcPr>
          <w:p w14:paraId="5A9A8A10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наличии сквозного отверстия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0), указывается значение -1.</w:t>
            </w:r>
          </w:p>
          <w:p w14:paraId="75AF6DDD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заплавленном отверстии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1) – результат измерений, в мм.</w:t>
            </w:r>
          </w:p>
        </w:tc>
        <w:tc>
          <w:tcPr>
            <w:tcW w:w="2230" w:type="dxa"/>
          </w:tcPr>
          <w:p w14:paraId="6616A042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Wall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Thickness</w:t>
            </w:r>
          </w:p>
        </w:tc>
      </w:tr>
      <w:tr w:rsidR="009A277C" w:rsidRPr="00390BA7" w14:paraId="52F0198D" w14:textId="77777777" w:rsidTr="009A277C">
        <w:tc>
          <w:tcPr>
            <w:tcW w:w="1590" w:type="dxa"/>
          </w:tcPr>
          <w:p w14:paraId="632532B7" w14:textId="77777777" w:rsidR="009A277C" w:rsidRPr="00300451" w:rsidRDefault="009A277C" w:rsidP="001D04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PCS</w:t>
            </w:r>
          </w:p>
        </w:tc>
        <w:tc>
          <w:tcPr>
            <w:tcW w:w="2764" w:type="dxa"/>
          </w:tcPr>
          <w:p w14:paraId="25178D8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Статус соответствия продукции требованиям</w:t>
            </w:r>
          </w:p>
        </w:tc>
        <w:tc>
          <w:tcPr>
            <w:tcW w:w="2761" w:type="dxa"/>
          </w:tcPr>
          <w:p w14:paraId="139DD90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Соответствует</w:t>
            </w:r>
          </w:p>
          <w:p w14:paraId="299B989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Не соответствует</w:t>
            </w:r>
          </w:p>
        </w:tc>
        <w:tc>
          <w:tcPr>
            <w:tcW w:w="2230" w:type="dxa"/>
          </w:tcPr>
          <w:p w14:paraId="513AAC48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135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Product Conformity Status</w:t>
            </w:r>
          </w:p>
        </w:tc>
      </w:tr>
      <w:tr w:rsidR="009A277C" w:rsidRPr="00321353" w14:paraId="51DBDC25" w14:textId="77777777" w:rsidTr="009A277C">
        <w:tc>
          <w:tcPr>
            <w:tcW w:w="1590" w:type="dxa"/>
          </w:tcPr>
          <w:p w14:paraId="6CA790E5" w14:textId="77777777" w:rsidR="009A277C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FMOP</w:t>
            </w:r>
          </w:p>
        </w:tc>
        <w:tc>
          <w:tcPr>
            <w:tcW w:w="2764" w:type="dxa"/>
          </w:tcPr>
          <w:p w14:paraId="736E9EEB" w14:textId="77777777" w:rsidR="009A277C" w:rsidRPr="009340F8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Предпочтение со стороны оператора, выполняющего операцию итоговой доплавки.</w:t>
            </w:r>
          </w:p>
        </w:tc>
        <w:tc>
          <w:tcPr>
            <w:tcW w:w="2761" w:type="dxa"/>
          </w:tcPr>
          <w:p w14:paraId="75D395C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Оператору было комфортно выполнять операцию</w:t>
            </w:r>
          </w:p>
          <w:p w14:paraId="5125EF99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Оператор не отметил комфорт выполнения операции</w:t>
            </w:r>
          </w:p>
        </w:tc>
        <w:tc>
          <w:tcPr>
            <w:tcW w:w="2230" w:type="dxa"/>
          </w:tcPr>
          <w:p w14:paraId="3765A79C" w14:textId="77777777" w:rsidR="009A277C" w:rsidRPr="00321353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Final Melting Operator’s Prefer</w:t>
            </w:r>
          </w:p>
        </w:tc>
      </w:tr>
    </w:tbl>
    <w:p w14:paraId="7C41105F" w14:textId="77777777" w:rsidR="009A277C" w:rsidRDefault="009A277C">
      <w:pPr>
        <w:rPr>
          <w:lang w:val="en-US"/>
        </w:rPr>
      </w:pPr>
    </w:p>
    <w:p w14:paraId="5227F628" w14:textId="53D6732D" w:rsidR="009A277C" w:rsidRDefault="009A277C">
      <w:r>
        <w:t>Ниже представлена обзорная информация по каждой из целевых переменных, а также модели, отражающие значимость управляемых факторов (характеристики предварительно оплавленного капиляра, параметры работы оборудования).</w:t>
      </w:r>
    </w:p>
    <w:p w14:paraId="3EFF4D9E" w14:textId="77777777" w:rsidR="00C45725" w:rsidRDefault="00C45725">
      <w:pPr>
        <w:rPr>
          <w:lang w:val="en-US"/>
        </w:rPr>
      </w:pPr>
    </w:p>
    <w:p w14:paraId="0CB662A3" w14:textId="77777777" w:rsidR="00532915" w:rsidRDefault="00532915">
      <w:r>
        <w:t>По итогам обзора полученных результатов,  а также обсуждения особенностей производственного процесса, сделаны следующие предположения \ решения:</w:t>
      </w:r>
    </w:p>
    <w:p w14:paraId="4B1A8163" w14:textId="77777777" w:rsidR="00730FEB" w:rsidRDefault="00532915" w:rsidP="00730FEB">
      <w:pPr>
        <w:pStyle w:val="a7"/>
        <w:numPr>
          <w:ilvl w:val="0"/>
          <w:numId w:val="2"/>
        </w:numPr>
      </w:pPr>
      <w:r>
        <w:t xml:space="preserve">Не учитывать переменную </w:t>
      </w:r>
      <w:r>
        <w:rPr>
          <w:lang w:val="en-US"/>
        </w:rPr>
        <w:t>LT</w:t>
      </w:r>
      <w:r w:rsidRPr="00532915">
        <w:t>_</w:t>
      </w:r>
      <w:r>
        <w:rPr>
          <w:lang w:val="en-US"/>
        </w:rPr>
        <w:t>F</w:t>
      </w:r>
      <w:r>
        <w:t>. Данная переменная определяет время работы источника лазерного излучения. В нашем сценарии, когда длительность процесса запаивания определяется оператором,  целесообразно установить значение данной переменной на уровне 8000</w:t>
      </w:r>
      <w:r>
        <w:rPr>
          <w:lang w:val="en-US"/>
        </w:rPr>
        <w:t>ms</w:t>
      </w:r>
      <w:r>
        <w:t>. Соответственно, из списка факторов переменная исключена, т.е. не проводится оценка значимости (т.к. процесс останавливался оператором)</w:t>
      </w:r>
      <w:r w:rsidR="00730FEB">
        <w:t>.</w:t>
      </w:r>
    </w:p>
    <w:p w14:paraId="14DB7384" w14:textId="77777777" w:rsidR="00730FEB" w:rsidRDefault="00730FEB" w:rsidP="00730FEB">
      <w:pPr>
        <w:pStyle w:val="a7"/>
        <w:numPr>
          <w:ilvl w:val="0"/>
          <w:numId w:val="2"/>
        </w:numPr>
      </w:pPr>
      <w:r>
        <w:t xml:space="preserve">Переменная </w:t>
      </w:r>
      <w:r>
        <w:rPr>
          <w:lang w:val="en-US"/>
        </w:rPr>
        <w:t>OR</w:t>
      </w:r>
      <w:r w:rsidRPr="00730FEB">
        <w:t>_</w:t>
      </w:r>
      <w:r>
        <w:rPr>
          <w:lang w:val="en-US"/>
        </w:rPr>
        <w:t>F</w:t>
      </w:r>
      <w:r>
        <w:t xml:space="preserve"> вообще не влияет. Опять же, увитывая особенности реализации процесса доплавки (процесс останавливается по нажатию оператором кнопки </w:t>
      </w:r>
      <w:r>
        <w:rPr>
          <w:lang w:val="en-US"/>
        </w:rPr>
        <w:lastRenderedPageBreak/>
        <w:t>Reset</w:t>
      </w:r>
      <w:r>
        <w:t>), данная переменная никак  фактически не влияет, т.е. не  реализуется в реальном процессе доплавки.</w:t>
      </w:r>
    </w:p>
    <w:p w14:paraId="71E57305" w14:textId="07AFB8B4" w:rsidR="00936326" w:rsidRPr="00532915" w:rsidRDefault="00936326" w:rsidP="00730FEB">
      <w:pPr>
        <w:pStyle w:val="a7"/>
        <w:numPr>
          <w:ilvl w:val="0"/>
          <w:numId w:val="2"/>
        </w:numPr>
        <w:sectPr w:rsidR="00936326" w:rsidRPr="00532915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1A9BFB51" w14:textId="7DEFD822" w:rsidR="00C45725" w:rsidRDefault="00C45725">
      <w:pPr>
        <w:rPr>
          <w:rFonts w:cstheme="minorHAnsi"/>
          <w:sz w:val="20"/>
          <w:szCs w:val="20"/>
        </w:rPr>
      </w:pPr>
      <w:r>
        <w:lastRenderedPageBreak/>
        <w:t xml:space="preserve">Из всех целевых характеристик, 2 характеристики являются количественными, остальные качественными. Базовые статистики приведены для количественных характеристик </w:t>
      </w:r>
      <w:r w:rsidRPr="00390BA7">
        <w:rPr>
          <w:rFonts w:cstheme="minorHAnsi"/>
          <w:sz w:val="20"/>
          <w:szCs w:val="20"/>
          <w:lang w:val="en-US"/>
        </w:rPr>
        <w:t>MAWT</w:t>
      </w:r>
      <w:r>
        <w:rPr>
          <w:rFonts w:cstheme="minorHAnsi"/>
          <w:sz w:val="20"/>
          <w:szCs w:val="20"/>
        </w:rPr>
        <w:t xml:space="preserve"> и </w:t>
      </w:r>
      <w:r w:rsidRPr="00390BA7">
        <w:rPr>
          <w:rFonts w:cstheme="minorHAnsi"/>
          <w:sz w:val="20"/>
          <w:szCs w:val="20"/>
          <w:lang w:val="en-US"/>
        </w:rPr>
        <w:t>MAES</w:t>
      </w:r>
      <w:r>
        <w:rPr>
          <w:rFonts w:cstheme="minorHAnsi"/>
          <w:sz w:val="20"/>
          <w:szCs w:val="20"/>
        </w:rPr>
        <w:t xml:space="preserve">. </w:t>
      </w:r>
    </w:p>
    <w:p w14:paraId="1EC5EC9E" w14:textId="77777777" w:rsidR="00DE74B9" w:rsidRDefault="00DE74B9">
      <w:pPr>
        <w:sectPr w:rsidR="00DE74B9" w:rsidSect="00C45725">
          <w:pgSz w:w="16838" w:h="11906" w:orient="landscape"/>
          <w:pgMar w:top="1701" w:right="1134" w:bottom="850" w:left="1134" w:header="720" w:footer="720" w:gutter="0"/>
          <w:cols w:space="720"/>
          <w:docGrid w:linePitch="360"/>
        </w:sectPr>
      </w:pPr>
    </w:p>
    <w:p w14:paraId="3D581177" w14:textId="3E72D3A2" w:rsidR="00C45725" w:rsidRDefault="00DE74B9">
      <w:r>
        <w:lastRenderedPageBreak/>
        <w:t>Проверка значимости факторов настройки оборудования.</w:t>
      </w:r>
    </w:p>
    <w:p w14:paraId="372CEDA2" w14:textId="38D61D1F" w:rsidR="00DE74B9" w:rsidRDefault="00DE74B9">
      <w:r>
        <w:t>Проверка проводилась в виде ранжирования эффектов по итогам непосредственных вычислений, а также дублировалась проведением регрессионного анализа.</w:t>
      </w:r>
    </w:p>
    <w:p w14:paraId="5E274112" w14:textId="18D78359" w:rsidR="00DE74B9" w:rsidRDefault="00DE74B9">
      <w:r>
        <w:t>Задачи:</w:t>
      </w:r>
    </w:p>
    <w:p w14:paraId="2A515D78" w14:textId="07D7FCC5" w:rsidR="00DE74B9" w:rsidRDefault="00DE74B9" w:rsidP="00DE74B9">
      <w:pPr>
        <w:pStyle w:val="a7"/>
        <w:numPr>
          <w:ilvl w:val="0"/>
          <w:numId w:val="1"/>
        </w:numPr>
      </w:pPr>
      <w:r>
        <w:t>Проранжировать факторы, в целях уменьшения пространства переменных для оптимизации</w:t>
      </w:r>
    </w:p>
    <w:p w14:paraId="5DE0FB29" w14:textId="6DF03B56" w:rsidR="00DE74B9" w:rsidRDefault="00DE74B9" w:rsidP="00DE74B9">
      <w:pPr>
        <w:pStyle w:val="a7"/>
        <w:numPr>
          <w:ilvl w:val="0"/>
          <w:numId w:val="1"/>
        </w:numPr>
      </w:pPr>
      <w:r>
        <w:t>Проверить наличие взаимодействия между факторами</w:t>
      </w:r>
    </w:p>
    <w:p w14:paraId="7948B76B" w14:textId="2FA61C23" w:rsidR="00DE74B9" w:rsidRDefault="00DE74B9" w:rsidP="00DE74B9">
      <w:pPr>
        <w:pStyle w:val="a7"/>
        <w:numPr>
          <w:ilvl w:val="0"/>
          <w:numId w:val="1"/>
        </w:numPr>
      </w:pPr>
      <w:r>
        <w:t>Проверить целесообразность проведения задачи по оптимизации для различных типов изделий (02 / 03)</w:t>
      </w:r>
    </w:p>
    <w:p w14:paraId="7AF2B586" w14:textId="57FB7EE2" w:rsidR="00936326" w:rsidRDefault="00936326" w:rsidP="00936326">
      <w:r>
        <w:t>Регрессия проводилась для целевых переменных:</w:t>
      </w:r>
    </w:p>
    <w:p w14:paraId="3055EF9E" w14:textId="3EE2597B" w:rsidR="00936326" w:rsidRDefault="00936326" w:rsidP="00936326">
      <w:pPr>
        <w:rPr>
          <w:lang w:val="en-US"/>
        </w:rPr>
      </w:pPr>
      <w:r>
        <w:rPr>
          <w:lang w:val="en-US"/>
        </w:rPr>
        <w:t>FMOP</w:t>
      </w:r>
    </w:p>
    <w:p w14:paraId="7E559B6F" w14:textId="08DDDB8C" w:rsidR="00936326" w:rsidRPr="00936326" w:rsidRDefault="00936326" w:rsidP="00936326">
      <w:pPr>
        <w:rPr>
          <w:lang w:val="en-US"/>
        </w:rPr>
      </w:pPr>
      <w:r>
        <w:rPr>
          <w:lang w:val="en-US"/>
        </w:rPr>
        <w:t>FMPR</w:t>
      </w:r>
    </w:p>
    <w:sectPr w:rsidR="00936326" w:rsidRPr="00936326" w:rsidSect="00C45725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378B"/>
    <w:multiLevelType w:val="hybridMultilevel"/>
    <w:tmpl w:val="A558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01B5D"/>
    <w:multiLevelType w:val="hybridMultilevel"/>
    <w:tmpl w:val="9F7AB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50125">
    <w:abstractNumId w:val="0"/>
  </w:num>
  <w:num w:numId="2" w16cid:durableId="2476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C"/>
    <w:rsid w:val="001B46C2"/>
    <w:rsid w:val="00532915"/>
    <w:rsid w:val="00730FEB"/>
    <w:rsid w:val="007E5E89"/>
    <w:rsid w:val="00936326"/>
    <w:rsid w:val="009A277C"/>
    <w:rsid w:val="00C45725"/>
    <w:rsid w:val="00DE74B9"/>
    <w:rsid w:val="00F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120"/>
  <w15:chartTrackingRefBased/>
  <w15:docId w15:val="{61018480-DB68-4D9E-A210-052042A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7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7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7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7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7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7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7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7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7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7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27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A277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8</cp:revision>
  <dcterms:created xsi:type="dcterms:W3CDTF">2025-05-27T08:10:00Z</dcterms:created>
  <dcterms:modified xsi:type="dcterms:W3CDTF">2025-05-27T13:02:00Z</dcterms:modified>
</cp:coreProperties>
</file>